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2DE54">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jc w:val="center"/>
        <w:textAlignment w:val="baseline"/>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西安城墙16号马面保护修缮工程岩土工程勘察</w:t>
      </w:r>
    </w:p>
    <w:p w14:paraId="432E67BE">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jc w:val="center"/>
        <w:textAlignment w:val="baseline"/>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服务合同</w:t>
      </w:r>
    </w:p>
    <w:p w14:paraId="6D7D0109">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发包人：</w:t>
      </w:r>
      <w:r>
        <w:rPr>
          <w:rFonts w:hint="eastAsia" w:ascii="方正仿宋_GB2312" w:hAnsi="方正仿宋_GB2312" w:eastAsia="方正仿宋_GB2312" w:cs="方正仿宋_GB2312"/>
          <w:color w:val="auto"/>
          <w:kern w:val="2"/>
          <w:sz w:val="24"/>
          <w:szCs w:val="24"/>
          <w:u w:val="single"/>
          <w:lang w:val="en-US" w:eastAsia="zh-CN" w:bidi="ar-SA"/>
        </w:rPr>
        <w:t>西安城墙管理委员会</w:t>
      </w:r>
      <w:r>
        <w:rPr>
          <w:rFonts w:hint="eastAsia" w:ascii="方正仿宋_GB2312" w:hAnsi="方正仿宋_GB2312" w:eastAsia="方正仿宋_GB2312" w:cs="方正仿宋_GB2312"/>
          <w:color w:val="auto"/>
          <w:kern w:val="2"/>
          <w:sz w:val="24"/>
          <w:szCs w:val="24"/>
          <w:lang w:val="en-US" w:eastAsia="zh-CN" w:bidi="ar-SA"/>
        </w:rPr>
        <w:t>（以下简称甲方）</w:t>
      </w:r>
    </w:p>
    <w:p w14:paraId="07B71C43">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勘察人：</w:t>
      </w:r>
      <w:r>
        <w:rPr>
          <w:rFonts w:hint="eastAsia" w:ascii="方正仿宋_GB2312" w:hAnsi="方正仿宋_GB2312" w:eastAsia="方正仿宋_GB2312" w:cs="方正仿宋_GB2312"/>
          <w:color w:val="auto"/>
          <w:kern w:val="2"/>
          <w:sz w:val="24"/>
          <w:szCs w:val="24"/>
          <w:u w:val="single"/>
          <w:lang w:val="en-US" w:eastAsia="zh-CN" w:bidi="ar-SA"/>
        </w:rPr>
        <w:t xml:space="preserve">                  </w:t>
      </w:r>
      <w:r>
        <w:rPr>
          <w:rFonts w:hint="eastAsia" w:ascii="方正仿宋_GB2312" w:hAnsi="方正仿宋_GB2312" w:eastAsia="方正仿宋_GB2312" w:cs="方正仿宋_GB2312"/>
          <w:color w:val="auto"/>
          <w:kern w:val="2"/>
          <w:sz w:val="24"/>
          <w:szCs w:val="24"/>
          <w:lang w:val="en-US" w:eastAsia="zh-CN" w:bidi="ar-SA"/>
        </w:rPr>
        <w:t>（以下简称乙方）</w:t>
      </w:r>
    </w:p>
    <w:p w14:paraId="272954D6">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p>
    <w:p w14:paraId="1F93670A">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甲方委托乙方开展</w:t>
      </w:r>
      <w:r>
        <w:rPr>
          <w:rFonts w:hint="eastAsia" w:ascii="方正仿宋_GB2312" w:hAnsi="方正仿宋_GB2312" w:eastAsia="方正仿宋_GB2312" w:cs="方正仿宋_GB2312"/>
          <w:color w:val="auto"/>
          <w:kern w:val="2"/>
          <w:sz w:val="24"/>
          <w:szCs w:val="24"/>
          <w:u w:val="single"/>
          <w:lang w:val="en-US" w:eastAsia="zh-CN" w:bidi="ar-SA"/>
        </w:rPr>
        <w:t>西安城墙16号马面保护修缮工程岩土工程勘察</w:t>
      </w:r>
      <w:r>
        <w:rPr>
          <w:rFonts w:hint="eastAsia" w:ascii="方正仿宋_GB2312" w:hAnsi="方正仿宋_GB2312" w:eastAsia="方正仿宋_GB2312" w:cs="方正仿宋_GB2312"/>
          <w:color w:val="auto"/>
          <w:kern w:val="2"/>
          <w:sz w:val="24"/>
          <w:szCs w:val="24"/>
          <w:lang w:val="en-US" w:eastAsia="zh-CN" w:bidi="ar-SA"/>
        </w:rPr>
        <w:t>服务。结合该项目的具体情况，为明确责任、分工协作，协作配合，经双方协商一致，就本工作签订合同，共同遵守。</w:t>
      </w:r>
    </w:p>
    <w:p w14:paraId="63CAD100">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第一条 项目名称</w:t>
      </w:r>
    </w:p>
    <w:p w14:paraId="3ECC158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西安城墙16号马面保护修缮工程岩土工程勘察</w:t>
      </w:r>
    </w:p>
    <w:p w14:paraId="3CD3489A">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第二条 项目地点</w:t>
      </w:r>
      <w:bookmarkStart w:id="0" w:name="_GoBack"/>
      <w:bookmarkEnd w:id="0"/>
    </w:p>
    <w:p w14:paraId="6096FC82">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200"/>
        <w:textAlignment w:val="baseline"/>
        <w:rPr>
          <w:rFonts w:hint="eastAsia" w:ascii="方正仿宋_GB2312" w:hAnsi="方正仿宋_GB2312" w:eastAsia="方正仿宋_GB2312" w:cs="方正仿宋_GB2312"/>
          <w:color w:val="auto"/>
          <w:kern w:val="2"/>
          <w:sz w:val="24"/>
          <w:szCs w:val="24"/>
          <w:lang w:val="zh-TW" w:eastAsia="zh-CN" w:bidi="ar-SA"/>
        </w:rPr>
      </w:pPr>
      <w:r>
        <w:rPr>
          <w:rFonts w:hint="eastAsia" w:ascii="方正仿宋_GB2312" w:hAnsi="方正仿宋_GB2312" w:eastAsia="方正仿宋_GB2312" w:cs="方正仿宋_GB2312"/>
          <w:color w:val="auto"/>
          <w:kern w:val="2"/>
          <w:sz w:val="24"/>
          <w:szCs w:val="24"/>
          <w:lang w:val="en-US" w:eastAsia="zh-CN" w:bidi="ar-SA"/>
        </w:rPr>
        <w:t>西安城墙16号马面区域</w:t>
      </w:r>
    </w:p>
    <w:p w14:paraId="62EE0E8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第三条 项目内容</w:t>
      </w:r>
    </w:p>
    <w:p w14:paraId="46C20DF9">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（1）查明16号马面与海墁现状病害类型及发育现状，明确海墁下是否存在暗堡及其它不良地质作用，查明周边管线分布及地下埋藏物分布，确定16号马面裂缝发育原因。对其防治作出评价、提出建议。</w:t>
      </w:r>
    </w:p>
    <w:p w14:paraId="59BBEF36">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（2）厘清拟修缮段落历史沿革、形制、材料、工艺做法等。</w:t>
      </w:r>
    </w:p>
    <w:p w14:paraId="1AE08C97">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 xml:space="preserve">（3）查明海墁下土体密实度及含水率等情况。 </w:t>
      </w:r>
    </w:p>
    <w:p w14:paraId="4BC6045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 xml:space="preserve">（4）查明城墙墙体夯填土及场地地层岩性、地质构造、工程地质、地裂缝及水文地质条件，并提供各土层的承载力特征值。 </w:t>
      </w:r>
    </w:p>
    <w:p w14:paraId="7206627D">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 xml:space="preserve">（5）评价场地稳定性及城墙本体的稳定性，对其防治作出评价，提出建议。 </w:t>
      </w:r>
    </w:p>
    <w:p w14:paraId="6661A3B4">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 xml:space="preserve">（6）划分场地土类别，评价场地灾害效应，当有不良地质作用存在时，初步查明其分布范围、危害程度及发育趋势，并初步提出防治建议。 </w:t>
      </w:r>
    </w:p>
    <w:p w14:paraId="69F7E86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（7）查明场地地下水的埋藏条件，并对场地内水文地质条件进行评价。</w:t>
      </w:r>
    </w:p>
    <w:p w14:paraId="5DAB2789">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第四条 项目成果</w:t>
      </w:r>
    </w:p>
    <w:p w14:paraId="4DCBBCED">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0" w:firstLine="480" w:firstLineChars="200"/>
        <w:textAlignment w:val="baseline"/>
        <w:rPr>
          <w:rFonts w:hint="eastAsia" w:ascii="方正仿宋_GB2312" w:hAnsi="方正仿宋_GB2312" w:eastAsia="方正仿宋_GB2312" w:cs="方正仿宋_GB2312"/>
          <w:color w:val="auto"/>
          <w:kern w:val="2"/>
          <w:sz w:val="24"/>
          <w:szCs w:val="24"/>
          <w:lang w:val="zh-TW" w:eastAsia="zh-CN" w:bidi="ar-SA"/>
        </w:rPr>
      </w:pPr>
      <w:r>
        <w:rPr>
          <w:rFonts w:hint="eastAsia" w:ascii="方正仿宋_GB2312" w:hAnsi="方正仿宋_GB2312" w:eastAsia="方正仿宋_GB2312" w:cs="方正仿宋_GB2312"/>
          <w:color w:val="auto"/>
          <w:kern w:val="2"/>
          <w:sz w:val="24"/>
          <w:szCs w:val="24"/>
          <w:lang w:val="en-US" w:eastAsia="zh-CN" w:bidi="ar-SA"/>
        </w:rPr>
        <w:t>乙方于本合同签订之日起</w:t>
      </w:r>
      <w:r>
        <w:rPr>
          <w:rFonts w:hint="eastAsia" w:ascii="方正仿宋_GB2312" w:hAnsi="方正仿宋_GB2312" w:eastAsia="方正仿宋_GB2312" w:cs="方正仿宋_GB2312"/>
          <w:color w:val="auto"/>
          <w:kern w:val="2"/>
          <w:sz w:val="24"/>
          <w:szCs w:val="24"/>
          <w:u w:val="single"/>
          <w:lang w:val="en-US" w:eastAsia="zh-CN" w:bidi="ar-SA"/>
        </w:rPr>
        <w:t xml:space="preserve">   </w:t>
      </w:r>
      <w:r>
        <w:rPr>
          <w:rFonts w:hint="eastAsia" w:ascii="方正仿宋_GB2312" w:hAnsi="方正仿宋_GB2312" w:eastAsia="方正仿宋_GB2312" w:cs="方正仿宋_GB2312"/>
          <w:color w:val="auto"/>
          <w:kern w:val="2"/>
          <w:sz w:val="24"/>
          <w:szCs w:val="24"/>
          <w:lang w:val="en-US" w:eastAsia="zh-CN" w:bidi="ar-SA"/>
        </w:rPr>
        <w:t>天内提交勘察成果报告。提交勘察报告书一式</w:t>
      </w:r>
      <w:r>
        <w:rPr>
          <w:rFonts w:hint="eastAsia" w:ascii="方正仿宋_GB2312" w:hAnsi="方正仿宋_GB2312" w:eastAsia="方正仿宋_GB2312" w:cs="方正仿宋_GB2312"/>
          <w:color w:val="auto"/>
          <w:kern w:val="2"/>
          <w:sz w:val="24"/>
          <w:szCs w:val="24"/>
          <w:u w:val="single"/>
          <w:lang w:val="en-US" w:eastAsia="zh-CN" w:bidi="ar-SA"/>
        </w:rPr>
        <w:t>肆</w:t>
      </w:r>
      <w:r>
        <w:rPr>
          <w:rFonts w:hint="eastAsia" w:ascii="方正仿宋_GB2312" w:hAnsi="方正仿宋_GB2312" w:eastAsia="方正仿宋_GB2312" w:cs="方正仿宋_GB2312"/>
          <w:color w:val="auto"/>
          <w:kern w:val="2"/>
          <w:sz w:val="24"/>
          <w:szCs w:val="24"/>
          <w:lang w:val="en-US" w:eastAsia="zh-CN" w:bidi="ar-SA"/>
        </w:rPr>
        <w:t>份。</w:t>
      </w:r>
    </w:p>
    <w:p w14:paraId="03A3FAB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第五条 质量要求</w:t>
      </w:r>
    </w:p>
    <w:p w14:paraId="61C6241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勘察内容、过程和成果符合国家相关标准、规范及设计、施工要求，并严格按照标准规定开展勘察工作。</w:t>
      </w:r>
    </w:p>
    <w:p w14:paraId="3DE996C3">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第六条 项目费用及支付方式</w:t>
      </w:r>
    </w:p>
    <w:p w14:paraId="7F928968">
      <w:pPr>
        <w:pStyle w:val="14"/>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u w:val="single"/>
          <w:lang w:val="en-US" w:eastAsia="zh-CN" w:bidi="ar-SA"/>
        </w:rPr>
      </w:pPr>
      <w:r>
        <w:rPr>
          <w:rFonts w:hint="eastAsia" w:ascii="方正仿宋_GB2312" w:hAnsi="方正仿宋_GB2312" w:eastAsia="方正仿宋_GB2312" w:cs="方正仿宋_GB2312"/>
          <w:color w:val="auto"/>
          <w:kern w:val="2"/>
          <w:sz w:val="24"/>
          <w:szCs w:val="24"/>
          <w:u w:val="none"/>
          <w:lang w:val="en-US" w:eastAsia="zh-CN" w:bidi="ar-SA"/>
        </w:rPr>
        <w:t>项目暂定含税总费用：</w:t>
      </w:r>
      <w:r>
        <w:rPr>
          <w:rFonts w:hint="eastAsia" w:ascii="方正仿宋_GB2312" w:hAnsi="方正仿宋_GB2312" w:eastAsia="方正仿宋_GB2312" w:cs="方正仿宋_GB2312"/>
          <w:color w:val="auto"/>
          <w:kern w:val="2"/>
          <w:sz w:val="24"/>
          <w:szCs w:val="24"/>
          <w:u w:val="single"/>
          <w:lang w:val="en-US" w:eastAsia="zh-CN" w:bidi="ar-SA"/>
        </w:rPr>
        <w:t>¥      元（大写：                   ）</w:t>
      </w:r>
      <w:r>
        <w:rPr>
          <w:rFonts w:hint="eastAsia" w:ascii="方正仿宋_GB2312" w:hAnsi="方正仿宋_GB2312" w:eastAsia="方正仿宋_GB2312" w:cs="方正仿宋_GB2312"/>
          <w:color w:val="auto"/>
          <w:kern w:val="2"/>
          <w:sz w:val="24"/>
          <w:szCs w:val="24"/>
          <w:u w:val="none"/>
          <w:lang w:val="en-US" w:eastAsia="zh-CN" w:bidi="ar-SA"/>
        </w:rPr>
        <w:t>，项目结束后，根据甲方确认的实际验收工作量，按照约定单价进行核算支付，最终支付费用不超过本暂定合同总价；费用明细见附件一，附件一中的单价为固定单价，该费用包括但不限于勘察费、人工费、器材费、材料费、交通费、管理费及税费等履行本合同的全部费用。</w:t>
      </w:r>
    </w:p>
    <w:p w14:paraId="7700081C">
      <w:pPr>
        <w:pStyle w:val="14"/>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left="0" w:leftChars="0"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项目费用支付</w:t>
      </w:r>
    </w:p>
    <w:p w14:paraId="3D45A23B">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经双方友好协商，自本合同生效后，甲方按以下约定分三次向乙方支付项目款项：</w:t>
      </w:r>
    </w:p>
    <w:tbl>
      <w:tblPr>
        <w:tblStyle w:val="9"/>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3"/>
        <w:gridCol w:w="1875"/>
        <w:gridCol w:w="2200"/>
      </w:tblGrid>
      <w:tr w14:paraId="12C5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blHeader/>
          <w:jc w:val="center"/>
        </w:trPr>
        <w:tc>
          <w:tcPr>
            <w:tcW w:w="4363" w:type="dxa"/>
            <w:noWrap w:val="0"/>
            <w:vAlign w:val="center"/>
          </w:tcPr>
          <w:p w14:paraId="4D2F600C">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b/>
                <w:color w:val="auto"/>
                <w:kern w:val="2"/>
                <w:sz w:val="24"/>
                <w:szCs w:val="24"/>
                <w:vertAlign w:val="baseline"/>
                <w:lang w:val="en-US" w:eastAsia="zh-CN" w:bidi="ar-SA"/>
              </w:rPr>
            </w:pPr>
            <w:r>
              <w:rPr>
                <w:rFonts w:hint="eastAsia" w:ascii="方正仿宋_GB2312" w:hAnsi="方正仿宋_GB2312" w:eastAsia="方正仿宋_GB2312" w:cs="方正仿宋_GB2312"/>
                <w:b/>
                <w:color w:val="auto"/>
                <w:kern w:val="2"/>
                <w:sz w:val="24"/>
                <w:szCs w:val="24"/>
                <w:vertAlign w:val="baseline"/>
                <w:lang w:val="en-US" w:eastAsia="zh-CN" w:bidi="ar-SA"/>
              </w:rPr>
              <w:t>支付条件</w:t>
            </w:r>
          </w:p>
        </w:tc>
        <w:tc>
          <w:tcPr>
            <w:tcW w:w="1875" w:type="dxa"/>
            <w:noWrap w:val="0"/>
            <w:vAlign w:val="center"/>
          </w:tcPr>
          <w:p w14:paraId="60CB06F4">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b/>
                <w:color w:val="auto"/>
                <w:kern w:val="2"/>
                <w:sz w:val="24"/>
                <w:szCs w:val="24"/>
                <w:vertAlign w:val="baseline"/>
                <w:lang w:val="en-US" w:eastAsia="zh-CN" w:bidi="ar-SA"/>
              </w:rPr>
            </w:pPr>
            <w:r>
              <w:rPr>
                <w:rFonts w:hint="eastAsia" w:ascii="方正仿宋_GB2312" w:hAnsi="方正仿宋_GB2312" w:eastAsia="方正仿宋_GB2312" w:cs="方正仿宋_GB2312"/>
                <w:b/>
                <w:color w:val="auto"/>
                <w:kern w:val="2"/>
                <w:sz w:val="24"/>
                <w:szCs w:val="24"/>
                <w:lang w:val="en-US" w:eastAsia="zh-CN" w:bidi="ar-SA"/>
              </w:rPr>
              <w:t>占合同总额百分比</w:t>
            </w:r>
          </w:p>
        </w:tc>
        <w:tc>
          <w:tcPr>
            <w:tcW w:w="2200" w:type="dxa"/>
            <w:noWrap w:val="0"/>
            <w:vAlign w:val="center"/>
          </w:tcPr>
          <w:p w14:paraId="72A33CE5">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b/>
                <w:color w:val="auto"/>
                <w:kern w:val="2"/>
                <w:sz w:val="24"/>
                <w:szCs w:val="24"/>
                <w:lang w:val="en-US" w:eastAsia="zh-CN" w:bidi="ar-SA"/>
              </w:rPr>
            </w:pPr>
            <w:r>
              <w:rPr>
                <w:rFonts w:hint="eastAsia" w:ascii="方正仿宋_GB2312" w:hAnsi="方正仿宋_GB2312" w:eastAsia="方正仿宋_GB2312" w:cs="方正仿宋_GB2312"/>
                <w:b/>
                <w:color w:val="auto"/>
                <w:kern w:val="2"/>
                <w:sz w:val="24"/>
                <w:szCs w:val="24"/>
                <w:lang w:val="en-US" w:eastAsia="zh-CN" w:bidi="ar-SA"/>
              </w:rPr>
              <w:t>金额人民币</w:t>
            </w:r>
          </w:p>
          <w:p w14:paraId="505507EA">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b/>
                <w:color w:val="auto"/>
                <w:kern w:val="2"/>
                <w:sz w:val="24"/>
                <w:szCs w:val="24"/>
                <w:vertAlign w:val="baseline"/>
                <w:lang w:val="en-US" w:eastAsia="zh-CN" w:bidi="ar-SA"/>
              </w:rPr>
            </w:pPr>
            <w:r>
              <w:rPr>
                <w:rFonts w:hint="eastAsia" w:ascii="方正仿宋_GB2312" w:hAnsi="方正仿宋_GB2312" w:eastAsia="方正仿宋_GB2312" w:cs="方正仿宋_GB2312"/>
                <w:b/>
                <w:color w:val="auto"/>
                <w:kern w:val="2"/>
                <w:sz w:val="24"/>
                <w:szCs w:val="24"/>
                <w:lang w:val="en-US" w:eastAsia="zh-CN" w:bidi="ar-SA"/>
              </w:rPr>
              <w:t>(元)</w:t>
            </w:r>
          </w:p>
        </w:tc>
      </w:tr>
      <w:tr w14:paraId="272FE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jc w:val="center"/>
        </w:trPr>
        <w:tc>
          <w:tcPr>
            <w:tcW w:w="4363" w:type="dxa"/>
            <w:noWrap w:val="0"/>
            <w:vAlign w:val="center"/>
          </w:tcPr>
          <w:p w14:paraId="3EBF9B50">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left"/>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r>
              <w:rPr>
                <w:rFonts w:hint="eastAsia" w:ascii="方正仿宋_GB2312" w:hAnsi="方正仿宋_GB2312" w:eastAsia="方正仿宋_GB2312" w:cs="方正仿宋_GB2312"/>
                <w:sz w:val="24"/>
                <w:szCs w:val="24"/>
              </w:rPr>
              <w:t>乙方提交项目实施方案并开具等额增值税普通发票后，甲方在收到发票后30日内支付。</w:t>
            </w:r>
          </w:p>
        </w:tc>
        <w:tc>
          <w:tcPr>
            <w:tcW w:w="1875" w:type="dxa"/>
            <w:noWrap w:val="0"/>
            <w:vAlign w:val="center"/>
          </w:tcPr>
          <w:p w14:paraId="209F9681">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r>
              <w:rPr>
                <w:rFonts w:hint="eastAsia" w:ascii="方正仿宋_GB2312" w:hAnsi="方正仿宋_GB2312" w:eastAsia="方正仿宋_GB2312" w:cs="方正仿宋_GB2312"/>
                <w:color w:val="auto"/>
                <w:kern w:val="2"/>
                <w:sz w:val="24"/>
                <w:szCs w:val="24"/>
                <w:vertAlign w:val="baseline"/>
                <w:lang w:val="en-US" w:eastAsia="zh-CN" w:bidi="ar-SA"/>
              </w:rPr>
              <w:t>20%</w:t>
            </w:r>
          </w:p>
        </w:tc>
        <w:tc>
          <w:tcPr>
            <w:tcW w:w="2200" w:type="dxa"/>
            <w:noWrap w:val="0"/>
            <w:vAlign w:val="center"/>
          </w:tcPr>
          <w:p w14:paraId="300F5306">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p>
        </w:tc>
      </w:tr>
      <w:tr w14:paraId="56A9D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4363" w:type="dxa"/>
            <w:noWrap w:val="0"/>
            <w:vAlign w:val="center"/>
          </w:tcPr>
          <w:p w14:paraId="2DAC96E9">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left"/>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r>
              <w:rPr>
                <w:rFonts w:hint="eastAsia" w:ascii="方正仿宋_GB2312" w:hAnsi="方正仿宋_GB2312" w:eastAsia="方正仿宋_GB2312" w:cs="方正仿宋_GB2312"/>
                <w:sz w:val="24"/>
                <w:szCs w:val="24"/>
              </w:rPr>
              <w:t>乙方勘察外业工作完成并经甲方</w:t>
            </w:r>
            <w:r>
              <w:rPr>
                <w:rStyle w:val="11"/>
                <w:rFonts w:hint="eastAsia" w:ascii="方正仿宋_GB2312" w:hAnsi="方正仿宋_GB2312" w:eastAsia="方正仿宋_GB2312" w:cs="方正仿宋_GB2312"/>
                <w:b/>
                <w:bCs/>
                <w:color w:val="000000"/>
                <w:sz w:val="24"/>
                <w:szCs w:val="24"/>
              </w:rPr>
              <w:t>阶段确认</w:t>
            </w:r>
            <w:r>
              <w:rPr>
                <w:rFonts w:hint="eastAsia" w:ascii="方正仿宋_GB2312" w:hAnsi="方正仿宋_GB2312" w:eastAsia="方正仿宋_GB2312" w:cs="方正仿宋_GB2312"/>
                <w:sz w:val="24"/>
                <w:szCs w:val="24"/>
              </w:rPr>
              <w:t>合格，且乙方开具等额增值税普通发票后，甲方在收到发票后30日内支付。</w:t>
            </w:r>
          </w:p>
        </w:tc>
        <w:tc>
          <w:tcPr>
            <w:tcW w:w="1875" w:type="dxa"/>
            <w:noWrap w:val="0"/>
            <w:vAlign w:val="center"/>
          </w:tcPr>
          <w:p w14:paraId="41AB4082">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50%</w:t>
            </w:r>
          </w:p>
        </w:tc>
        <w:tc>
          <w:tcPr>
            <w:tcW w:w="2200" w:type="dxa"/>
            <w:noWrap w:val="0"/>
            <w:vAlign w:val="center"/>
          </w:tcPr>
          <w:p w14:paraId="249D39FF">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p>
        </w:tc>
      </w:tr>
      <w:tr w14:paraId="30600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4363" w:type="dxa"/>
            <w:noWrap w:val="0"/>
            <w:vAlign w:val="center"/>
          </w:tcPr>
          <w:p w14:paraId="33AFD6E6">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left"/>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r>
              <w:rPr>
                <w:rFonts w:hint="eastAsia" w:ascii="方正仿宋_GB2312" w:hAnsi="方正仿宋_GB2312" w:eastAsia="方正仿宋_GB2312" w:cs="方正仿宋_GB2312"/>
                <w:sz w:val="24"/>
                <w:szCs w:val="24"/>
              </w:rPr>
              <w:t>全部勘察工作完成、成果报告经甲方验收合格后，乙方应提交按实际工作量核算的合同价款总额及明细。甲方完成</w:t>
            </w:r>
            <w:r>
              <w:rPr>
                <w:rFonts w:hint="eastAsia" w:ascii="方正仿宋_GB2312" w:hAnsi="方正仿宋_GB2312" w:eastAsia="方正仿宋_GB2312" w:cs="方正仿宋_GB2312"/>
                <w:b/>
                <w:bCs/>
                <w:sz w:val="24"/>
                <w:szCs w:val="24"/>
              </w:rPr>
              <w:t>绩效</w:t>
            </w:r>
            <w:r>
              <w:rPr>
                <w:rFonts w:hint="eastAsia" w:ascii="方正仿宋_GB2312" w:hAnsi="方正仿宋_GB2312" w:eastAsia="方正仿宋_GB2312" w:cs="方正仿宋_GB2312"/>
                <w:b/>
                <w:bCs/>
                <w:sz w:val="24"/>
                <w:szCs w:val="24"/>
                <w:lang w:val="en-US" w:eastAsia="zh-CN"/>
              </w:rPr>
              <w:t>评价</w:t>
            </w:r>
            <w:r>
              <w:rPr>
                <w:rFonts w:hint="eastAsia" w:ascii="方正仿宋_GB2312" w:hAnsi="方正仿宋_GB2312" w:eastAsia="方正仿宋_GB2312" w:cs="方正仿宋_GB2312"/>
                <w:b/>
                <w:bCs/>
                <w:sz w:val="24"/>
                <w:szCs w:val="24"/>
              </w:rPr>
              <w:t>打分</w:t>
            </w:r>
            <w:r>
              <w:rPr>
                <w:rFonts w:hint="eastAsia" w:ascii="方正仿宋_GB2312" w:hAnsi="方正仿宋_GB2312" w:eastAsia="方正仿宋_GB2312" w:cs="方正仿宋_GB2312"/>
                <w:sz w:val="24"/>
                <w:szCs w:val="24"/>
              </w:rPr>
              <w:t>并出具</w:t>
            </w:r>
            <w:r>
              <w:rPr>
                <w:rFonts w:hint="eastAsia" w:ascii="方正仿宋_GB2312" w:hAnsi="方正仿宋_GB2312" w:eastAsia="方正仿宋_GB2312" w:cs="方正仿宋_GB2312"/>
                <w:b/>
                <w:bCs/>
                <w:sz w:val="24"/>
                <w:szCs w:val="24"/>
              </w:rPr>
              <w:t>绩效评价报告</w:t>
            </w:r>
            <w:r>
              <w:rPr>
                <w:rFonts w:hint="eastAsia" w:ascii="方正仿宋_GB2312" w:hAnsi="方正仿宋_GB2312" w:eastAsia="方正仿宋_GB2312" w:cs="方正仿宋_GB2312"/>
                <w:sz w:val="24"/>
                <w:szCs w:val="24"/>
              </w:rPr>
              <w:t>后，乙方开具等额增值税普通发票，甲方按绩效得分结果支付本笔尾款。</w:t>
            </w:r>
          </w:p>
        </w:tc>
        <w:tc>
          <w:tcPr>
            <w:tcW w:w="1875" w:type="dxa"/>
            <w:noWrap w:val="0"/>
            <w:vAlign w:val="center"/>
          </w:tcPr>
          <w:p w14:paraId="60B1B809">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30%（最终以绩效考核结果为准）</w:t>
            </w:r>
          </w:p>
        </w:tc>
        <w:tc>
          <w:tcPr>
            <w:tcW w:w="2200" w:type="dxa"/>
            <w:noWrap w:val="0"/>
            <w:vAlign w:val="center"/>
          </w:tcPr>
          <w:p w14:paraId="759FF1D8">
            <w:pPr>
              <w:pStyle w:val="1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left="0" w:leftChars="0" w:right="0" w:rightChars="0" w:firstLine="0" w:firstLineChars="0"/>
              <w:jc w:val="center"/>
              <w:textAlignment w:val="baseline"/>
              <w:rPr>
                <w:rFonts w:hint="eastAsia" w:ascii="方正仿宋_GB2312" w:hAnsi="方正仿宋_GB2312" w:eastAsia="方正仿宋_GB2312" w:cs="方正仿宋_GB2312"/>
                <w:color w:val="auto"/>
                <w:kern w:val="2"/>
                <w:sz w:val="24"/>
                <w:szCs w:val="24"/>
                <w:vertAlign w:val="baseline"/>
                <w:lang w:val="en-US" w:eastAsia="zh-CN" w:bidi="ar-SA"/>
              </w:rPr>
            </w:pPr>
          </w:p>
        </w:tc>
      </w:tr>
    </w:tbl>
    <w:p w14:paraId="77D0CBA8">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0" w:firstLine="480" w:firstLineChars="200"/>
        <w:textAlignment w:val="baseline"/>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3、绩效挂钩规则</w:t>
      </w:r>
    </w:p>
    <w:p w14:paraId="076C2835">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0" w:firstLine="480" w:firstLineChars="200"/>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甲方负责对乙方的服务成果进行绩效评价，评价内容包括但不限于服务质量、时效性、合规性及用户满意度，绩效评价采用百分制。总分值为100分。</w:t>
      </w:r>
    </w:p>
    <w:p w14:paraId="67B3C3B7">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zh-TW" w:eastAsia="zh-CN"/>
        </w:rPr>
        <w:t>绩效</w:t>
      </w:r>
      <w:r>
        <w:rPr>
          <w:rFonts w:hint="eastAsia" w:ascii="方正仿宋_GB2312" w:hAnsi="方正仿宋_GB2312" w:eastAsia="方正仿宋_GB2312" w:cs="方正仿宋_GB2312"/>
          <w:sz w:val="24"/>
          <w:szCs w:val="24"/>
          <w:lang w:val="en-US" w:eastAsia="zh-CN"/>
        </w:rPr>
        <w:t>评价</w:t>
      </w:r>
      <w:r>
        <w:rPr>
          <w:rFonts w:hint="eastAsia" w:ascii="方正仿宋_GB2312" w:hAnsi="方正仿宋_GB2312" w:eastAsia="方正仿宋_GB2312" w:cs="方正仿宋_GB2312"/>
          <w:sz w:val="24"/>
          <w:szCs w:val="24"/>
          <w:lang w:val="zh-TW" w:eastAsia="zh-CN"/>
        </w:rPr>
        <w:t>为对乙方全部服务成果的整体评价，绩效</w:t>
      </w:r>
      <w:r>
        <w:rPr>
          <w:rFonts w:hint="eastAsia" w:ascii="方正仿宋_GB2312" w:hAnsi="方正仿宋_GB2312" w:eastAsia="方正仿宋_GB2312" w:cs="方正仿宋_GB2312"/>
          <w:sz w:val="24"/>
          <w:szCs w:val="24"/>
          <w:lang w:val="en-US" w:eastAsia="zh-CN"/>
        </w:rPr>
        <w:t>评价</w:t>
      </w:r>
      <w:r>
        <w:rPr>
          <w:rFonts w:hint="eastAsia" w:ascii="方正仿宋_GB2312" w:hAnsi="方正仿宋_GB2312" w:eastAsia="方正仿宋_GB2312" w:cs="方正仿宋_GB2312"/>
          <w:sz w:val="24"/>
          <w:szCs w:val="24"/>
          <w:lang w:val="zh-TW" w:eastAsia="zh-CN"/>
        </w:rPr>
        <w:t>结果作为确定本项目最终应付合同总金额的依据。前两笔阶段款项按本合同约定节点正常支付，尾款支付时按绩效</w:t>
      </w:r>
      <w:r>
        <w:rPr>
          <w:rFonts w:hint="eastAsia" w:ascii="方正仿宋_GB2312" w:hAnsi="方正仿宋_GB2312" w:eastAsia="方正仿宋_GB2312" w:cs="方正仿宋_GB2312"/>
          <w:sz w:val="24"/>
          <w:szCs w:val="24"/>
          <w:lang w:val="en-US" w:eastAsia="zh-CN"/>
        </w:rPr>
        <w:t>评价</w:t>
      </w:r>
      <w:r>
        <w:rPr>
          <w:rFonts w:hint="eastAsia" w:ascii="方正仿宋_GB2312" w:hAnsi="方正仿宋_GB2312" w:eastAsia="方正仿宋_GB2312" w:cs="方正仿宋_GB2312"/>
          <w:sz w:val="24"/>
          <w:szCs w:val="24"/>
          <w:lang w:val="zh-TW" w:eastAsia="zh-CN"/>
        </w:rPr>
        <w:t>结果调整应付总额并结清差额。</w:t>
      </w:r>
    </w:p>
    <w:p w14:paraId="5CCBFAB7">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color w:val="auto"/>
          <w:kern w:val="2"/>
          <w:sz w:val="24"/>
          <w:szCs w:val="24"/>
          <w:lang w:val="en-US" w:eastAsia="zh-CN" w:bidi="ar-SA"/>
        </w:rPr>
        <w:t>（1）</w:t>
      </w:r>
      <w:r>
        <w:rPr>
          <w:rFonts w:hint="eastAsia" w:ascii="方正仿宋_GB2312" w:hAnsi="方正仿宋_GB2312" w:eastAsia="方正仿宋_GB2312" w:cs="方正仿宋_GB2312"/>
          <w:sz w:val="24"/>
          <w:szCs w:val="24"/>
        </w:rPr>
        <w:t>优秀(&gt;90分)</w:t>
      </w: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rPr>
        <w:t>支付合同款项的100%</w:t>
      </w:r>
      <w:r>
        <w:rPr>
          <w:rFonts w:hint="eastAsia" w:ascii="方正仿宋_GB2312" w:hAnsi="方正仿宋_GB2312" w:eastAsia="方正仿宋_GB2312" w:cs="方正仿宋_GB2312"/>
          <w:sz w:val="24"/>
          <w:szCs w:val="24"/>
          <w:lang w:eastAsia="zh-CN"/>
        </w:rPr>
        <w:t>；</w:t>
      </w:r>
    </w:p>
    <w:p w14:paraId="49951532">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（2）</w:t>
      </w:r>
      <w:r>
        <w:rPr>
          <w:rFonts w:hint="eastAsia" w:ascii="方正仿宋_GB2312" w:hAnsi="方正仿宋_GB2312" w:eastAsia="方正仿宋_GB2312" w:cs="方正仿宋_GB2312"/>
          <w:sz w:val="24"/>
          <w:szCs w:val="24"/>
        </w:rPr>
        <w:t>良好(80-89分)</w:t>
      </w: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rPr>
        <w:t>支付合同款项的</w:t>
      </w:r>
      <w:r>
        <w:rPr>
          <w:rFonts w:hint="eastAsia" w:ascii="方正仿宋_GB2312" w:hAnsi="方正仿宋_GB2312" w:eastAsia="方正仿宋_GB2312" w:cs="方正仿宋_GB2312"/>
          <w:sz w:val="24"/>
          <w:szCs w:val="24"/>
          <w:lang w:val="en-US" w:eastAsia="zh-CN"/>
        </w:rPr>
        <w:t>90</w:t>
      </w:r>
      <w:r>
        <w:rPr>
          <w:rFonts w:hint="eastAsia" w:ascii="方正仿宋_GB2312" w:hAnsi="方正仿宋_GB2312" w:eastAsia="方正仿宋_GB2312" w:cs="方正仿宋_GB2312"/>
          <w:sz w:val="24"/>
          <w:szCs w:val="24"/>
        </w:rPr>
        <w:t>%</w:t>
      </w:r>
      <w:r>
        <w:rPr>
          <w:rFonts w:hint="eastAsia" w:ascii="方正仿宋_GB2312" w:hAnsi="方正仿宋_GB2312" w:eastAsia="方正仿宋_GB2312" w:cs="方正仿宋_GB2312"/>
          <w:sz w:val="24"/>
          <w:szCs w:val="24"/>
          <w:lang w:eastAsia="zh-CN"/>
        </w:rPr>
        <w:t>；</w:t>
      </w:r>
    </w:p>
    <w:p w14:paraId="21A3A700">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（3）合格(60-79分)</w:t>
      </w: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rPr>
        <w:t>支付合同款项的</w:t>
      </w:r>
      <w:r>
        <w:rPr>
          <w:rFonts w:hint="eastAsia" w:ascii="方正仿宋_GB2312" w:hAnsi="方正仿宋_GB2312" w:eastAsia="方正仿宋_GB2312" w:cs="方正仿宋_GB2312"/>
          <w:sz w:val="24"/>
          <w:szCs w:val="24"/>
          <w:lang w:val="en-US" w:eastAsia="zh-CN"/>
        </w:rPr>
        <w:t>80</w:t>
      </w:r>
      <w:r>
        <w:rPr>
          <w:rFonts w:hint="eastAsia" w:ascii="方正仿宋_GB2312" w:hAnsi="方正仿宋_GB2312" w:eastAsia="方正仿宋_GB2312" w:cs="方正仿宋_GB2312"/>
          <w:sz w:val="24"/>
          <w:szCs w:val="24"/>
        </w:rPr>
        <w:t>%</w:t>
      </w:r>
      <w:r>
        <w:rPr>
          <w:rFonts w:hint="eastAsia" w:ascii="方正仿宋_GB2312" w:hAnsi="方正仿宋_GB2312" w:eastAsia="方正仿宋_GB2312" w:cs="方正仿宋_GB2312"/>
          <w:sz w:val="24"/>
          <w:szCs w:val="24"/>
          <w:lang w:eastAsia="zh-CN"/>
        </w:rPr>
        <w:t>；</w:t>
      </w:r>
    </w:p>
    <w:p w14:paraId="1958B7EA">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sz w:val="24"/>
          <w:szCs w:val="24"/>
          <w:lang w:val="en-US" w:eastAsia="zh-CN"/>
        </w:rPr>
        <w:t>（4）</w:t>
      </w:r>
      <w:r>
        <w:rPr>
          <w:rFonts w:hint="eastAsia" w:ascii="方正仿宋_GB2312" w:hAnsi="方正仿宋_GB2312" w:eastAsia="方正仿宋_GB2312" w:cs="方正仿宋_GB2312"/>
          <w:sz w:val="24"/>
          <w:szCs w:val="24"/>
        </w:rPr>
        <w:t>不合格(&lt;60分)</w:t>
      </w:r>
      <w:r>
        <w:rPr>
          <w:rFonts w:hint="eastAsia" w:ascii="方正仿宋_GB2312" w:hAnsi="方正仿宋_GB2312" w:eastAsia="方正仿宋_GB2312" w:cs="方正仿宋_GB2312"/>
          <w:sz w:val="24"/>
          <w:szCs w:val="24"/>
          <w:lang w:eastAsia="zh-CN"/>
        </w:rPr>
        <w:t>：</w:t>
      </w:r>
      <w:r>
        <w:rPr>
          <w:rFonts w:hint="eastAsia" w:ascii="方正仿宋_GB2312" w:hAnsi="方正仿宋_GB2312" w:eastAsia="方正仿宋_GB2312" w:cs="方正仿宋_GB2312"/>
          <w:sz w:val="24"/>
          <w:szCs w:val="24"/>
        </w:rPr>
        <w:t>支付合同款项的</w:t>
      </w:r>
      <w:r>
        <w:rPr>
          <w:rFonts w:hint="eastAsia" w:ascii="方正仿宋_GB2312" w:hAnsi="方正仿宋_GB2312" w:eastAsia="方正仿宋_GB2312" w:cs="方正仿宋_GB2312"/>
          <w:sz w:val="24"/>
          <w:szCs w:val="24"/>
          <w:lang w:val="en-US" w:eastAsia="zh-CN"/>
        </w:rPr>
        <w:t>70</w:t>
      </w:r>
      <w:r>
        <w:rPr>
          <w:rFonts w:hint="eastAsia" w:ascii="方正仿宋_GB2312" w:hAnsi="方正仿宋_GB2312" w:eastAsia="方正仿宋_GB2312" w:cs="方正仿宋_GB2312"/>
          <w:sz w:val="24"/>
          <w:szCs w:val="24"/>
        </w:rPr>
        <w:t>%</w:t>
      </w:r>
      <w:r>
        <w:rPr>
          <w:rFonts w:hint="eastAsia" w:ascii="方正仿宋_GB2312" w:hAnsi="方正仿宋_GB2312" w:eastAsia="方正仿宋_GB2312" w:cs="方正仿宋_GB2312"/>
          <w:sz w:val="24"/>
          <w:szCs w:val="24"/>
          <w:lang w:eastAsia="zh-CN"/>
        </w:rPr>
        <w:t>。</w:t>
      </w:r>
    </w:p>
    <w:p w14:paraId="3D2527FB">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第七条 甲方责任</w:t>
      </w:r>
    </w:p>
    <w:p w14:paraId="26155C4D">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200"/>
        <w:textAlignment w:val="baseline"/>
        <w:rPr>
          <w:rFonts w:hint="eastAsia" w:ascii="方正仿宋_GB2312" w:hAnsi="方正仿宋_GB2312" w:eastAsia="方正仿宋_GB2312" w:cs="方正仿宋_GB2312"/>
          <w:color w:val="auto"/>
          <w:kern w:val="2"/>
          <w:sz w:val="24"/>
          <w:szCs w:val="24"/>
          <w:lang w:val="zh-TW" w:eastAsia="zh-CN" w:bidi="ar-SA"/>
        </w:rPr>
      </w:pPr>
      <w:r>
        <w:rPr>
          <w:rFonts w:hint="eastAsia" w:ascii="方正仿宋_GB2312" w:hAnsi="方正仿宋_GB2312" w:eastAsia="方正仿宋_GB2312" w:cs="方正仿宋_GB2312"/>
          <w:color w:val="auto"/>
          <w:kern w:val="2"/>
          <w:sz w:val="24"/>
          <w:szCs w:val="24"/>
          <w:lang w:val="en-US" w:eastAsia="zh-CN" w:bidi="ar-SA"/>
        </w:rPr>
        <w:t>1、向乙方提出具体明确勘察范围及相关资料；</w:t>
      </w:r>
    </w:p>
    <w:p w14:paraId="6EDC4168">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200"/>
        <w:textAlignment w:val="baseline"/>
        <w:rPr>
          <w:rFonts w:hint="eastAsia" w:ascii="方正仿宋_GB2312" w:hAnsi="方正仿宋_GB2312" w:eastAsia="方正仿宋_GB2312" w:cs="方正仿宋_GB2312"/>
          <w:color w:val="auto"/>
          <w:kern w:val="2"/>
          <w:sz w:val="24"/>
          <w:szCs w:val="24"/>
          <w:lang w:val="zh-TW" w:eastAsia="zh-CN" w:bidi="ar-SA"/>
        </w:rPr>
      </w:pPr>
      <w:r>
        <w:rPr>
          <w:rFonts w:hint="eastAsia" w:ascii="方正仿宋_GB2312" w:hAnsi="方正仿宋_GB2312" w:eastAsia="方正仿宋_GB2312" w:cs="方正仿宋_GB2312"/>
          <w:color w:val="auto"/>
          <w:kern w:val="2"/>
          <w:sz w:val="24"/>
          <w:szCs w:val="24"/>
          <w:lang w:val="en-US" w:eastAsia="zh-CN" w:bidi="ar-SA"/>
        </w:rPr>
        <w:t>2、向乙方提供项目涉及西安城墙各项基础资料；</w:t>
      </w:r>
    </w:p>
    <w:p w14:paraId="3E7528FD">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3、向乙方提出具体明确勘察区域的管线图纸；</w:t>
      </w:r>
    </w:p>
    <w:p w14:paraId="663141D6">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4、为乙方勘察人员办理勘察期间通行证，协调现场各方关系，保证乙方在</w:t>
      </w:r>
    </w:p>
    <w:p w14:paraId="34F6FB8D">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现场顺利开展工作；</w:t>
      </w:r>
    </w:p>
    <w:p w14:paraId="047421E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Chars="200"/>
        <w:textAlignment w:val="baseline"/>
        <w:rPr>
          <w:rFonts w:hint="eastAsia" w:ascii="方正仿宋_GB2312" w:hAnsi="方正仿宋_GB2312" w:eastAsia="方正仿宋_GB2312" w:cs="方正仿宋_GB2312"/>
          <w:color w:val="auto"/>
          <w:kern w:val="2"/>
          <w:sz w:val="24"/>
          <w:szCs w:val="24"/>
          <w:lang w:val="zh-TW" w:eastAsia="zh-CN" w:bidi="ar-SA"/>
        </w:rPr>
      </w:pPr>
      <w:r>
        <w:rPr>
          <w:rFonts w:hint="eastAsia" w:ascii="方正仿宋_GB2312" w:hAnsi="方正仿宋_GB2312" w:eastAsia="方正仿宋_GB2312" w:cs="方正仿宋_GB2312"/>
          <w:color w:val="auto"/>
          <w:kern w:val="2"/>
          <w:sz w:val="24"/>
          <w:szCs w:val="24"/>
          <w:lang w:val="en-US" w:eastAsia="zh-CN" w:bidi="ar-SA"/>
        </w:rPr>
        <w:t>5、按合同约定支付项目费用。</w:t>
      </w:r>
    </w:p>
    <w:p w14:paraId="0F62C71E">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第八条 乙方责任</w:t>
      </w:r>
    </w:p>
    <w:p w14:paraId="46943B4F">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1、乙方严格按照国家颁发的工程勘察规范及甲方要求开展勘察工作，项目质量须达到国家或行业相关质量检验评定标准的要求。项目完成，经甲方验收合格后方可交付使用。</w:t>
      </w:r>
    </w:p>
    <w:p w14:paraId="1115F6FB">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2、乙方与甲方协商确定勘察方案，合同签订后向甲方提交包含勘察手段、勘察工作量的勘察实施方案；并按双方确认的方案实施勘察，做好现场钻探、探井回填及场地恢复，满足甲方文物保护、外观形象等各项要求。</w:t>
      </w:r>
    </w:p>
    <w:p w14:paraId="1383F116">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3、乙方在勘察作业及合同履行期间，须遵守市政及市（区）城市管理规定，文明施工，接受甲方监督与管理；负责施工现场安全保卫工作。因乙方原因造成人员伤亡、财产损失的，由乙方承担全部责任；若因此导致甲方承担责任的，甲方有权向乙方追偿。乙方对其工作人员人身及财产安全承担全部责任，相关损失与法律责任由乙方自行承担，甲方不承担任何责任。因乙方原因造成第三方人身、财产损失的，由乙方承担全部纠纷、损失及法律责任；若因此导致甲方卷入诉讼等纠纷，乙方须赔偿甲方全部损失（包括但不限于赔偿金、违约金、诉讼费、律师费等）。</w:t>
      </w:r>
    </w:p>
    <w:p w14:paraId="077C4169">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4、</w:t>
      </w:r>
      <w:r>
        <w:rPr>
          <w:rFonts w:hint="eastAsia" w:ascii="方正仿宋_GB2312" w:hAnsi="方正仿宋_GB2312" w:eastAsia="方正仿宋_GB2312" w:cs="方正仿宋_GB2312"/>
          <w:sz w:val="24"/>
          <w:szCs w:val="24"/>
        </w:rPr>
        <w:t>乙方取得勘察数据后，应及时组织专业人员开展数据分析研判，并按甲方要求报送阶段成果，对所提交成果资料承担全部法律责任；因乙方勘察质量问题导致数据失实、造成甲方文物安全损失的，乙方承担全部损失及法律责任。</w:t>
      </w:r>
    </w:p>
    <w:p w14:paraId="2253DDD7">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5、</w:t>
      </w:r>
      <w:r>
        <w:rPr>
          <w:rFonts w:hint="eastAsia" w:ascii="方正仿宋_GB2312" w:hAnsi="方正仿宋_GB2312" w:eastAsia="方正仿宋_GB2312" w:cs="方正仿宋_GB2312"/>
          <w:sz w:val="24"/>
          <w:szCs w:val="24"/>
        </w:rPr>
        <w:t>乙方完成勘察作业后，由甲方组织验收接收；验收不合格的，乙方须免费整改、返工，直至验收合格并完成移交。若乙方拒绝整改返工，或经整改返工后仍不合格，甲方有权拒付不合格部分价款，亦可委托第三方实施整改，所产生费用由乙方承担，甲方有权从合同价款中直接扣除。</w:t>
      </w:r>
    </w:p>
    <w:p w14:paraId="5EB64C63">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6、项目验收完成后，因乙方勘察施工出现质量问题的，乙方应在接到甲方或管理方修理通知后在24小时内派人维修，并在甲方或管理方要求的时间内修理完成，否则，甲方或管理方可委托其他单位或人员修理，由此产生的一切费用由乙方承担，乙方应在接到通知后3日内支付。</w:t>
      </w:r>
    </w:p>
    <w:p w14:paraId="5FCB7A5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7、合同履行过程中，涉及西安城墙文物本体的文物安全由乙方负责，由于乙方原因造成城墙本体的文物损坏，乙方承担全部责任，该责任包括但不限于赔偿损失，承担行政罚款等。</w:t>
      </w:r>
    </w:p>
    <w:p w14:paraId="4FC16E83">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8、</w:t>
      </w:r>
      <w:r>
        <w:rPr>
          <w:rFonts w:hint="eastAsia" w:ascii="方正仿宋_GB2312" w:hAnsi="方正仿宋_GB2312" w:eastAsia="方正仿宋_GB2312" w:cs="方正仿宋_GB2312"/>
          <w:sz w:val="24"/>
          <w:szCs w:val="24"/>
        </w:rPr>
        <w:t>勘察形成的数据、图纸、报告等全部成果的著作权、专利权及其他知识产权均归甲方所有。未经甲方书面同意，乙方不得将其用于本合同以外项目，亦不得许可第三方使用；如有违反，乙方承担全部损失。</w:t>
      </w:r>
    </w:p>
    <w:p w14:paraId="216FF919">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9、</w:t>
      </w:r>
      <w:r>
        <w:rPr>
          <w:rFonts w:hint="eastAsia" w:ascii="方正仿宋_GB2312" w:hAnsi="方正仿宋_GB2312" w:eastAsia="方正仿宋_GB2312" w:cs="方正仿宋_GB2312"/>
          <w:sz w:val="24"/>
          <w:szCs w:val="24"/>
        </w:rPr>
        <w:t>乙方出具的成果报告不得侵犯第三方合法权益；如有违反，乙方自行承担全部损失、纠纷及法律责任。若因此导致甲方卷入诉讼等纠纷，乙方须赔偿甲方因此支付的全部费用（包括但不限于赔偿金、违约金、律师费、诉讼费等）。</w:t>
      </w:r>
    </w:p>
    <w:p w14:paraId="3A09DE49">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第九条 保密条款</w:t>
      </w:r>
    </w:p>
    <w:p w14:paraId="1C53162F">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1、乙方承诺对甲方的业务秘密及在服务过程中获悉的一切数据、资料等负有保密义务。</w:t>
      </w:r>
    </w:p>
    <w:p w14:paraId="6641D447">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2、乙方在甲方未公开披露的情况下，不得向第三方泄露甲方的业务秘密；不得许可第三方使用甲方的业务秘密；不得以任何形式私自利用上述业务秘密；对于一项完整的业务秘密，如果甲方仅公开披露部分内容，对未披露的部分乙方仍要承担保密义务。</w:t>
      </w:r>
    </w:p>
    <w:p w14:paraId="239DE5C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3、保密期限：乙方承担保密义务的期限自甲、乙双方签订本合同时起至甲方向社会公众披露该信息时止，在此期间无论甲、乙双方合同关系是否存在，乙方都应无条件的保守甲方业务秘密。</w:t>
      </w:r>
    </w:p>
    <w:p w14:paraId="14952D2D">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第十条 违约责任与争议解决</w:t>
      </w:r>
    </w:p>
    <w:p w14:paraId="421C5A9B">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1、乙方承诺并保证，在本项目招投标过程中，乙方不存在造假、欺瞒、串标、围标等违规违法行为。若经甲方发现乙方存在上述情形的，甲方有权单方面解除合同，乙方应按合同总价款的20%支付合同解除违约金，若该金额不足以弥补甲方损失（给甲方造成的直接损失及间接损失）的，乙方应予以补足；同时乙方无权再参与本单位任何招标、投标事项。</w:t>
      </w:r>
    </w:p>
    <w:p w14:paraId="49C58C09">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2、合同生效后，无正当理由，甲方擅自中途停止或解除合同，乙方未开始工作的，甲方不承担违约责任，乙方已开始工作的，双方按照实际工作量据实结算费用，除此之外甲方不承担其他违约或损坏赔偿责任；乙方无正当理由不履行合同，乙方向甲方支付违约金（总价款的20%），并退还已支付的项目款。</w:t>
      </w:r>
    </w:p>
    <w:p w14:paraId="3352C220">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3、乙方违反本合同任一条款约定，甲方有权解除合同，不再支付任何费用，同时乙方承担合同总价款20%的合同解除违约金。</w:t>
      </w:r>
    </w:p>
    <w:p w14:paraId="30FF32FB">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4、甲方超过合同规定的日期付款时，甲方应按延误天数和当时银行贷款利率，支付违约金。</w:t>
      </w:r>
    </w:p>
    <w:p w14:paraId="2DDD938C">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5、乙方逾期完成本合同约定工作，自逾期之日起，承担合同总价款万分之五/日的逾期违约金，逾期达 7 日，甲方有权解除合同，不再支付任何费用，同时乙方承担合同总价款20%的合同解除违约金。</w:t>
      </w:r>
    </w:p>
    <w:p w14:paraId="42553271">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6、乙方不得将本项目转包或委托任何第三方实施，如有违约，甲方有权解除合同，不再支付任何费用，同时乙方承担合同总价款50%的合同解除违约金。</w:t>
      </w:r>
    </w:p>
    <w:p w14:paraId="22755EB0">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7、由于不可抗力，致使合同无法履行时，双方应按有关法律规定及时协商处理。</w:t>
      </w:r>
    </w:p>
    <w:p w14:paraId="1ABEE896">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left="0" w:leftChars="0" w:firstLine="482" w:firstLineChars="200"/>
        <w:textAlignment w:val="baseline"/>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第十一条 其他</w:t>
      </w:r>
    </w:p>
    <w:p w14:paraId="52469CAB">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1、本合同未尽事宜，双方友好协商解决，必要时可签订补充协议，补充协议与本合同具有同等法律效力。</w:t>
      </w:r>
    </w:p>
    <w:p w14:paraId="0FB81B52">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2、本合同履行过程中，如有争议，双方协商解决，协商不成，任何一方均有权将争议提交甲方所在地有管辖权的人民法院诉讼解决。</w:t>
      </w:r>
    </w:p>
    <w:p w14:paraId="6136220A">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3、本合同自双方签字盖章之日起生效，一式</w:t>
      </w:r>
      <w:r>
        <w:rPr>
          <w:rFonts w:hint="eastAsia" w:ascii="方正仿宋_GB2312" w:hAnsi="方正仿宋_GB2312" w:eastAsia="方正仿宋_GB2312" w:cs="方正仿宋_GB2312"/>
          <w:color w:val="auto"/>
          <w:kern w:val="2"/>
          <w:sz w:val="24"/>
          <w:szCs w:val="24"/>
          <w:u w:val="single"/>
          <w:lang w:val="en-US" w:eastAsia="zh-CN" w:bidi="ar-SA"/>
        </w:rPr>
        <w:t xml:space="preserve">  </w:t>
      </w:r>
      <w:r>
        <w:rPr>
          <w:rFonts w:hint="eastAsia" w:ascii="方正仿宋_GB2312" w:hAnsi="方正仿宋_GB2312" w:eastAsia="方正仿宋_GB2312" w:cs="方正仿宋_GB2312"/>
          <w:color w:val="auto"/>
          <w:kern w:val="2"/>
          <w:sz w:val="24"/>
          <w:szCs w:val="24"/>
          <w:lang w:val="en-US" w:eastAsia="zh-CN" w:bidi="ar-SA"/>
        </w:rPr>
        <w:t>份，甲方执</w:t>
      </w:r>
      <w:r>
        <w:rPr>
          <w:rFonts w:hint="eastAsia" w:ascii="方正仿宋_GB2312" w:hAnsi="方正仿宋_GB2312" w:eastAsia="方正仿宋_GB2312" w:cs="方正仿宋_GB2312"/>
          <w:color w:val="auto"/>
          <w:kern w:val="2"/>
          <w:sz w:val="24"/>
          <w:szCs w:val="24"/>
          <w:u w:val="single"/>
          <w:lang w:val="en-US" w:eastAsia="zh-CN" w:bidi="ar-SA"/>
        </w:rPr>
        <w:t xml:space="preserve">  </w:t>
      </w:r>
      <w:r>
        <w:rPr>
          <w:rFonts w:hint="eastAsia" w:ascii="方正仿宋_GB2312" w:hAnsi="方正仿宋_GB2312" w:eastAsia="方正仿宋_GB2312" w:cs="方正仿宋_GB2312"/>
          <w:color w:val="auto"/>
          <w:kern w:val="2"/>
          <w:sz w:val="24"/>
          <w:szCs w:val="24"/>
          <w:lang w:val="en-US" w:eastAsia="zh-CN" w:bidi="ar-SA"/>
        </w:rPr>
        <w:t>份，乙方执</w:t>
      </w:r>
      <w:r>
        <w:rPr>
          <w:rFonts w:hint="eastAsia" w:ascii="方正仿宋_GB2312" w:hAnsi="方正仿宋_GB2312" w:eastAsia="方正仿宋_GB2312" w:cs="方正仿宋_GB2312"/>
          <w:color w:val="auto"/>
          <w:kern w:val="2"/>
          <w:sz w:val="24"/>
          <w:szCs w:val="24"/>
          <w:u w:val="single"/>
          <w:lang w:val="en-US" w:eastAsia="zh-CN" w:bidi="ar-SA"/>
        </w:rPr>
        <w:t xml:space="preserve">  </w:t>
      </w:r>
      <w:r>
        <w:rPr>
          <w:rFonts w:hint="eastAsia" w:ascii="方正仿宋_GB2312" w:hAnsi="方正仿宋_GB2312" w:eastAsia="方正仿宋_GB2312" w:cs="方正仿宋_GB2312"/>
          <w:color w:val="auto"/>
          <w:kern w:val="2"/>
          <w:sz w:val="24"/>
          <w:szCs w:val="24"/>
          <w:lang w:val="en-US" w:eastAsia="zh-CN" w:bidi="ar-SA"/>
        </w:rPr>
        <w:t>份，具有同等效力。全部成果交接完毕，费用结算完成后，本合同终止。</w:t>
      </w:r>
    </w:p>
    <w:p w14:paraId="68DB34C0">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p>
    <w:p w14:paraId="01BCF762">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甲方：西安城墙管理委员会</w:t>
      </w:r>
    </w:p>
    <w:p w14:paraId="579F0A69">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1200" w:firstLineChars="5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（盖章）</w:t>
      </w:r>
    </w:p>
    <w:p w14:paraId="20D657F3">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zh-TW" w:eastAsia="zh-CN" w:bidi="ar-SA"/>
        </w:rPr>
      </w:pPr>
      <w:r>
        <w:rPr>
          <w:rFonts w:hint="eastAsia" w:ascii="方正仿宋_GB2312" w:hAnsi="方正仿宋_GB2312" w:eastAsia="方正仿宋_GB2312" w:cs="方正仿宋_GB2312"/>
          <w:lang w:val="en-US" w:eastAsia="zh-CN"/>
        </w:rPr>
        <w:t>法定代表人或授权代表</w:t>
      </w:r>
      <w:r>
        <w:rPr>
          <w:rFonts w:hint="eastAsia" w:ascii="方正仿宋_GB2312" w:hAnsi="方正仿宋_GB2312" w:eastAsia="方正仿宋_GB2312" w:cs="方正仿宋_GB2312"/>
          <w:color w:val="auto"/>
          <w:kern w:val="2"/>
          <w:sz w:val="24"/>
          <w:szCs w:val="24"/>
          <w:lang w:val="en-US" w:eastAsia="zh-CN" w:bidi="ar-SA"/>
        </w:rPr>
        <w:t>（签字）：</w:t>
      </w:r>
    </w:p>
    <w:p w14:paraId="2BCD2F10">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p>
    <w:p w14:paraId="55F34D84">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 xml:space="preserve">乙方： </w:t>
      </w:r>
    </w:p>
    <w:p w14:paraId="757715BA">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1200" w:firstLineChars="500"/>
        <w:textAlignment w:val="baseline"/>
        <w:rPr>
          <w:rFonts w:hint="eastAsia" w:ascii="方正仿宋_GB2312" w:hAnsi="方正仿宋_GB2312" w:eastAsia="方正仿宋_GB2312" w:cs="方正仿宋_GB2312"/>
          <w:color w:val="auto"/>
          <w:kern w:val="2"/>
          <w:sz w:val="24"/>
          <w:szCs w:val="24"/>
          <w:lang w:val="en-US" w:eastAsia="zh-CN" w:bidi="ar-SA"/>
        </w:rPr>
      </w:pPr>
      <w:r>
        <w:rPr>
          <w:rFonts w:hint="eastAsia" w:ascii="方正仿宋_GB2312" w:hAnsi="方正仿宋_GB2312" w:eastAsia="方正仿宋_GB2312" w:cs="方正仿宋_GB2312"/>
          <w:color w:val="auto"/>
          <w:kern w:val="2"/>
          <w:sz w:val="24"/>
          <w:szCs w:val="24"/>
          <w:lang w:val="en-US" w:eastAsia="zh-CN" w:bidi="ar-SA"/>
        </w:rPr>
        <w:t>（盖章）</w:t>
      </w:r>
    </w:p>
    <w:p w14:paraId="334A2204">
      <w:pPr>
        <w:pStyle w:val="14"/>
        <w:keepNext w:val="0"/>
        <w:keepLines w:val="0"/>
        <w:pageBreakBefore w:val="0"/>
        <w:widowControl w:val="0"/>
        <w:numPr>
          <w:ilvl w:val="0"/>
          <w:numId w:val="0"/>
        </w:numPr>
        <w:kinsoku/>
        <w:wordWrap/>
        <w:overflowPunct/>
        <w:topLinePunct w:val="0"/>
        <w:autoSpaceDE/>
        <w:autoSpaceDN/>
        <w:bidi w:val="0"/>
        <w:adjustRightInd w:val="0"/>
        <w:snapToGrid/>
        <w:spacing w:line="500" w:lineRule="exact"/>
        <w:ind w:firstLine="480" w:firstLineChars="200"/>
        <w:textAlignment w:val="baseline"/>
        <w:rPr>
          <w:rFonts w:hint="eastAsia" w:ascii="方正仿宋_GB2312" w:hAnsi="方正仿宋_GB2312" w:eastAsia="方正仿宋_GB2312" w:cs="方正仿宋_GB2312"/>
          <w:color w:val="auto"/>
          <w:kern w:val="2"/>
          <w:sz w:val="24"/>
          <w:szCs w:val="24"/>
          <w:lang w:val="zh-TW" w:eastAsia="zh-CN" w:bidi="ar-SA"/>
        </w:rPr>
      </w:pPr>
      <w:r>
        <w:rPr>
          <w:rFonts w:hint="eastAsia" w:ascii="方正仿宋_GB2312" w:hAnsi="方正仿宋_GB2312" w:eastAsia="方正仿宋_GB2312" w:cs="方正仿宋_GB2312"/>
          <w:lang w:val="en-US" w:eastAsia="zh-CN"/>
        </w:rPr>
        <w:t>法定代表人或授权代表</w:t>
      </w:r>
      <w:r>
        <w:rPr>
          <w:rFonts w:hint="eastAsia" w:ascii="方正仿宋_GB2312" w:hAnsi="方正仿宋_GB2312" w:eastAsia="方正仿宋_GB2312" w:cs="方正仿宋_GB2312"/>
          <w:color w:val="auto"/>
          <w:kern w:val="2"/>
          <w:sz w:val="24"/>
          <w:szCs w:val="24"/>
          <w:lang w:val="en-US" w:eastAsia="zh-CN" w:bidi="ar-SA"/>
        </w:rPr>
        <w:t>（签字）：</w:t>
      </w:r>
    </w:p>
    <w:p w14:paraId="69114FE3">
      <w:pPr>
        <w:rPr>
          <w:rFonts w:hint="eastAsia" w:ascii="方正仿宋_GB2312" w:hAnsi="方正仿宋_GB2312" w:eastAsia="方正仿宋_GB2312" w:cs="方正仿宋_GB2312"/>
        </w:rPr>
        <w:sectPr>
          <w:pgSz w:w="11906" w:h="16838"/>
          <w:pgMar w:top="1440" w:right="1800" w:bottom="1440" w:left="1800" w:header="851" w:footer="992" w:gutter="0"/>
          <w:cols w:space="720" w:num="1"/>
          <w:docGrid w:type="lines" w:linePitch="312" w:charSpace="0"/>
        </w:sectPr>
      </w:pPr>
    </w:p>
    <w:p w14:paraId="3EB89E77">
      <w:pPr>
        <w:keepNext w:val="0"/>
        <w:keepLines w:val="0"/>
        <w:pageBreakBefore/>
        <w:widowControl w:val="0"/>
        <w:kinsoku/>
        <w:wordWrap/>
        <w:overflowPunct/>
        <w:topLinePunct w:val="0"/>
        <w:autoSpaceDE/>
        <w:autoSpaceDN/>
        <w:bidi w:val="0"/>
        <w:adjustRightInd/>
        <w:snapToGrid/>
        <w:spacing w:after="0" w:line="520" w:lineRule="exact"/>
        <w:jc w:val="left"/>
        <w:textAlignment w:val="auto"/>
        <w:rPr>
          <w:rFonts w:hint="eastAsia" w:ascii="方正仿宋_GB2312" w:hAnsi="方正仿宋_GB2312" w:eastAsia="方正仿宋_GB2312" w:cs="方正仿宋_GB2312"/>
          <w:kern w:val="0"/>
          <w:sz w:val="24"/>
          <w:szCs w:val="24"/>
          <w:lang w:val="en-US" w:eastAsia="zh-CN"/>
        </w:rPr>
      </w:pPr>
      <w:r>
        <w:rPr>
          <w:rFonts w:hint="eastAsia" w:ascii="方正仿宋_GB2312" w:hAnsi="方正仿宋_GB2312" w:eastAsia="方正仿宋_GB2312" w:cs="方正仿宋_GB2312"/>
          <w:kern w:val="0"/>
          <w:sz w:val="24"/>
          <w:szCs w:val="24"/>
          <w:lang w:val="en-US" w:eastAsia="zh-CN"/>
        </w:rPr>
        <w:t>附件一：费用明细</w:t>
      </w:r>
    </w:p>
    <w:p w14:paraId="139395A3">
      <w:pPr>
        <w:keepNext w:val="0"/>
        <w:keepLines w:val="0"/>
        <w:pageBreakBefore/>
        <w:widowControl w:val="0"/>
        <w:kinsoku/>
        <w:wordWrap/>
        <w:overflowPunct/>
        <w:topLinePunct w:val="0"/>
        <w:autoSpaceDE/>
        <w:autoSpaceDN/>
        <w:bidi w:val="0"/>
        <w:adjustRightInd/>
        <w:snapToGrid/>
        <w:spacing w:after="0" w:line="520" w:lineRule="exact"/>
        <w:jc w:val="left"/>
        <w:textAlignment w:val="auto"/>
        <w:rPr>
          <w:rFonts w:hint="eastAsia" w:ascii="方正仿宋_GB2312" w:hAnsi="方正仿宋_GB2312" w:eastAsia="方正仿宋_GB2312" w:cs="方正仿宋_GB2312"/>
          <w:kern w:val="0"/>
          <w:sz w:val="24"/>
          <w:szCs w:val="24"/>
          <w:lang w:val="en-US" w:eastAsia="zh-CN"/>
        </w:rPr>
      </w:pPr>
      <w:r>
        <w:rPr>
          <w:rFonts w:hint="eastAsia" w:ascii="方正仿宋_GB2312" w:hAnsi="方正仿宋_GB2312" w:eastAsia="方正仿宋_GB2312" w:cs="方正仿宋_GB2312"/>
          <w:kern w:val="0"/>
          <w:sz w:val="24"/>
          <w:szCs w:val="24"/>
          <w:lang w:val="en-US" w:eastAsia="zh-CN"/>
        </w:rPr>
        <w:t>附件二</w:t>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37"/>
        <w:gridCol w:w="842"/>
        <w:gridCol w:w="1350"/>
        <w:gridCol w:w="2100"/>
        <w:gridCol w:w="2145"/>
        <w:gridCol w:w="1448"/>
      </w:tblGrid>
      <w:tr w14:paraId="4D124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000" w:type="pct"/>
            <w:gridSpan w:val="6"/>
            <w:tcBorders>
              <w:top w:val="nil"/>
              <w:left w:val="nil"/>
              <w:bottom w:val="nil"/>
              <w:right w:val="nil"/>
            </w:tcBorders>
            <w:noWrap w:val="0"/>
            <w:vAlign w:val="center"/>
          </w:tcPr>
          <w:p w14:paraId="7CE8FDB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8"/>
                <w:szCs w:val="28"/>
                <w:u w:val="none"/>
              </w:rPr>
            </w:pPr>
            <w:r>
              <w:rPr>
                <w:rFonts w:hint="eastAsia" w:ascii="方正仿宋_GB2312" w:hAnsi="方正仿宋_GB2312" w:eastAsia="方正仿宋_GB2312" w:cs="方正仿宋_GB2312"/>
                <w:i w:val="0"/>
                <w:iCs w:val="0"/>
                <w:color w:val="000000"/>
                <w:kern w:val="0"/>
                <w:sz w:val="28"/>
                <w:szCs w:val="28"/>
                <w:u w:val="none"/>
                <w:lang w:val="en-US" w:eastAsia="zh-CN" w:bidi="ar"/>
              </w:rPr>
              <w:t>绩效目标表</w:t>
            </w:r>
          </w:p>
        </w:tc>
      </w:tr>
      <w:tr w14:paraId="6BC88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5000" w:type="pct"/>
            <w:gridSpan w:val="6"/>
            <w:tcBorders>
              <w:top w:val="nil"/>
              <w:left w:val="nil"/>
              <w:bottom w:val="nil"/>
              <w:right w:val="nil"/>
            </w:tcBorders>
            <w:noWrap w:val="0"/>
            <w:vAlign w:val="center"/>
          </w:tcPr>
          <w:p w14:paraId="0D35284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（2026年度）</w:t>
            </w:r>
          </w:p>
        </w:tc>
      </w:tr>
      <w:tr w14:paraId="60FFE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659" w:type="pct"/>
            <w:gridSpan w:val="3"/>
            <w:tcBorders>
              <w:top w:val="single" w:color="000000" w:sz="4" w:space="0"/>
              <w:left w:val="single" w:color="000000" w:sz="4" w:space="0"/>
              <w:bottom w:val="single" w:color="000000" w:sz="4" w:space="0"/>
              <w:right w:val="single" w:color="000000" w:sz="4" w:space="0"/>
            </w:tcBorders>
            <w:noWrap w:val="0"/>
            <w:vAlign w:val="center"/>
          </w:tcPr>
          <w:p w14:paraId="6F7DF80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项目名称</w:t>
            </w:r>
          </w:p>
        </w:tc>
        <w:tc>
          <w:tcPr>
            <w:tcW w:w="3340" w:type="pct"/>
            <w:gridSpan w:val="3"/>
            <w:tcBorders>
              <w:top w:val="single" w:color="000000" w:sz="4" w:space="0"/>
              <w:left w:val="single" w:color="000000" w:sz="4" w:space="0"/>
              <w:bottom w:val="single" w:color="000000" w:sz="4" w:space="0"/>
              <w:right w:val="single" w:color="000000" w:sz="4" w:space="0"/>
            </w:tcBorders>
            <w:noWrap w:val="0"/>
            <w:vAlign w:val="center"/>
          </w:tcPr>
          <w:p w14:paraId="100A697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西安城墙16号马面保护修缮工程岩土工程勘察</w:t>
            </w:r>
          </w:p>
        </w:tc>
      </w:tr>
      <w:tr w14:paraId="2A546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659" w:type="pct"/>
            <w:gridSpan w:val="3"/>
            <w:tcBorders>
              <w:top w:val="single" w:color="000000" w:sz="4" w:space="0"/>
              <w:left w:val="single" w:color="000000" w:sz="4" w:space="0"/>
              <w:bottom w:val="single" w:color="000000" w:sz="4" w:space="0"/>
              <w:right w:val="single" w:color="000000" w:sz="4" w:space="0"/>
            </w:tcBorders>
            <w:noWrap w:val="0"/>
            <w:vAlign w:val="center"/>
          </w:tcPr>
          <w:p w14:paraId="5AB04F2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主管部门</w:t>
            </w:r>
          </w:p>
        </w:tc>
        <w:tc>
          <w:tcPr>
            <w:tcW w:w="3340" w:type="pct"/>
            <w:gridSpan w:val="3"/>
            <w:tcBorders>
              <w:top w:val="single" w:color="000000" w:sz="4" w:space="0"/>
              <w:left w:val="single" w:color="000000" w:sz="4" w:space="0"/>
              <w:bottom w:val="single" w:color="000000" w:sz="4" w:space="0"/>
              <w:right w:val="single" w:color="000000" w:sz="4" w:space="0"/>
            </w:tcBorders>
            <w:noWrap w:val="0"/>
            <w:vAlign w:val="center"/>
          </w:tcPr>
          <w:p w14:paraId="101A371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西安城墙管理委员会</w:t>
            </w:r>
          </w:p>
        </w:tc>
      </w:tr>
      <w:tr w14:paraId="2CCC6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659" w:type="pct"/>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10142F1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资金金额</w:t>
            </w:r>
            <w:r>
              <w:rPr>
                <w:rFonts w:hint="eastAsia" w:ascii="方正仿宋_GB2312" w:hAnsi="方正仿宋_GB2312" w:eastAsia="方正仿宋_GB2312" w:cs="方正仿宋_GB2312"/>
                <w:i w:val="0"/>
                <w:iCs w:val="0"/>
                <w:color w:val="000000"/>
                <w:kern w:val="0"/>
                <w:sz w:val="24"/>
                <w:szCs w:val="24"/>
                <w:u w:val="none"/>
                <w:lang w:val="en-US" w:eastAsia="zh-CN" w:bidi="ar"/>
              </w:rPr>
              <w:br w:type="textWrapping"/>
            </w:r>
            <w:r>
              <w:rPr>
                <w:rFonts w:hint="eastAsia" w:ascii="方正仿宋_GB2312" w:hAnsi="方正仿宋_GB2312" w:eastAsia="方正仿宋_GB2312" w:cs="方正仿宋_GB2312"/>
                <w:i w:val="0"/>
                <w:iCs w:val="0"/>
                <w:color w:val="000000"/>
                <w:kern w:val="0"/>
                <w:sz w:val="24"/>
                <w:szCs w:val="24"/>
                <w:u w:val="none"/>
                <w:lang w:val="en-US" w:eastAsia="zh-CN" w:bidi="ar"/>
              </w:rPr>
              <w:t>（万元）</w:t>
            </w:r>
          </w:p>
        </w:tc>
        <w:tc>
          <w:tcPr>
            <w:tcW w:w="1232" w:type="pct"/>
            <w:tcBorders>
              <w:top w:val="single" w:color="000000" w:sz="4" w:space="0"/>
              <w:left w:val="single" w:color="000000" w:sz="4" w:space="0"/>
              <w:bottom w:val="single" w:color="000000" w:sz="4" w:space="0"/>
              <w:right w:val="single" w:color="000000" w:sz="4" w:space="0"/>
            </w:tcBorders>
            <w:noWrap/>
            <w:vAlign w:val="center"/>
          </w:tcPr>
          <w:p w14:paraId="5606E78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实施期资金总额：</w:t>
            </w:r>
          </w:p>
        </w:tc>
        <w:tc>
          <w:tcPr>
            <w:tcW w:w="1258" w:type="pct"/>
            <w:tcBorders>
              <w:top w:val="single" w:color="000000" w:sz="4" w:space="0"/>
              <w:left w:val="single" w:color="000000" w:sz="4" w:space="0"/>
              <w:bottom w:val="single" w:color="000000" w:sz="4" w:space="0"/>
              <w:right w:val="single" w:color="000000" w:sz="4" w:space="0"/>
            </w:tcBorders>
            <w:noWrap/>
            <w:vAlign w:val="center"/>
          </w:tcPr>
          <w:p w14:paraId="6FFC04D4">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37.66</w:t>
            </w:r>
          </w:p>
        </w:tc>
        <w:tc>
          <w:tcPr>
            <w:tcW w:w="849" w:type="pct"/>
            <w:vMerge w:val="restart"/>
            <w:tcBorders>
              <w:top w:val="single" w:color="000000" w:sz="4" w:space="0"/>
              <w:left w:val="nil"/>
              <w:bottom w:val="single" w:color="000000" w:sz="4" w:space="0"/>
              <w:right w:val="single" w:color="000000" w:sz="4" w:space="0"/>
            </w:tcBorders>
            <w:noWrap w:val="0"/>
            <w:vAlign w:val="center"/>
          </w:tcPr>
          <w:p w14:paraId="36EC6EA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执行率分值（10分）</w:t>
            </w:r>
          </w:p>
        </w:tc>
      </w:tr>
      <w:tr w14:paraId="429C1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59"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5A4E2809">
            <w:pPr>
              <w:jc w:val="center"/>
              <w:rPr>
                <w:rFonts w:hint="eastAsia" w:ascii="方正仿宋_GB2312" w:hAnsi="方正仿宋_GB2312" w:eastAsia="方正仿宋_GB2312" w:cs="方正仿宋_GB2312"/>
                <w:i w:val="0"/>
                <w:iCs w:val="0"/>
                <w:color w:val="000000"/>
                <w:sz w:val="24"/>
                <w:szCs w:val="24"/>
                <w:u w:val="none"/>
              </w:rPr>
            </w:pPr>
          </w:p>
        </w:tc>
        <w:tc>
          <w:tcPr>
            <w:tcW w:w="1232" w:type="pct"/>
            <w:tcBorders>
              <w:top w:val="single" w:color="000000" w:sz="4" w:space="0"/>
              <w:left w:val="single" w:color="000000" w:sz="4" w:space="0"/>
              <w:bottom w:val="single" w:color="000000" w:sz="4" w:space="0"/>
              <w:right w:val="single" w:color="000000" w:sz="4" w:space="0"/>
            </w:tcBorders>
            <w:noWrap/>
            <w:vAlign w:val="center"/>
          </w:tcPr>
          <w:p w14:paraId="7AF9CCFD">
            <w:pPr>
              <w:keepNext w:val="0"/>
              <w:keepLines w:val="0"/>
              <w:widowControl/>
              <w:suppressLineNumbers w:val="0"/>
              <w:jc w:val="righ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其中：财政拨款</w:t>
            </w:r>
          </w:p>
        </w:tc>
        <w:tc>
          <w:tcPr>
            <w:tcW w:w="1258" w:type="pct"/>
            <w:tcBorders>
              <w:top w:val="single" w:color="000000" w:sz="4" w:space="0"/>
              <w:left w:val="single" w:color="000000" w:sz="4" w:space="0"/>
              <w:bottom w:val="single" w:color="000000" w:sz="4" w:space="0"/>
              <w:right w:val="single" w:color="000000" w:sz="4" w:space="0"/>
            </w:tcBorders>
            <w:noWrap/>
            <w:vAlign w:val="center"/>
          </w:tcPr>
          <w:p w14:paraId="083ECBE6">
            <w:pPr>
              <w:jc w:val="center"/>
              <w:rPr>
                <w:rFonts w:hint="eastAsia" w:ascii="方正仿宋_GB2312" w:hAnsi="方正仿宋_GB2312" w:eastAsia="方正仿宋_GB2312" w:cs="方正仿宋_GB2312"/>
                <w:i w:val="0"/>
                <w:iCs w:val="0"/>
                <w:color w:val="000000"/>
                <w:sz w:val="24"/>
                <w:szCs w:val="24"/>
                <w:u w:val="none"/>
              </w:rPr>
            </w:pPr>
          </w:p>
        </w:tc>
        <w:tc>
          <w:tcPr>
            <w:tcW w:w="849" w:type="pct"/>
            <w:vMerge w:val="continue"/>
            <w:tcBorders>
              <w:top w:val="single" w:color="000000" w:sz="4" w:space="0"/>
              <w:left w:val="nil"/>
              <w:bottom w:val="single" w:color="000000" w:sz="4" w:space="0"/>
              <w:right w:val="single" w:color="000000" w:sz="4" w:space="0"/>
            </w:tcBorders>
            <w:noWrap w:val="0"/>
            <w:vAlign w:val="center"/>
          </w:tcPr>
          <w:p w14:paraId="4B77F2E5">
            <w:pPr>
              <w:jc w:val="center"/>
              <w:rPr>
                <w:rFonts w:hint="eastAsia" w:ascii="方正仿宋_GB2312" w:hAnsi="方正仿宋_GB2312" w:eastAsia="方正仿宋_GB2312" w:cs="方正仿宋_GB2312"/>
                <w:b/>
                <w:bCs/>
                <w:i w:val="0"/>
                <w:iCs w:val="0"/>
                <w:color w:val="000000"/>
                <w:sz w:val="24"/>
                <w:szCs w:val="24"/>
                <w:u w:val="none"/>
              </w:rPr>
            </w:pPr>
          </w:p>
        </w:tc>
      </w:tr>
      <w:tr w14:paraId="35B65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659" w:type="pct"/>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63E73025">
            <w:pPr>
              <w:jc w:val="center"/>
              <w:rPr>
                <w:rFonts w:hint="eastAsia" w:ascii="方正仿宋_GB2312" w:hAnsi="方正仿宋_GB2312" w:eastAsia="方正仿宋_GB2312" w:cs="方正仿宋_GB2312"/>
                <w:i w:val="0"/>
                <w:iCs w:val="0"/>
                <w:color w:val="000000"/>
                <w:sz w:val="24"/>
                <w:szCs w:val="24"/>
                <w:u w:val="none"/>
              </w:rPr>
            </w:pPr>
          </w:p>
        </w:tc>
        <w:tc>
          <w:tcPr>
            <w:tcW w:w="1232" w:type="pct"/>
            <w:tcBorders>
              <w:top w:val="single" w:color="000000" w:sz="4" w:space="0"/>
              <w:left w:val="single" w:color="000000" w:sz="4" w:space="0"/>
              <w:bottom w:val="nil"/>
              <w:right w:val="single" w:color="000000" w:sz="4" w:space="0"/>
            </w:tcBorders>
            <w:noWrap/>
            <w:vAlign w:val="center"/>
          </w:tcPr>
          <w:p w14:paraId="4CF9F380">
            <w:pPr>
              <w:keepNext w:val="0"/>
              <w:keepLines w:val="0"/>
              <w:widowControl/>
              <w:suppressLineNumbers w:val="0"/>
              <w:jc w:val="righ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其他资金</w:t>
            </w:r>
          </w:p>
        </w:tc>
        <w:tc>
          <w:tcPr>
            <w:tcW w:w="1258" w:type="pct"/>
            <w:tcBorders>
              <w:top w:val="single" w:color="000000" w:sz="4" w:space="0"/>
              <w:left w:val="single" w:color="000000" w:sz="4" w:space="0"/>
              <w:bottom w:val="single" w:color="000000" w:sz="4" w:space="0"/>
              <w:right w:val="single" w:color="000000" w:sz="4" w:space="0"/>
            </w:tcBorders>
            <w:noWrap/>
            <w:vAlign w:val="center"/>
          </w:tcPr>
          <w:p w14:paraId="6DD2EE44">
            <w:pPr>
              <w:jc w:val="center"/>
              <w:rPr>
                <w:rFonts w:hint="eastAsia" w:ascii="方正仿宋_GB2312" w:hAnsi="方正仿宋_GB2312" w:eastAsia="方正仿宋_GB2312" w:cs="方正仿宋_GB2312"/>
                <w:i w:val="0"/>
                <w:iCs w:val="0"/>
                <w:color w:val="000000"/>
                <w:sz w:val="24"/>
                <w:szCs w:val="24"/>
                <w:u w:val="none"/>
              </w:rPr>
            </w:pPr>
          </w:p>
        </w:tc>
        <w:tc>
          <w:tcPr>
            <w:tcW w:w="849" w:type="pct"/>
            <w:vMerge w:val="continue"/>
            <w:tcBorders>
              <w:top w:val="single" w:color="000000" w:sz="4" w:space="0"/>
              <w:left w:val="nil"/>
              <w:bottom w:val="single" w:color="000000" w:sz="4" w:space="0"/>
              <w:right w:val="single" w:color="000000" w:sz="4" w:space="0"/>
            </w:tcBorders>
            <w:noWrap w:val="0"/>
            <w:vAlign w:val="center"/>
          </w:tcPr>
          <w:p w14:paraId="293066DB">
            <w:pPr>
              <w:jc w:val="center"/>
              <w:rPr>
                <w:rFonts w:hint="eastAsia" w:ascii="方正仿宋_GB2312" w:hAnsi="方正仿宋_GB2312" w:eastAsia="方正仿宋_GB2312" w:cs="方正仿宋_GB2312"/>
                <w:b/>
                <w:bCs/>
                <w:i w:val="0"/>
                <w:iCs w:val="0"/>
                <w:color w:val="000000"/>
                <w:sz w:val="24"/>
                <w:szCs w:val="24"/>
                <w:u w:val="none"/>
              </w:rPr>
            </w:pPr>
          </w:p>
        </w:tc>
      </w:tr>
      <w:tr w14:paraId="037D1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373" w:type="pct"/>
            <w:vMerge w:val="restart"/>
            <w:tcBorders>
              <w:top w:val="single" w:color="000000" w:sz="4" w:space="0"/>
              <w:left w:val="single" w:color="000000" w:sz="4" w:space="0"/>
              <w:bottom w:val="single" w:color="000000" w:sz="4" w:space="0"/>
              <w:right w:val="single" w:color="000000" w:sz="4" w:space="0"/>
            </w:tcBorders>
            <w:noWrap/>
            <w:vAlign w:val="center"/>
          </w:tcPr>
          <w:p w14:paraId="0E52D043">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年度目标</w:t>
            </w:r>
          </w:p>
        </w:tc>
        <w:tc>
          <w:tcPr>
            <w:tcW w:w="4626" w:type="pct"/>
            <w:gridSpan w:val="5"/>
            <w:vMerge w:val="restart"/>
            <w:tcBorders>
              <w:top w:val="single" w:color="000000" w:sz="4" w:space="0"/>
              <w:left w:val="single" w:color="000000" w:sz="4" w:space="0"/>
              <w:bottom w:val="single" w:color="000000" w:sz="4" w:space="0"/>
              <w:right w:val="single" w:color="000000" w:sz="4" w:space="0"/>
            </w:tcBorders>
            <w:noWrap w:val="0"/>
            <w:vAlign w:val="center"/>
          </w:tcPr>
          <w:p w14:paraId="7F20FB09">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西安城墙16号马面保护修缮项目于2023年12月通过国家文物局立项审批（文物保函〔2023〕1575号），按照文物保护修缮工作流程，项目计划获批后，需依次开展项目勘察、方案设计与审批等前期工作后，方可启动工程施工。为推进项目进程，查明病害现状及成因，现申请开展西安城墙16号马面保护修缮工程岩土工程勘察工作。</w:t>
            </w:r>
          </w:p>
        </w:tc>
      </w:tr>
      <w:tr w14:paraId="20E16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373" w:type="pct"/>
            <w:vMerge w:val="continue"/>
            <w:tcBorders>
              <w:top w:val="single" w:color="000000" w:sz="4" w:space="0"/>
              <w:left w:val="single" w:color="000000" w:sz="4" w:space="0"/>
              <w:bottom w:val="single" w:color="000000" w:sz="4" w:space="0"/>
              <w:right w:val="single" w:color="000000" w:sz="4" w:space="0"/>
            </w:tcBorders>
            <w:noWrap/>
            <w:vAlign w:val="center"/>
          </w:tcPr>
          <w:p w14:paraId="33638CAB">
            <w:pPr>
              <w:jc w:val="both"/>
              <w:rPr>
                <w:rFonts w:hint="eastAsia" w:ascii="方正仿宋_GB2312" w:hAnsi="方正仿宋_GB2312" w:eastAsia="方正仿宋_GB2312" w:cs="方正仿宋_GB2312"/>
                <w:i w:val="0"/>
                <w:iCs w:val="0"/>
                <w:color w:val="000000"/>
                <w:sz w:val="24"/>
                <w:szCs w:val="24"/>
                <w:u w:val="none"/>
              </w:rPr>
            </w:pPr>
          </w:p>
        </w:tc>
        <w:tc>
          <w:tcPr>
            <w:tcW w:w="4626" w:type="pct"/>
            <w:gridSpan w:val="5"/>
            <w:vMerge w:val="continue"/>
            <w:tcBorders>
              <w:top w:val="single" w:color="000000" w:sz="4" w:space="0"/>
              <w:left w:val="single" w:color="000000" w:sz="4" w:space="0"/>
              <w:bottom w:val="single" w:color="000000" w:sz="4" w:space="0"/>
              <w:right w:val="single" w:color="000000" w:sz="4" w:space="0"/>
            </w:tcBorders>
            <w:noWrap w:val="0"/>
            <w:vAlign w:val="center"/>
          </w:tcPr>
          <w:p w14:paraId="44CC1942">
            <w:pPr>
              <w:jc w:val="left"/>
              <w:rPr>
                <w:rFonts w:hint="eastAsia" w:ascii="方正仿宋_GB2312" w:hAnsi="方正仿宋_GB2312" w:eastAsia="方正仿宋_GB2312" w:cs="方正仿宋_GB2312"/>
                <w:i w:val="0"/>
                <w:iCs w:val="0"/>
                <w:color w:val="000000"/>
                <w:sz w:val="24"/>
                <w:szCs w:val="24"/>
                <w:u w:val="none"/>
              </w:rPr>
            </w:pPr>
          </w:p>
        </w:tc>
      </w:tr>
      <w:tr w14:paraId="71003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373" w:type="pct"/>
            <w:vMerge w:val="restart"/>
            <w:tcBorders>
              <w:top w:val="single" w:color="000000" w:sz="4" w:space="0"/>
              <w:left w:val="single" w:color="000000" w:sz="4" w:space="0"/>
              <w:bottom w:val="single" w:color="000000" w:sz="4" w:space="0"/>
              <w:right w:val="single" w:color="000000" w:sz="4" w:space="0"/>
            </w:tcBorders>
            <w:noWrap/>
            <w:vAlign w:val="center"/>
          </w:tcPr>
          <w:p w14:paraId="78FB6C91">
            <w:pPr>
              <w:keepNext w:val="0"/>
              <w:keepLines w:val="0"/>
              <w:widowControl/>
              <w:suppressLineNumbers w:val="0"/>
              <w:jc w:val="both"/>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年度绩效指标</w:t>
            </w:r>
          </w:p>
        </w:tc>
        <w:tc>
          <w:tcPr>
            <w:tcW w:w="494" w:type="pct"/>
            <w:tcBorders>
              <w:top w:val="single" w:color="000000" w:sz="4" w:space="0"/>
              <w:left w:val="single" w:color="000000" w:sz="4" w:space="0"/>
              <w:bottom w:val="single" w:color="000000" w:sz="4" w:space="0"/>
              <w:right w:val="single" w:color="000000" w:sz="4" w:space="0"/>
            </w:tcBorders>
            <w:noWrap w:val="0"/>
            <w:vAlign w:val="center"/>
          </w:tcPr>
          <w:p w14:paraId="1D66254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一级指标</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299BB54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二级指标</w:t>
            </w:r>
          </w:p>
        </w:tc>
        <w:tc>
          <w:tcPr>
            <w:tcW w:w="1232" w:type="pct"/>
            <w:tcBorders>
              <w:top w:val="single" w:color="000000" w:sz="4" w:space="0"/>
              <w:left w:val="single" w:color="000000" w:sz="4" w:space="0"/>
              <w:bottom w:val="single" w:color="000000" w:sz="4" w:space="0"/>
              <w:right w:val="single" w:color="000000" w:sz="4" w:space="0"/>
            </w:tcBorders>
            <w:noWrap w:val="0"/>
            <w:vAlign w:val="center"/>
          </w:tcPr>
          <w:p w14:paraId="1F22C561">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三级指标</w:t>
            </w:r>
          </w:p>
        </w:tc>
        <w:tc>
          <w:tcPr>
            <w:tcW w:w="1258" w:type="pct"/>
            <w:tcBorders>
              <w:top w:val="nil"/>
              <w:left w:val="single" w:color="000000" w:sz="4" w:space="0"/>
              <w:bottom w:val="single" w:color="000000" w:sz="4" w:space="0"/>
              <w:right w:val="single" w:color="000000" w:sz="4" w:space="0"/>
            </w:tcBorders>
            <w:noWrap/>
            <w:vAlign w:val="center"/>
          </w:tcPr>
          <w:p w14:paraId="5ECAE8BA">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指标值</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3322CF15">
            <w:pPr>
              <w:keepNext w:val="0"/>
              <w:keepLines w:val="0"/>
              <w:widowControl/>
              <w:suppressLineNumbers w:val="0"/>
              <w:jc w:val="center"/>
              <w:textAlignment w:val="center"/>
              <w:rPr>
                <w:rFonts w:hint="eastAsia" w:ascii="方正仿宋_GB2312" w:hAnsi="方正仿宋_GB2312" w:eastAsia="方正仿宋_GB2312" w:cs="方正仿宋_GB2312"/>
                <w:b/>
                <w:bCs/>
                <w:i w:val="0"/>
                <w:iCs w:val="0"/>
                <w:color w:val="000000"/>
                <w:sz w:val="24"/>
                <w:szCs w:val="24"/>
                <w:u w:val="none"/>
              </w:rPr>
            </w:pPr>
            <w:r>
              <w:rPr>
                <w:rFonts w:hint="eastAsia" w:ascii="方正仿宋_GB2312" w:hAnsi="方正仿宋_GB2312" w:eastAsia="方正仿宋_GB2312" w:cs="方正仿宋_GB2312"/>
                <w:b/>
                <w:bCs/>
                <w:i w:val="0"/>
                <w:iCs w:val="0"/>
                <w:color w:val="000000"/>
                <w:kern w:val="0"/>
                <w:sz w:val="24"/>
                <w:szCs w:val="24"/>
                <w:u w:val="none"/>
                <w:lang w:val="en-US" w:eastAsia="zh-CN" w:bidi="ar"/>
              </w:rPr>
              <w:t>分值权重</w:t>
            </w:r>
            <w:r>
              <w:rPr>
                <w:rFonts w:hint="eastAsia" w:ascii="方正仿宋_GB2312" w:hAnsi="方正仿宋_GB2312" w:eastAsia="方正仿宋_GB2312" w:cs="方正仿宋_GB2312"/>
                <w:b/>
                <w:bCs/>
                <w:i w:val="0"/>
                <w:iCs w:val="0"/>
                <w:color w:val="000000"/>
                <w:kern w:val="0"/>
                <w:sz w:val="24"/>
                <w:szCs w:val="24"/>
                <w:u w:val="none"/>
                <w:lang w:val="en-US" w:eastAsia="zh-CN" w:bidi="ar"/>
              </w:rPr>
              <w:br w:type="textWrapping"/>
            </w:r>
            <w:r>
              <w:rPr>
                <w:rFonts w:hint="eastAsia" w:ascii="方正仿宋_GB2312" w:hAnsi="方正仿宋_GB2312" w:eastAsia="方正仿宋_GB2312" w:cs="方正仿宋_GB2312"/>
                <w:b/>
                <w:bCs/>
                <w:i w:val="0"/>
                <w:iCs w:val="0"/>
                <w:color w:val="000000"/>
                <w:kern w:val="0"/>
                <w:sz w:val="24"/>
                <w:szCs w:val="24"/>
                <w:u w:val="none"/>
                <w:lang w:val="en-US" w:eastAsia="zh-CN" w:bidi="ar"/>
              </w:rPr>
              <w:t>（90分）</w:t>
            </w:r>
          </w:p>
        </w:tc>
      </w:tr>
      <w:tr w14:paraId="7FC3B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373" w:type="pct"/>
            <w:vMerge w:val="continue"/>
            <w:tcBorders>
              <w:top w:val="single" w:color="000000" w:sz="4" w:space="0"/>
              <w:left w:val="single" w:color="000000" w:sz="4" w:space="0"/>
              <w:bottom w:val="single" w:color="000000" w:sz="4" w:space="0"/>
              <w:right w:val="single" w:color="000000" w:sz="4" w:space="0"/>
            </w:tcBorders>
            <w:noWrap/>
            <w:vAlign w:val="center"/>
          </w:tcPr>
          <w:p w14:paraId="648EAE97">
            <w:pPr>
              <w:jc w:val="both"/>
              <w:rPr>
                <w:rFonts w:hint="eastAsia" w:ascii="方正仿宋_GB2312" w:hAnsi="方正仿宋_GB2312" w:eastAsia="方正仿宋_GB2312" w:cs="方正仿宋_GB2312"/>
                <w:i w:val="0"/>
                <w:iCs w:val="0"/>
                <w:color w:val="000000"/>
                <w:sz w:val="24"/>
                <w:szCs w:val="24"/>
                <w:u w:val="none"/>
              </w:rPr>
            </w:pPr>
          </w:p>
        </w:tc>
        <w:tc>
          <w:tcPr>
            <w:tcW w:w="494" w:type="pct"/>
            <w:tcBorders>
              <w:top w:val="single" w:color="000000" w:sz="4" w:space="0"/>
              <w:left w:val="single" w:color="000000" w:sz="4" w:space="0"/>
              <w:bottom w:val="nil"/>
              <w:right w:val="single" w:color="000000" w:sz="4" w:space="0"/>
            </w:tcBorders>
            <w:noWrap w:val="0"/>
            <w:vAlign w:val="center"/>
          </w:tcPr>
          <w:p w14:paraId="00EA6E4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成本指标</w:t>
            </w:r>
          </w:p>
        </w:tc>
        <w:tc>
          <w:tcPr>
            <w:tcW w:w="792" w:type="pct"/>
            <w:tcBorders>
              <w:top w:val="single" w:color="000000" w:sz="4" w:space="0"/>
              <w:left w:val="single" w:color="000000" w:sz="4" w:space="0"/>
              <w:bottom w:val="nil"/>
              <w:right w:val="single" w:color="000000" w:sz="4" w:space="0"/>
            </w:tcBorders>
            <w:noWrap w:val="0"/>
            <w:vAlign w:val="center"/>
          </w:tcPr>
          <w:p w14:paraId="786B635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经济成本</w:t>
            </w:r>
          </w:p>
        </w:tc>
        <w:tc>
          <w:tcPr>
            <w:tcW w:w="1232" w:type="pct"/>
            <w:tcBorders>
              <w:top w:val="single" w:color="000000" w:sz="4" w:space="0"/>
              <w:left w:val="single" w:color="000000" w:sz="4" w:space="0"/>
              <w:bottom w:val="single" w:color="000000" w:sz="4" w:space="0"/>
              <w:right w:val="single" w:color="000000" w:sz="4" w:space="0"/>
            </w:tcBorders>
            <w:noWrap w:val="0"/>
            <w:vAlign w:val="center"/>
          </w:tcPr>
          <w:p w14:paraId="1A467F7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资金使用率</w:t>
            </w:r>
          </w:p>
        </w:tc>
        <w:tc>
          <w:tcPr>
            <w:tcW w:w="1258" w:type="pct"/>
            <w:tcBorders>
              <w:top w:val="single" w:color="000000" w:sz="4" w:space="0"/>
              <w:left w:val="single" w:color="000000" w:sz="4" w:space="0"/>
              <w:bottom w:val="single" w:color="000000" w:sz="4" w:space="0"/>
              <w:right w:val="single" w:color="000000" w:sz="4" w:space="0"/>
            </w:tcBorders>
            <w:noWrap w:val="0"/>
            <w:vAlign w:val="center"/>
          </w:tcPr>
          <w:p w14:paraId="7632D44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≥70%</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55CCB9E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10</w:t>
            </w:r>
          </w:p>
        </w:tc>
      </w:tr>
      <w:tr w14:paraId="24EFB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373" w:type="pct"/>
            <w:vMerge w:val="continue"/>
            <w:tcBorders>
              <w:top w:val="single" w:color="000000" w:sz="4" w:space="0"/>
              <w:left w:val="single" w:color="000000" w:sz="4" w:space="0"/>
              <w:bottom w:val="single" w:color="000000" w:sz="4" w:space="0"/>
              <w:right w:val="single" w:color="000000" w:sz="4" w:space="0"/>
            </w:tcBorders>
            <w:noWrap/>
            <w:vAlign w:val="center"/>
          </w:tcPr>
          <w:p w14:paraId="27D72725">
            <w:pPr>
              <w:jc w:val="both"/>
              <w:rPr>
                <w:rFonts w:hint="eastAsia" w:ascii="方正仿宋_GB2312" w:hAnsi="方正仿宋_GB2312" w:eastAsia="方正仿宋_GB2312" w:cs="方正仿宋_GB2312"/>
                <w:i w:val="0"/>
                <w:iCs w:val="0"/>
                <w:color w:val="000000"/>
                <w:sz w:val="24"/>
                <w:szCs w:val="24"/>
                <w:u w:val="none"/>
              </w:rPr>
            </w:pPr>
          </w:p>
        </w:tc>
        <w:tc>
          <w:tcPr>
            <w:tcW w:w="494" w:type="pct"/>
            <w:vMerge w:val="restart"/>
            <w:tcBorders>
              <w:top w:val="single" w:color="000000" w:sz="4" w:space="0"/>
              <w:left w:val="single" w:color="000000" w:sz="4" w:space="0"/>
              <w:bottom w:val="single" w:color="000000" w:sz="4" w:space="0"/>
              <w:right w:val="single" w:color="000000" w:sz="4" w:space="0"/>
            </w:tcBorders>
            <w:noWrap w:val="0"/>
            <w:vAlign w:val="center"/>
          </w:tcPr>
          <w:p w14:paraId="2EDA95E8">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产出指标</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05A39F67">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数量指标</w:t>
            </w:r>
          </w:p>
        </w:tc>
        <w:tc>
          <w:tcPr>
            <w:tcW w:w="1232" w:type="pct"/>
            <w:tcBorders>
              <w:top w:val="single" w:color="000000" w:sz="4" w:space="0"/>
              <w:left w:val="single" w:color="000000" w:sz="4" w:space="0"/>
              <w:bottom w:val="single" w:color="000000" w:sz="4" w:space="0"/>
              <w:right w:val="single" w:color="000000" w:sz="4" w:space="0"/>
            </w:tcBorders>
            <w:noWrap w:val="0"/>
            <w:vAlign w:val="center"/>
          </w:tcPr>
          <w:p w14:paraId="48935D1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提交岩土工程勘察报告</w:t>
            </w:r>
          </w:p>
        </w:tc>
        <w:tc>
          <w:tcPr>
            <w:tcW w:w="1258" w:type="pct"/>
            <w:tcBorders>
              <w:top w:val="single" w:color="000000" w:sz="4" w:space="0"/>
              <w:left w:val="single" w:color="000000" w:sz="4" w:space="0"/>
              <w:bottom w:val="single" w:color="000000" w:sz="4" w:space="0"/>
              <w:right w:val="single" w:color="000000" w:sz="4" w:space="0"/>
            </w:tcBorders>
            <w:noWrap w:val="0"/>
            <w:vAlign w:val="center"/>
          </w:tcPr>
          <w:p w14:paraId="77AB079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1份</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4BB5A05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20</w:t>
            </w:r>
          </w:p>
        </w:tc>
      </w:tr>
      <w:tr w14:paraId="4E83E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373" w:type="pct"/>
            <w:vMerge w:val="continue"/>
            <w:tcBorders>
              <w:top w:val="single" w:color="000000" w:sz="4" w:space="0"/>
              <w:left w:val="single" w:color="000000" w:sz="4" w:space="0"/>
              <w:bottom w:val="single" w:color="000000" w:sz="4" w:space="0"/>
              <w:right w:val="single" w:color="000000" w:sz="4" w:space="0"/>
            </w:tcBorders>
            <w:noWrap/>
            <w:vAlign w:val="center"/>
          </w:tcPr>
          <w:p w14:paraId="50CCC9B7">
            <w:pPr>
              <w:jc w:val="both"/>
              <w:rPr>
                <w:rFonts w:hint="eastAsia" w:ascii="方正仿宋_GB2312" w:hAnsi="方正仿宋_GB2312" w:eastAsia="方正仿宋_GB2312" w:cs="方正仿宋_GB2312"/>
                <w:i w:val="0"/>
                <w:iCs w:val="0"/>
                <w:color w:val="000000"/>
                <w:sz w:val="24"/>
                <w:szCs w:val="24"/>
                <w:u w:val="none"/>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14:paraId="74BB9AA6">
            <w:pPr>
              <w:jc w:val="center"/>
              <w:rPr>
                <w:rFonts w:hint="eastAsia" w:ascii="方正仿宋_GB2312" w:hAnsi="方正仿宋_GB2312" w:eastAsia="方正仿宋_GB2312" w:cs="方正仿宋_GB2312"/>
                <w:i w:val="0"/>
                <w:iCs w:val="0"/>
                <w:color w:val="000000"/>
                <w:sz w:val="24"/>
                <w:szCs w:val="24"/>
                <w:u w:val="none"/>
              </w:rPr>
            </w:pP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3210722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质量指标</w:t>
            </w:r>
          </w:p>
        </w:tc>
        <w:tc>
          <w:tcPr>
            <w:tcW w:w="1232" w:type="pct"/>
            <w:tcBorders>
              <w:top w:val="single" w:color="000000" w:sz="4" w:space="0"/>
              <w:left w:val="single" w:color="000000" w:sz="4" w:space="0"/>
              <w:bottom w:val="single" w:color="000000" w:sz="4" w:space="0"/>
              <w:right w:val="single" w:color="000000" w:sz="4" w:space="0"/>
            </w:tcBorders>
            <w:noWrap w:val="0"/>
            <w:vAlign w:val="center"/>
          </w:tcPr>
          <w:p w14:paraId="06F0A194">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项目档案资料完整率</w:t>
            </w:r>
          </w:p>
        </w:tc>
        <w:tc>
          <w:tcPr>
            <w:tcW w:w="1258" w:type="pct"/>
            <w:tcBorders>
              <w:top w:val="single" w:color="000000" w:sz="4" w:space="0"/>
              <w:left w:val="single" w:color="000000" w:sz="4" w:space="0"/>
              <w:bottom w:val="single" w:color="000000" w:sz="4" w:space="0"/>
              <w:right w:val="single" w:color="000000" w:sz="4" w:space="0"/>
            </w:tcBorders>
            <w:noWrap w:val="0"/>
            <w:vAlign w:val="center"/>
          </w:tcPr>
          <w:p w14:paraId="15DD6151">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100%</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194E195B">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10</w:t>
            </w:r>
          </w:p>
        </w:tc>
      </w:tr>
      <w:tr w14:paraId="135C3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373" w:type="pct"/>
            <w:vMerge w:val="continue"/>
            <w:tcBorders>
              <w:top w:val="single" w:color="000000" w:sz="4" w:space="0"/>
              <w:left w:val="single" w:color="000000" w:sz="4" w:space="0"/>
              <w:bottom w:val="single" w:color="000000" w:sz="4" w:space="0"/>
              <w:right w:val="single" w:color="000000" w:sz="4" w:space="0"/>
            </w:tcBorders>
            <w:noWrap/>
            <w:vAlign w:val="center"/>
          </w:tcPr>
          <w:p w14:paraId="1A6BCF60">
            <w:pPr>
              <w:jc w:val="both"/>
              <w:rPr>
                <w:rFonts w:hint="eastAsia" w:ascii="方正仿宋_GB2312" w:hAnsi="方正仿宋_GB2312" w:eastAsia="方正仿宋_GB2312" w:cs="方正仿宋_GB2312"/>
                <w:i w:val="0"/>
                <w:iCs w:val="0"/>
                <w:color w:val="000000"/>
                <w:sz w:val="24"/>
                <w:szCs w:val="24"/>
                <w:u w:val="none"/>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3403574">
            <w:pPr>
              <w:jc w:val="center"/>
              <w:rPr>
                <w:rFonts w:hint="eastAsia" w:ascii="方正仿宋_GB2312" w:hAnsi="方正仿宋_GB2312" w:eastAsia="方正仿宋_GB2312" w:cs="方正仿宋_GB2312"/>
                <w:i w:val="0"/>
                <w:iCs w:val="0"/>
                <w:color w:val="000000"/>
                <w:sz w:val="24"/>
                <w:szCs w:val="24"/>
                <w:u w:val="none"/>
              </w:rPr>
            </w:pP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06A90E83">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时效指标</w:t>
            </w:r>
          </w:p>
        </w:tc>
        <w:tc>
          <w:tcPr>
            <w:tcW w:w="1232" w:type="pct"/>
            <w:tcBorders>
              <w:top w:val="single" w:color="000000" w:sz="4" w:space="0"/>
              <w:left w:val="single" w:color="000000" w:sz="4" w:space="0"/>
              <w:bottom w:val="single" w:color="000000" w:sz="4" w:space="0"/>
              <w:right w:val="single" w:color="000000" w:sz="4" w:space="0"/>
            </w:tcBorders>
            <w:noWrap w:val="0"/>
            <w:vAlign w:val="center"/>
          </w:tcPr>
          <w:p w14:paraId="54751205">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项目按计划完成率</w:t>
            </w:r>
          </w:p>
        </w:tc>
        <w:tc>
          <w:tcPr>
            <w:tcW w:w="1258" w:type="pct"/>
            <w:tcBorders>
              <w:top w:val="single" w:color="000000" w:sz="4" w:space="0"/>
              <w:left w:val="single" w:color="000000" w:sz="4" w:space="0"/>
              <w:bottom w:val="single" w:color="000000" w:sz="4" w:space="0"/>
              <w:right w:val="single" w:color="000000" w:sz="4" w:space="0"/>
            </w:tcBorders>
            <w:noWrap w:val="0"/>
            <w:vAlign w:val="center"/>
          </w:tcPr>
          <w:p w14:paraId="1096D63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≥70%</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02CF7EE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20</w:t>
            </w:r>
          </w:p>
        </w:tc>
      </w:tr>
      <w:tr w14:paraId="10146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373" w:type="pct"/>
            <w:vMerge w:val="continue"/>
            <w:tcBorders>
              <w:top w:val="single" w:color="000000" w:sz="4" w:space="0"/>
              <w:left w:val="single" w:color="000000" w:sz="4" w:space="0"/>
              <w:bottom w:val="single" w:color="000000" w:sz="4" w:space="0"/>
              <w:right w:val="single" w:color="000000" w:sz="4" w:space="0"/>
            </w:tcBorders>
            <w:noWrap/>
            <w:vAlign w:val="center"/>
          </w:tcPr>
          <w:p w14:paraId="7835FA74">
            <w:pPr>
              <w:jc w:val="both"/>
              <w:rPr>
                <w:rFonts w:hint="eastAsia" w:ascii="方正仿宋_GB2312" w:hAnsi="方正仿宋_GB2312" w:eastAsia="方正仿宋_GB2312" w:cs="方正仿宋_GB2312"/>
                <w:i w:val="0"/>
                <w:iCs w:val="0"/>
                <w:color w:val="000000"/>
                <w:sz w:val="24"/>
                <w:szCs w:val="24"/>
                <w:u w:val="none"/>
              </w:rPr>
            </w:pPr>
          </w:p>
        </w:tc>
        <w:tc>
          <w:tcPr>
            <w:tcW w:w="494" w:type="pct"/>
            <w:vMerge w:val="restart"/>
            <w:tcBorders>
              <w:top w:val="single" w:color="000000" w:sz="4" w:space="0"/>
              <w:left w:val="single" w:color="000000" w:sz="4" w:space="0"/>
              <w:bottom w:val="single" w:color="000000" w:sz="4" w:space="0"/>
              <w:right w:val="single" w:color="000000" w:sz="4" w:space="0"/>
            </w:tcBorders>
            <w:noWrap w:val="0"/>
            <w:vAlign w:val="center"/>
          </w:tcPr>
          <w:p w14:paraId="35B80AD2">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效益指标</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2496FDD6">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社会效益指标</w:t>
            </w:r>
          </w:p>
        </w:tc>
        <w:tc>
          <w:tcPr>
            <w:tcW w:w="1232" w:type="pct"/>
            <w:tcBorders>
              <w:top w:val="single" w:color="000000" w:sz="4" w:space="0"/>
              <w:left w:val="single" w:color="000000" w:sz="4" w:space="0"/>
              <w:bottom w:val="single" w:color="000000" w:sz="4" w:space="0"/>
              <w:right w:val="single" w:color="000000" w:sz="4" w:space="0"/>
            </w:tcBorders>
            <w:noWrap w:val="0"/>
            <w:vAlign w:val="center"/>
          </w:tcPr>
          <w:p w14:paraId="1572902E">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项目对所在区域的社会影响</w:t>
            </w:r>
          </w:p>
        </w:tc>
        <w:tc>
          <w:tcPr>
            <w:tcW w:w="1258" w:type="pct"/>
            <w:tcBorders>
              <w:top w:val="single" w:color="000000" w:sz="4" w:space="0"/>
              <w:left w:val="single" w:color="000000" w:sz="4" w:space="0"/>
              <w:bottom w:val="single" w:color="000000" w:sz="4" w:space="0"/>
              <w:right w:val="single" w:color="000000" w:sz="4" w:space="0"/>
            </w:tcBorders>
            <w:noWrap w:val="0"/>
            <w:vAlign w:val="center"/>
          </w:tcPr>
          <w:p w14:paraId="09188C6E">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持续提升遗产保护的风险管控能力</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7D651A1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10</w:t>
            </w:r>
          </w:p>
        </w:tc>
      </w:tr>
      <w:tr w14:paraId="0779B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0" w:hRule="atLeast"/>
        </w:trPr>
        <w:tc>
          <w:tcPr>
            <w:tcW w:w="373" w:type="pct"/>
            <w:vMerge w:val="continue"/>
            <w:tcBorders>
              <w:top w:val="single" w:color="000000" w:sz="4" w:space="0"/>
              <w:left w:val="single" w:color="000000" w:sz="4" w:space="0"/>
              <w:bottom w:val="single" w:color="000000" w:sz="4" w:space="0"/>
              <w:right w:val="single" w:color="000000" w:sz="4" w:space="0"/>
            </w:tcBorders>
            <w:noWrap/>
            <w:vAlign w:val="center"/>
          </w:tcPr>
          <w:p w14:paraId="7364F9DF">
            <w:pPr>
              <w:jc w:val="both"/>
              <w:rPr>
                <w:rFonts w:hint="eastAsia" w:ascii="方正仿宋_GB2312" w:hAnsi="方正仿宋_GB2312" w:eastAsia="方正仿宋_GB2312" w:cs="方正仿宋_GB2312"/>
                <w:i w:val="0"/>
                <w:iCs w:val="0"/>
                <w:color w:val="000000"/>
                <w:sz w:val="24"/>
                <w:szCs w:val="24"/>
                <w:u w:val="none"/>
              </w:rPr>
            </w:pPr>
          </w:p>
        </w:tc>
        <w:tc>
          <w:tcPr>
            <w:tcW w:w="494" w:type="pct"/>
            <w:vMerge w:val="continue"/>
            <w:tcBorders>
              <w:top w:val="single" w:color="000000" w:sz="4" w:space="0"/>
              <w:left w:val="single" w:color="000000" w:sz="4" w:space="0"/>
              <w:bottom w:val="single" w:color="000000" w:sz="4" w:space="0"/>
              <w:right w:val="single" w:color="000000" w:sz="4" w:space="0"/>
            </w:tcBorders>
            <w:noWrap w:val="0"/>
            <w:vAlign w:val="center"/>
          </w:tcPr>
          <w:p w14:paraId="3FCC9BDB">
            <w:pPr>
              <w:jc w:val="center"/>
              <w:rPr>
                <w:rFonts w:hint="eastAsia" w:ascii="方正仿宋_GB2312" w:hAnsi="方正仿宋_GB2312" w:eastAsia="方正仿宋_GB2312" w:cs="方正仿宋_GB2312"/>
                <w:i w:val="0"/>
                <w:iCs w:val="0"/>
                <w:color w:val="000000"/>
                <w:sz w:val="24"/>
                <w:szCs w:val="24"/>
                <w:u w:val="none"/>
              </w:rPr>
            </w:pP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3008C9C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kern w:val="0"/>
                <w:sz w:val="24"/>
                <w:szCs w:val="24"/>
                <w:u w:val="none"/>
                <w:lang w:val="en-US" w:eastAsia="zh-CN" w:bidi="ar"/>
              </w:rPr>
            </w:pPr>
            <w:r>
              <w:rPr>
                <w:rFonts w:hint="eastAsia" w:ascii="方正仿宋_GB2312" w:hAnsi="方正仿宋_GB2312" w:eastAsia="方正仿宋_GB2312" w:cs="方正仿宋_GB2312"/>
                <w:i w:val="0"/>
                <w:iCs w:val="0"/>
                <w:color w:val="000000"/>
                <w:kern w:val="0"/>
                <w:sz w:val="24"/>
                <w:szCs w:val="24"/>
                <w:u w:val="none"/>
                <w:lang w:val="en-US" w:eastAsia="zh-CN" w:bidi="ar"/>
              </w:rPr>
              <w:t>生态效益指标</w:t>
            </w:r>
          </w:p>
        </w:tc>
        <w:tc>
          <w:tcPr>
            <w:tcW w:w="1232" w:type="pct"/>
            <w:tcBorders>
              <w:top w:val="single" w:color="000000" w:sz="4" w:space="0"/>
              <w:left w:val="single" w:color="000000" w:sz="4" w:space="0"/>
              <w:bottom w:val="single" w:color="000000" w:sz="4" w:space="0"/>
              <w:right w:val="single" w:color="000000" w:sz="4" w:space="0"/>
            </w:tcBorders>
            <w:noWrap w:val="0"/>
            <w:vAlign w:val="center"/>
          </w:tcPr>
          <w:p w14:paraId="3B91D071">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kern w:val="0"/>
                <w:sz w:val="24"/>
                <w:szCs w:val="24"/>
                <w:u w:val="none"/>
                <w:lang w:val="en-US" w:eastAsia="zh-CN" w:bidi="ar"/>
              </w:rPr>
            </w:pPr>
            <w:r>
              <w:rPr>
                <w:rFonts w:hint="eastAsia" w:ascii="方正仿宋_GB2312" w:hAnsi="方正仿宋_GB2312" w:eastAsia="方正仿宋_GB2312" w:cs="方正仿宋_GB2312"/>
                <w:i w:val="0"/>
                <w:iCs w:val="0"/>
                <w:color w:val="000000"/>
                <w:kern w:val="0"/>
                <w:sz w:val="24"/>
                <w:szCs w:val="24"/>
                <w:u w:val="none"/>
                <w:lang w:val="en-US" w:eastAsia="zh-CN" w:bidi="ar"/>
              </w:rPr>
              <w:t>项目对环境的影响</w:t>
            </w:r>
          </w:p>
        </w:tc>
        <w:tc>
          <w:tcPr>
            <w:tcW w:w="1258" w:type="pct"/>
            <w:tcBorders>
              <w:top w:val="single" w:color="000000" w:sz="4" w:space="0"/>
              <w:left w:val="single" w:color="000000" w:sz="4" w:space="0"/>
              <w:bottom w:val="single" w:color="000000" w:sz="4" w:space="0"/>
              <w:right w:val="single" w:color="000000" w:sz="4" w:space="0"/>
            </w:tcBorders>
            <w:noWrap w:val="0"/>
            <w:vAlign w:val="center"/>
          </w:tcPr>
          <w:p w14:paraId="0BEA9F4F">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kern w:val="0"/>
                <w:sz w:val="24"/>
                <w:szCs w:val="24"/>
                <w:u w:val="none"/>
                <w:lang w:val="en-US" w:eastAsia="zh-CN" w:bidi="ar"/>
              </w:rPr>
            </w:pPr>
            <w:r>
              <w:rPr>
                <w:rFonts w:hint="eastAsia" w:ascii="方正仿宋_GB2312" w:hAnsi="方正仿宋_GB2312" w:eastAsia="方正仿宋_GB2312" w:cs="方正仿宋_GB2312"/>
                <w:i w:val="0"/>
                <w:iCs w:val="0"/>
                <w:color w:val="000000"/>
                <w:kern w:val="0"/>
                <w:sz w:val="24"/>
                <w:szCs w:val="24"/>
                <w:u w:val="none"/>
                <w:lang w:val="en-US" w:eastAsia="zh-CN" w:bidi="ar"/>
              </w:rPr>
              <w:t>无</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1C5A02CC">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kern w:val="0"/>
                <w:sz w:val="24"/>
                <w:szCs w:val="24"/>
                <w:u w:val="none"/>
                <w:lang w:val="en-US" w:eastAsia="zh-CN" w:bidi="ar"/>
              </w:rPr>
            </w:pPr>
            <w:r>
              <w:rPr>
                <w:rFonts w:hint="eastAsia" w:ascii="方正仿宋_GB2312" w:hAnsi="方正仿宋_GB2312" w:eastAsia="方正仿宋_GB2312" w:cs="方正仿宋_GB2312"/>
                <w:i w:val="0"/>
                <w:iCs w:val="0"/>
                <w:color w:val="000000"/>
                <w:kern w:val="0"/>
                <w:sz w:val="24"/>
                <w:szCs w:val="24"/>
                <w:u w:val="none"/>
                <w:lang w:val="en-US" w:eastAsia="zh-CN" w:bidi="ar"/>
              </w:rPr>
              <w:t>10</w:t>
            </w:r>
          </w:p>
        </w:tc>
      </w:tr>
      <w:tr w14:paraId="37035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5" w:hRule="atLeast"/>
        </w:trPr>
        <w:tc>
          <w:tcPr>
            <w:tcW w:w="373" w:type="pct"/>
            <w:vMerge w:val="continue"/>
            <w:tcBorders>
              <w:top w:val="single" w:color="000000" w:sz="4" w:space="0"/>
              <w:left w:val="single" w:color="000000" w:sz="4" w:space="0"/>
              <w:bottom w:val="single" w:color="000000" w:sz="4" w:space="0"/>
              <w:right w:val="single" w:color="000000" w:sz="4" w:space="0"/>
            </w:tcBorders>
            <w:noWrap/>
            <w:vAlign w:val="center"/>
          </w:tcPr>
          <w:p w14:paraId="6D2E45A4">
            <w:pPr>
              <w:jc w:val="both"/>
              <w:rPr>
                <w:rFonts w:hint="eastAsia" w:ascii="方正仿宋_GB2312" w:hAnsi="方正仿宋_GB2312" w:eastAsia="方正仿宋_GB2312" w:cs="方正仿宋_GB2312"/>
                <w:i w:val="0"/>
                <w:iCs w:val="0"/>
                <w:color w:val="000000"/>
                <w:sz w:val="24"/>
                <w:szCs w:val="24"/>
                <w:u w:val="none"/>
              </w:rPr>
            </w:pPr>
          </w:p>
        </w:tc>
        <w:tc>
          <w:tcPr>
            <w:tcW w:w="494" w:type="pct"/>
            <w:tcBorders>
              <w:top w:val="single" w:color="000000" w:sz="4" w:space="0"/>
              <w:left w:val="single" w:color="000000" w:sz="4" w:space="0"/>
              <w:bottom w:val="single" w:color="000000" w:sz="4" w:space="0"/>
              <w:right w:val="single" w:color="000000" w:sz="4" w:space="0"/>
            </w:tcBorders>
            <w:noWrap w:val="0"/>
            <w:vAlign w:val="center"/>
          </w:tcPr>
          <w:p w14:paraId="23901A05">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满意度指标</w:t>
            </w:r>
          </w:p>
        </w:tc>
        <w:tc>
          <w:tcPr>
            <w:tcW w:w="792" w:type="pct"/>
            <w:tcBorders>
              <w:top w:val="single" w:color="000000" w:sz="4" w:space="0"/>
              <w:left w:val="single" w:color="000000" w:sz="4" w:space="0"/>
              <w:bottom w:val="single" w:color="000000" w:sz="4" w:space="0"/>
              <w:right w:val="single" w:color="000000" w:sz="4" w:space="0"/>
            </w:tcBorders>
            <w:noWrap w:val="0"/>
            <w:vAlign w:val="center"/>
          </w:tcPr>
          <w:p w14:paraId="4FED9B4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服务对象满意度指标</w:t>
            </w:r>
          </w:p>
        </w:tc>
        <w:tc>
          <w:tcPr>
            <w:tcW w:w="1232" w:type="pct"/>
            <w:tcBorders>
              <w:top w:val="single" w:color="000000" w:sz="4" w:space="0"/>
              <w:left w:val="single" w:color="000000" w:sz="4" w:space="0"/>
              <w:bottom w:val="single" w:color="000000" w:sz="4" w:space="0"/>
              <w:right w:val="single" w:color="000000" w:sz="4" w:space="0"/>
            </w:tcBorders>
            <w:noWrap w:val="0"/>
            <w:vAlign w:val="center"/>
          </w:tcPr>
          <w:p w14:paraId="238AFDCA">
            <w:pPr>
              <w:keepNext w:val="0"/>
              <w:keepLines w:val="0"/>
              <w:widowControl/>
              <w:suppressLineNumbers w:val="0"/>
              <w:jc w:val="left"/>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社会公众对文物保护满意度</w:t>
            </w:r>
          </w:p>
        </w:tc>
        <w:tc>
          <w:tcPr>
            <w:tcW w:w="1258" w:type="pct"/>
            <w:tcBorders>
              <w:top w:val="single" w:color="000000" w:sz="4" w:space="0"/>
              <w:left w:val="single" w:color="000000" w:sz="4" w:space="0"/>
              <w:bottom w:val="single" w:color="000000" w:sz="4" w:space="0"/>
              <w:right w:val="single" w:color="000000" w:sz="4" w:space="0"/>
            </w:tcBorders>
            <w:noWrap w:val="0"/>
            <w:vAlign w:val="center"/>
          </w:tcPr>
          <w:p w14:paraId="168F14CD">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≥95%</w:t>
            </w:r>
          </w:p>
        </w:tc>
        <w:tc>
          <w:tcPr>
            <w:tcW w:w="849" w:type="pct"/>
            <w:tcBorders>
              <w:top w:val="single" w:color="000000" w:sz="4" w:space="0"/>
              <w:left w:val="single" w:color="000000" w:sz="4" w:space="0"/>
              <w:bottom w:val="single" w:color="000000" w:sz="4" w:space="0"/>
              <w:right w:val="single" w:color="000000" w:sz="4" w:space="0"/>
            </w:tcBorders>
            <w:noWrap w:val="0"/>
            <w:vAlign w:val="center"/>
          </w:tcPr>
          <w:p w14:paraId="32A1A179">
            <w:pPr>
              <w:keepNext w:val="0"/>
              <w:keepLines w:val="0"/>
              <w:widowControl/>
              <w:suppressLineNumbers w:val="0"/>
              <w:jc w:val="center"/>
              <w:textAlignment w:val="center"/>
              <w:rPr>
                <w:rFonts w:hint="eastAsia" w:ascii="方正仿宋_GB2312" w:hAnsi="方正仿宋_GB2312" w:eastAsia="方正仿宋_GB2312" w:cs="方正仿宋_GB2312"/>
                <w:i w:val="0"/>
                <w:iCs w:val="0"/>
                <w:color w:val="000000"/>
                <w:sz w:val="24"/>
                <w:szCs w:val="24"/>
                <w:u w:val="none"/>
              </w:rPr>
            </w:pPr>
            <w:r>
              <w:rPr>
                <w:rFonts w:hint="eastAsia" w:ascii="方正仿宋_GB2312" w:hAnsi="方正仿宋_GB2312" w:eastAsia="方正仿宋_GB2312" w:cs="方正仿宋_GB2312"/>
                <w:i w:val="0"/>
                <w:iCs w:val="0"/>
                <w:color w:val="000000"/>
                <w:kern w:val="0"/>
                <w:sz w:val="24"/>
                <w:szCs w:val="24"/>
                <w:u w:val="none"/>
                <w:lang w:val="en-US" w:eastAsia="zh-CN" w:bidi="ar"/>
              </w:rPr>
              <w:t>10</w:t>
            </w:r>
          </w:p>
        </w:tc>
      </w:tr>
    </w:tbl>
    <w:p w14:paraId="2B7FF2C4">
      <w:pPr>
        <w:keepNext w:val="0"/>
        <w:keepLines w:val="0"/>
        <w:pageBreakBefore w:val="0"/>
        <w:widowControl w:val="0"/>
        <w:kinsoku/>
        <w:wordWrap/>
        <w:overflowPunct/>
        <w:topLinePunct w:val="0"/>
        <w:autoSpaceDE/>
        <w:autoSpaceDN/>
        <w:bidi w:val="0"/>
        <w:adjustRightInd/>
        <w:snapToGrid/>
        <w:spacing w:line="500" w:lineRule="exact"/>
        <w:ind w:firstLine="0" w:firstLineChars="0"/>
        <w:jc w:val="center"/>
        <w:textAlignment w:val="auto"/>
        <w:rPr>
          <w:rFonts w:hint="eastAsia" w:ascii="方正仿宋_GB2312" w:hAnsi="方正仿宋_GB2312" w:eastAsia="方正仿宋_GB2312" w:cs="方正仿宋_GB2312"/>
          <w:sz w:val="32"/>
          <w:szCs w:val="32"/>
          <w:lang w:val="en-US" w:eastAsia="zh-CN"/>
        </w:rPr>
      </w:pPr>
    </w:p>
    <w:p w14:paraId="39823C33">
      <w:pPr>
        <w:pStyle w:val="4"/>
        <w:rPr>
          <w:rFonts w:hint="eastAsia" w:ascii="方正仿宋_GB2312" w:hAnsi="方正仿宋_GB2312" w:eastAsia="方正仿宋_GB2312" w:cs="方正仿宋_GB2312"/>
          <w:sz w:val="32"/>
          <w:szCs w:val="32"/>
          <w:lang w:val="en-US" w:eastAsia="zh-CN"/>
        </w:rPr>
      </w:pPr>
    </w:p>
    <w:p w14:paraId="68DC2594">
      <w:pPr>
        <w:pStyle w:val="2"/>
        <w:ind w:left="0" w:leftChars="0" w:firstLine="0" w:firstLineChars="0"/>
        <w:jc w:val="both"/>
        <w:rPr>
          <w:rFonts w:hint="eastAsia" w:ascii="方正仿宋_GB2312" w:hAnsi="方正仿宋_GB2312" w:eastAsia="方正仿宋_GB2312" w:cs="方正仿宋_GB2312"/>
        </w:rPr>
        <w:sectPr>
          <w:pgSz w:w="11906" w:h="16838"/>
          <w:pgMar w:top="1440" w:right="1800" w:bottom="1440" w:left="1800" w:header="851" w:footer="992" w:gutter="0"/>
          <w:cols w:space="720" w:num="1"/>
          <w:docGrid w:type="lines" w:linePitch="312" w:charSpace="0"/>
        </w:sectPr>
      </w:pPr>
    </w:p>
    <w:p w14:paraId="46EFA9E6">
      <w:pPr>
        <w:keepNext w:val="0"/>
        <w:keepLines w:val="0"/>
        <w:pageBreakBefore/>
        <w:widowControl w:val="0"/>
        <w:kinsoku/>
        <w:wordWrap/>
        <w:overflowPunct/>
        <w:topLinePunct w:val="0"/>
        <w:autoSpaceDE/>
        <w:autoSpaceDN/>
        <w:bidi w:val="0"/>
        <w:adjustRightInd/>
        <w:snapToGrid/>
        <w:spacing w:after="0" w:line="520" w:lineRule="exact"/>
        <w:jc w:val="left"/>
        <w:textAlignment w:val="auto"/>
        <w:rPr>
          <w:rFonts w:hint="eastAsia" w:ascii="方正仿宋_GB2312" w:hAnsi="方正仿宋_GB2312" w:eastAsia="方正仿宋_GB2312" w:cs="方正仿宋_GB2312"/>
          <w:kern w:val="0"/>
          <w:sz w:val="32"/>
          <w:szCs w:val="32"/>
          <w:lang w:val="en-US" w:eastAsia="zh-CN"/>
        </w:rPr>
      </w:pPr>
      <w:r>
        <w:rPr>
          <w:rFonts w:hint="eastAsia" w:ascii="方正仿宋_GB2312" w:hAnsi="方正仿宋_GB2312" w:eastAsia="方正仿宋_GB2312" w:cs="方正仿宋_GB2312"/>
          <w:kern w:val="0"/>
          <w:sz w:val="32"/>
          <w:szCs w:val="32"/>
          <w:lang w:val="en-US" w:eastAsia="zh-CN"/>
        </w:rPr>
        <w:t>附件三：</w:t>
      </w:r>
    </w:p>
    <w:p w14:paraId="5608BF7C">
      <w:pPr>
        <w:keepNext w:val="0"/>
        <w:keepLines w:val="0"/>
        <w:pageBreakBefore w:val="0"/>
        <w:widowControl w:val="0"/>
        <w:kinsoku/>
        <w:wordWrap/>
        <w:overflowPunct/>
        <w:topLinePunct w:val="0"/>
        <w:autoSpaceDE/>
        <w:autoSpaceDN/>
        <w:bidi w:val="0"/>
        <w:adjustRightInd/>
        <w:snapToGrid/>
        <w:spacing w:line="460" w:lineRule="exact"/>
        <w:ind w:firstLine="442" w:firstLineChars="200"/>
        <w:jc w:val="center"/>
        <w:textAlignment w:val="auto"/>
        <w:rPr>
          <w:rFonts w:hint="eastAsia" w:ascii="方正仿宋_GB2312" w:hAnsi="方正仿宋_GB2312" w:eastAsia="方正仿宋_GB2312" w:cs="方正仿宋_GB2312"/>
          <w:b/>
          <w:bCs/>
          <w:lang w:val="en-US" w:eastAsia="zh-CN"/>
        </w:rPr>
      </w:pPr>
      <w:r>
        <w:rPr>
          <w:rFonts w:hint="eastAsia" w:ascii="方正仿宋_GB2312" w:hAnsi="方正仿宋_GB2312" w:eastAsia="方正仿宋_GB2312" w:cs="方正仿宋_GB2312"/>
          <w:b/>
          <w:bCs/>
          <w:lang w:val="en-US" w:eastAsia="zh-CN"/>
        </w:rPr>
        <w:t>廉洁协议</w:t>
      </w:r>
    </w:p>
    <w:p w14:paraId="6E1DF268">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甲方：西安城墙管理委员会</w:t>
      </w:r>
    </w:p>
    <w:p w14:paraId="55086167">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住所地：西安市碑林区南苑们街道西木头市王子大厦四楼</w:t>
      </w:r>
    </w:p>
    <w:p w14:paraId="43907421">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乙方：</w:t>
      </w:r>
    </w:p>
    <w:p w14:paraId="6B94B2EC">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住所地：</w:t>
      </w:r>
    </w:p>
    <w:p w14:paraId="6F9C40E5">
      <w:pPr>
        <w:keepNext w:val="0"/>
        <w:keepLines w:val="0"/>
        <w:pageBreakBefore w:val="0"/>
        <w:widowControl w:val="0"/>
        <w:kinsoku/>
        <w:wordWrap/>
        <w:overflowPunct/>
        <w:topLinePunct w:val="0"/>
        <w:autoSpaceDE/>
        <w:autoSpaceDN/>
        <w:bidi w:val="0"/>
        <w:adjustRightInd/>
        <w:snapToGrid/>
        <w:spacing w:line="460" w:lineRule="exact"/>
        <w:ind w:firstLine="442" w:firstLineChars="200"/>
        <w:textAlignment w:val="auto"/>
        <w:rPr>
          <w:rFonts w:hint="eastAsia" w:ascii="方正仿宋_GB2312" w:hAnsi="方正仿宋_GB2312" w:eastAsia="方正仿宋_GB2312" w:cs="方正仿宋_GB2312"/>
          <w:b/>
          <w:bCs/>
          <w:lang w:val="en-US" w:eastAsia="zh-CN"/>
        </w:rPr>
      </w:pPr>
      <w:r>
        <w:rPr>
          <w:rFonts w:hint="eastAsia" w:ascii="方正仿宋_GB2312" w:hAnsi="方正仿宋_GB2312" w:eastAsia="方正仿宋_GB2312" w:cs="方正仿宋_GB2312"/>
          <w:b/>
          <w:bCs/>
          <w:lang w:val="en-US" w:eastAsia="zh-CN"/>
        </w:rPr>
        <w:t>鉴于：</w:t>
      </w:r>
    </w:p>
    <w:p w14:paraId="545436F7">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1、甲方作为西安曲江新区管委会下设事业单位，坚持遵纪守法，坚持党风廉政建设。甲方要求所有与甲方产生合同关系的当事人(即 “合同相对方”)遵守所有适用的禁止腐败行为、廉洁守法等法律法规和政策要求，要求所有合同相对方努力采取适当的措施以协助甲方遵守前述要求及基本原则。</w:t>
      </w:r>
    </w:p>
    <w:p w14:paraId="0183208F">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2、基于此，经甲乙双方协商一致，依据相关法律法规，就合同签订及履行期间双方廉洁合作等事宜，签署如下廉洁协议，以资共同遵守。</w:t>
      </w:r>
    </w:p>
    <w:p w14:paraId="496CFE14">
      <w:pPr>
        <w:keepNext w:val="0"/>
        <w:keepLines w:val="0"/>
        <w:pageBreakBefore w:val="0"/>
        <w:widowControl w:val="0"/>
        <w:kinsoku/>
        <w:wordWrap/>
        <w:overflowPunct/>
        <w:topLinePunct w:val="0"/>
        <w:autoSpaceDE/>
        <w:autoSpaceDN/>
        <w:bidi w:val="0"/>
        <w:adjustRightInd/>
        <w:snapToGrid/>
        <w:spacing w:line="460" w:lineRule="exact"/>
        <w:ind w:firstLine="442" w:firstLineChars="200"/>
        <w:textAlignment w:val="auto"/>
        <w:rPr>
          <w:rFonts w:hint="eastAsia" w:ascii="方正仿宋_GB2312" w:hAnsi="方正仿宋_GB2312" w:eastAsia="方正仿宋_GB2312" w:cs="方正仿宋_GB2312"/>
          <w:b/>
          <w:bCs/>
        </w:rPr>
      </w:pPr>
      <w:r>
        <w:rPr>
          <w:rFonts w:hint="eastAsia" w:ascii="方正仿宋_GB2312" w:hAnsi="方正仿宋_GB2312" w:eastAsia="方正仿宋_GB2312" w:cs="方正仿宋_GB2312"/>
          <w:b/>
          <w:bCs/>
          <w:lang w:val="en-US" w:eastAsia="zh-CN"/>
        </w:rPr>
        <w:t>一、廉洁从业要求</w:t>
      </w:r>
    </w:p>
    <w:p w14:paraId="0F790075">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1、乙方</w:t>
      </w:r>
      <w:r>
        <w:rPr>
          <w:rFonts w:hint="eastAsia" w:ascii="方正仿宋_GB2312" w:hAnsi="方正仿宋_GB2312" w:eastAsia="方正仿宋_GB2312" w:cs="方正仿宋_GB2312"/>
        </w:rPr>
        <w:t>应遵守道德规范</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法律法规</w:t>
      </w:r>
      <w:r>
        <w:rPr>
          <w:rFonts w:hint="eastAsia" w:ascii="方正仿宋_GB2312" w:hAnsi="方正仿宋_GB2312" w:eastAsia="方正仿宋_GB2312" w:cs="方正仿宋_GB2312"/>
          <w:lang w:val="en-US" w:eastAsia="zh-CN"/>
        </w:rPr>
        <w:t>及党规党纪</w:t>
      </w:r>
      <w:r>
        <w:rPr>
          <w:rFonts w:hint="eastAsia" w:ascii="方正仿宋_GB2312" w:hAnsi="方正仿宋_GB2312" w:eastAsia="方正仿宋_GB2312" w:cs="方正仿宋_GB2312"/>
        </w:rPr>
        <w:t>，严格禁止任何形式的贿赂</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腐败</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贪污或违反</w:t>
      </w:r>
      <w:r>
        <w:rPr>
          <w:rFonts w:hint="eastAsia" w:ascii="方正仿宋_GB2312" w:hAnsi="方正仿宋_GB2312" w:eastAsia="方正仿宋_GB2312" w:cs="方正仿宋_GB2312"/>
        </w:rPr>
        <w:t>道德规范</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法律法规</w:t>
      </w:r>
      <w:r>
        <w:rPr>
          <w:rFonts w:hint="eastAsia" w:ascii="方正仿宋_GB2312" w:hAnsi="方正仿宋_GB2312" w:eastAsia="方正仿宋_GB2312" w:cs="方正仿宋_GB2312"/>
          <w:lang w:val="en-US" w:eastAsia="zh-CN"/>
        </w:rPr>
        <w:t>及党规党纪的行为</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鼓励</w:t>
      </w:r>
      <w:r>
        <w:rPr>
          <w:rFonts w:hint="eastAsia" w:ascii="方正仿宋_GB2312" w:hAnsi="方正仿宋_GB2312" w:eastAsia="方正仿宋_GB2312" w:cs="方正仿宋_GB2312"/>
          <w:lang w:val="en-US" w:eastAsia="zh-CN"/>
        </w:rPr>
        <w:t>乙方</w:t>
      </w:r>
      <w:r>
        <w:rPr>
          <w:rFonts w:hint="eastAsia" w:ascii="方正仿宋_GB2312" w:hAnsi="方正仿宋_GB2312" w:eastAsia="方正仿宋_GB2312" w:cs="方正仿宋_GB2312"/>
        </w:rPr>
        <w:t>报告所有违禁行为或任何被隐瞒的禁止行为</w:t>
      </w:r>
      <w:r>
        <w:rPr>
          <w:rFonts w:hint="eastAsia" w:ascii="方正仿宋_GB2312" w:hAnsi="方正仿宋_GB2312" w:eastAsia="方正仿宋_GB2312" w:cs="方正仿宋_GB2312"/>
          <w:lang w:eastAsia="zh-CN"/>
        </w:rPr>
        <w:t>。</w:t>
      </w:r>
    </w:p>
    <w:p w14:paraId="359D3EA9">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w:t>
      </w:r>
      <w:r>
        <w:rPr>
          <w:rFonts w:hint="eastAsia" w:ascii="方正仿宋_GB2312" w:hAnsi="方正仿宋_GB2312" w:eastAsia="方正仿宋_GB2312" w:cs="方正仿宋_GB2312"/>
        </w:rPr>
        <w:t>乙方</w:t>
      </w:r>
      <w:r>
        <w:rPr>
          <w:rFonts w:hint="eastAsia" w:ascii="方正仿宋_GB2312" w:hAnsi="方正仿宋_GB2312" w:eastAsia="方正仿宋_GB2312" w:cs="方正仿宋_GB2312"/>
          <w:lang w:val="en-US" w:eastAsia="zh-CN"/>
        </w:rPr>
        <w:t>承诺，</w:t>
      </w:r>
      <w:r>
        <w:rPr>
          <w:rFonts w:hint="eastAsia" w:ascii="方正仿宋_GB2312" w:hAnsi="方正仿宋_GB2312" w:eastAsia="方正仿宋_GB2312" w:cs="方正仿宋_GB2312"/>
        </w:rPr>
        <w:t>现已采取并且始终应采取适当的措施，防止乙方，或者以任何身份代理/代表乙方履行合同之一方（前述各方均包括但不限于各方的雇员、代理人、子公司、代表和分包商, 无论乙方是否知该等代理/代表行为）在任何情况下从事任何违反关于反贿赂、反贪污、反腐败等法律的行为</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包括但不限于：</w:t>
      </w:r>
    </w:p>
    <w:p w14:paraId="015DC8CC">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1）乙方不以任何理由向甲方工作人员及第三方赠送、索要礼品、礼金、各种有价证券及其他支付凭证；不以任何理由向甲方人员提供任何好处费及工程回扣；不以任何理由为甲方和工作人员报销应由对方或个人支付的费用。</w:t>
      </w:r>
    </w:p>
    <w:p w14:paraId="090CC946">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乙方不以任何理由为甲方人员组织有可能影响公正执行业务的宴请、健身、娱乐等高消费活动；不以任何理由为甲方人员提供通讯工具、交通工具和高档办公用品等；不接受或暗示为甲方人员装修住房、婚丧嫁娶、配偶子女的工作安排以及出国（境）、旅游等提供方便。</w:t>
      </w:r>
    </w:p>
    <w:p w14:paraId="2A02E797">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（3）乙方不得安排甲方</w:t>
      </w:r>
      <w:r>
        <w:rPr>
          <w:rFonts w:hint="eastAsia" w:ascii="方正仿宋_GB2312" w:hAnsi="方正仿宋_GB2312" w:eastAsia="方正仿宋_GB2312" w:cs="方正仿宋_GB2312"/>
        </w:rPr>
        <w:t>配偶子女、亲属参与同乙方合同有关的业务等活动。</w:t>
      </w:r>
    </w:p>
    <w:p w14:paraId="2E65DF21">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4</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乙方不得从事任何其他违反廉政要求的行为。</w:t>
      </w:r>
    </w:p>
    <w:p w14:paraId="42974E07">
      <w:pPr>
        <w:keepNext w:val="0"/>
        <w:keepLines w:val="0"/>
        <w:pageBreakBefore w:val="0"/>
        <w:widowControl w:val="0"/>
        <w:kinsoku/>
        <w:wordWrap/>
        <w:overflowPunct/>
        <w:topLinePunct w:val="0"/>
        <w:autoSpaceDE/>
        <w:autoSpaceDN/>
        <w:bidi w:val="0"/>
        <w:adjustRightInd/>
        <w:snapToGrid/>
        <w:spacing w:line="460" w:lineRule="exact"/>
        <w:ind w:firstLine="442" w:firstLineChars="200"/>
        <w:textAlignment w:val="auto"/>
        <w:rPr>
          <w:rFonts w:hint="eastAsia" w:ascii="方正仿宋_GB2312" w:hAnsi="方正仿宋_GB2312" w:eastAsia="方正仿宋_GB2312" w:cs="方正仿宋_GB2312"/>
          <w:b/>
          <w:bCs/>
          <w:lang w:val="en-US" w:eastAsia="zh-CN"/>
        </w:rPr>
      </w:pPr>
      <w:r>
        <w:rPr>
          <w:rFonts w:hint="eastAsia" w:ascii="方正仿宋_GB2312" w:hAnsi="方正仿宋_GB2312" w:eastAsia="方正仿宋_GB2312" w:cs="方正仿宋_GB2312"/>
          <w:b/>
          <w:bCs/>
          <w:lang w:val="en-US" w:eastAsia="zh-CN"/>
        </w:rPr>
        <w:t>二、法律责任</w:t>
      </w:r>
    </w:p>
    <w:p w14:paraId="2FCC494E">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1、</w:t>
      </w:r>
      <w:r>
        <w:rPr>
          <w:rFonts w:hint="eastAsia" w:ascii="方正仿宋_GB2312" w:hAnsi="方正仿宋_GB2312" w:eastAsia="方正仿宋_GB2312" w:cs="方正仿宋_GB2312"/>
        </w:rPr>
        <w:t>若乙方，或者以任何身份代理/代表乙方履行合同之一方（前述各方均包括但不限于各方的雇员、代理人、子公司、代表和分包商, 无论乙方是否知晓该等代理/代表行为）在任何情况下违反或者试图违反任何关于反贿赂、反贪污、反腐败等法律</w:t>
      </w:r>
      <w:r>
        <w:rPr>
          <w:rFonts w:hint="eastAsia" w:ascii="方正仿宋_GB2312" w:hAnsi="方正仿宋_GB2312" w:eastAsia="方正仿宋_GB2312" w:cs="方正仿宋_GB2312"/>
          <w:lang w:val="en-US" w:eastAsia="zh-CN"/>
        </w:rPr>
        <w:t>法规或党规党纪</w:t>
      </w:r>
      <w:r>
        <w:rPr>
          <w:rFonts w:hint="eastAsia" w:ascii="方正仿宋_GB2312" w:hAnsi="方正仿宋_GB2312" w:eastAsia="方正仿宋_GB2312" w:cs="方正仿宋_GB2312"/>
        </w:rPr>
        <w:t>，甲方有权</w:t>
      </w:r>
      <w:r>
        <w:rPr>
          <w:rFonts w:hint="eastAsia" w:ascii="方正仿宋_GB2312" w:hAnsi="方正仿宋_GB2312" w:eastAsia="方正仿宋_GB2312" w:cs="方正仿宋_GB2312"/>
          <w:lang w:val="en-US" w:eastAsia="zh-CN"/>
        </w:rPr>
        <w:t>立即</w:t>
      </w:r>
      <w:r>
        <w:rPr>
          <w:rFonts w:hint="eastAsia" w:ascii="方正仿宋_GB2312" w:hAnsi="方正仿宋_GB2312" w:eastAsia="方正仿宋_GB2312" w:cs="方正仿宋_GB2312"/>
        </w:rPr>
        <w:t>解除</w:t>
      </w:r>
      <w:r>
        <w:rPr>
          <w:rFonts w:hint="eastAsia" w:ascii="方正仿宋_GB2312" w:hAnsi="方正仿宋_GB2312" w:eastAsia="方正仿宋_GB2312" w:cs="方正仿宋_GB2312"/>
          <w:lang w:val="en-US" w:eastAsia="zh-CN"/>
        </w:rPr>
        <w:t>甲乙双方之间签署的</w:t>
      </w:r>
      <w:r>
        <w:rPr>
          <w:rFonts w:hint="eastAsia" w:ascii="方正仿宋_GB2312" w:hAnsi="方正仿宋_GB2312" w:eastAsia="方正仿宋_GB2312" w:cs="方正仿宋_GB2312"/>
        </w:rPr>
        <w:t>合同，乙方应赔偿甲方因本合同终止而发生的所有成本、损失、损害和费用</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同时取消乙方作为甲方合作方在相关领域的市场准入资格，断绝与其一切往来。</w:t>
      </w:r>
      <w:r>
        <w:rPr>
          <w:rFonts w:hint="eastAsia" w:ascii="方正仿宋_GB2312" w:hAnsi="方正仿宋_GB2312" w:eastAsia="方正仿宋_GB2312" w:cs="方正仿宋_GB2312"/>
        </w:rPr>
        <w:t xml:space="preserve">为避免疑义，本合同的终止并不影响甲方在本合同项下或者其他方面的其他权利和补救方法。 </w:t>
      </w:r>
    </w:p>
    <w:p w14:paraId="6578C85E">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w:t>
      </w:r>
      <w:r>
        <w:rPr>
          <w:rFonts w:hint="eastAsia" w:ascii="方正仿宋_GB2312" w:hAnsi="方正仿宋_GB2312" w:eastAsia="方正仿宋_GB2312" w:cs="方正仿宋_GB2312"/>
        </w:rPr>
        <w:t>若甲方雇佣的或者代表其利益的任何人违反或者试图违反任何关于反贿赂、反贪污、反腐败的法律</w:t>
      </w:r>
      <w:r>
        <w:rPr>
          <w:rFonts w:hint="eastAsia" w:ascii="方正仿宋_GB2312" w:hAnsi="方正仿宋_GB2312" w:eastAsia="方正仿宋_GB2312" w:cs="方正仿宋_GB2312"/>
          <w:lang w:val="en-US" w:eastAsia="zh-CN"/>
        </w:rPr>
        <w:t>法规或党规党纪</w:t>
      </w:r>
      <w:r>
        <w:rPr>
          <w:rFonts w:hint="eastAsia" w:ascii="方正仿宋_GB2312" w:hAnsi="方正仿宋_GB2312" w:eastAsia="方正仿宋_GB2312" w:cs="方正仿宋_GB2312"/>
        </w:rPr>
        <w:t>，乙方应立即通知甲方。关于此事的所有通知应</w:t>
      </w:r>
      <w:r>
        <w:rPr>
          <w:rFonts w:hint="eastAsia" w:ascii="方正仿宋_GB2312" w:hAnsi="方正仿宋_GB2312" w:eastAsia="方正仿宋_GB2312" w:cs="方正仿宋_GB2312"/>
          <w:lang w:val="en-US" w:eastAsia="zh-CN"/>
        </w:rPr>
        <w:t>通过下述渠道之一进行举报（投诉），甲方将认真予以解决和处理:</w:t>
      </w:r>
    </w:p>
    <w:p w14:paraId="17BFE9F6">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 xml:space="preserve">举报（投诉）信邮寄地址：【西安市碑林区王子大厦四楼城墙管委会】           </w:t>
      </w:r>
    </w:p>
    <w:p w14:paraId="4EE20ABE">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 xml:space="preserve">举报（投诉）电话：【86366952】 </w:t>
      </w:r>
    </w:p>
    <w:p w14:paraId="076124F2">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举报（投诉）邮箱：【cqjw89622917@163.com】</w:t>
      </w:r>
    </w:p>
    <w:p w14:paraId="2FA6D908">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举报部门：【城墙纪委】</w:t>
      </w:r>
    </w:p>
    <w:p w14:paraId="190B7547">
      <w:pPr>
        <w:keepNext w:val="0"/>
        <w:keepLines w:val="0"/>
        <w:pageBreakBefore w:val="0"/>
        <w:widowControl w:val="0"/>
        <w:kinsoku/>
        <w:wordWrap/>
        <w:overflowPunct/>
        <w:topLinePunct w:val="0"/>
        <w:autoSpaceDE/>
        <w:autoSpaceDN/>
        <w:bidi w:val="0"/>
        <w:adjustRightInd/>
        <w:snapToGrid/>
        <w:spacing w:line="460" w:lineRule="exact"/>
        <w:ind w:firstLine="442" w:firstLineChars="200"/>
        <w:textAlignment w:val="auto"/>
        <w:rPr>
          <w:rFonts w:hint="eastAsia" w:ascii="方正仿宋_GB2312" w:hAnsi="方正仿宋_GB2312" w:eastAsia="方正仿宋_GB2312" w:cs="方正仿宋_GB2312"/>
          <w:b/>
          <w:bCs/>
          <w:lang w:val="en-US" w:eastAsia="zh-CN"/>
        </w:rPr>
      </w:pPr>
      <w:r>
        <w:rPr>
          <w:rFonts w:hint="eastAsia" w:ascii="方正仿宋_GB2312" w:hAnsi="方正仿宋_GB2312" w:eastAsia="方正仿宋_GB2312" w:cs="方正仿宋_GB2312"/>
          <w:b/>
          <w:bCs/>
          <w:lang w:val="en-US" w:eastAsia="zh-CN"/>
        </w:rPr>
        <w:t>三、附则</w:t>
      </w:r>
    </w:p>
    <w:p w14:paraId="0DFB60F6">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1、本廉洁协议签订后，即成为甲乙双方签署的《【西安城墙16号马面保护修缮工程岩土工程勘察服务】合同》不可分割的组成部分，与原合同具有同等的法律效力。除本合同协议中明确变更的条款之外，原合同中的其余部分应完全继续有效。</w:t>
      </w:r>
    </w:p>
    <w:p w14:paraId="7EB678FE">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2、本合同自双方签字盖章或盖章之日起生效，一式【XX】份，甲方执【XX】份，乙方执【XX】份，具有同等法律效力。</w:t>
      </w:r>
    </w:p>
    <w:p w14:paraId="221C7EAD">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（以下无正文）</w:t>
      </w:r>
    </w:p>
    <w:p w14:paraId="51CB545E">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p>
    <w:p w14:paraId="08512AA4">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甲方：西安城墙管理委员会</w:t>
      </w:r>
    </w:p>
    <w:p w14:paraId="6BE5001D">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法定代表人或授权代表：</w:t>
      </w:r>
    </w:p>
    <w:p w14:paraId="168BB55E">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p>
    <w:p w14:paraId="523B96A0">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乙方：</w:t>
      </w:r>
    </w:p>
    <w:p w14:paraId="746FDF24">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r>
        <w:rPr>
          <w:rFonts w:hint="eastAsia" w:ascii="方正仿宋_GB2312" w:hAnsi="方正仿宋_GB2312" w:eastAsia="方正仿宋_GB2312" w:cs="方正仿宋_GB2312"/>
          <w:lang w:val="en-US" w:eastAsia="zh-CN"/>
        </w:rPr>
        <w:t>法定代表人或授权代表：</w:t>
      </w:r>
    </w:p>
    <w:p w14:paraId="556EBA8C">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rPr>
          <w:rFonts w:hint="eastAsia" w:ascii="方正仿宋_GB2312" w:hAnsi="方正仿宋_GB2312" w:eastAsia="方正仿宋_GB2312" w:cs="方正仿宋_GB2312"/>
          <w:lang w:val="en-US" w:eastAsia="zh-CN"/>
        </w:rPr>
      </w:pPr>
    </w:p>
    <w:p w14:paraId="0A0D4688">
      <w:pPr>
        <w:keepNext w:val="0"/>
        <w:keepLines w:val="0"/>
        <w:pageBreakBefore w:val="0"/>
        <w:widowControl w:val="0"/>
        <w:kinsoku/>
        <w:wordWrap/>
        <w:overflowPunct/>
        <w:topLinePunct w:val="0"/>
        <w:autoSpaceDE/>
        <w:autoSpaceDN/>
        <w:bidi w:val="0"/>
        <w:adjustRightInd/>
        <w:snapToGrid/>
        <w:spacing w:line="460" w:lineRule="exact"/>
        <w:ind w:firstLine="440" w:firstLineChars="200"/>
        <w:textAlignment w:val="auto"/>
      </w:pPr>
      <w:r>
        <w:rPr>
          <w:rFonts w:hint="eastAsia" w:ascii="方正仿宋_GB2312" w:hAnsi="方正仿宋_GB2312" w:eastAsia="方正仿宋_GB2312" w:cs="方正仿宋_GB2312"/>
          <w:lang w:val="en-US" w:eastAsia="zh-CN"/>
        </w:rPr>
        <w:t>时间：      年     月      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72582">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D946E">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70D946E">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DC2CCD"/>
    <w:multiLevelType w:val="singleLevel"/>
    <w:tmpl w:val="37DC2CC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A21ADD"/>
    <w:rsid w:val="133A19B4"/>
    <w:rsid w:val="1C6104B9"/>
    <w:rsid w:val="25A21ADD"/>
    <w:rsid w:val="301255A3"/>
    <w:rsid w:val="32A86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37"/>
      <w:ind w:left="7"/>
      <w:jc w:val="center"/>
      <w:outlineLvl w:val="0"/>
    </w:pPr>
    <w:rPr>
      <w:b/>
      <w:bCs/>
      <w:sz w:val="44"/>
      <w:szCs w:val="44"/>
    </w:rPr>
  </w:style>
  <w:style w:type="paragraph" w:styleId="3">
    <w:name w:val="heading 4"/>
    <w:basedOn w:val="1"/>
    <w:next w:val="1"/>
    <w:unhideWhenUsed/>
    <w:qFormat/>
    <w:uiPriority w:val="0"/>
    <w:pPr>
      <w:spacing w:beforeAutospacing="1" w:afterAutospacing="1"/>
      <w:outlineLvl w:val="3"/>
    </w:pPr>
    <w:rPr>
      <w:rFonts w:hint="eastAsia" w:cs="Times New Roman"/>
      <w:b/>
      <w:bCs/>
      <w:sz w:val="24"/>
      <w:szCs w:val="24"/>
      <w:lang w:eastAsia="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next w:val="1"/>
    <w:qFormat/>
    <w:uiPriority w:val="1"/>
    <w:pPr>
      <w:ind w:left="490"/>
    </w:pPr>
    <w:rPr>
      <w:sz w:val="19"/>
      <w:szCs w:val="19"/>
    </w:rPr>
  </w:style>
  <w:style w:type="paragraph" w:styleId="6">
    <w:name w:val="Body Text Indent"/>
    <w:basedOn w:val="1"/>
    <w:qFormat/>
    <w:uiPriority w:val="0"/>
    <w:pPr>
      <w:spacing w:before="0" w:beforeLines="0" w:after="0" w:afterLines="0" w:line="360" w:lineRule="auto"/>
      <w:ind w:firstLine="560" w:firstLineChars="200"/>
    </w:pPr>
    <w:rPr>
      <w:rFonts w:ascii="仿宋_GB2312" w:hAnsi="宋体" w:eastAsia="仿宋_GB2312"/>
      <w:sz w:val="28"/>
      <w:szCs w:val="28"/>
    </w:rPr>
  </w:style>
  <w:style w:type="paragraph" w:styleId="7">
    <w:name w:val="footer"/>
    <w:basedOn w:val="1"/>
    <w:qFormat/>
    <w:uiPriority w:val="0"/>
    <w:pPr>
      <w:tabs>
        <w:tab w:val="center" w:pos="4153"/>
        <w:tab w:val="right" w:pos="8306"/>
      </w:tabs>
      <w:snapToGrid w:val="0"/>
      <w:jc w:val="left"/>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paragraph" w:styleId="12">
    <w:name w:val="List Paragraph"/>
    <w:basedOn w:val="1"/>
    <w:autoRedefine/>
    <w:qFormat/>
    <w:uiPriority w:val="34"/>
    <w:pPr>
      <w:ind w:left="648" w:hanging="543"/>
    </w:pPr>
  </w:style>
  <w:style w:type="paragraph" w:customStyle="1" w:styleId="13">
    <w:name w:val="null3"/>
    <w:hidden/>
    <w:qFormat/>
    <w:uiPriority w:val="0"/>
    <w:rPr>
      <w:rFonts w:hint="eastAsia" w:asciiTheme="minorHAnsi" w:hAnsiTheme="minorHAnsi" w:eastAsiaTheme="minorEastAsia" w:cstheme="minorBidi"/>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Calibri" w:eastAsia="宋体" w:cs="Times New Roman"/>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5339</Words>
  <Characters>5460</Characters>
  <Lines>0</Lines>
  <Paragraphs>0</Paragraphs>
  <TotalTime>0</TotalTime>
  <ScaleCrop>false</ScaleCrop>
  <LinksUpToDate>false</LinksUpToDate>
  <CharactersWithSpaces>5569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2025-11-07T06:44:00Z</dcterms:created>
  <dc:creator>♛『蘇』</dc:creator>
  <cp:lastModifiedBy>雷妮</cp:lastModifiedBy>
  <dcterms:modified xsi:type="dcterms:W3CDTF">2026-05-13T03:16:19Z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AB26304FC3274865BB251D0982733A96_11</vt:lpwstr>
  </property>
  <property fmtid="{D5CDD505-2E9C-101B-9397-08002B2CF9AE}" pid="4" name="KSOTemplateDocerSaveRecord">
    <vt:lpwstr>eyJoZGlkIjoiMzVhMzIxMWMyYjg2ZWE0NWYzYWQ4MjJiODQyZjc1YmMiLCJ1c2VySWQiOiIyMzY5NDg5MjUifQ==</vt:lpwstr>
  </property>
</Properties>
</file>