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703F3">
      <w:pP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rPr>
        <w:t>采购编号：</w:t>
      </w:r>
      <w:r>
        <w:rPr>
          <w:rFonts w:hint="eastAsia" w:asciiTheme="majorEastAsia" w:hAnsiTheme="majorEastAsia" w:eastAsiaTheme="majorEastAsia" w:cstheme="majorEastAsia"/>
          <w:b/>
          <w:bCs/>
          <w:color w:val="auto"/>
          <w:sz w:val="28"/>
          <w:szCs w:val="28"/>
          <w:highlight w:val="none"/>
          <w:lang w:eastAsia="zh-CN"/>
        </w:rPr>
        <w:t>SA20260052</w:t>
      </w:r>
    </w:p>
    <w:p w14:paraId="592803D2">
      <w:pPr>
        <w:spacing w:line="360" w:lineRule="auto"/>
        <w:ind w:firstLine="643" w:firstLineChars="200"/>
        <w:rPr>
          <w:rFonts w:asciiTheme="majorEastAsia" w:hAnsiTheme="majorEastAsia" w:eastAsiaTheme="majorEastAsia" w:cstheme="majorEastAsia"/>
          <w:b/>
          <w:bCs/>
          <w:color w:val="auto"/>
          <w:sz w:val="32"/>
          <w:szCs w:val="32"/>
          <w:highlight w:val="none"/>
        </w:rPr>
      </w:pPr>
    </w:p>
    <w:p w14:paraId="52351EA9">
      <w:pPr>
        <w:spacing w:line="360" w:lineRule="auto"/>
        <w:ind w:firstLine="723" w:firstLineChars="200"/>
        <w:rPr>
          <w:rFonts w:asciiTheme="majorEastAsia" w:hAnsiTheme="majorEastAsia" w:eastAsiaTheme="majorEastAsia" w:cstheme="majorEastAsia"/>
          <w:b/>
          <w:bCs/>
          <w:color w:val="auto"/>
          <w:sz w:val="36"/>
          <w:szCs w:val="36"/>
          <w:highlight w:val="none"/>
        </w:rPr>
      </w:pPr>
    </w:p>
    <w:p w14:paraId="464BA538">
      <w:pPr>
        <w:spacing w:line="600" w:lineRule="auto"/>
        <w:jc w:val="center"/>
        <w:rPr>
          <w:rFonts w:hint="eastAsia" w:ascii="宋体" w:hAnsi="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清涧县高杰村镇、李家塔镇地质灾害风险</w:t>
      </w:r>
    </w:p>
    <w:p w14:paraId="4640E9B0">
      <w:pPr>
        <w:spacing w:line="600" w:lineRule="auto"/>
        <w:jc w:val="center"/>
        <w:rPr>
          <w:rFonts w:hint="eastAsia" w:asciiTheme="majorEastAsia" w:hAnsiTheme="majorEastAsia" w:eastAsiaTheme="majorEastAsia" w:cstheme="majorEastAsia"/>
          <w:b/>
          <w:bCs/>
          <w:color w:val="auto"/>
          <w:sz w:val="36"/>
          <w:szCs w:val="36"/>
          <w:highlight w:val="none"/>
          <w:lang w:eastAsia="zh-CN"/>
        </w:rPr>
      </w:pPr>
      <w:r>
        <w:rPr>
          <w:rFonts w:hint="eastAsia" w:ascii="宋体" w:hAnsi="宋体" w:cs="宋体"/>
          <w:b/>
          <w:bCs/>
          <w:color w:val="auto"/>
          <w:sz w:val="44"/>
          <w:szCs w:val="44"/>
          <w:highlight w:val="none"/>
          <w:lang w:val="en-US" w:eastAsia="zh-CN"/>
        </w:rPr>
        <w:t>调查评价项目</w:t>
      </w:r>
    </w:p>
    <w:p w14:paraId="5C0D5052">
      <w:pPr>
        <w:spacing w:line="360" w:lineRule="auto"/>
        <w:jc w:val="center"/>
        <w:outlineLvl w:val="0"/>
        <w:rPr>
          <w:rFonts w:asciiTheme="majorEastAsia" w:hAnsiTheme="majorEastAsia" w:eastAsiaTheme="majorEastAsia" w:cstheme="majorEastAsia"/>
          <w:b/>
          <w:bCs/>
          <w:color w:val="auto"/>
          <w:sz w:val="44"/>
          <w:szCs w:val="44"/>
          <w:highlight w:val="none"/>
        </w:rPr>
      </w:pPr>
    </w:p>
    <w:p w14:paraId="76C84F8B">
      <w:pPr>
        <w:jc w:val="center"/>
        <w:rPr>
          <w:rFonts w:asciiTheme="majorEastAsia" w:hAnsiTheme="majorEastAsia" w:eastAsiaTheme="majorEastAsia" w:cstheme="majorEastAsia"/>
          <w:b/>
          <w:bCs/>
          <w:color w:val="auto"/>
          <w:sz w:val="72"/>
          <w:szCs w:val="72"/>
          <w:highlight w:val="none"/>
        </w:rPr>
      </w:pPr>
    </w:p>
    <w:p w14:paraId="234BEFB1">
      <w:pPr>
        <w:pStyle w:val="24"/>
        <w:ind w:firstLine="540"/>
        <w:rPr>
          <w:rFonts w:asciiTheme="majorEastAsia" w:hAnsiTheme="majorEastAsia" w:eastAsiaTheme="majorEastAsia" w:cstheme="majorEastAsia"/>
          <w:color w:val="auto"/>
          <w:highlight w:val="none"/>
        </w:rPr>
      </w:pPr>
    </w:p>
    <w:p w14:paraId="48D7B511">
      <w:pPr>
        <w:pStyle w:val="10"/>
        <w:rPr>
          <w:rFonts w:asciiTheme="majorEastAsia" w:hAnsiTheme="majorEastAsia" w:eastAsiaTheme="majorEastAsia" w:cstheme="majorEastAsia"/>
          <w:color w:val="auto"/>
          <w:highlight w:val="none"/>
        </w:rPr>
      </w:pPr>
    </w:p>
    <w:p w14:paraId="5743DC62">
      <w:pPr>
        <w:jc w:val="center"/>
        <w:rPr>
          <w:rFonts w:asciiTheme="majorEastAsia" w:hAnsiTheme="majorEastAsia" w:eastAsiaTheme="majorEastAsia" w:cstheme="majorEastAsia"/>
          <w:b/>
          <w:bCs/>
          <w:color w:val="auto"/>
          <w:sz w:val="84"/>
          <w:szCs w:val="84"/>
          <w:highlight w:val="none"/>
        </w:rPr>
      </w:pPr>
      <w:r>
        <w:rPr>
          <w:rFonts w:hint="eastAsia" w:asciiTheme="majorEastAsia" w:hAnsiTheme="majorEastAsia" w:eastAsiaTheme="majorEastAsia" w:cstheme="majorEastAsia"/>
          <w:b/>
          <w:bCs/>
          <w:color w:val="auto"/>
          <w:sz w:val="84"/>
          <w:szCs w:val="84"/>
          <w:highlight w:val="none"/>
        </w:rPr>
        <w:t>招  标  文  件</w:t>
      </w:r>
    </w:p>
    <w:p w14:paraId="266C9B05">
      <w:pPr>
        <w:rPr>
          <w:rFonts w:asciiTheme="majorEastAsia" w:hAnsiTheme="majorEastAsia" w:eastAsiaTheme="majorEastAsia" w:cstheme="majorEastAsia"/>
          <w:color w:val="auto"/>
          <w:highlight w:val="none"/>
        </w:rPr>
      </w:pPr>
    </w:p>
    <w:p w14:paraId="471D1CD5">
      <w:pPr>
        <w:rPr>
          <w:rFonts w:asciiTheme="majorEastAsia" w:hAnsiTheme="majorEastAsia" w:eastAsiaTheme="majorEastAsia" w:cstheme="majorEastAsia"/>
          <w:color w:val="auto"/>
          <w:highlight w:val="none"/>
        </w:rPr>
      </w:pPr>
    </w:p>
    <w:p w14:paraId="6C7815BA">
      <w:pPr>
        <w:jc w:val="center"/>
        <w:rPr>
          <w:rFonts w:asciiTheme="majorEastAsia" w:hAnsiTheme="majorEastAsia" w:eastAsiaTheme="majorEastAsia" w:cstheme="majorEastAsia"/>
          <w:color w:val="auto"/>
          <w:szCs w:val="21"/>
          <w:highlight w:val="none"/>
        </w:rPr>
      </w:pPr>
    </w:p>
    <w:p w14:paraId="3CC7D0D4">
      <w:pPr>
        <w:pStyle w:val="10"/>
        <w:rPr>
          <w:rFonts w:asciiTheme="majorEastAsia" w:hAnsiTheme="majorEastAsia" w:eastAsiaTheme="majorEastAsia" w:cstheme="majorEastAsia"/>
          <w:color w:val="auto"/>
          <w:szCs w:val="21"/>
          <w:highlight w:val="none"/>
        </w:rPr>
      </w:pPr>
    </w:p>
    <w:p w14:paraId="2D3508A9">
      <w:pPr>
        <w:rPr>
          <w:rFonts w:asciiTheme="majorEastAsia" w:hAnsiTheme="majorEastAsia" w:eastAsiaTheme="majorEastAsia" w:cstheme="majorEastAsia"/>
          <w:color w:val="auto"/>
          <w:highlight w:val="none"/>
        </w:rPr>
      </w:pPr>
    </w:p>
    <w:p w14:paraId="2AA59CE0">
      <w:pPr>
        <w:pStyle w:val="24"/>
        <w:ind w:firstLine="540"/>
        <w:rPr>
          <w:rFonts w:asciiTheme="majorEastAsia" w:hAnsiTheme="majorEastAsia" w:eastAsiaTheme="majorEastAsia" w:cstheme="majorEastAsia"/>
          <w:color w:val="auto"/>
          <w:highlight w:val="none"/>
        </w:rPr>
      </w:pPr>
    </w:p>
    <w:p w14:paraId="3A204841">
      <w:pPr>
        <w:pStyle w:val="17"/>
        <w:rPr>
          <w:rFonts w:asciiTheme="majorEastAsia" w:hAnsiTheme="majorEastAsia" w:eastAsiaTheme="majorEastAsia" w:cstheme="majorEastAsia"/>
          <w:b/>
          <w:bCs/>
          <w:color w:val="auto"/>
          <w:sz w:val="30"/>
          <w:szCs w:val="30"/>
          <w:highlight w:val="none"/>
        </w:rPr>
      </w:pPr>
    </w:p>
    <w:p w14:paraId="57E5787B">
      <w:pPr>
        <w:pStyle w:val="17"/>
        <w:rPr>
          <w:rFonts w:asciiTheme="majorEastAsia" w:hAnsiTheme="majorEastAsia" w:eastAsiaTheme="majorEastAsia" w:cstheme="majorEastAsia"/>
          <w:color w:val="auto"/>
          <w:highlight w:val="none"/>
        </w:rPr>
      </w:pPr>
    </w:p>
    <w:p w14:paraId="30E0D663">
      <w:pPr>
        <w:spacing w:line="360" w:lineRule="auto"/>
        <w:ind w:firstLine="643" w:firstLineChars="200"/>
        <w:rPr>
          <w:rFonts w:hint="eastAsia" w:asciiTheme="majorEastAsia" w:hAnsiTheme="majorEastAsia" w:eastAsiaTheme="majorEastAsia" w:cstheme="majorEastAsia"/>
          <w:b/>
          <w:bCs/>
          <w:color w:val="auto"/>
          <w:sz w:val="32"/>
          <w:szCs w:val="32"/>
          <w:highlight w:val="none"/>
          <w:lang w:eastAsia="zh-CN"/>
        </w:rPr>
      </w:pPr>
      <w:r>
        <w:rPr>
          <w:rFonts w:hint="eastAsia" w:asciiTheme="majorEastAsia" w:hAnsiTheme="majorEastAsia" w:eastAsiaTheme="majorEastAsia" w:cstheme="majorEastAsia"/>
          <w:b/>
          <w:bCs/>
          <w:color w:val="auto"/>
          <w:sz w:val="32"/>
          <w:szCs w:val="32"/>
          <w:highlight w:val="none"/>
        </w:rPr>
        <w:t>采购单位：</w:t>
      </w:r>
      <w:r>
        <w:rPr>
          <w:rFonts w:hint="eastAsia" w:asciiTheme="majorEastAsia" w:hAnsiTheme="majorEastAsia" w:eastAsiaTheme="majorEastAsia" w:cstheme="majorEastAsia"/>
          <w:b/>
          <w:bCs/>
          <w:color w:val="auto"/>
          <w:sz w:val="32"/>
          <w:szCs w:val="32"/>
          <w:highlight w:val="none"/>
          <w:lang w:eastAsia="zh-CN"/>
        </w:rPr>
        <w:t>清涧县地质环境监测站</w:t>
      </w:r>
    </w:p>
    <w:p w14:paraId="157ADBEC">
      <w:pPr>
        <w:spacing w:line="360" w:lineRule="auto"/>
        <w:ind w:firstLine="643" w:firstLineChars="200"/>
        <w:rPr>
          <w:rFonts w:asciiTheme="majorEastAsia" w:hAnsiTheme="majorEastAsia" w:eastAsiaTheme="majorEastAsia" w:cstheme="majorEastAsia"/>
          <w:b/>
          <w:bCs/>
          <w:color w:val="auto"/>
          <w:sz w:val="32"/>
          <w:szCs w:val="32"/>
          <w:highlight w:val="none"/>
        </w:rPr>
      </w:pPr>
    </w:p>
    <w:p w14:paraId="59D84FED">
      <w:pPr>
        <w:spacing w:line="360" w:lineRule="auto"/>
        <w:ind w:firstLine="643" w:firstLineChars="200"/>
        <w:rPr>
          <w:rFonts w:hint="eastAsia" w:asciiTheme="majorEastAsia" w:hAnsiTheme="majorEastAsia" w:eastAsiaTheme="majorEastAsia" w:cstheme="majorEastAsia"/>
          <w:b/>
          <w:bCs/>
          <w:color w:val="auto"/>
          <w:sz w:val="32"/>
          <w:szCs w:val="32"/>
          <w:highlight w:val="none"/>
          <w:lang w:eastAsia="zh-CN"/>
        </w:rPr>
      </w:pPr>
      <w:r>
        <w:rPr>
          <w:rFonts w:hint="eastAsia" w:asciiTheme="majorEastAsia" w:hAnsiTheme="majorEastAsia" w:eastAsiaTheme="majorEastAsia" w:cstheme="majorEastAsia"/>
          <w:b/>
          <w:bCs/>
          <w:color w:val="auto"/>
          <w:sz w:val="32"/>
          <w:szCs w:val="32"/>
          <w:highlight w:val="none"/>
        </w:rPr>
        <w:t>代理机构：</w:t>
      </w:r>
      <w:r>
        <w:rPr>
          <w:rFonts w:hint="eastAsia" w:asciiTheme="majorEastAsia" w:hAnsiTheme="majorEastAsia" w:eastAsiaTheme="majorEastAsia" w:cstheme="majorEastAsia"/>
          <w:b/>
          <w:bCs/>
          <w:color w:val="auto"/>
          <w:sz w:val="32"/>
          <w:szCs w:val="32"/>
          <w:highlight w:val="none"/>
          <w:lang w:eastAsia="zh-CN"/>
        </w:rPr>
        <w:t>陕安项目管理有限公司</w:t>
      </w:r>
    </w:p>
    <w:p w14:paraId="66966212">
      <w:pPr>
        <w:spacing w:line="360" w:lineRule="auto"/>
        <w:ind w:firstLine="643" w:firstLineChars="200"/>
        <w:rPr>
          <w:rFonts w:asciiTheme="majorEastAsia" w:hAnsiTheme="majorEastAsia" w:eastAsiaTheme="majorEastAsia" w:cstheme="majorEastAsia"/>
          <w:b/>
          <w:bCs/>
          <w:color w:val="auto"/>
          <w:sz w:val="32"/>
          <w:szCs w:val="32"/>
          <w:highlight w:val="none"/>
        </w:rPr>
      </w:pPr>
    </w:p>
    <w:p w14:paraId="213E1A31">
      <w:pPr>
        <w:spacing w:line="360" w:lineRule="auto"/>
        <w:ind w:firstLine="643" w:firstLineChars="200"/>
        <w:rPr>
          <w:rFonts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t>日    期：二零二</w:t>
      </w:r>
      <w:r>
        <w:rPr>
          <w:rFonts w:hint="eastAsia" w:asciiTheme="majorEastAsia" w:hAnsiTheme="majorEastAsia" w:eastAsiaTheme="majorEastAsia" w:cstheme="majorEastAsia"/>
          <w:b/>
          <w:bCs/>
          <w:color w:val="auto"/>
          <w:sz w:val="32"/>
          <w:szCs w:val="32"/>
          <w:highlight w:val="none"/>
          <w:lang w:val="en-US" w:eastAsia="zh-CN"/>
        </w:rPr>
        <w:t>六</w:t>
      </w:r>
      <w:r>
        <w:rPr>
          <w:rFonts w:hint="eastAsia" w:asciiTheme="majorEastAsia" w:hAnsiTheme="majorEastAsia" w:eastAsiaTheme="majorEastAsia" w:cstheme="majorEastAsia"/>
          <w:b/>
          <w:bCs/>
          <w:color w:val="auto"/>
          <w:sz w:val="32"/>
          <w:szCs w:val="32"/>
          <w:highlight w:val="none"/>
        </w:rPr>
        <w:t>年</w:t>
      </w:r>
      <w:r>
        <w:rPr>
          <w:rFonts w:hint="eastAsia" w:asciiTheme="majorEastAsia" w:hAnsiTheme="majorEastAsia" w:eastAsiaTheme="majorEastAsia" w:cstheme="majorEastAsia"/>
          <w:b/>
          <w:bCs/>
          <w:color w:val="auto"/>
          <w:sz w:val="32"/>
          <w:szCs w:val="32"/>
          <w:highlight w:val="none"/>
          <w:u w:val="single"/>
          <w:lang w:val="en-US" w:eastAsia="zh-CN"/>
        </w:rPr>
        <w:t xml:space="preserve">  八  </w:t>
      </w:r>
      <w:r>
        <w:rPr>
          <w:rFonts w:hint="eastAsia" w:asciiTheme="majorEastAsia" w:hAnsiTheme="majorEastAsia" w:eastAsiaTheme="majorEastAsia" w:cstheme="majorEastAsia"/>
          <w:b/>
          <w:bCs/>
          <w:color w:val="auto"/>
          <w:sz w:val="32"/>
          <w:szCs w:val="32"/>
          <w:highlight w:val="none"/>
        </w:rPr>
        <w:t xml:space="preserve">月          </w:t>
      </w:r>
    </w:p>
    <w:p w14:paraId="0DD8870E">
      <w:pPr>
        <w:jc w:val="center"/>
        <w:rPr>
          <w:rFonts w:asciiTheme="majorEastAsia" w:hAnsiTheme="majorEastAsia" w:eastAsiaTheme="majorEastAsia" w:cstheme="majorEastAsia"/>
          <w:b/>
          <w:color w:val="auto"/>
          <w:sz w:val="32"/>
          <w:szCs w:val="32"/>
          <w:highlight w:val="none"/>
        </w:rPr>
      </w:pPr>
    </w:p>
    <w:p w14:paraId="5B3D978D">
      <w:pPr>
        <w:snapToGrid w:val="0"/>
        <w:jc w:val="center"/>
        <w:rPr>
          <w:rFonts w:asciiTheme="majorEastAsia" w:hAnsiTheme="majorEastAsia" w:eastAsiaTheme="majorEastAsia" w:cstheme="majorEastAsia"/>
          <w:b/>
          <w:color w:val="auto"/>
          <w:sz w:val="48"/>
          <w:szCs w:val="48"/>
          <w:highlight w:val="none"/>
        </w:rPr>
        <w:sectPr>
          <w:headerReference r:id="rId3" w:type="default"/>
          <w:pgSz w:w="11906" w:h="16838"/>
          <w:pgMar w:top="1440" w:right="1449" w:bottom="1440" w:left="1417" w:header="851" w:footer="992" w:gutter="0"/>
          <w:cols w:space="720" w:num="1"/>
          <w:docGrid w:type="lines" w:linePitch="312" w:charSpace="0"/>
        </w:sectPr>
      </w:pPr>
    </w:p>
    <w:p w14:paraId="300A55A6">
      <w:pPr>
        <w:snapToGrid w:val="0"/>
        <w:jc w:val="center"/>
        <w:rPr>
          <w:rFonts w:asciiTheme="majorEastAsia" w:hAnsiTheme="majorEastAsia" w:eastAsiaTheme="majorEastAsia" w:cstheme="majorEastAsia"/>
          <w:b/>
          <w:color w:val="auto"/>
          <w:sz w:val="48"/>
          <w:szCs w:val="48"/>
          <w:highlight w:val="none"/>
        </w:rPr>
      </w:pPr>
      <w:r>
        <w:rPr>
          <w:rFonts w:hint="eastAsia" w:asciiTheme="majorEastAsia" w:hAnsiTheme="majorEastAsia" w:eastAsiaTheme="majorEastAsia" w:cstheme="majorEastAsia"/>
          <w:b/>
          <w:color w:val="auto"/>
          <w:sz w:val="48"/>
          <w:szCs w:val="48"/>
          <w:highlight w:val="none"/>
        </w:rPr>
        <w:t>目  录</w:t>
      </w:r>
    </w:p>
    <w:p w14:paraId="3622B9F9">
      <w:pPr>
        <w:snapToGrid w:val="0"/>
        <w:spacing w:line="360" w:lineRule="auto"/>
        <w:jc w:val="center"/>
        <w:rPr>
          <w:rFonts w:asciiTheme="majorEastAsia" w:hAnsiTheme="majorEastAsia" w:eastAsiaTheme="majorEastAsia" w:cstheme="majorEastAsia"/>
          <w:b/>
          <w:color w:val="auto"/>
          <w:sz w:val="50"/>
          <w:highlight w:val="none"/>
        </w:rPr>
      </w:pPr>
    </w:p>
    <w:sdt>
      <w:sdtPr>
        <w:rPr>
          <w:rFonts w:hint="eastAsia" w:asciiTheme="majorEastAsia" w:hAnsiTheme="majorEastAsia" w:eastAsiaTheme="majorEastAsia" w:cstheme="majorEastAsia"/>
          <w:color w:val="auto"/>
          <w:highlight w:val="none"/>
        </w:rPr>
        <w:id w:val="147473016"/>
        <w:docPartObj>
          <w:docPartGallery w:val="Table of Contents"/>
          <w:docPartUnique/>
        </w:docPartObj>
      </w:sdtPr>
      <w:sdtEndPr>
        <w:rPr>
          <w:rFonts w:hint="eastAsia" w:asciiTheme="majorEastAsia" w:hAnsiTheme="majorEastAsia" w:eastAsiaTheme="majorEastAsia" w:cstheme="majorEastAsia"/>
          <w:color w:val="auto"/>
          <w:szCs w:val="32"/>
          <w:highlight w:val="none"/>
        </w:rPr>
      </w:sdtEndPr>
      <w:sdtContent>
        <w:p w14:paraId="4B4801DD">
          <w:pPr>
            <w:jc w:val="center"/>
            <w:rPr>
              <w:rFonts w:asciiTheme="majorEastAsia" w:hAnsiTheme="majorEastAsia" w:eastAsiaTheme="majorEastAsia" w:cstheme="majorEastAsia"/>
              <w:color w:val="auto"/>
              <w:highlight w:val="none"/>
            </w:rPr>
          </w:pPr>
          <w:bookmarkStart w:id="0" w:name="_Toc498326351"/>
          <w:bookmarkStart w:id="1" w:name="_Toc245657539"/>
          <w:bookmarkStart w:id="2" w:name="_Toc169846762"/>
          <w:bookmarkStart w:id="3" w:name="_Toc169846859"/>
          <w:bookmarkStart w:id="4" w:name="_Toc169838518"/>
          <w:bookmarkStart w:id="5" w:name="_Toc208337150"/>
          <w:bookmarkStart w:id="6" w:name="_Toc170980538"/>
          <w:bookmarkStart w:id="7" w:name="_Toc207897902"/>
          <w:bookmarkStart w:id="8" w:name="_Toc154482465"/>
          <w:bookmarkStart w:id="9" w:name="_Toc167590761"/>
          <w:bookmarkStart w:id="10" w:name="_Toc167591316"/>
          <w:bookmarkStart w:id="11" w:name="_Toc167591029"/>
          <w:bookmarkStart w:id="12" w:name="_Toc167591478"/>
          <w:bookmarkStart w:id="13" w:name="_Toc245176651"/>
          <w:bookmarkStart w:id="14" w:name="_Toc175032423"/>
          <w:bookmarkStart w:id="15" w:name="_Toc170980440"/>
          <w:bookmarkStart w:id="16" w:name="_Toc245658520"/>
          <w:bookmarkStart w:id="17" w:name="_Toc167591130"/>
          <w:bookmarkStart w:id="18" w:name="_Toc167849346"/>
          <w:bookmarkStart w:id="19" w:name="_Toc175033578"/>
          <w:bookmarkStart w:id="20" w:name="_Toc244623577"/>
          <w:bookmarkStart w:id="21" w:name="_Toc173549964"/>
          <w:bookmarkStart w:id="22" w:name="_Toc201650492"/>
          <w:bookmarkStart w:id="23" w:name="_Toc260242592"/>
        </w:p>
        <w:p w14:paraId="4F9853BC">
          <w:pPr>
            <w:pStyle w:val="20"/>
            <w:tabs>
              <w:tab w:val="right" w:leader="dot" w:pos="9040"/>
            </w:tabs>
            <w:spacing w:line="360" w:lineRule="auto"/>
            <w:rPr>
              <w:b/>
              <w:bCs/>
              <w:color w:val="auto"/>
              <w:sz w:val="24"/>
              <w:szCs w:val="24"/>
              <w:highlight w:val="none"/>
            </w:rPr>
          </w:pPr>
          <w:r>
            <w:rPr>
              <w:rFonts w:hint="eastAsia" w:asciiTheme="majorEastAsia" w:hAnsiTheme="majorEastAsia" w:eastAsiaTheme="majorEastAsia" w:cstheme="majorEastAsia"/>
              <w:b/>
              <w:color w:val="auto"/>
              <w:sz w:val="24"/>
              <w:highlight w:val="none"/>
            </w:rPr>
            <w:fldChar w:fldCharType="begin"/>
          </w:r>
          <w:r>
            <w:rPr>
              <w:rFonts w:hint="eastAsia" w:asciiTheme="majorEastAsia" w:hAnsiTheme="majorEastAsia" w:eastAsiaTheme="majorEastAsia" w:cstheme="majorEastAsia"/>
              <w:b/>
              <w:color w:val="auto"/>
              <w:sz w:val="24"/>
              <w:highlight w:val="none"/>
            </w:rPr>
            <w:instrText xml:space="preserve">TOC \o "1-1" \h \u </w:instrText>
          </w:r>
          <w:r>
            <w:rPr>
              <w:rFonts w:hint="eastAsia" w:asciiTheme="majorEastAsia" w:hAnsiTheme="majorEastAsia" w:eastAsiaTheme="majorEastAsia" w:cstheme="majorEastAsia"/>
              <w:b/>
              <w:color w:val="auto"/>
              <w:sz w:val="24"/>
              <w:highlight w:val="none"/>
            </w:rPr>
            <w:fldChar w:fldCharType="separate"/>
          </w:r>
          <w:r>
            <w:rPr>
              <w:rFonts w:hint="eastAsia" w:asciiTheme="majorEastAsia" w:hAnsiTheme="majorEastAsia" w:eastAsiaTheme="majorEastAsia" w:cstheme="majorEastAsia"/>
              <w:b/>
              <w:bCs/>
              <w:color w:val="auto"/>
              <w:sz w:val="24"/>
              <w:szCs w:val="24"/>
              <w:highlight w:val="none"/>
            </w:rPr>
            <w:fldChar w:fldCharType="begin"/>
          </w:r>
          <w:r>
            <w:rPr>
              <w:rFonts w:hint="eastAsia" w:asciiTheme="majorEastAsia" w:hAnsiTheme="majorEastAsia" w:eastAsiaTheme="majorEastAsia" w:cstheme="majorEastAsia"/>
              <w:b/>
              <w:bCs/>
              <w:color w:val="auto"/>
              <w:sz w:val="24"/>
              <w:szCs w:val="24"/>
              <w:highlight w:val="none"/>
            </w:rPr>
            <w:instrText xml:space="preserve"> HYPERLINK \l _Toc28493 </w:instrText>
          </w:r>
          <w:r>
            <w:rPr>
              <w:rFonts w:hint="eastAsia" w:asciiTheme="majorEastAsia" w:hAnsiTheme="majorEastAsia" w:eastAsiaTheme="majorEastAsia" w:cstheme="majorEastAsia"/>
              <w:b/>
              <w:bCs/>
              <w:color w:val="auto"/>
              <w:sz w:val="24"/>
              <w:szCs w:val="24"/>
              <w:highlight w:val="none"/>
            </w:rPr>
            <w:fldChar w:fldCharType="separate"/>
          </w:r>
          <w:r>
            <w:rPr>
              <w:rFonts w:hint="eastAsia"/>
              <w:b/>
              <w:bCs/>
              <w:color w:val="auto"/>
              <w:sz w:val="24"/>
              <w:szCs w:val="24"/>
              <w:highlight w:val="none"/>
            </w:rPr>
            <w:t>第一章  招标公告</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_Toc28493 \h </w:instrText>
          </w:r>
          <w:r>
            <w:rPr>
              <w:b/>
              <w:bCs/>
              <w:color w:val="auto"/>
              <w:sz w:val="24"/>
              <w:szCs w:val="24"/>
              <w:highlight w:val="none"/>
            </w:rPr>
            <w:fldChar w:fldCharType="separate"/>
          </w:r>
          <w:r>
            <w:rPr>
              <w:b/>
              <w:bCs/>
              <w:color w:val="auto"/>
              <w:sz w:val="24"/>
              <w:szCs w:val="24"/>
              <w:highlight w:val="none"/>
            </w:rPr>
            <w:t>3</w:t>
          </w:r>
          <w:r>
            <w:rPr>
              <w:b/>
              <w:bCs/>
              <w:color w:val="auto"/>
              <w:sz w:val="24"/>
              <w:szCs w:val="24"/>
              <w:highlight w:val="none"/>
            </w:rPr>
            <w:fldChar w:fldCharType="end"/>
          </w:r>
          <w:r>
            <w:rPr>
              <w:rFonts w:hint="eastAsia" w:asciiTheme="majorEastAsia" w:hAnsiTheme="majorEastAsia" w:eastAsiaTheme="majorEastAsia" w:cstheme="majorEastAsia"/>
              <w:b/>
              <w:bCs/>
              <w:color w:val="auto"/>
              <w:sz w:val="24"/>
              <w:szCs w:val="24"/>
              <w:highlight w:val="none"/>
            </w:rPr>
            <w:fldChar w:fldCharType="end"/>
          </w:r>
        </w:p>
        <w:p w14:paraId="01077542">
          <w:pPr>
            <w:pStyle w:val="20"/>
            <w:tabs>
              <w:tab w:val="right" w:leader="dot" w:pos="9040"/>
            </w:tabs>
            <w:spacing w:line="360" w:lineRule="auto"/>
            <w:rPr>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fldChar w:fldCharType="begin"/>
          </w:r>
          <w:r>
            <w:rPr>
              <w:rFonts w:hint="eastAsia" w:asciiTheme="majorEastAsia" w:hAnsiTheme="majorEastAsia" w:eastAsiaTheme="majorEastAsia" w:cstheme="majorEastAsia"/>
              <w:b/>
              <w:bCs/>
              <w:color w:val="auto"/>
              <w:sz w:val="24"/>
              <w:szCs w:val="24"/>
              <w:highlight w:val="none"/>
            </w:rPr>
            <w:instrText xml:space="preserve"> HYPERLINK \l _Toc9799 </w:instrText>
          </w:r>
          <w:r>
            <w:rPr>
              <w:rFonts w:hint="eastAsia" w:asciiTheme="majorEastAsia" w:hAnsiTheme="majorEastAsia" w:eastAsiaTheme="majorEastAsia" w:cstheme="majorEastAsia"/>
              <w:b/>
              <w:bCs/>
              <w:color w:val="auto"/>
              <w:sz w:val="24"/>
              <w:szCs w:val="24"/>
              <w:highlight w:val="none"/>
            </w:rPr>
            <w:fldChar w:fldCharType="separate"/>
          </w:r>
          <w:r>
            <w:rPr>
              <w:rFonts w:hint="eastAsia"/>
              <w:b/>
              <w:bCs/>
              <w:color w:val="auto"/>
              <w:sz w:val="24"/>
              <w:szCs w:val="24"/>
              <w:highlight w:val="none"/>
            </w:rPr>
            <w:t xml:space="preserve">第二章 </w:t>
          </w:r>
          <w:r>
            <w:rPr>
              <w:rFonts w:hint="eastAsia"/>
              <w:b/>
              <w:bCs/>
              <w:color w:val="auto"/>
              <w:sz w:val="24"/>
              <w:szCs w:val="24"/>
              <w:highlight w:val="none"/>
              <w:lang w:val="en-US" w:eastAsia="zh-CN"/>
            </w:rPr>
            <w:t xml:space="preserve"> </w:t>
          </w:r>
          <w:r>
            <w:rPr>
              <w:rFonts w:hint="eastAsia"/>
              <w:b/>
              <w:bCs/>
              <w:color w:val="auto"/>
              <w:sz w:val="24"/>
              <w:szCs w:val="24"/>
              <w:highlight w:val="none"/>
            </w:rPr>
            <w:t>投标须知前附表</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_Toc9799 \h </w:instrText>
          </w:r>
          <w:r>
            <w:rPr>
              <w:b/>
              <w:bCs/>
              <w:color w:val="auto"/>
              <w:sz w:val="24"/>
              <w:szCs w:val="24"/>
              <w:highlight w:val="none"/>
            </w:rPr>
            <w:fldChar w:fldCharType="separate"/>
          </w:r>
          <w:r>
            <w:rPr>
              <w:b/>
              <w:bCs/>
              <w:color w:val="auto"/>
              <w:sz w:val="24"/>
              <w:szCs w:val="24"/>
              <w:highlight w:val="none"/>
            </w:rPr>
            <w:t>8</w:t>
          </w:r>
          <w:r>
            <w:rPr>
              <w:b/>
              <w:bCs/>
              <w:color w:val="auto"/>
              <w:sz w:val="24"/>
              <w:szCs w:val="24"/>
              <w:highlight w:val="none"/>
            </w:rPr>
            <w:fldChar w:fldCharType="end"/>
          </w:r>
          <w:r>
            <w:rPr>
              <w:rFonts w:hint="eastAsia" w:asciiTheme="majorEastAsia" w:hAnsiTheme="majorEastAsia" w:eastAsiaTheme="majorEastAsia" w:cstheme="majorEastAsia"/>
              <w:b/>
              <w:bCs/>
              <w:color w:val="auto"/>
              <w:sz w:val="24"/>
              <w:szCs w:val="24"/>
              <w:highlight w:val="none"/>
            </w:rPr>
            <w:fldChar w:fldCharType="end"/>
          </w:r>
        </w:p>
        <w:p w14:paraId="21107FBA">
          <w:pPr>
            <w:pStyle w:val="20"/>
            <w:tabs>
              <w:tab w:val="right" w:leader="dot" w:pos="9040"/>
            </w:tabs>
            <w:spacing w:line="360" w:lineRule="auto"/>
            <w:rPr>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fldChar w:fldCharType="begin"/>
          </w:r>
          <w:r>
            <w:rPr>
              <w:rFonts w:hint="eastAsia" w:asciiTheme="majorEastAsia" w:hAnsiTheme="majorEastAsia" w:eastAsiaTheme="majorEastAsia" w:cstheme="majorEastAsia"/>
              <w:b/>
              <w:bCs/>
              <w:color w:val="auto"/>
              <w:sz w:val="24"/>
              <w:szCs w:val="24"/>
              <w:highlight w:val="none"/>
            </w:rPr>
            <w:instrText xml:space="preserve"> HYPERLINK \l _Toc5220 </w:instrText>
          </w:r>
          <w:r>
            <w:rPr>
              <w:rFonts w:hint="eastAsia" w:asciiTheme="majorEastAsia" w:hAnsiTheme="majorEastAsia" w:eastAsiaTheme="majorEastAsia" w:cstheme="majorEastAsia"/>
              <w:b/>
              <w:bCs/>
              <w:color w:val="auto"/>
              <w:sz w:val="24"/>
              <w:szCs w:val="24"/>
              <w:highlight w:val="none"/>
            </w:rPr>
            <w:fldChar w:fldCharType="separate"/>
          </w:r>
          <w:r>
            <w:rPr>
              <w:rFonts w:hint="eastAsia"/>
              <w:b/>
              <w:bCs/>
              <w:color w:val="auto"/>
              <w:sz w:val="24"/>
              <w:szCs w:val="24"/>
              <w:highlight w:val="none"/>
            </w:rPr>
            <w:t>第三章  投标须知</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_Toc5220 \h </w:instrText>
          </w:r>
          <w:r>
            <w:rPr>
              <w:b/>
              <w:bCs/>
              <w:color w:val="auto"/>
              <w:sz w:val="24"/>
              <w:szCs w:val="24"/>
              <w:highlight w:val="none"/>
            </w:rPr>
            <w:fldChar w:fldCharType="separate"/>
          </w:r>
          <w:r>
            <w:rPr>
              <w:b/>
              <w:bCs/>
              <w:color w:val="auto"/>
              <w:sz w:val="24"/>
              <w:szCs w:val="24"/>
              <w:highlight w:val="none"/>
            </w:rPr>
            <w:t>18</w:t>
          </w:r>
          <w:r>
            <w:rPr>
              <w:b/>
              <w:bCs/>
              <w:color w:val="auto"/>
              <w:sz w:val="24"/>
              <w:szCs w:val="24"/>
              <w:highlight w:val="none"/>
            </w:rPr>
            <w:fldChar w:fldCharType="end"/>
          </w:r>
          <w:r>
            <w:rPr>
              <w:rFonts w:hint="eastAsia" w:asciiTheme="majorEastAsia" w:hAnsiTheme="majorEastAsia" w:eastAsiaTheme="majorEastAsia" w:cstheme="majorEastAsia"/>
              <w:b/>
              <w:bCs/>
              <w:color w:val="auto"/>
              <w:sz w:val="24"/>
              <w:szCs w:val="24"/>
              <w:highlight w:val="none"/>
            </w:rPr>
            <w:fldChar w:fldCharType="end"/>
          </w:r>
        </w:p>
        <w:p w14:paraId="7C25D6B0">
          <w:pPr>
            <w:pStyle w:val="20"/>
            <w:tabs>
              <w:tab w:val="right" w:leader="dot" w:pos="9040"/>
            </w:tabs>
            <w:spacing w:line="360" w:lineRule="auto"/>
            <w:rPr>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fldChar w:fldCharType="begin"/>
          </w:r>
          <w:r>
            <w:rPr>
              <w:rFonts w:hint="eastAsia" w:asciiTheme="majorEastAsia" w:hAnsiTheme="majorEastAsia" w:eastAsiaTheme="majorEastAsia" w:cstheme="majorEastAsia"/>
              <w:b/>
              <w:bCs/>
              <w:color w:val="auto"/>
              <w:sz w:val="24"/>
              <w:szCs w:val="24"/>
              <w:highlight w:val="none"/>
            </w:rPr>
            <w:instrText xml:space="preserve"> HYPERLINK \l _Toc19783 </w:instrText>
          </w:r>
          <w:r>
            <w:rPr>
              <w:rFonts w:hint="eastAsia" w:asciiTheme="majorEastAsia" w:hAnsiTheme="majorEastAsia" w:eastAsiaTheme="majorEastAsia" w:cstheme="majorEastAsia"/>
              <w:b/>
              <w:bCs/>
              <w:color w:val="auto"/>
              <w:sz w:val="24"/>
              <w:szCs w:val="24"/>
              <w:highlight w:val="none"/>
            </w:rPr>
            <w:fldChar w:fldCharType="separate"/>
          </w:r>
          <w:r>
            <w:rPr>
              <w:rFonts w:hint="eastAsia"/>
              <w:b/>
              <w:bCs/>
              <w:color w:val="auto"/>
              <w:sz w:val="24"/>
              <w:szCs w:val="24"/>
              <w:highlight w:val="none"/>
            </w:rPr>
            <w:t>第四章  采购内容及技术要求</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_Toc19783 \h </w:instrText>
          </w:r>
          <w:r>
            <w:rPr>
              <w:b/>
              <w:bCs/>
              <w:color w:val="auto"/>
              <w:sz w:val="24"/>
              <w:szCs w:val="24"/>
              <w:highlight w:val="none"/>
            </w:rPr>
            <w:fldChar w:fldCharType="separate"/>
          </w:r>
          <w:r>
            <w:rPr>
              <w:b/>
              <w:bCs/>
              <w:color w:val="auto"/>
              <w:sz w:val="24"/>
              <w:szCs w:val="24"/>
              <w:highlight w:val="none"/>
            </w:rPr>
            <w:t>40</w:t>
          </w:r>
          <w:r>
            <w:rPr>
              <w:b/>
              <w:bCs/>
              <w:color w:val="auto"/>
              <w:sz w:val="24"/>
              <w:szCs w:val="24"/>
              <w:highlight w:val="none"/>
            </w:rPr>
            <w:fldChar w:fldCharType="end"/>
          </w:r>
          <w:r>
            <w:rPr>
              <w:rFonts w:hint="eastAsia" w:asciiTheme="majorEastAsia" w:hAnsiTheme="majorEastAsia" w:eastAsiaTheme="majorEastAsia" w:cstheme="majorEastAsia"/>
              <w:b/>
              <w:bCs/>
              <w:color w:val="auto"/>
              <w:sz w:val="24"/>
              <w:szCs w:val="24"/>
              <w:highlight w:val="none"/>
            </w:rPr>
            <w:fldChar w:fldCharType="end"/>
          </w:r>
        </w:p>
        <w:p w14:paraId="7DF818ED">
          <w:pPr>
            <w:pStyle w:val="20"/>
            <w:tabs>
              <w:tab w:val="right" w:leader="dot" w:pos="9040"/>
            </w:tabs>
            <w:spacing w:line="360" w:lineRule="auto"/>
            <w:rPr>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fldChar w:fldCharType="begin"/>
          </w:r>
          <w:r>
            <w:rPr>
              <w:rFonts w:hint="eastAsia" w:asciiTheme="majorEastAsia" w:hAnsiTheme="majorEastAsia" w:eastAsiaTheme="majorEastAsia" w:cstheme="majorEastAsia"/>
              <w:b/>
              <w:bCs/>
              <w:color w:val="auto"/>
              <w:sz w:val="24"/>
              <w:szCs w:val="24"/>
              <w:highlight w:val="none"/>
            </w:rPr>
            <w:instrText xml:space="preserve"> HYPERLINK \l _Toc3465 </w:instrText>
          </w:r>
          <w:r>
            <w:rPr>
              <w:rFonts w:hint="eastAsia" w:asciiTheme="majorEastAsia" w:hAnsiTheme="majorEastAsia" w:eastAsiaTheme="majorEastAsia" w:cstheme="majorEastAsia"/>
              <w:b/>
              <w:bCs/>
              <w:color w:val="auto"/>
              <w:sz w:val="24"/>
              <w:szCs w:val="24"/>
              <w:highlight w:val="none"/>
            </w:rPr>
            <w:fldChar w:fldCharType="separate"/>
          </w:r>
          <w:r>
            <w:rPr>
              <w:rFonts w:hint="eastAsia"/>
              <w:b/>
              <w:bCs/>
              <w:color w:val="auto"/>
              <w:sz w:val="24"/>
              <w:szCs w:val="24"/>
              <w:highlight w:val="none"/>
            </w:rPr>
            <w:t xml:space="preserve">第五章  </w:t>
          </w:r>
          <w:r>
            <w:rPr>
              <w:rFonts w:hint="eastAsia"/>
              <w:b/>
              <w:bCs/>
              <w:color w:val="auto"/>
              <w:sz w:val="24"/>
              <w:szCs w:val="24"/>
              <w:highlight w:val="none"/>
              <w:lang w:val="zh-CN"/>
            </w:rPr>
            <w:t>商务条款</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_Toc3465 \h </w:instrText>
          </w:r>
          <w:r>
            <w:rPr>
              <w:b/>
              <w:bCs/>
              <w:color w:val="auto"/>
              <w:sz w:val="24"/>
              <w:szCs w:val="24"/>
              <w:highlight w:val="none"/>
            </w:rPr>
            <w:fldChar w:fldCharType="separate"/>
          </w:r>
          <w:r>
            <w:rPr>
              <w:b/>
              <w:bCs/>
              <w:color w:val="auto"/>
              <w:sz w:val="24"/>
              <w:szCs w:val="24"/>
              <w:highlight w:val="none"/>
            </w:rPr>
            <w:t>46</w:t>
          </w:r>
          <w:r>
            <w:rPr>
              <w:b/>
              <w:bCs/>
              <w:color w:val="auto"/>
              <w:sz w:val="24"/>
              <w:szCs w:val="24"/>
              <w:highlight w:val="none"/>
            </w:rPr>
            <w:fldChar w:fldCharType="end"/>
          </w:r>
          <w:r>
            <w:rPr>
              <w:rFonts w:hint="eastAsia" w:asciiTheme="majorEastAsia" w:hAnsiTheme="majorEastAsia" w:eastAsiaTheme="majorEastAsia" w:cstheme="majorEastAsia"/>
              <w:b/>
              <w:bCs/>
              <w:color w:val="auto"/>
              <w:sz w:val="24"/>
              <w:szCs w:val="24"/>
              <w:highlight w:val="none"/>
            </w:rPr>
            <w:fldChar w:fldCharType="end"/>
          </w:r>
        </w:p>
        <w:p w14:paraId="59CBD482">
          <w:pPr>
            <w:pStyle w:val="20"/>
            <w:tabs>
              <w:tab w:val="right" w:leader="dot" w:pos="9040"/>
            </w:tabs>
            <w:spacing w:line="360" w:lineRule="auto"/>
            <w:rPr>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fldChar w:fldCharType="begin"/>
          </w:r>
          <w:r>
            <w:rPr>
              <w:rFonts w:hint="eastAsia" w:asciiTheme="majorEastAsia" w:hAnsiTheme="majorEastAsia" w:eastAsiaTheme="majorEastAsia" w:cstheme="majorEastAsia"/>
              <w:b/>
              <w:bCs/>
              <w:color w:val="auto"/>
              <w:sz w:val="24"/>
              <w:szCs w:val="24"/>
              <w:highlight w:val="none"/>
            </w:rPr>
            <w:instrText xml:space="preserve"> HYPERLINK \l _Toc2899 </w:instrText>
          </w:r>
          <w:r>
            <w:rPr>
              <w:rFonts w:hint="eastAsia" w:asciiTheme="majorEastAsia" w:hAnsiTheme="majorEastAsia" w:eastAsiaTheme="majorEastAsia" w:cstheme="majorEastAsia"/>
              <w:b/>
              <w:bCs/>
              <w:color w:val="auto"/>
              <w:sz w:val="24"/>
              <w:szCs w:val="24"/>
              <w:highlight w:val="none"/>
            </w:rPr>
            <w:fldChar w:fldCharType="separate"/>
          </w:r>
          <w:r>
            <w:rPr>
              <w:rFonts w:hint="eastAsia"/>
              <w:b/>
              <w:bCs/>
              <w:color w:val="auto"/>
              <w:sz w:val="24"/>
              <w:szCs w:val="24"/>
              <w:highlight w:val="none"/>
            </w:rPr>
            <w:t>第六章</w:t>
          </w:r>
          <w:r>
            <w:rPr>
              <w:rFonts w:hint="eastAsia"/>
              <w:b/>
              <w:bCs/>
              <w:color w:val="auto"/>
              <w:sz w:val="24"/>
              <w:szCs w:val="24"/>
              <w:highlight w:val="none"/>
              <w:lang w:val="en-US" w:eastAsia="zh-CN"/>
            </w:rPr>
            <w:t xml:space="preserve">  </w:t>
          </w:r>
          <w:r>
            <w:rPr>
              <w:rFonts w:hint="eastAsia"/>
              <w:b/>
              <w:bCs/>
              <w:color w:val="auto"/>
              <w:sz w:val="24"/>
              <w:szCs w:val="24"/>
              <w:highlight w:val="none"/>
              <w:lang w:eastAsia="zh-CN"/>
            </w:rPr>
            <w:t>政府采购合同</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_Toc2899 \h </w:instrText>
          </w:r>
          <w:r>
            <w:rPr>
              <w:b/>
              <w:bCs/>
              <w:color w:val="auto"/>
              <w:sz w:val="24"/>
              <w:szCs w:val="24"/>
              <w:highlight w:val="none"/>
            </w:rPr>
            <w:fldChar w:fldCharType="separate"/>
          </w:r>
          <w:r>
            <w:rPr>
              <w:b/>
              <w:bCs/>
              <w:color w:val="auto"/>
              <w:sz w:val="24"/>
              <w:szCs w:val="24"/>
              <w:highlight w:val="none"/>
            </w:rPr>
            <w:t>47</w:t>
          </w:r>
          <w:r>
            <w:rPr>
              <w:b/>
              <w:bCs/>
              <w:color w:val="auto"/>
              <w:sz w:val="24"/>
              <w:szCs w:val="24"/>
              <w:highlight w:val="none"/>
            </w:rPr>
            <w:fldChar w:fldCharType="end"/>
          </w:r>
          <w:r>
            <w:rPr>
              <w:rFonts w:hint="eastAsia" w:asciiTheme="majorEastAsia" w:hAnsiTheme="majorEastAsia" w:eastAsiaTheme="majorEastAsia" w:cstheme="majorEastAsia"/>
              <w:b/>
              <w:bCs/>
              <w:color w:val="auto"/>
              <w:sz w:val="24"/>
              <w:szCs w:val="24"/>
              <w:highlight w:val="none"/>
            </w:rPr>
            <w:fldChar w:fldCharType="end"/>
          </w:r>
        </w:p>
        <w:p w14:paraId="3EBEFC77">
          <w:pPr>
            <w:pStyle w:val="20"/>
            <w:tabs>
              <w:tab w:val="right" w:leader="dot" w:pos="9040"/>
            </w:tabs>
            <w:spacing w:line="360" w:lineRule="auto"/>
            <w:rPr>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fldChar w:fldCharType="begin"/>
          </w:r>
          <w:r>
            <w:rPr>
              <w:rFonts w:hint="eastAsia" w:asciiTheme="majorEastAsia" w:hAnsiTheme="majorEastAsia" w:eastAsiaTheme="majorEastAsia" w:cstheme="majorEastAsia"/>
              <w:b/>
              <w:bCs/>
              <w:color w:val="auto"/>
              <w:sz w:val="24"/>
              <w:szCs w:val="24"/>
              <w:highlight w:val="none"/>
            </w:rPr>
            <w:instrText xml:space="preserve"> HYPERLINK \l _Toc27765 </w:instrText>
          </w:r>
          <w:r>
            <w:rPr>
              <w:rFonts w:hint="eastAsia" w:asciiTheme="majorEastAsia" w:hAnsiTheme="majorEastAsia" w:eastAsiaTheme="majorEastAsia" w:cstheme="majorEastAsia"/>
              <w:b/>
              <w:bCs/>
              <w:color w:val="auto"/>
              <w:sz w:val="24"/>
              <w:szCs w:val="24"/>
              <w:highlight w:val="none"/>
            </w:rPr>
            <w:fldChar w:fldCharType="separate"/>
          </w:r>
          <w:r>
            <w:rPr>
              <w:rFonts w:hint="eastAsia"/>
              <w:b/>
              <w:bCs/>
              <w:color w:val="auto"/>
              <w:sz w:val="24"/>
              <w:szCs w:val="24"/>
              <w:highlight w:val="none"/>
              <w:lang w:val="zh-CN"/>
            </w:rPr>
            <w:t>第</w:t>
          </w:r>
          <w:r>
            <w:rPr>
              <w:rFonts w:hint="eastAsia"/>
              <w:b/>
              <w:bCs/>
              <w:color w:val="auto"/>
              <w:sz w:val="24"/>
              <w:szCs w:val="24"/>
              <w:highlight w:val="none"/>
            </w:rPr>
            <w:t>七</w:t>
          </w:r>
          <w:r>
            <w:rPr>
              <w:rFonts w:hint="eastAsia"/>
              <w:b/>
              <w:bCs/>
              <w:color w:val="auto"/>
              <w:sz w:val="24"/>
              <w:szCs w:val="24"/>
              <w:highlight w:val="none"/>
              <w:lang w:val="zh-CN"/>
            </w:rPr>
            <w:t>章</w:t>
          </w:r>
          <w:r>
            <w:rPr>
              <w:rFonts w:hint="eastAsia"/>
              <w:b/>
              <w:bCs/>
              <w:color w:val="auto"/>
              <w:sz w:val="24"/>
              <w:szCs w:val="24"/>
              <w:highlight w:val="none"/>
              <w:lang w:val="en-US" w:eastAsia="zh-CN"/>
            </w:rPr>
            <w:t xml:space="preserve">  </w:t>
          </w:r>
          <w:r>
            <w:rPr>
              <w:rFonts w:hint="eastAsia"/>
              <w:b/>
              <w:bCs/>
              <w:color w:val="auto"/>
              <w:sz w:val="24"/>
              <w:szCs w:val="24"/>
              <w:highlight w:val="none"/>
              <w:lang w:val="zh-CN"/>
            </w:rPr>
            <w:t>投标文件基本格式</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_Toc27765 \h </w:instrText>
          </w:r>
          <w:r>
            <w:rPr>
              <w:b/>
              <w:bCs/>
              <w:color w:val="auto"/>
              <w:sz w:val="24"/>
              <w:szCs w:val="24"/>
              <w:highlight w:val="none"/>
            </w:rPr>
            <w:fldChar w:fldCharType="separate"/>
          </w:r>
          <w:r>
            <w:rPr>
              <w:b/>
              <w:bCs/>
              <w:color w:val="auto"/>
              <w:sz w:val="24"/>
              <w:szCs w:val="24"/>
              <w:highlight w:val="none"/>
            </w:rPr>
            <w:t>51</w:t>
          </w:r>
          <w:r>
            <w:rPr>
              <w:b/>
              <w:bCs/>
              <w:color w:val="auto"/>
              <w:sz w:val="24"/>
              <w:szCs w:val="24"/>
              <w:highlight w:val="none"/>
            </w:rPr>
            <w:fldChar w:fldCharType="end"/>
          </w:r>
          <w:r>
            <w:rPr>
              <w:rFonts w:hint="eastAsia" w:asciiTheme="majorEastAsia" w:hAnsiTheme="majorEastAsia" w:eastAsiaTheme="majorEastAsia" w:cstheme="majorEastAsia"/>
              <w:b/>
              <w:bCs/>
              <w:color w:val="auto"/>
              <w:sz w:val="24"/>
              <w:szCs w:val="24"/>
              <w:highlight w:val="none"/>
            </w:rPr>
            <w:fldChar w:fldCharType="end"/>
          </w:r>
        </w:p>
        <w:p w14:paraId="4784B6D8">
          <w:pPr>
            <w:pStyle w:val="20"/>
            <w:tabs>
              <w:tab w:val="right" w:leader="dot" w:pos="9040"/>
            </w:tabs>
            <w:spacing w:line="360" w:lineRule="auto"/>
            <w:rPr>
              <w:color w:val="auto"/>
              <w:highlight w:val="none"/>
            </w:rPr>
          </w:pPr>
          <w:r>
            <w:rPr>
              <w:rFonts w:hint="eastAsia" w:asciiTheme="majorEastAsia" w:hAnsiTheme="majorEastAsia" w:eastAsiaTheme="majorEastAsia" w:cstheme="majorEastAsia"/>
              <w:b/>
              <w:bCs/>
              <w:color w:val="auto"/>
              <w:sz w:val="24"/>
              <w:szCs w:val="24"/>
              <w:highlight w:val="none"/>
            </w:rPr>
            <w:fldChar w:fldCharType="begin"/>
          </w:r>
          <w:r>
            <w:rPr>
              <w:rFonts w:hint="eastAsia" w:asciiTheme="majorEastAsia" w:hAnsiTheme="majorEastAsia" w:eastAsiaTheme="majorEastAsia" w:cstheme="majorEastAsia"/>
              <w:b/>
              <w:bCs/>
              <w:color w:val="auto"/>
              <w:sz w:val="24"/>
              <w:szCs w:val="24"/>
              <w:highlight w:val="none"/>
            </w:rPr>
            <w:instrText xml:space="preserve"> HYPERLINK \l _Toc21837 </w:instrText>
          </w:r>
          <w:r>
            <w:rPr>
              <w:rFonts w:hint="eastAsia" w:asciiTheme="majorEastAsia" w:hAnsiTheme="majorEastAsia" w:eastAsiaTheme="majorEastAsia" w:cstheme="majorEastAsia"/>
              <w:b/>
              <w:bCs/>
              <w:color w:val="auto"/>
              <w:sz w:val="24"/>
              <w:szCs w:val="24"/>
              <w:highlight w:val="none"/>
            </w:rPr>
            <w:fldChar w:fldCharType="separate"/>
          </w:r>
          <w:r>
            <w:rPr>
              <w:rFonts w:hint="eastAsia"/>
              <w:b/>
              <w:bCs/>
              <w:color w:val="auto"/>
              <w:sz w:val="24"/>
              <w:szCs w:val="24"/>
              <w:highlight w:val="none"/>
            </w:rPr>
            <w:t>第八章  榆林市公共资源交易平台全流程电子化政府采购项目内容</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_Toc21837 \h </w:instrText>
          </w:r>
          <w:r>
            <w:rPr>
              <w:b/>
              <w:bCs/>
              <w:color w:val="auto"/>
              <w:sz w:val="24"/>
              <w:szCs w:val="24"/>
              <w:highlight w:val="none"/>
            </w:rPr>
            <w:fldChar w:fldCharType="separate"/>
          </w:r>
          <w:r>
            <w:rPr>
              <w:b/>
              <w:bCs/>
              <w:color w:val="auto"/>
              <w:sz w:val="24"/>
              <w:szCs w:val="24"/>
              <w:highlight w:val="none"/>
            </w:rPr>
            <w:t>74</w:t>
          </w:r>
          <w:r>
            <w:rPr>
              <w:b/>
              <w:bCs/>
              <w:color w:val="auto"/>
              <w:sz w:val="24"/>
              <w:szCs w:val="24"/>
              <w:highlight w:val="none"/>
            </w:rPr>
            <w:fldChar w:fldCharType="end"/>
          </w:r>
          <w:r>
            <w:rPr>
              <w:rFonts w:hint="eastAsia" w:asciiTheme="majorEastAsia" w:hAnsiTheme="majorEastAsia" w:eastAsiaTheme="majorEastAsia" w:cstheme="majorEastAsia"/>
              <w:b/>
              <w:bCs/>
              <w:color w:val="auto"/>
              <w:sz w:val="24"/>
              <w:szCs w:val="24"/>
              <w:highlight w:val="none"/>
            </w:rPr>
            <w:fldChar w:fldCharType="end"/>
          </w:r>
        </w:p>
        <w:p w14:paraId="18A07C76">
          <w:pPr>
            <w:pStyle w:val="20"/>
            <w:tabs>
              <w:tab w:val="right" w:leader="dot" w:pos="9040"/>
            </w:tabs>
            <w:rPr>
              <w:color w:val="auto"/>
              <w:highlight w:val="none"/>
            </w:rPr>
          </w:pPr>
        </w:p>
        <w:p w14:paraId="113A76A4">
          <w:pPr>
            <w:snapToGrid w:val="0"/>
            <w:spacing w:beforeLines="100" w:afterLines="50" w:line="360" w:lineRule="auto"/>
            <w:jc w:val="center"/>
            <w:rPr>
              <w:rFonts w:asciiTheme="majorEastAsia" w:hAnsiTheme="majorEastAsia" w:eastAsiaTheme="majorEastAsia" w:cstheme="majorEastAsia"/>
              <w:b/>
              <w:color w:val="auto"/>
              <w:sz w:val="32"/>
              <w:szCs w:val="32"/>
              <w:highlight w:val="none"/>
            </w:rPr>
            <w:sectPr>
              <w:footerReference r:id="rId4" w:type="default"/>
              <w:pgSz w:w="11906" w:h="16838"/>
              <w:pgMar w:top="1440" w:right="1449" w:bottom="1440" w:left="1417" w:header="851" w:footer="992" w:gutter="0"/>
              <w:pgNumType w:fmt="decimal" w:start="2"/>
              <w:cols w:space="720" w:num="1"/>
              <w:docGrid w:type="lines" w:linePitch="312" w:charSpace="0"/>
            </w:sectPr>
          </w:pPr>
          <w:r>
            <w:rPr>
              <w:rFonts w:hint="eastAsia" w:asciiTheme="majorEastAsia" w:hAnsiTheme="majorEastAsia" w:eastAsiaTheme="majorEastAsia" w:cstheme="majorEastAsia"/>
              <w:color w:val="auto"/>
              <w:highlight w:val="none"/>
            </w:rPr>
            <w:fldChar w:fldCharType="end"/>
          </w:r>
        </w:p>
      </w:sdtContent>
    </w:sdt>
    <w:p w14:paraId="6720DB4B">
      <w:pPr>
        <w:pStyle w:val="2"/>
        <w:bidi w:val="0"/>
        <w:jc w:val="center"/>
        <w:rPr>
          <w:color w:val="auto"/>
          <w:sz w:val="32"/>
          <w:szCs w:val="32"/>
          <w:highlight w:val="none"/>
        </w:rPr>
      </w:pPr>
      <w:bookmarkStart w:id="24" w:name="_Toc31076"/>
      <w:bookmarkStart w:id="25" w:name="_Toc28493"/>
      <w:r>
        <w:rPr>
          <w:rFonts w:hint="eastAsia"/>
          <w:color w:val="auto"/>
          <w:sz w:val="32"/>
          <w:szCs w:val="32"/>
          <w:highlight w:val="none"/>
        </w:rPr>
        <w:t>第一章  招标公告</w:t>
      </w:r>
      <w:bookmarkEnd w:id="24"/>
      <w:bookmarkEnd w:id="25"/>
    </w:p>
    <w:p w14:paraId="605C0E6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宋体" w:hAnsi="宋体" w:eastAsia="宋体" w:cs="宋体"/>
          <w:b w:val="0"/>
          <w:bCs w:val="0"/>
          <w:color w:val="auto"/>
          <w:sz w:val="24"/>
          <w:szCs w:val="24"/>
          <w:highlight w:val="none"/>
        </w:rPr>
      </w:pPr>
      <w:r>
        <w:rPr>
          <w:rStyle w:val="28"/>
          <w:rFonts w:hint="eastAsia" w:ascii="宋体" w:hAnsi="宋体" w:eastAsia="宋体" w:cs="宋体"/>
          <w:b/>
          <w:bCs/>
          <w:i w:val="0"/>
          <w:iCs w:val="0"/>
          <w:caps w:val="0"/>
          <w:color w:val="auto"/>
          <w:spacing w:val="0"/>
          <w:sz w:val="24"/>
          <w:szCs w:val="24"/>
          <w:highlight w:val="none"/>
          <w:shd w:val="clear" w:fill="FFFFFF"/>
        </w:rPr>
        <w:t>项目概况</w:t>
      </w:r>
    </w:p>
    <w:p w14:paraId="2F61059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宋体" w:hAnsi="宋体" w:eastAsia="宋体" w:cs="宋体"/>
          <w:color w:val="auto"/>
          <w:sz w:val="24"/>
          <w:szCs w:val="24"/>
          <w:highlight w:val="none"/>
        </w:rPr>
      </w:pPr>
      <w:r>
        <w:rPr>
          <w:rFonts w:hint="eastAsia" w:cs="宋体"/>
          <w:i w:val="0"/>
          <w:iCs w:val="0"/>
          <w:caps w:val="0"/>
          <w:color w:val="auto"/>
          <w:spacing w:val="0"/>
          <w:sz w:val="24"/>
          <w:szCs w:val="24"/>
          <w:highlight w:val="none"/>
          <w:shd w:val="clear" w:fill="FFFFFF"/>
          <w:lang w:eastAsia="zh-CN"/>
        </w:rPr>
        <w:t>清涧县高杰村镇、李家塔镇地质灾害风险调查评价项目</w:t>
      </w:r>
      <w:r>
        <w:rPr>
          <w:rFonts w:hint="eastAsia" w:ascii="宋体" w:hAnsi="宋体" w:eastAsia="宋体" w:cs="宋体"/>
          <w:i w:val="0"/>
          <w:iCs w:val="0"/>
          <w:caps w:val="0"/>
          <w:color w:val="auto"/>
          <w:spacing w:val="0"/>
          <w:sz w:val="24"/>
          <w:szCs w:val="24"/>
          <w:highlight w:val="none"/>
          <w:shd w:val="clear" w:fill="FFFFFF"/>
        </w:rPr>
        <w:t>的潜在投标人应在登录全国公共资源交易中心平台（陕西省）使用CA锁报名后自行下载获取招标文件，并于</w:t>
      </w:r>
      <w:r>
        <w:rPr>
          <w:rFonts w:hint="eastAsia" w:cs="宋体"/>
          <w:i w:val="0"/>
          <w:iCs w:val="0"/>
          <w:caps w:val="0"/>
          <w:color w:val="auto"/>
          <w:spacing w:val="0"/>
          <w:sz w:val="24"/>
          <w:szCs w:val="24"/>
          <w:highlight w:val="none"/>
          <w:u w:val="none"/>
          <w:shd w:val="clear" w:fill="FFFFFF"/>
          <w:lang w:eastAsia="zh-CN"/>
        </w:rPr>
        <w:t>202</w:t>
      </w:r>
      <w:r>
        <w:rPr>
          <w:rFonts w:hint="eastAsia" w:cs="宋体"/>
          <w:i w:val="0"/>
          <w:iCs w:val="0"/>
          <w:caps w:val="0"/>
          <w:color w:val="auto"/>
          <w:spacing w:val="0"/>
          <w:sz w:val="24"/>
          <w:szCs w:val="24"/>
          <w:highlight w:val="none"/>
          <w:u w:val="none"/>
          <w:shd w:val="clear" w:fill="FFFFFF"/>
          <w:lang w:val="en-US" w:eastAsia="zh-CN"/>
        </w:rPr>
        <w:t>6</w:t>
      </w:r>
      <w:r>
        <w:rPr>
          <w:rFonts w:hint="eastAsia" w:cs="宋体"/>
          <w:i w:val="0"/>
          <w:iCs w:val="0"/>
          <w:caps w:val="0"/>
          <w:color w:val="auto"/>
          <w:spacing w:val="0"/>
          <w:sz w:val="24"/>
          <w:szCs w:val="24"/>
          <w:highlight w:val="none"/>
          <w:u w:val="none"/>
          <w:shd w:val="clear" w:fill="FFFFFF"/>
          <w:lang w:eastAsia="zh-CN"/>
        </w:rPr>
        <w:t>年</w:t>
      </w:r>
      <w:r>
        <w:rPr>
          <w:rFonts w:hint="eastAsia" w:cs="宋体"/>
          <w:i w:val="0"/>
          <w:iCs w:val="0"/>
          <w:caps w:val="0"/>
          <w:color w:val="auto"/>
          <w:spacing w:val="0"/>
          <w:sz w:val="24"/>
          <w:szCs w:val="24"/>
          <w:highlight w:val="none"/>
          <w:u w:val="none"/>
          <w:shd w:val="clear" w:fill="FFFFFF"/>
          <w:lang w:val="en-US" w:eastAsia="zh-CN"/>
        </w:rPr>
        <w:t>09</w:t>
      </w:r>
      <w:r>
        <w:rPr>
          <w:rFonts w:hint="eastAsia" w:cs="宋体"/>
          <w:i w:val="0"/>
          <w:iCs w:val="0"/>
          <w:caps w:val="0"/>
          <w:color w:val="auto"/>
          <w:spacing w:val="0"/>
          <w:sz w:val="24"/>
          <w:szCs w:val="24"/>
          <w:highlight w:val="none"/>
          <w:u w:val="none"/>
          <w:shd w:val="clear" w:fill="FFFFFF"/>
          <w:lang w:eastAsia="zh-CN"/>
        </w:rPr>
        <w:t>月</w:t>
      </w:r>
      <w:r>
        <w:rPr>
          <w:rFonts w:hint="eastAsia" w:cs="宋体"/>
          <w:i w:val="0"/>
          <w:iCs w:val="0"/>
          <w:caps w:val="0"/>
          <w:color w:val="auto"/>
          <w:spacing w:val="0"/>
          <w:sz w:val="24"/>
          <w:szCs w:val="24"/>
          <w:highlight w:val="none"/>
          <w:u w:val="none"/>
          <w:shd w:val="clear" w:fill="FFFFFF"/>
          <w:lang w:val="en-US" w:eastAsia="zh-CN"/>
        </w:rPr>
        <w:t>17</w:t>
      </w:r>
      <w:r>
        <w:rPr>
          <w:rFonts w:hint="eastAsia" w:cs="宋体"/>
          <w:i w:val="0"/>
          <w:iCs w:val="0"/>
          <w:caps w:val="0"/>
          <w:color w:val="auto"/>
          <w:spacing w:val="0"/>
          <w:sz w:val="24"/>
          <w:szCs w:val="24"/>
          <w:highlight w:val="none"/>
          <w:u w:val="none"/>
          <w:shd w:val="clear" w:fill="FFFFFF"/>
          <w:lang w:eastAsia="zh-CN"/>
        </w:rPr>
        <w:t>日</w:t>
      </w:r>
      <w:r>
        <w:rPr>
          <w:rFonts w:hint="eastAsia" w:cs="宋体"/>
          <w:i w:val="0"/>
          <w:iCs w:val="0"/>
          <w:caps w:val="0"/>
          <w:color w:val="auto"/>
          <w:spacing w:val="0"/>
          <w:sz w:val="24"/>
          <w:szCs w:val="24"/>
          <w:highlight w:val="none"/>
          <w:u w:val="none"/>
          <w:shd w:val="clear" w:fill="FFFFFF"/>
          <w:lang w:val="en-US" w:eastAsia="zh-CN"/>
        </w:rPr>
        <w:t>09</w:t>
      </w:r>
      <w:r>
        <w:rPr>
          <w:rFonts w:hint="eastAsia" w:ascii="宋体" w:hAnsi="宋体" w:eastAsia="宋体" w:cs="宋体"/>
          <w:i w:val="0"/>
          <w:iCs w:val="0"/>
          <w:caps w:val="0"/>
          <w:color w:val="auto"/>
          <w:spacing w:val="0"/>
          <w:sz w:val="24"/>
          <w:szCs w:val="24"/>
          <w:highlight w:val="none"/>
          <w:u w:val="none"/>
          <w:shd w:val="clear" w:fill="FFFFFF"/>
        </w:rPr>
        <w:t>时</w:t>
      </w:r>
      <w:r>
        <w:rPr>
          <w:rFonts w:hint="eastAsia" w:cs="宋体"/>
          <w:i w:val="0"/>
          <w:iCs w:val="0"/>
          <w:caps w:val="0"/>
          <w:color w:val="auto"/>
          <w:spacing w:val="0"/>
          <w:sz w:val="24"/>
          <w:szCs w:val="24"/>
          <w:highlight w:val="none"/>
          <w:u w:val="none"/>
          <w:shd w:val="clear" w:fill="FFFFFF"/>
          <w:lang w:val="en-US" w:eastAsia="zh-CN"/>
        </w:rPr>
        <w:t>30</w:t>
      </w:r>
      <w:r>
        <w:rPr>
          <w:rFonts w:hint="eastAsia" w:ascii="宋体" w:hAnsi="宋体" w:eastAsia="宋体" w:cs="宋体"/>
          <w:i w:val="0"/>
          <w:iCs w:val="0"/>
          <w:caps w:val="0"/>
          <w:color w:val="auto"/>
          <w:spacing w:val="0"/>
          <w:sz w:val="24"/>
          <w:szCs w:val="24"/>
          <w:highlight w:val="none"/>
          <w:u w:val="none"/>
          <w:shd w:val="clear" w:fill="FFFFFF"/>
        </w:rPr>
        <w:t>分</w:t>
      </w:r>
      <w:r>
        <w:rPr>
          <w:rFonts w:hint="eastAsia" w:ascii="宋体" w:hAnsi="宋体" w:eastAsia="宋体" w:cs="宋体"/>
          <w:i w:val="0"/>
          <w:iCs w:val="0"/>
          <w:caps w:val="0"/>
          <w:color w:val="auto"/>
          <w:spacing w:val="0"/>
          <w:sz w:val="24"/>
          <w:szCs w:val="24"/>
          <w:highlight w:val="none"/>
          <w:shd w:val="clear" w:fill="FFFFFF"/>
        </w:rPr>
        <w:t>00秒前递交投标文件。</w:t>
      </w:r>
    </w:p>
    <w:p w14:paraId="7BA74C5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28"/>
          <w:rFonts w:hint="eastAsia" w:ascii="宋体" w:hAnsi="宋体" w:eastAsia="宋体" w:cs="宋体"/>
          <w:b/>
          <w:bCs/>
          <w:i w:val="0"/>
          <w:iCs w:val="0"/>
          <w:caps w:val="0"/>
          <w:color w:val="auto"/>
          <w:spacing w:val="0"/>
          <w:sz w:val="24"/>
          <w:szCs w:val="24"/>
          <w:highlight w:val="none"/>
          <w:shd w:val="clear" w:fill="FFFFFF"/>
        </w:rPr>
        <w:t>一、项目基本情况</w:t>
      </w:r>
    </w:p>
    <w:p w14:paraId="0DE7DD46">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项目编号：</w:t>
      </w:r>
      <w:r>
        <w:rPr>
          <w:rFonts w:hint="eastAsia" w:cs="宋体"/>
          <w:i w:val="0"/>
          <w:iCs w:val="0"/>
          <w:caps w:val="0"/>
          <w:color w:val="auto"/>
          <w:spacing w:val="0"/>
          <w:sz w:val="24"/>
          <w:szCs w:val="24"/>
          <w:highlight w:val="none"/>
          <w:shd w:val="clear" w:fill="FFFFFF"/>
          <w:lang w:eastAsia="zh-CN"/>
        </w:rPr>
        <w:t>SA20260052</w:t>
      </w:r>
    </w:p>
    <w:p w14:paraId="67DED60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项目名称：</w:t>
      </w:r>
      <w:r>
        <w:rPr>
          <w:rFonts w:hint="eastAsia" w:cs="宋体"/>
          <w:i w:val="0"/>
          <w:iCs w:val="0"/>
          <w:caps w:val="0"/>
          <w:color w:val="auto"/>
          <w:spacing w:val="0"/>
          <w:sz w:val="24"/>
          <w:szCs w:val="24"/>
          <w:highlight w:val="none"/>
          <w:shd w:val="clear" w:fill="FFFFFF"/>
          <w:lang w:eastAsia="zh-CN"/>
        </w:rPr>
        <w:t>清涧县高杰村镇、李家塔镇地质灾害风险调查评价项目</w:t>
      </w:r>
    </w:p>
    <w:p w14:paraId="65924BA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采购方式：公开招标</w:t>
      </w:r>
    </w:p>
    <w:p w14:paraId="7D30E55B">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预算金额：</w:t>
      </w:r>
      <w:r>
        <w:rPr>
          <w:rFonts w:hint="eastAsia" w:cs="宋体"/>
          <w:i w:val="0"/>
          <w:iCs w:val="0"/>
          <w:caps w:val="0"/>
          <w:color w:val="auto"/>
          <w:spacing w:val="0"/>
          <w:sz w:val="24"/>
          <w:szCs w:val="24"/>
          <w:highlight w:val="none"/>
          <w:shd w:val="clear" w:fill="FFFFFF"/>
          <w:lang w:eastAsia="zh-CN"/>
        </w:rPr>
        <w:t>1400000.00元</w:t>
      </w:r>
    </w:p>
    <w:p w14:paraId="65C415B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采购需求：</w:t>
      </w:r>
    </w:p>
    <w:p w14:paraId="1BF4069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清涧县高杰村镇、李家塔镇地质灾害风险调查评价项目</w:t>
      </w:r>
      <w:r>
        <w:rPr>
          <w:rFonts w:hint="eastAsia" w:ascii="宋体" w:hAnsi="宋体" w:eastAsia="宋体" w:cs="宋体"/>
          <w:i w:val="0"/>
          <w:iCs w:val="0"/>
          <w:caps w:val="0"/>
          <w:color w:val="auto"/>
          <w:spacing w:val="0"/>
          <w:sz w:val="24"/>
          <w:szCs w:val="24"/>
          <w:highlight w:val="none"/>
          <w:shd w:val="clear" w:fill="FFFFFF"/>
        </w:rPr>
        <w:t>):</w:t>
      </w:r>
    </w:p>
    <w:p w14:paraId="3318DED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合同包预算金额：</w:t>
      </w:r>
      <w:r>
        <w:rPr>
          <w:rFonts w:hint="eastAsia" w:cs="宋体"/>
          <w:i w:val="0"/>
          <w:iCs w:val="0"/>
          <w:caps w:val="0"/>
          <w:color w:val="auto"/>
          <w:spacing w:val="0"/>
          <w:sz w:val="24"/>
          <w:szCs w:val="24"/>
          <w:highlight w:val="none"/>
          <w:shd w:val="clear" w:fill="FFFFFF"/>
          <w:lang w:eastAsia="zh-CN"/>
        </w:rPr>
        <w:t>1400000.00元</w:t>
      </w:r>
    </w:p>
    <w:p w14:paraId="2DA22EF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合同包最高限价：</w:t>
      </w:r>
      <w:r>
        <w:rPr>
          <w:rFonts w:hint="eastAsia" w:cs="宋体"/>
          <w:i w:val="0"/>
          <w:iCs w:val="0"/>
          <w:caps w:val="0"/>
          <w:color w:val="auto"/>
          <w:spacing w:val="0"/>
          <w:sz w:val="24"/>
          <w:szCs w:val="24"/>
          <w:highlight w:val="none"/>
          <w:shd w:val="clear" w:fill="FFFFFF"/>
          <w:lang w:eastAsia="zh-CN"/>
        </w:rPr>
        <w:t>1400000.00元</w:t>
      </w:r>
    </w:p>
    <w:tbl>
      <w:tblPr>
        <w:tblStyle w:val="25"/>
        <w:tblW w:w="9468" w:type="dxa"/>
        <w:tblInd w:w="-42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05"/>
        <w:gridCol w:w="1104"/>
        <w:gridCol w:w="1911"/>
        <w:gridCol w:w="1605"/>
        <w:gridCol w:w="1832"/>
        <w:gridCol w:w="2111"/>
      </w:tblGrid>
      <w:tr w14:paraId="7CCC50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12C46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1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9D0D0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9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B65CE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6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AC95C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18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190D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21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26AB3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7C2385F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BBC8A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1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1E628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地质勘测服务</w:t>
            </w:r>
          </w:p>
        </w:tc>
        <w:tc>
          <w:tcPr>
            <w:tcW w:w="19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63A70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cs="宋体"/>
                <w:i w:val="0"/>
                <w:iCs w:val="0"/>
                <w:caps w:val="0"/>
                <w:color w:val="auto"/>
                <w:spacing w:val="0"/>
                <w:sz w:val="24"/>
                <w:szCs w:val="24"/>
                <w:highlight w:val="none"/>
                <w:shd w:val="clear" w:fill="FFFFFF"/>
                <w:lang w:eastAsia="zh-CN"/>
              </w:rPr>
              <w:t>清涧县高杰村镇、李家塔镇地质灾害风险调查评价项目</w:t>
            </w:r>
          </w:p>
        </w:tc>
        <w:tc>
          <w:tcPr>
            <w:tcW w:w="16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14232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项</w:t>
            </w:r>
            <w:r>
              <w:rPr>
                <w:rFonts w:hint="eastAsia" w:ascii="宋体" w:hAnsi="宋体" w:eastAsia="宋体" w:cs="宋体"/>
                <w:color w:val="auto"/>
                <w:kern w:val="0"/>
                <w:sz w:val="24"/>
                <w:szCs w:val="24"/>
                <w:highlight w:val="none"/>
                <w:lang w:val="en-US" w:eastAsia="zh-CN" w:bidi="ar"/>
              </w:rPr>
              <w:t>)</w:t>
            </w:r>
          </w:p>
        </w:tc>
        <w:tc>
          <w:tcPr>
            <w:tcW w:w="18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A9690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21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4B8F8C">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1400000.00</w:t>
            </w:r>
          </w:p>
        </w:tc>
      </w:tr>
    </w:tbl>
    <w:p w14:paraId="0E2BFBA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14:paraId="5B1A119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rPr>
        <w:t>合同履行期</w:t>
      </w:r>
      <w:r>
        <w:rPr>
          <w:rFonts w:hint="eastAsia" w:ascii="宋体" w:hAnsi="宋体" w:cs="宋体"/>
          <w:color w:val="auto"/>
          <w:sz w:val="24"/>
          <w:szCs w:val="24"/>
          <w:highlight w:val="none"/>
        </w:rPr>
        <w:t>限：</w:t>
      </w:r>
      <w:r>
        <w:rPr>
          <w:rFonts w:hint="eastAsia" w:ascii="宋体" w:hAnsi="宋体" w:cs="宋体"/>
          <w:color w:val="auto"/>
          <w:sz w:val="24"/>
          <w:szCs w:val="24"/>
          <w:highlight w:val="none"/>
          <w:shd w:val="clear" w:color="auto" w:fill="FFFFFF"/>
        </w:rPr>
        <w:t>/（具体服务起止日期可随合同签订时间相应顺延）</w:t>
      </w:r>
    </w:p>
    <w:p w14:paraId="0220146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28"/>
          <w:rFonts w:hint="eastAsia" w:ascii="宋体" w:hAnsi="宋体" w:eastAsia="宋体" w:cs="宋体"/>
          <w:b/>
          <w:bCs/>
          <w:i w:val="0"/>
          <w:iCs w:val="0"/>
          <w:caps w:val="0"/>
          <w:color w:val="auto"/>
          <w:spacing w:val="0"/>
          <w:sz w:val="24"/>
          <w:szCs w:val="24"/>
          <w:highlight w:val="none"/>
          <w:shd w:val="clear" w:fill="FFFFFF"/>
        </w:rPr>
        <w:t>二、申请人的资格要求：</w:t>
      </w:r>
    </w:p>
    <w:p w14:paraId="677006B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1.满足《中华人民共和国政府采购法》第二十二条规定;</w:t>
      </w:r>
    </w:p>
    <w:p w14:paraId="325869A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2.落实政府采购政策需满足的资格要求：</w:t>
      </w:r>
    </w:p>
    <w:p w14:paraId="7BA6B6F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清涧县高杰村镇、李家塔镇地质灾害风险调查评价项目</w:t>
      </w:r>
      <w:r>
        <w:rPr>
          <w:rFonts w:hint="eastAsia" w:ascii="宋体" w:hAnsi="宋体" w:eastAsia="宋体" w:cs="宋体"/>
          <w:i w:val="0"/>
          <w:iCs w:val="0"/>
          <w:caps w:val="0"/>
          <w:color w:val="auto"/>
          <w:spacing w:val="0"/>
          <w:sz w:val="24"/>
          <w:szCs w:val="24"/>
          <w:highlight w:val="none"/>
          <w:shd w:val="clear" w:fill="FFFFFF"/>
        </w:rPr>
        <w:t>)落实政府采购政策需满足的资格要求如下:</w:t>
      </w:r>
    </w:p>
    <w:p w14:paraId="70985993">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Chars="257"/>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《节能产品政府采购实施意见》财库〔2004〕185号;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rPr>
        <w:t>《环境标志产品政府采购实施的意见》财库〔2006〕90号；</w:t>
      </w:r>
    </w:p>
    <w:p w14:paraId="02D7DE22">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firstLine="480" w:firstLineChars="200"/>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《国务院办公厅关于建立政府强制采购节能产品制度的通知》国办发〔2007〕</w:t>
      </w:r>
    </w:p>
    <w:p w14:paraId="593BC3FF">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480" w:hanging="480" w:hangingChars="200"/>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51号；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rPr>
        <w:t>《政府采购促进中小企业发展管理办法》财库〔2020〕46号；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《陕西省财政厅关于进一步加大政府采购支持中小企业力度的通知》陕财办采</w:t>
      </w:r>
    </w:p>
    <w:p w14:paraId="09471188">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480" w:hanging="480" w:hangingChars="200"/>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〔2022〕5号；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（6）《榆林市财政局关于进一步加大政府采购支持中小企业力度的通知》榆政财采</w:t>
      </w:r>
    </w:p>
    <w:p w14:paraId="7FFF1D63">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480" w:hanging="480" w:hangingChars="200"/>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发〔2022〕10号；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（7）陕西省财政厅关于印发《陕西省中小企业政府采购信用融资办法》陕财办采</w:t>
      </w:r>
    </w:p>
    <w:p w14:paraId="070BAF13">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480" w:hanging="480" w:hangingChars="200"/>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〔2018〕23号，相关政策、业务流程、办理平台(http://www.ccgp-shaanxi.gov.cn/zc</w:t>
      </w:r>
    </w:p>
    <w:p w14:paraId="0FA15D1F">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480" w:hanging="480" w:hangingChars="200"/>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dservice/zcd/shanxi/）；</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（8）《财政部司法部关于政府采购支持监狱企业发展有关问题的通知》财库〔2014〕</w:t>
      </w:r>
    </w:p>
    <w:p w14:paraId="44E9A567">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480" w:hanging="480" w:hangingChars="200"/>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68号；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（9）《财政部民政部中国残疾人联合会关于促进残疾人就业政府采购政策的通知》</w:t>
      </w:r>
    </w:p>
    <w:p w14:paraId="1225E984">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480" w:hanging="480" w:hangingChars="200"/>
        <w:jc w:val="left"/>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财库〔2017〕141号；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（10）《关于在政府采购活动中查询及使用信用记录有关问题的通知》财库〔2016〕</w:t>
      </w:r>
    </w:p>
    <w:p w14:paraId="1F60A26A">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ind w:left="480" w:hanging="480" w:hangingChars="200"/>
        <w:jc w:val="left"/>
        <w:textAlignment w:val="auto"/>
        <w:rPr>
          <w:rFonts w:hint="eastAsia" w:ascii="宋体" w:hAnsi="宋体" w:cs="宋体"/>
          <w:color w:val="auto"/>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fill="FFFFFF"/>
        </w:rPr>
        <w:t>125号；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w:t>
      </w:r>
      <w:r>
        <w:rPr>
          <w:rFonts w:hint="eastAsia" w:ascii="宋体" w:hAnsi="宋体" w:cs="宋体"/>
          <w:color w:val="auto"/>
          <w:sz w:val="24"/>
          <w:szCs w:val="24"/>
          <w:highlight w:val="none"/>
          <w:shd w:val="clear" w:color="auto" w:fill="FFFFFF"/>
        </w:rPr>
        <w:t>其他需要落实的政府采购政策（如有最新颁布的政府采购政策，按最新的文</w:t>
      </w:r>
    </w:p>
    <w:p w14:paraId="003AB6B9">
      <w:pPr>
        <w:keepNext w:val="0"/>
        <w:keepLines/>
        <w:pageBreakBefore w:val="0"/>
        <w:widowControl w:val="0"/>
        <w:numPr>
          <w:ilvl w:val="0"/>
          <w:numId w:val="0"/>
        </w:numPr>
        <w:kinsoku/>
        <w:wordWrap w:val="0"/>
        <w:overflowPunct/>
        <w:topLinePunct/>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rPr>
        <w:t>件执行）</w:t>
      </w:r>
      <w:r>
        <w:rPr>
          <w:rFonts w:hint="eastAsia" w:ascii="宋体" w:hAnsi="宋体" w:cs="宋体"/>
          <w:color w:val="auto"/>
          <w:kern w:val="0"/>
          <w:sz w:val="24"/>
          <w:szCs w:val="24"/>
          <w:highlight w:val="none"/>
        </w:rPr>
        <w:t>。</w:t>
      </w:r>
    </w:p>
    <w:p w14:paraId="31452C6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3.本项目的特定资格要求：</w:t>
      </w:r>
    </w:p>
    <w:p w14:paraId="7756469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清涧县高杰村镇、李家塔镇地质灾害风险调查评价项目</w:t>
      </w:r>
      <w:r>
        <w:rPr>
          <w:rFonts w:hint="eastAsia" w:ascii="宋体" w:hAnsi="宋体" w:eastAsia="宋体" w:cs="宋体"/>
          <w:i w:val="0"/>
          <w:iCs w:val="0"/>
          <w:caps w:val="0"/>
          <w:color w:val="auto"/>
          <w:spacing w:val="0"/>
          <w:sz w:val="24"/>
          <w:szCs w:val="24"/>
          <w:highlight w:val="none"/>
          <w:shd w:val="clear" w:fill="FFFFFF"/>
        </w:rPr>
        <w:t>)特定资格要求如下:</w:t>
      </w:r>
    </w:p>
    <w:p w14:paraId="4B817DD6">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具有独立承担民事责任能力的法人、</w:t>
      </w:r>
      <w:r>
        <w:rPr>
          <w:rFonts w:hint="eastAsia" w:ascii="宋体" w:hAnsi="宋体" w:eastAsia="宋体" w:cs="宋体"/>
          <w:color w:val="auto"/>
          <w:sz w:val="24"/>
          <w:szCs w:val="24"/>
          <w:highlight w:val="none"/>
          <w:lang w:eastAsia="zh-CN"/>
        </w:rPr>
        <w:t>事业法人、</w:t>
      </w:r>
      <w:r>
        <w:rPr>
          <w:rFonts w:hint="eastAsia" w:ascii="宋体" w:hAnsi="宋体" w:eastAsia="宋体" w:cs="宋体"/>
          <w:color w:val="auto"/>
          <w:sz w:val="24"/>
          <w:szCs w:val="24"/>
          <w:highlight w:val="none"/>
        </w:rPr>
        <w:t>其他组织或自然人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并出具合法有效的营业执照或事业单位法人证书等国家规定的相关证明，自然人参与的提供其身份证明</w:t>
      </w:r>
      <w:r>
        <w:rPr>
          <w:rFonts w:hint="eastAsia" w:ascii="宋体" w:hAnsi="宋体" w:eastAsia="宋体" w:cs="宋体"/>
          <w:color w:val="auto"/>
          <w:sz w:val="24"/>
          <w:szCs w:val="24"/>
          <w:highlight w:val="none"/>
          <w:lang w:eastAsia="zh-CN"/>
        </w:rPr>
        <w:t>。</w:t>
      </w:r>
    </w:p>
    <w:p w14:paraId="2CB308EC">
      <w:pPr>
        <w:bidi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供应商须持有行政主管部门颁发有效的【地质灾害评估和治理工程勘查设计乙级及以上资质证书】</w:t>
      </w:r>
      <w:r>
        <w:rPr>
          <w:rFonts w:hint="eastAsia" w:ascii="宋体" w:hAnsi="宋体" w:cs="宋体"/>
          <w:color w:val="auto"/>
          <w:sz w:val="24"/>
          <w:szCs w:val="24"/>
          <w:highlight w:val="none"/>
          <w:lang w:eastAsia="zh-CN"/>
        </w:rPr>
        <w:t>。</w:t>
      </w:r>
    </w:p>
    <w:p w14:paraId="10F449D4">
      <w:pPr>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）拟派项目负责人须具备水文地质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工程地质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环境地质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岩土工程中级及以上职称</w:t>
      </w:r>
      <w:r>
        <w:rPr>
          <w:rFonts w:hint="eastAsia" w:ascii="宋体" w:hAnsi="宋体" w:cs="宋体"/>
          <w:color w:val="auto"/>
          <w:sz w:val="24"/>
          <w:szCs w:val="24"/>
          <w:highlight w:val="none"/>
          <w:lang w:eastAsia="zh-CN"/>
        </w:rPr>
        <w:t>；须提供202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日至开标截止之日期间</w:t>
      </w:r>
      <w:r>
        <w:rPr>
          <w:rFonts w:hint="eastAsia" w:ascii="宋体" w:hAnsi="宋体" w:cs="宋体"/>
          <w:color w:val="auto"/>
          <w:sz w:val="24"/>
          <w:szCs w:val="24"/>
          <w:highlight w:val="none"/>
          <w:lang w:val="en-US" w:eastAsia="zh-CN"/>
        </w:rPr>
        <w:t>，</w:t>
      </w:r>
      <w:r>
        <w:rPr>
          <w:rFonts w:ascii="宋体" w:hAnsi="宋体" w:eastAsia="宋体" w:cs="宋体"/>
          <w:color w:val="auto"/>
          <w:sz w:val="24"/>
          <w:szCs w:val="24"/>
          <w:highlight w:val="none"/>
        </w:rPr>
        <w:t>投标单位为其缴纳至少 1 个月任一险种社会保障资金缴费单据</w:t>
      </w:r>
      <w:r>
        <w:rPr>
          <w:rFonts w:hint="eastAsia" w:ascii="宋体" w:hAnsi="宋体" w:eastAsia="宋体" w:cs="宋体"/>
          <w:color w:val="auto"/>
          <w:sz w:val="24"/>
          <w:szCs w:val="24"/>
          <w:highlight w:val="none"/>
          <w:lang w:val="en-US" w:eastAsia="zh-CN"/>
        </w:rPr>
        <w:t>。</w:t>
      </w:r>
    </w:p>
    <w:p w14:paraId="1DFB4749">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税收缴纳证明：</w:t>
      </w:r>
      <w:r>
        <w:rPr>
          <w:rFonts w:hint="eastAsia" w:ascii="宋体" w:hAnsi="宋体" w:eastAsia="宋体" w:cs="宋体"/>
          <w:color w:val="auto"/>
          <w:sz w:val="24"/>
          <w:szCs w:val="24"/>
          <w:highlight w:val="none"/>
          <w:lang w:eastAsia="zh-CN"/>
        </w:rPr>
        <w:t>提供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01</w:t>
      </w:r>
      <w:r>
        <w:rPr>
          <w:rFonts w:hint="eastAsia" w:ascii="宋体" w:hAnsi="宋体" w:eastAsia="宋体" w:cs="宋体"/>
          <w:color w:val="auto"/>
          <w:sz w:val="24"/>
          <w:szCs w:val="24"/>
          <w:highlight w:val="none"/>
        </w:rPr>
        <w:t>月份</w:t>
      </w:r>
      <w:r>
        <w:rPr>
          <w:rFonts w:hint="eastAsia" w:ascii="宋体" w:hAnsi="宋体" w:eastAsia="宋体" w:cs="宋体"/>
          <w:color w:val="auto"/>
          <w:sz w:val="24"/>
          <w:szCs w:val="24"/>
          <w:highlight w:val="none"/>
          <w:lang w:eastAsia="zh-CN"/>
        </w:rPr>
        <w:t>至</w:t>
      </w:r>
      <w:r>
        <w:rPr>
          <w:rFonts w:hint="eastAsia" w:ascii="宋体" w:hAnsi="宋体" w:eastAsia="宋体" w:cs="宋体"/>
          <w:color w:val="auto"/>
          <w:sz w:val="24"/>
          <w:szCs w:val="24"/>
          <w:highlight w:val="none"/>
          <w:lang w:val="en-US" w:eastAsia="zh-CN"/>
        </w:rPr>
        <w:t>开标截止时间</w:t>
      </w:r>
      <w:r>
        <w:rPr>
          <w:rFonts w:hint="eastAsia" w:ascii="宋体" w:hAnsi="宋体" w:eastAsia="宋体" w:cs="宋体"/>
          <w:color w:val="auto"/>
          <w:sz w:val="24"/>
          <w:szCs w:val="24"/>
          <w:highlight w:val="none"/>
          <w:lang w:eastAsia="zh-CN"/>
        </w:rPr>
        <w:t>已缴纳的至少一个月的纳税证明（银行缴费凭证）或完税证明（时间以税款所属日期为准</w:t>
      </w:r>
      <w:r>
        <w:rPr>
          <w:rFonts w:hint="eastAsia" w:ascii="宋体" w:hAnsi="宋体" w:eastAsia="宋体" w:cs="宋体"/>
          <w:color w:val="auto"/>
          <w:sz w:val="24"/>
          <w:szCs w:val="24"/>
          <w:highlight w:val="none"/>
        </w:rPr>
        <w:t>），依法免税的单位应提供相关证明材料；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社会保障资金缴纳证明：提供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年01月至开标截止时间已缴纳的至少一个月的社会保障资金（任一险种）缴费单据或社保机构开具的社会保险参保缴费情况证明，依法不需要缴纳社会保障资金的单位应提供相关证明材料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）财务状况报告：提供</w:t>
      </w:r>
      <w:r>
        <w:rPr>
          <w:rFonts w:hint="eastAsia" w:ascii="宋体" w:hAnsi="宋体" w:eastAsia="宋体" w:cs="宋体"/>
          <w:color w:val="auto"/>
          <w:sz w:val="24"/>
          <w:szCs w:val="24"/>
          <w:highlight w:val="none"/>
          <w:lang w:eastAsia="zh-CN"/>
        </w:rPr>
        <w:t>缴费主体</w:t>
      </w:r>
      <w:r>
        <w:rPr>
          <w:rFonts w:hint="eastAsia" w:ascii="宋体" w:hAnsi="宋体" w:eastAsia="宋体" w:cs="宋体"/>
          <w:color w:val="auto"/>
          <w:sz w:val="24"/>
          <w:szCs w:val="24"/>
          <w:highlight w:val="none"/>
        </w:rPr>
        <w:t>赋码后</w:t>
      </w:r>
      <w:r>
        <w:rPr>
          <w:rFonts w:hint="eastAsia" w:ascii="宋体" w:hAnsi="宋体" w:eastAsia="宋体" w:cs="宋体"/>
          <w:color w:val="auto"/>
          <w:sz w:val="24"/>
          <w:szCs w:val="24"/>
          <w:highlight w:val="none"/>
          <w:lang w:val="en-US" w:eastAsia="zh-CN"/>
        </w:rPr>
        <w:t>2025年度</w:t>
      </w:r>
      <w:r>
        <w:rPr>
          <w:rFonts w:hint="eastAsia" w:ascii="宋体" w:hAnsi="宋体" w:eastAsia="宋体" w:cs="宋体"/>
          <w:color w:val="auto"/>
          <w:sz w:val="24"/>
          <w:szCs w:val="24"/>
          <w:highlight w:val="none"/>
        </w:rPr>
        <w:t>经会计师事务所或审计机构审计的财务审计报告，提供的财务审计报告需在注册会计师行业统一监管平台（http://acc.mof.gov.cn/）可查询并提供网页查询截图</w:t>
      </w:r>
      <w:r>
        <w:rPr>
          <w:rFonts w:hint="eastAsia" w:ascii="宋体" w:hAnsi="宋体" w:eastAsia="宋体" w:cs="宋体"/>
          <w:color w:val="auto"/>
          <w:sz w:val="24"/>
          <w:szCs w:val="24"/>
          <w:highlight w:val="none"/>
          <w:lang w:eastAsia="zh-CN"/>
        </w:rPr>
        <w:t>；成立</w:t>
      </w:r>
      <w:r>
        <w:rPr>
          <w:rFonts w:hint="eastAsia" w:ascii="宋体" w:hAnsi="宋体" w:eastAsia="宋体" w:cs="宋体"/>
          <w:color w:val="auto"/>
          <w:sz w:val="24"/>
          <w:szCs w:val="24"/>
          <w:highlight w:val="none"/>
        </w:rPr>
        <w:t>不足一年的提供成立以来的资产负债表、利润表、现金流量表及基本账户银行出具的资信证明）； </w:t>
      </w:r>
    </w:p>
    <w:p w14:paraId="277A5DCB">
      <w:pPr>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对列入 “信用中国” 网站 (</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"https://link.wtturl.cn/?target=https://www.creditchina.gov.cn&amp;scene=im&amp;aid=497858&amp;lang=zh" \o "autolink" \t "_blank" </w:instrText>
      </w:r>
      <w:r>
        <w:rPr>
          <w:rFonts w:ascii="宋体" w:hAnsi="宋体" w:eastAsia="宋体" w:cs="宋体"/>
          <w:color w:val="auto"/>
          <w:sz w:val="24"/>
          <w:szCs w:val="24"/>
          <w:highlight w:val="none"/>
        </w:rPr>
        <w:fldChar w:fldCharType="separate"/>
      </w:r>
      <w:r>
        <w:rPr>
          <w:rStyle w:val="35"/>
          <w:rFonts w:ascii="宋体" w:hAnsi="宋体" w:eastAsia="宋体" w:cs="宋体"/>
          <w:color w:val="auto"/>
          <w:sz w:val="24"/>
          <w:szCs w:val="24"/>
          <w:highlight w:val="none"/>
        </w:rPr>
        <w:t>www.creditchina.gov.cn</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失信被执行人、重大税收违法失信主体、经营异常名录；“中国政府采购网”(</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"https://link.wtturl.cn/?target=https://www.ccgp.gov.cn&amp;scene=im&amp;aid=497858&amp;lang=zh" \o "autolink" \t "_blank" </w:instrText>
      </w:r>
      <w:r>
        <w:rPr>
          <w:rFonts w:ascii="宋体" w:hAnsi="宋体" w:eastAsia="宋体" w:cs="宋体"/>
          <w:color w:val="auto"/>
          <w:sz w:val="24"/>
          <w:szCs w:val="24"/>
          <w:highlight w:val="none"/>
        </w:rPr>
        <w:fldChar w:fldCharType="separate"/>
      </w:r>
      <w:r>
        <w:rPr>
          <w:rStyle w:val="35"/>
          <w:rFonts w:ascii="宋体" w:hAnsi="宋体" w:eastAsia="宋体" w:cs="宋体"/>
          <w:color w:val="auto"/>
          <w:sz w:val="24"/>
          <w:szCs w:val="24"/>
          <w:highlight w:val="none"/>
        </w:rPr>
        <w:t>www.ccgp.gov.cn</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政府采购严重违法失信行为信息记录的单位，应当拒绝参与政府采购活动，</w:t>
      </w:r>
      <w:r>
        <w:rPr>
          <w:rFonts w:hint="eastAsia" w:ascii="宋体" w:hAnsi="宋体" w:eastAsia="宋体" w:cs="宋体"/>
          <w:i w:val="0"/>
          <w:iCs w:val="0"/>
          <w:caps w:val="0"/>
          <w:color w:val="auto"/>
          <w:spacing w:val="0"/>
          <w:sz w:val="24"/>
          <w:szCs w:val="24"/>
          <w:highlight w:val="none"/>
          <w:shd w:val="clear" w:color="auto" w:fill="FFFFFF"/>
        </w:rPr>
        <w:t>提供查询截图（查询日期为从</w:t>
      </w:r>
      <w:r>
        <w:rPr>
          <w:rFonts w:hint="eastAsia" w:ascii="宋体" w:hAnsi="宋体" w:cs="宋体"/>
          <w:i w:val="0"/>
          <w:iCs w:val="0"/>
          <w:caps w:val="0"/>
          <w:color w:val="auto"/>
          <w:spacing w:val="0"/>
          <w:sz w:val="24"/>
          <w:szCs w:val="24"/>
          <w:highlight w:val="none"/>
          <w:shd w:val="clear" w:color="auto" w:fill="FFFFFF"/>
          <w:lang w:val="en-US" w:eastAsia="zh-CN"/>
        </w:rPr>
        <w:t>招标</w:t>
      </w:r>
      <w:r>
        <w:rPr>
          <w:rFonts w:hint="eastAsia" w:ascii="宋体" w:hAnsi="宋体" w:eastAsia="宋体" w:cs="宋体"/>
          <w:i w:val="0"/>
          <w:iCs w:val="0"/>
          <w:caps w:val="0"/>
          <w:color w:val="auto"/>
          <w:spacing w:val="0"/>
          <w:sz w:val="24"/>
          <w:szCs w:val="24"/>
          <w:highlight w:val="none"/>
          <w:shd w:val="clear" w:color="auto" w:fill="FFFFFF"/>
        </w:rPr>
        <w:t>文件获取之日起至投标截止日前但最终以投标截止日当天查询结果为准）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）参加政府采购活动前三年内，在经营活动中没有重大违法记录的书面声明；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）自主上报信用承诺书：投标人及其授权委托人应在“信用中国（陕西榆林）”网站(www.ylcredit.gov.cn)进行注册、登录、自主上报信用承诺书，包括：《榆林市政府采购</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类项目供应商信用承诺书》《投标人信用承诺》、《投标人委托代理人员信用承诺书》(如有)、《投标信用承诺书》。</w:t>
      </w:r>
    </w:p>
    <w:p w14:paraId="6EF9463F">
      <w:pPr>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）本项目专门面向</w:t>
      </w:r>
      <w:r>
        <w:rPr>
          <w:rFonts w:hint="eastAsia" w:ascii="宋体" w:hAnsi="宋体" w:cs="宋体"/>
          <w:color w:val="auto"/>
          <w:sz w:val="24"/>
          <w:szCs w:val="24"/>
          <w:highlight w:val="none"/>
          <w:lang w:val="en-US" w:eastAsia="zh-CN"/>
        </w:rPr>
        <w:t>中小</w:t>
      </w:r>
      <w:r>
        <w:rPr>
          <w:rFonts w:hint="eastAsia" w:ascii="宋体" w:hAnsi="宋体" w:eastAsia="宋体" w:cs="宋体"/>
          <w:color w:val="auto"/>
          <w:sz w:val="24"/>
          <w:szCs w:val="24"/>
          <w:highlight w:val="none"/>
          <w:lang w:val="en-US" w:eastAsia="zh-CN"/>
        </w:rPr>
        <w:t>企业采购，满足要求的</w:t>
      </w:r>
      <w:r>
        <w:rPr>
          <w:rFonts w:hint="eastAsia" w:ascii="宋体" w:hAnsi="宋体" w:cs="宋体"/>
          <w:color w:val="auto"/>
          <w:sz w:val="24"/>
          <w:szCs w:val="24"/>
          <w:highlight w:val="none"/>
          <w:lang w:val="en-US" w:eastAsia="zh-CN"/>
        </w:rPr>
        <w:t>中小</w:t>
      </w:r>
      <w:r>
        <w:rPr>
          <w:rFonts w:hint="eastAsia" w:ascii="宋体" w:hAnsi="宋体" w:eastAsia="宋体" w:cs="宋体"/>
          <w:color w:val="auto"/>
          <w:sz w:val="24"/>
          <w:szCs w:val="24"/>
          <w:highlight w:val="none"/>
          <w:lang w:val="en-US" w:eastAsia="zh-CN"/>
        </w:rPr>
        <w:t>企业须提供管理办法规定的《中小企业声明函》并对真实性负责。</w:t>
      </w:r>
    </w:p>
    <w:p w14:paraId="58581705">
      <w:pPr>
        <w:bidi w:val="0"/>
        <w:spacing w:line="360" w:lineRule="auto"/>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本项目不接受联合体投标，单位负责人为同一人或者存在直接控股、管理关系的不同供应商，不得参加同一合同项下的政府采购活动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须提供非联合体投标声明</w:t>
      </w:r>
      <w:r>
        <w:rPr>
          <w:rFonts w:hint="eastAsia" w:ascii="宋体" w:hAnsi="宋体" w:eastAsia="宋体" w:cs="宋体"/>
          <w:color w:val="auto"/>
          <w:sz w:val="24"/>
          <w:szCs w:val="24"/>
          <w:highlight w:val="none"/>
          <w:lang w:eastAsia="zh-CN"/>
        </w:rPr>
        <w:t>。</w:t>
      </w:r>
    </w:p>
    <w:p w14:paraId="041F537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28"/>
          <w:rFonts w:hint="eastAsia" w:ascii="宋体" w:hAnsi="宋体" w:eastAsia="宋体" w:cs="宋体"/>
          <w:b/>
          <w:bCs/>
          <w:i w:val="0"/>
          <w:iCs w:val="0"/>
          <w:caps w:val="0"/>
          <w:color w:val="auto"/>
          <w:spacing w:val="0"/>
          <w:sz w:val="24"/>
          <w:szCs w:val="24"/>
          <w:highlight w:val="none"/>
          <w:shd w:val="clear" w:fill="FFFFFF"/>
        </w:rPr>
        <w:t>三、获取招标文件</w:t>
      </w:r>
    </w:p>
    <w:p w14:paraId="75FBD2BC">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w:t>
      </w:r>
      <w:r>
        <w:rPr>
          <w:rFonts w:hint="eastAsia" w:ascii="宋体" w:hAnsi="宋体" w:eastAsia="宋体" w:cs="宋体"/>
          <w:color w:val="auto"/>
          <w:kern w:val="0"/>
          <w:sz w:val="24"/>
          <w:szCs w:val="24"/>
          <w:highlight w:val="none"/>
          <w:lang w:val="en-US" w:eastAsia="zh-CN"/>
        </w:rPr>
        <w:t>202</w:t>
      </w:r>
      <w:r>
        <w:rPr>
          <w:rFonts w:hint="eastAsia"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u w:val="none"/>
          <w:lang w:val="en-US" w:eastAsia="zh-CN"/>
        </w:rPr>
        <w:t>年</w:t>
      </w:r>
      <w:r>
        <w:rPr>
          <w:rFonts w:hint="eastAsia" w:cs="宋体"/>
          <w:color w:val="auto"/>
          <w:kern w:val="0"/>
          <w:sz w:val="24"/>
          <w:szCs w:val="24"/>
          <w:highlight w:val="none"/>
          <w:u w:val="none"/>
          <w:lang w:val="en-US" w:eastAsia="zh-CN"/>
        </w:rPr>
        <w:t>08</w:t>
      </w:r>
      <w:r>
        <w:rPr>
          <w:rFonts w:hint="eastAsia" w:ascii="宋体" w:hAnsi="宋体" w:eastAsia="宋体" w:cs="宋体"/>
          <w:color w:val="auto"/>
          <w:kern w:val="0"/>
          <w:sz w:val="24"/>
          <w:szCs w:val="24"/>
          <w:highlight w:val="none"/>
          <w:u w:val="none"/>
          <w:lang w:val="en-US" w:eastAsia="zh-CN"/>
        </w:rPr>
        <w:t>月</w:t>
      </w:r>
      <w:r>
        <w:rPr>
          <w:rFonts w:hint="eastAsia" w:cs="宋体"/>
          <w:color w:val="auto"/>
          <w:kern w:val="0"/>
          <w:sz w:val="24"/>
          <w:szCs w:val="24"/>
          <w:highlight w:val="none"/>
          <w:u w:val="none"/>
          <w:lang w:val="en-US" w:eastAsia="zh-CN"/>
        </w:rPr>
        <w:t>27</w:t>
      </w:r>
      <w:r>
        <w:rPr>
          <w:rFonts w:hint="eastAsia" w:ascii="宋体" w:hAnsi="宋体" w:eastAsia="宋体" w:cs="宋体"/>
          <w:color w:val="auto"/>
          <w:kern w:val="0"/>
          <w:sz w:val="24"/>
          <w:szCs w:val="24"/>
          <w:highlight w:val="none"/>
          <w:u w:val="none"/>
          <w:lang w:val="en-US" w:eastAsia="zh-CN"/>
        </w:rPr>
        <w:t>日至202</w:t>
      </w:r>
      <w:r>
        <w:rPr>
          <w:rFonts w:hint="eastAsia" w:cs="宋体"/>
          <w:color w:val="auto"/>
          <w:kern w:val="0"/>
          <w:sz w:val="24"/>
          <w:szCs w:val="24"/>
          <w:highlight w:val="none"/>
          <w:u w:val="none"/>
          <w:lang w:val="en-US" w:eastAsia="zh-CN"/>
        </w:rPr>
        <w:t>6</w:t>
      </w:r>
      <w:r>
        <w:rPr>
          <w:rFonts w:hint="eastAsia" w:ascii="宋体" w:hAnsi="宋体" w:eastAsia="宋体" w:cs="宋体"/>
          <w:color w:val="auto"/>
          <w:kern w:val="0"/>
          <w:sz w:val="24"/>
          <w:szCs w:val="24"/>
          <w:highlight w:val="none"/>
          <w:u w:val="none"/>
          <w:lang w:val="en-US" w:eastAsia="zh-CN"/>
        </w:rPr>
        <w:t>年</w:t>
      </w:r>
      <w:r>
        <w:rPr>
          <w:rFonts w:hint="eastAsia" w:cs="宋体"/>
          <w:color w:val="auto"/>
          <w:kern w:val="0"/>
          <w:sz w:val="24"/>
          <w:szCs w:val="24"/>
          <w:highlight w:val="none"/>
          <w:u w:val="none"/>
          <w:lang w:val="en-US" w:eastAsia="zh-CN"/>
        </w:rPr>
        <w:t>09</w:t>
      </w:r>
      <w:r>
        <w:rPr>
          <w:rFonts w:hint="eastAsia" w:ascii="宋体" w:hAnsi="宋体" w:eastAsia="宋体" w:cs="宋体"/>
          <w:color w:val="auto"/>
          <w:kern w:val="0"/>
          <w:sz w:val="24"/>
          <w:szCs w:val="24"/>
          <w:highlight w:val="none"/>
          <w:u w:val="none"/>
          <w:lang w:val="en-US" w:eastAsia="zh-CN"/>
        </w:rPr>
        <w:t>月</w:t>
      </w:r>
      <w:r>
        <w:rPr>
          <w:rFonts w:hint="eastAsia" w:cs="宋体"/>
          <w:color w:val="auto"/>
          <w:kern w:val="0"/>
          <w:sz w:val="24"/>
          <w:szCs w:val="24"/>
          <w:highlight w:val="none"/>
          <w:u w:val="none"/>
          <w:lang w:val="en-US" w:eastAsia="zh-CN"/>
        </w:rPr>
        <w:t>02</w:t>
      </w:r>
      <w:r>
        <w:rPr>
          <w:rFonts w:hint="eastAsia" w:ascii="宋体" w:hAnsi="宋体" w:eastAsia="宋体" w:cs="宋体"/>
          <w:color w:val="auto"/>
          <w:kern w:val="0"/>
          <w:sz w:val="24"/>
          <w:szCs w:val="24"/>
          <w:highlight w:val="none"/>
          <w:u w:val="none"/>
          <w:lang w:val="en-US" w:eastAsia="zh-CN"/>
        </w:rPr>
        <w:t>日</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sz w:val="24"/>
          <w:highlight w:val="none"/>
        </w:rPr>
        <w:t>每天上午09:00至下午17:00（北京时间,法定节假日除外）</w:t>
      </w:r>
    </w:p>
    <w:p w14:paraId="39EABB0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途径：登录全国公共资源交易中心平台（陕西省）使用CA锁报名后自行下载</w:t>
      </w:r>
    </w:p>
    <w:p w14:paraId="6E4BAB9C">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方式：在线获取</w:t>
      </w:r>
    </w:p>
    <w:p w14:paraId="690BD911">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售价：0元</w:t>
      </w:r>
    </w:p>
    <w:p w14:paraId="06D7923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28"/>
          <w:rFonts w:hint="eastAsia" w:ascii="宋体" w:hAnsi="宋体" w:eastAsia="宋体" w:cs="宋体"/>
          <w:b/>
          <w:bCs/>
          <w:i w:val="0"/>
          <w:iCs w:val="0"/>
          <w:caps w:val="0"/>
          <w:color w:val="auto"/>
          <w:spacing w:val="0"/>
          <w:sz w:val="24"/>
          <w:szCs w:val="24"/>
          <w:highlight w:val="none"/>
          <w:shd w:val="clear" w:fill="FFFFFF"/>
        </w:rPr>
        <w:t>四、提交投标文件截止时间、开标时间和地点</w:t>
      </w:r>
    </w:p>
    <w:p w14:paraId="310FF73A">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w:t>
      </w:r>
      <w:r>
        <w:rPr>
          <w:rFonts w:hint="eastAsia" w:cs="宋体"/>
          <w:i w:val="0"/>
          <w:iCs w:val="0"/>
          <w:caps w:val="0"/>
          <w:color w:val="auto"/>
          <w:spacing w:val="0"/>
          <w:sz w:val="24"/>
          <w:szCs w:val="24"/>
          <w:highlight w:val="none"/>
          <w:u w:val="none"/>
          <w:shd w:val="clear" w:fill="FFFFFF"/>
          <w:lang w:eastAsia="zh-CN"/>
        </w:rPr>
        <w:t>202</w:t>
      </w:r>
      <w:r>
        <w:rPr>
          <w:rFonts w:hint="eastAsia" w:cs="宋体"/>
          <w:i w:val="0"/>
          <w:iCs w:val="0"/>
          <w:caps w:val="0"/>
          <w:color w:val="auto"/>
          <w:spacing w:val="0"/>
          <w:sz w:val="24"/>
          <w:szCs w:val="24"/>
          <w:highlight w:val="none"/>
          <w:u w:val="none"/>
          <w:shd w:val="clear" w:fill="FFFFFF"/>
          <w:lang w:val="en-US" w:eastAsia="zh-CN"/>
        </w:rPr>
        <w:t>6</w:t>
      </w:r>
      <w:r>
        <w:rPr>
          <w:rFonts w:hint="eastAsia" w:cs="宋体"/>
          <w:i w:val="0"/>
          <w:iCs w:val="0"/>
          <w:caps w:val="0"/>
          <w:color w:val="auto"/>
          <w:spacing w:val="0"/>
          <w:sz w:val="24"/>
          <w:szCs w:val="24"/>
          <w:highlight w:val="none"/>
          <w:u w:val="none"/>
          <w:shd w:val="clear" w:fill="FFFFFF"/>
          <w:lang w:eastAsia="zh-CN"/>
        </w:rPr>
        <w:t>年</w:t>
      </w:r>
      <w:r>
        <w:rPr>
          <w:rFonts w:hint="eastAsia" w:cs="宋体"/>
          <w:i w:val="0"/>
          <w:iCs w:val="0"/>
          <w:caps w:val="0"/>
          <w:color w:val="auto"/>
          <w:spacing w:val="0"/>
          <w:sz w:val="24"/>
          <w:szCs w:val="24"/>
          <w:highlight w:val="none"/>
          <w:u w:val="none"/>
          <w:shd w:val="clear" w:fill="FFFFFF"/>
          <w:lang w:val="en-US" w:eastAsia="zh-CN"/>
        </w:rPr>
        <w:t>09</w:t>
      </w:r>
      <w:r>
        <w:rPr>
          <w:rFonts w:hint="eastAsia" w:cs="宋体"/>
          <w:i w:val="0"/>
          <w:iCs w:val="0"/>
          <w:caps w:val="0"/>
          <w:color w:val="auto"/>
          <w:spacing w:val="0"/>
          <w:sz w:val="24"/>
          <w:szCs w:val="24"/>
          <w:highlight w:val="none"/>
          <w:u w:val="none"/>
          <w:shd w:val="clear" w:fill="FFFFFF"/>
          <w:lang w:eastAsia="zh-CN"/>
        </w:rPr>
        <w:t>月</w:t>
      </w:r>
      <w:r>
        <w:rPr>
          <w:rFonts w:hint="eastAsia" w:cs="宋体"/>
          <w:i w:val="0"/>
          <w:iCs w:val="0"/>
          <w:caps w:val="0"/>
          <w:color w:val="auto"/>
          <w:spacing w:val="0"/>
          <w:sz w:val="24"/>
          <w:szCs w:val="24"/>
          <w:highlight w:val="none"/>
          <w:u w:val="none"/>
          <w:shd w:val="clear" w:fill="FFFFFF"/>
          <w:lang w:val="en-US" w:eastAsia="zh-CN"/>
        </w:rPr>
        <w:t>17</w:t>
      </w:r>
      <w:r>
        <w:rPr>
          <w:rFonts w:hint="eastAsia" w:cs="宋体"/>
          <w:i w:val="0"/>
          <w:iCs w:val="0"/>
          <w:caps w:val="0"/>
          <w:color w:val="auto"/>
          <w:spacing w:val="0"/>
          <w:sz w:val="24"/>
          <w:szCs w:val="24"/>
          <w:highlight w:val="none"/>
          <w:u w:val="none"/>
          <w:shd w:val="clear" w:fill="FFFFFF"/>
          <w:lang w:eastAsia="zh-CN"/>
        </w:rPr>
        <w:t>日</w:t>
      </w:r>
      <w:r>
        <w:rPr>
          <w:rFonts w:hint="eastAsia" w:cs="宋体"/>
          <w:i w:val="0"/>
          <w:iCs w:val="0"/>
          <w:caps w:val="0"/>
          <w:color w:val="auto"/>
          <w:spacing w:val="0"/>
          <w:sz w:val="24"/>
          <w:szCs w:val="24"/>
          <w:highlight w:val="none"/>
          <w:u w:val="none"/>
          <w:shd w:val="clear" w:fill="FFFFFF"/>
          <w:lang w:val="en-US" w:eastAsia="zh-CN"/>
        </w:rPr>
        <w:t>09</w:t>
      </w:r>
      <w:r>
        <w:rPr>
          <w:rFonts w:hint="eastAsia" w:ascii="宋体" w:hAnsi="宋体" w:eastAsia="宋体" w:cs="宋体"/>
          <w:i w:val="0"/>
          <w:iCs w:val="0"/>
          <w:caps w:val="0"/>
          <w:color w:val="auto"/>
          <w:spacing w:val="0"/>
          <w:sz w:val="24"/>
          <w:szCs w:val="24"/>
          <w:highlight w:val="none"/>
          <w:u w:val="none"/>
          <w:shd w:val="clear" w:fill="FFFFFF"/>
        </w:rPr>
        <w:t>时</w:t>
      </w:r>
      <w:r>
        <w:rPr>
          <w:rFonts w:hint="eastAsia" w:cs="宋体"/>
          <w:i w:val="0"/>
          <w:iCs w:val="0"/>
          <w:caps w:val="0"/>
          <w:color w:val="auto"/>
          <w:spacing w:val="0"/>
          <w:sz w:val="24"/>
          <w:szCs w:val="24"/>
          <w:highlight w:val="none"/>
          <w:u w:val="none"/>
          <w:shd w:val="clear" w:fill="FFFFFF"/>
          <w:lang w:val="en-US" w:eastAsia="zh-CN"/>
        </w:rPr>
        <w:t>30</w:t>
      </w:r>
      <w:r>
        <w:rPr>
          <w:rFonts w:hint="eastAsia" w:ascii="宋体" w:hAnsi="宋体" w:eastAsia="宋体" w:cs="宋体"/>
          <w:i w:val="0"/>
          <w:iCs w:val="0"/>
          <w:caps w:val="0"/>
          <w:color w:val="auto"/>
          <w:spacing w:val="0"/>
          <w:sz w:val="24"/>
          <w:szCs w:val="24"/>
          <w:highlight w:val="none"/>
          <w:u w:val="none"/>
          <w:shd w:val="clear" w:fill="FFFFFF"/>
        </w:rPr>
        <w:t>分</w:t>
      </w:r>
      <w:r>
        <w:rPr>
          <w:rFonts w:hint="eastAsia" w:ascii="宋体" w:hAnsi="宋体" w:eastAsia="宋体" w:cs="宋体"/>
          <w:i w:val="0"/>
          <w:iCs w:val="0"/>
          <w:caps w:val="0"/>
          <w:color w:val="auto"/>
          <w:spacing w:val="0"/>
          <w:sz w:val="24"/>
          <w:szCs w:val="24"/>
          <w:highlight w:val="none"/>
          <w:shd w:val="clear" w:fill="FFFFFF"/>
        </w:rPr>
        <w:t>00秒（北京时间）</w:t>
      </w:r>
    </w:p>
    <w:p w14:paraId="663897B3">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提交投标文件地点：登录全国公共资源交易平台（陕西省•榆林市）网站〖首页〉电子交易平台〉陕西政府采购交易系统）企业端〗，在线提交</w:t>
      </w:r>
    </w:p>
    <w:p w14:paraId="6DB7F8D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开标地点：登录全国公共资源交易平台（陕西省•榆林市）网站〖首页〉不见面开标〗系统，在线参加开标过程</w:t>
      </w:r>
    </w:p>
    <w:p w14:paraId="4A33ECB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28"/>
          <w:rFonts w:hint="eastAsia" w:ascii="宋体" w:hAnsi="宋体" w:eastAsia="宋体" w:cs="宋体"/>
          <w:b/>
          <w:bCs/>
          <w:i w:val="0"/>
          <w:iCs w:val="0"/>
          <w:caps w:val="0"/>
          <w:color w:val="auto"/>
          <w:spacing w:val="0"/>
          <w:sz w:val="24"/>
          <w:szCs w:val="24"/>
          <w:highlight w:val="none"/>
          <w:shd w:val="clear" w:fill="FFFFFF"/>
        </w:rPr>
        <w:t>五、公告期限</w:t>
      </w:r>
    </w:p>
    <w:p w14:paraId="30D85A2E">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自本公告发布之日起5个工作日。</w:t>
      </w:r>
    </w:p>
    <w:p w14:paraId="5268853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28"/>
          <w:rFonts w:hint="eastAsia" w:ascii="宋体" w:hAnsi="宋体" w:eastAsia="宋体" w:cs="宋体"/>
          <w:b/>
          <w:bCs/>
          <w:i w:val="0"/>
          <w:iCs w:val="0"/>
          <w:caps w:val="0"/>
          <w:color w:val="auto"/>
          <w:spacing w:val="0"/>
          <w:sz w:val="24"/>
          <w:szCs w:val="24"/>
          <w:highlight w:val="none"/>
          <w:shd w:val="clear" w:fill="FFFFFF"/>
        </w:rPr>
        <w:t>六、其他补充事宜</w:t>
      </w:r>
    </w:p>
    <w:p w14:paraId="7B799BF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（1）本项目专门面向</w:t>
      </w:r>
      <w:r>
        <w:rPr>
          <w:rFonts w:hint="eastAsia" w:cs="宋体"/>
          <w:i w:val="0"/>
          <w:iCs w:val="0"/>
          <w:caps w:val="0"/>
          <w:color w:val="auto"/>
          <w:spacing w:val="0"/>
          <w:kern w:val="0"/>
          <w:sz w:val="24"/>
          <w:szCs w:val="24"/>
          <w:highlight w:val="none"/>
          <w:shd w:val="clear" w:fill="FFFFFF"/>
          <w:lang w:val="en-US" w:eastAsia="zh-CN" w:bidi="ar"/>
        </w:rPr>
        <w:t>中小</w:t>
      </w:r>
      <w:r>
        <w:rPr>
          <w:rFonts w:hint="eastAsia" w:ascii="宋体" w:hAnsi="宋体" w:eastAsia="宋体" w:cs="宋体"/>
          <w:i w:val="0"/>
          <w:iCs w:val="0"/>
          <w:caps w:val="0"/>
          <w:color w:val="auto"/>
          <w:spacing w:val="0"/>
          <w:kern w:val="0"/>
          <w:sz w:val="24"/>
          <w:szCs w:val="24"/>
          <w:highlight w:val="none"/>
          <w:shd w:val="clear" w:fill="FFFFFF"/>
          <w:lang w:val="en-US" w:eastAsia="zh-CN" w:bidi="ar"/>
        </w:rPr>
        <w:t>企业采购。</w:t>
      </w:r>
    </w:p>
    <w:p w14:paraId="2596F4E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（2）供应商可登录全国公共资源交易中心平台（陕西省） （http://www.sxggzyjy.cn/）,选择“电子交易平台-陕西政府采购交易系统-陕西省公共资源交易平台-供应商”进行登录，登录后选择“交易乙方”身份进入供应商界面进行报名并免费下载招标文件。</w:t>
      </w:r>
    </w:p>
    <w:p w14:paraId="2CB6ED1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（3）本项目采用电子化招投标的方式，供应商使用数字认证证书（CA 锁）对投标文件进行签章、加密、递交及开标时解密等相关招投标事宜。</w:t>
      </w:r>
    </w:p>
    <w:p w14:paraId="0472A92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（4）电子响应文件制作软件技术支持热线：400-998-0000</w:t>
      </w:r>
      <w:r>
        <w:rPr>
          <w:rFonts w:hint="eastAsia" w:cs="宋体"/>
          <w:i w:val="0"/>
          <w:iCs w:val="0"/>
          <w:caps w:val="0"/>
          <w:color w:val="auto"/>
          <w:spacing w:val="0"/>
          <w:kern w:val="0"/>
          <w:sz w:val="24"/>
          <w:szCs w:val="24"/>
          <w:highlight w:val="none"/>
          <w:shd w:val="clear" w:fill="FFFFFF"/>
          <w:lang w:val="en-US" w:eastAsia="zh-CN" w:bidi="ar"/>
        </w:rPr>
        <w:t>，</w:t>
      </w:r>
      <w:r>
        <w:rPr>
          <w:rFonts w:hint="eastAsia" w:ascii="宋体" w:hAnsi="宋体" w:eastAsia="宋体" w:cs="宋体"/>
          <w:i w:val="0"/>
          <w:iCs w:val="0"/>
          <w:caps w:val="0"/>
          <w:color w:val="auto"/>
          <w:spacing w:val="0"/>
          <w:kern w:val="0"/>
          <w:sz w:val="24"/>
          <w:szCs w:val="24"/>
          <w:highlight w:val="none"/>
          <w:shd w:val="clear" w:fill="FFFFFF"/>
          <w:lang w:val="en-US" w:eastAsia="zh-CN" w:bidi="ar"/>
        </w:rPr>
        <w:t>CA锁购买：榆林市市民大厦三楼E18、E19窗口办理，咨询电话0912-3452148、029-88661298或4006-369-888（陕西CA联系电话）。</w:t>
      </w:r>
    </w:p>
    <w:p w14:paraId="4E2DFE8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（5）请各供应商获取招标文件后，按照陕西省财政厅《关于政府采购投标供应商注册登记有关事项的通知》要求，通过陕西省政府采购（http://www.ccgp-shaanxi.gov.cn/）注册登记加入陕西省政府采购投标供应商库。</w:t>
      </w:r>
    </w:p>
    <w:p w14:paraId="654AB0B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（6）本项目采用“不见面”开标形式，不见面开标系统操作手册下载方式：登录【全国公共资源交易平台（陕西省）】 网站首页选择【服务指南】-【下载专区】-点击【关于陕西省公共资源交易平台多CA互认系统正式上线运行的通知】进行下载。</w:t>
      </w:r>
    </w:p>
    <w:p w14:paraId="0FDEA85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28"/>
          <w:rFonts w:hint="eastAsia" w:ascii="宋体" w:hAnsi="宋体" w:eastAsia="宋体" w:cs="宋体"/>
          <w:b/>
          <w:bCs/>
          <w:i w:val="0"/>
          <w:iCs w:val="0"/>
          <w:caps w:val="0"/>
          <w:color w:val="auto"/>
          <w:spacing w:val="0"/>
          <w:sz w:val="24"/>
          <w:szCs w:val="24"/>
          <w:highlight w:val="none"/>
          <w:shd w:val="clear" w:fill="FFFFFF"/>
        </w:rPr>
        <w:t>七、对本次招标提出询问，请按以下方式联系。</w:t>
      </w:r>
    </w:p>
    <w:p w14:paraId="36C3F22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1.采购人信息</w:t>
      </w:r>
    </w:p>
    <w:p w14:paraId="3F5ECB0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名称：</w:t>
      </w:r>
      <w:r>
        <w:rPr>
          <w:rFonts w:hint="eastAsia" w:cs="宋体"/>
          <w:i w:val="0"/>
          <w:iCs w:val="0"/>
          <w:caps w:val="0"/>
          <w:color w:val="auto"/>
          <w:spacing w:val="0"/>
          <w:sz w:val="24"/>
          <w:szCs w:val="24"/>
          <w:highlight w:val="none"/>
          <w:shd w:val="clear" w:fill="FFFFFF"/>
          <w:lang w:eastAsia="zh-CN"/>
        </w:rPr>
        <w:t>清涧县地质环境监测站</w:t>
      </w:r>
    </w:p>
    <w:p w14:paraId="418E5EF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地址：</w:t>
      </w:r>
      <w:r>
        <w:rPr>
          <w:rFonts w:hint="eastAsia" w:cs="宋体"/>
          <w:i w:val="0"/>
          <w:iCs w:val="0"/>
          <w:caps w:val="0"/>
          <w:color w:val="auto"/>
          <w:spacing w:val="0"/>
          <w:sz w:val="24"/>
          <w:szCs w:val="24"/>
          <w:highlight w:val="none"/>
          <w:shd w:val="clear" w:fill="FFFFFF"/>
          <w:lang w:eastAsia="zh-CN"/>
        </w:rPr>
        <w:t>陕西省榆林市清涧县自然资源和规划局四楼</w:t>
      </w:r>
    </w:p>
    <w:p w14:paraId="1EF4084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联系方式：</w:t>
      </w:r>
      <w:r>
        <w:rPr>
          <w:rFonts w:hint="eastAsia" w:cs="宋体"/>
          <w:i w:val="0"/>
          <w:iCs w:val="0"/>
          <w:caps w:val="0"/>
          <w:color w:val="auto"/>
          <w:spacing w:val="0"/>
          <w:sz w:val="24"/>
          <w:szCs w:val="24"/>
          <w:highlight w:val="none"/>
          <w:shd w:val="clear" w:fill="FFFFFF"/>
          <w:lang w:eastAsia="zh-CN"/>
        </w:rPr>
        <w:t>18591813500</w:t>
      </w:r>
    </w:p>
    <w:p w14:paraId="2323850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2.采购代理机构信息</w:t>
      </w:r>
    </w:p>
    <w:p w14:paraId="35C3FEA4">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名称：</w:t>
      </w:r>
      <w:r>
        <w:rPr>
          <w:rFonts w:hint="eastAsia" w:cs="宋体"/>
          <w:i w:val="0"/>
          <w:iCs w:val="0"/>
          <w:caps w:val="0"/>
          <w:color w:val="auto"/>
          <w:spacing w:val="0"/>
          <w:sz w:val="24"/>
          <w:szCs w:val="24"/>
          <w:highlight w:val="none"/>
          <w:shd w:val="clear" w:fill="FFFFFF"/>
          <w:lang w:eastAsia="zh-CN"/>
        </w:rPr>
        <w:t>陕安项目管理有限公司</w:t>
      </w:r>
    </w:p>
    <w:p w14:paraId="0E2C96E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地址：</w:t>
      </w:r>
      <w:r>
        <w:rPr>
          <w:rFonts w:hint="eastAsia" w:cs="宋体"/>
          <w:i w:val="0"/>
          <w:iCs w:val="0"/>
          <w:caps w:val="0"/>
          <w:color w:val="auto"/>
          <w:spacing w:val="0"/>
          <w:sz w:val="24"/>
          <w:szCs w:val="24"/>
          <w:highlight w:val="none"/>
          <w:shd w:val="clear" w:fill="FFFFFF"/>
          <w:lang w:eastAsia="zh-CN"/>
        </w:rPr>
        <w:t>陕西省西安市经济技术开发区未央路149号银河华庭D座1106室</w:t>
      </w:r>
    </w:p>
    <w:p w14:paraId="52B5861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联系方式：</w:t>
      </w:r>
      <w:r>
        <w:rPr>
          <w:rFonts w:hint="eastAsia" w:cs="宋体"/>
          <w:i w:val="0"/>
          <w:iCs w:val="0"/>
          <w:caps w:val="0"/>
          <w:color w:val="auto"/>
          <w:spacing w:val="0"/>
          <w:sz w:val="24"/>
          <w:szCs w:val="24"/>
          <w:highlight w:val="none"/>
          <w:shd w:val="clear" w:fill="FFFFFF"/>
          <w:lang w:eastAsia="zh-CN"/>
        </w:rPr>
        <w:t>13228440603</w:t>
      </w:r>
    </w:p>
    <w:p w14:paraId="3255604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3.项目联系方式</w:t>
      </w:r>
    </w:p>
    <w:p w14:paraId="7A32F31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项目联系人：</w:t>
      </w:r>
      <w:r>
        <w:rPr>
          <w:rFonts w:hint="eastAsia" w:cs="宋体"/>
          <w:i w:val="0"/>
          <w:iCs w:val="0"/>
          <w:caps w:val="0"/>
          <w:color w:val="auto"/>
          <w:spacing w:val="0"/>
          <w:sz w:val="24"/>
          <w:szCs w:val="24"/>
          <w:highlight w:val="none"/>
          <w:shd w:val="clear" w:fill="FFFFFF"/>
          <w:lang w:eastAsia="zh-CN"/>
        </w:rPr>
        <w:t>刘工</w:t>
      </w:r>
    </w:p>
    <w:p w14:paraId="2710517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电话：</w:t>
      </w:r>
      <w:r>
        <w:rPr>
          <w:rFonts w:hint="eastAsia" w:cs="宋体"/>
          <w:i w:val="0"/>
          <w:iCs w:val="0"/>
          <w:caps w:val="0"/>
          <w:color w:val="auto"/>
          <w:spacing w:val="0"/>
          <w:sz w:val="24"/>
          <w:szCs w:val="24"/>
          <w:highlight w:val="none"/>
          <w:shd w:val="clear" w:fill="FFFFFF"/>
          <w:lang w:eastAsia="zh-CN"/>
        </w:rPr>
        <w:t>13228440603</w:t>
      </w:r>
    </w:p>
    <w:p w14:paraId="7FFB8199">
      <w:pPr>
        <w:ind w:firstLine="480" w:firstLineChars="200"/>
        <w:rPr>
          <w:rFonts w:asciiTheme="majorEastAsia" w:hAnsiTheme="majorEastAsia" w:eastAsiaTheme="majorEastAsia" w:cstheme="majorEastAsia"/>
          <w:color w:val="auto"/>
          <w:sz w:val="24"/>
          <w:highlight w:val="none"/>
        </w:rPr>
      </w:pPr>
      <w:r>
        <w:rPr>
          <w:rFonts w:hint="eastAsia" w:ascii="宋体" w:hAnsi="宋体" w:cs="宋体"/>
          <w:color w:val="auto"/>
          <w:sz w:val="24"/>
          <w:szCs w:val="22"/>
          <w:highlight w:val="none"/>
          <w:lang w:val="en-US" w:eastAsia="zh-CN"/>
        </w:rPr>
        <w:t>邮      箱：652556020@qq.com</w:t>
      </w:r>
    </w:p>
    <w:p w14:paraId="7D889850">
      <w:pPr>
        <w:pStyle w:val="22"/>
        <w:spacing w:line="360" w:lineRule="auto"/>
        <w:jc w:val="both"/>
        <w:rPr>
          <w:rFonts w:asciiTheme="majorEastAsia" w:hAnsiTheme="majorEastAsia" w:eastAsiaTheme="majorEastAsia" w:cstheme="majorEastAsia"/>
          <w:color w:val="auto"/>
          <w:highlight w:val="none"/>
        </w:rPr>
      </w:pPr>
    </w:p>
    <w:p w14:paraId="08B4C955">
      <w:pPr>
        <w:jc w:val="center"/>
        <w:rPr>
          <w:rFonts w:asciiTheme="majorEastAsia" w:hAnsiTheme="majorEastAsia" w:eastAsiaTheme="majorEastAsia" w:cstheme="majorEastAsia"/>
          <w:b/>
          <w:bCs/>
          <w:color w:val="auto"/>
          <w:sz w:val="28"/>
          <w:szCs w:val="28"/>
          <w:highlight w:val="none"/>
        </w:rPr>
        <w:sectPr>
          <w:headerReference r:id="rId5" w:type="default"/>
          <w:footerReference r:id="rId6" w:type="default"/>
          <w:pgSz w:w="11900" w:h="16838"/>
          <w:pgMar w:top="1429" w:right="1417" w:bottom="1417" w:left="1417" w:header="850" w:footer="850" w:gutter="0"/>
          <w:pgNumType w:fmt="decimal"/>
          <w:cols w:space="720" w:num="1"/>
          <w:docGrid w:linePitch="326" w:charSpace="0"/>
        </w:sectPr>
      </w:pPr>
    </w:p>
    <w:p w14:paraId="47477CA5">
      <w:pPr>
        <w:pStyle w:val="2"/>
        <w:bidi w:val="0"/>
        <w:jc w:val="center"/>
        <w:rPr>
          <w:rFonts w:asciiTheme="majorEastAsia" w:hAnsiTheme="majorEastAsia" w:eastAsiaTheme="majorEastAsia" w:cstheme="majorEastAsia"/>
          <w:b/>
          <w:bCs/>
          <w:color w:val="auto"/>
          <w:highlight w:val="none"/>
        </w:rPr>
      </w:pPr>
      <w:bookmarkStart w:id="26" w:name="_Toc32217"/>
      <w:bookmarkStart w:id="27" w:name="_Toc9799"/>
      <w:r>
        <w:rPr>
          <w:rFonts w:hint="eastAsia"/>
          <w:color w:val="auto"/>
          <w:sz w:val="32"/>
          <w:szCs w:val="32"/>
          <w:highlight w:val="none"/>
        </w:rPr>
        <w:t xml:space="preserve">第二章 </w:t>
      </w:r>
      <w:r>
        <w:rPr>
          <w:rFonts w:hint="eastAsia"/>
          <w:color w:val="auto"/>
          <w:sz w:val="32"/>
          <w:szCs w:val="32"/>
          <w:highlight w:val="none"/>
          <w:lang w:val="en-US" w:eastAsia="zh-CN"/>
        </w:rPr>
        <w:t xml:space="preserve"> </w:t>
      </w:r>
      <w:r>
        <w:rPr>
          <w:rFonts w:hint="eastAsia"/>
          <w:color w:val="auto"/>
          <w:sz w:val="32"/>
          <w:szCs w:val="32"/>
          <w:highlight w:val="none"/>
        </w:rPr>
        <w:t>投标须知前附表</w:t>
      </w:r>
      <w:bookmarkEnd w:id="26"/>
      <w:bookmarkEnd w:id="27"/>
    </w:p>
    <w:bookmarkEnd w:id="0"/>
    <w:tbl>
      <w:tblPr>
        <w:tblStyle w:val="25"/>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907"/>
        <w:gridCol w:w="7014"/>
      </w:tblGrid>
      <w:tr w14:paraId="7E1A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blHeader/>
          <w:jc w:val="center"/>
        </w:trPr>
        <w:tc>
          <w:tcPr>
            <w:tcW w:w="818" w:type="dxa"/>
            <w:vAlign w:val="center"/>
          </w:tcPr>
          <w:p w14:paraId="20EFB451">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序号</w:t>
            </w:r>
          </w:p>
        </w:tc>
        <w:tc>
          <w:tcPr>
            <w:tcW w:w="1907" w:type="dxa"/>
            <w:vAlign w:val="center"/>
          </w:tcPr>
          <w:p w14:paraId="48DB0759">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条款名称</w:t>
            </w:r>
          </w:p>
        </w:tc>
        <w:tc>
          <w:tcPr>
            <w:tcW w:w="7014" w:type="dxa"/>
            <w:vAlign w:val="center"/>
          </w:tcPr>
          <w:p w14:paraId="39D92266">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说明和要求</w:t>
            </w:r>
          </w:p>
        </w:tc>
      </w:tr>
      <w:tr w14:paraId="56F84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818" w:type="dxa"/>
            <w:vAlign w:val="center"/>
          </w:tcPr>
          <w:p w14:paraId="079102F7">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w:t>
            </w:r>
          </w:p>
        </w:tc>
        <w:tc>
          <w:tcPr>
            <w:tcW w:w="1907" w:type="dxa"/>
            <w:vAlign w:val="center"/>
          </w:tcPr>
          <w:p w14:paraId="053D57D4">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采购人</w:t>
            </w:r>
          </w:p>
        </w:tc>
        <w:tc>
          <w:tcPr>
            <w:tcW w:w="7014" w:type="dxa"/>
            <w:vAlign w:val="center"/>
          </w:tcPr>
          <w:p w14:paraId="3A6235FF">
            <w:pPr>
              <w:spacing w:line="360" w:lineRule="auto"/>
              <w:jc w:val="left"/>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eastAsia="zh-CN"/>
              </w:rPr>
              <w:t>清涧县地质环境监测站</w:t>
            </w:r>
          </w:p>
        </w:tc>
      </w:tr>
      <w:tr w14:paraId="21CA8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18" w:type="dxa"/>
            <w:vAlign w:val="center"/>
          </w:tcPr>
          <w:p w14:paraId="3611B20D">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p>
        </w:tc>
        <w:tc>
          <w:tcPr>
            <w:tcW w:w="1907" w:type="dxa"/>
            <w:vAlign w:val="center"/>
          </w:tcPr>
          <w:p w14:paraId="1FB0EB95">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采购代理机构</w:t>
            </w:r>
          </w:p>
        </w:tc>
        <w:tc>
          <w:tcPr>
            <w:tcW w:w="7014" w:type="dxa"/>
            <w:vAlign w:val="center"/>
          </w:tcPr>
          <w:p w14:paraId="4B217A7F">
            <w:pPr>
              <w:spacing w:line="360" w:lineRule="auto"/>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eastAsia="zh-CN"/>
              </w:rPr>
              <w:t>陕安项目管理有限公司</w:t>
            </w:r>
          </w:p>
        </w:tc>
      </w:tr>
      <w:tr w14:paraId="32420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818" w:type="dxa"/>
            <w:vAlign w:val="center"/>
          </w:tcPr>
          <w:p w14:paraId="47915FE3">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w:t>
            </w:r>
          </w:p>
        </w:tc>
        <w:tc>
          <w:tcPr>
            <w:tcW w:w="1907" w:type="dxa"/>
            <w:vAlign w:val="center"/>
          </w:tcPr>
          <w:p w14:paraId="7706DFDB">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监督管理机构</w:t>
            </w:r>
          </w:p>
        </w:tc>
        <w:tc>
          <w:tcPr>
            <w:tcW w:w="7014" w:type="dxa"/>
            <w:vAlign w:val="center"/>
          </w:tcPr>
          <w:p w14:paraId="41AA528B">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清涧县</w:t>
            </w:r>
            <w:r>
              <w:rPr>
                <w:rFonts w:hint="eastAsia" w:asciiTheme="majorEastAsia" w:hAnsiTheme="majorEastAsia" w:eastAsiaTheme="majorEastAsia" w:cstheme="majorEastAsia"/>
                <w:color w:val="auto"/>
                <w:sz w:val="24"/>
                <w:highlight w:val="none"/>
              </w:rPr>
              <w:t>财政局</w:t>
            </w:r>
          </w:p>
        </w:tc>
      </w:tr>
      <w:tr w14:paraId="2259C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818" w:type="dxa"/>
            <w:vAlign w:val="center"/>
          </w:tcPr>
          <w:p w14:paraId="111CED13">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w:t>
            </w:r>
          </w:p>
        </w:tc>
        <w:tc>
          <w:tcPr>
            <w:tcW w:w="1907" w:type="dxa"/>
            <w:vAlign w:val="center"/>
          </w:tcPr>
          <w:p w14:paraId="38BF131D">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项目名称</w:t>
            </w:r>
          </w:p>
        </w:tc>
        <w:tc>
          <w:tcPr>
            <w:tcW w:w="7014" w:type="dxa"/>
            <w:vAlign w:val="center"/>
          </w:tcPr>
          <w:p w14:paraId="3870B196">
            <w:pPr>
              <w:spacing w:line="360" w:lineRule="auto"/>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eastAsia="zh-CN"/>
              </w:rPr>
              <w:t>清涧县高杰村镇、李家塔镇地质灾害风险调查评价项目</w:t>
            </w:r>
          </w:p>
        </w:tc>
      </w:tr>
      <w:tr w14:paraId="5F2D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818" w:type="dxa"/>
            <w:vAlign w:val="center"/>
          </w:tcPr>
          <w:p w14:paraId="3A30F895">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w:t>
            </w:r>
          </w:p>
        </w:tc>
        <w:tc>
          <w:tcPr>
            <w:tcW w:w="1907" w:type="dxa"/>
            <w:vAlign w:val="center"/>
          </w:tcPr>
          <w:p w14:paraId="268E4A07">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项目编号</w:t>
            </w:r>
          </w:p>
        </w:tc>
        <w:tc>
          <w:tcPr>
            <w:tcW w:w="7014" w:type="dxa"/>
            <w:vAlign w:val="center"/>
          </w:tcPr>
          <w:p w14:paraId="37DBD14D">
            <w:pPr>
              <w:spacing w:line="360" w:lineRule="auto"/>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eastAsia="zh-CN"/>
              </w:rPr>
              <w:t>SA20260052</w:t>
            </w:r>
          </w:p>
        </w:tc>
      </w:tr>
      <w:tr w14:paraId="504BB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818" w:type="dxa"/>
            <w:vAlign w:val="center"/>
          </w:tcPr>
          <w:p w14:paraId="177EE67B">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w:t>
            </w:r>
          </w:p>
        </w:tc>
        <w:tc>
          <w:tcPr>
            <w:tcW w:w="1907" w:type="dxa"/>
            <w:vAlign w:val="center"/>
          </w:tcPr>
          <w:p w14:paraId="6C566BD7">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标段名称</w:t>
            </w:r>
          </w:p>
        </w:tc>
        <w:tc>
          <w:tcPr>
            <w:tcW w:w="7014" w:type="dxa"/>
            <w:vAlign w:val="center"/>
          </w:tcPr>
          <w:p w14:paraId="04319DD7">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eastAsia="zh-CN"/>
              </w:rPr>
              <w:t>清涧县高杰村镇、李家塔镇地质灾害风险调查评价项目</w:t>
            </w:r>
          </w:p>
        </w:tc>
      </w:tr>
      <w:tr w14:paraId="19E1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818" w:type="dxa"/>
            <w:vAlign w:val="center"/>
          </w:tcPr>
          <w:p w14:paraId="2C38589D">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w:t>
            </w:r>
          </w:p>
        </w:tc>
        <w:tc>
          <w:tcPr>
            <w:tcW w:w="1907" w:type="dxa"/>
            <w:vAlign w:val="center"/>
          </w:tcPr>
          <w:p w14:paraId="55221BC3">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标段编号</w:t>
            </w:r>
          </w:p>
        </w:tc>
        <w:tc>
          <w:tcPr>
            <w:tcW w:w="7014" w:type="dxa"/>
            <w:vAlign w:val="center"/>
          </w:tcPr>
          <w:p w14:paraId="6B24375B">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eastAsia="zh-CN"/>
              </w:rPr>
              <w:t>SA20260052</w:t>
            </w:r>
          </w:p>
        </w:tc>
      </w:tr>
      <w:tr w14:paraId="28FE6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818" w:type="dxa"/>
            <w:vAlign w:val="center"/>
          </w:tcPr>
          <w:p w14:paraId="3D59EABF">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w:t>
            </w:r>
          </w:p>
        </w:tc>
        <w:tc>
          <w:tcPr>
            <w:tcW w:w="1907" w:type="dxa"/>
            <w:vAlign w:val="center"/>
          </w:tcPr>
          <w:p w14:paraId="1F36162F">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采购内容及要求</w:t>
            </w:r>
          </w:p>
        </w:tc>
        <w:tc>
          <w:tcPr>
            <w:tcW w:w="7014" w:type="dxa"/>
            <w:vAlign w:val="center"/>
          </w:tcPr>
          <w:p w14:paraId="20131AAE">
            <w:pPr>
              <w:pStyle w:val="106"/>
              <w:spacing w:line="360" w:lineRule="auto"/>
              <w:ind w:firstLine="0" w:firstLineChars="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详见招标文件第四章 采购内容及技术要求。</w:t>
            </w:r>
          </w:p>
        </w:tc>
      </w:tr>
      <w:tr w14:paraId="13A5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8" w:type="dxa"/>
            <w:vAlign w:val="center"/>
          </w:tcPr>
          <w:p w14:paraId="409B8F6B">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w:t>
            </w:r>
          </w:p>
        </w:tc>
        <w:tc>
          <w:tcPr>
            <w:tcW w:w="1907" w:type="dxa"/>
            <w:vAlign w:val="center"/>
          </w:tcPr>
          <w:p w14:paraId="2B2EC8B9">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投标人资格要求</w:t>
            </w:r>
          </w:p>
        </w:tc>
        <w:tc>
          <w:tcPr>
            <w:tcW w:w="7014" w:type="dxa"/>
          </w:tcPr>
          <w:p w14:paraId="00283582">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具有独立承担民事责任能力的法人、</w:t>
            </w:r>
            <w:r>
              <w:rPr>
                <w:rFonts w:hint="eastAsia" w:ascii="宋体" w:hAnsi="宋体" w:eastAsia="宋体" w:cs="宋体"/>
                <w:color w:val="auto"/>
                <w:sz w:val="24"/>
                <w:szCs w:val="24"/>
                <w:highlight w:val="none"/>
                <w:lang w:eastAsia="zh-CN"/>
              </w:rPr>
              <w:t>事业法人、</w:t>
            </w:r>
            <w:r>
              <w:rPr>
                <w:rFonts w:hint="eastAsia" w:ascii="宋体" w:hAnsi="宋体" w:eastAsia="宋体" w:cs="宋体"/>
                <w:color w:val="auto"/>
                <w:sz w:val="24"/>
                <w:szCs w:val="24"/>
                <w:highlight w:val="none"/>
              </w:rPr>
              <w:t>其他组织或自然人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并出具合法有效的营业执照或事业单位法人证书等国家规定的相关证明，自然人参与的提供其身份证明</w:t>
            </w:r>
            <w:r>
              <w:rPr>
                <w:rFonts w:hint="eastAsia" w:ascii="宋体" w:hAnsi="宋体" w:eastAsia="宋体" w:cs="宋体"/>
                <w:color w:val="auto"/>
                <w:sz w:val="24"/>
                <w:szCs w:val="24"/>
                <w:highlight w:val="none"/>
                <w:lang w:eastAsia="zh-CN"/>
              </w:rPr>
              <w:t>。</w:t>
            </w:r>
          </w:p>
          <w:p w14:paraId="1E75D60C">
            <w:pPr>
              <w:bidi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供应商须持有行政主管部门颁发有效的【地质灾害评估和治理工程勘查设计乙级及以上资质证书】</w:t>
            </w:r>
            <w:r>
              <w:rPr>
                <w:rFonts w:hint="eastAsia" w:ascii="宋体" w:hAnsi="宋体" w:cs="宋体"/>
                <w:color w:val="auto"/>
                <w:sz w:val="24"/>
                <w:szCs w:val="24"/>
                <w:highlight w:val="none"/>
                <w:lang w:eastAsia="zh-CN"/>
              </w:rPr>
              <w:t>。</w:t>
            </w:r>
          </w:p>
          <w:p w14:paraId="2E82170B">
            <w:pPr>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）拟派项目负责人须具备水文地质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工程地质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环境地质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岩土工程中级及以上职称</w:t>
            </w:r>
            <w:r>
              <w:rPr>
                <w:rFonts w:hint="eastAsia" w:ascii="宋体" w:hAnsi="宋体" w:cs="宋体"/>
                <w:color w:val="auto"/>
                <w:sz w:val="24"/>
                <w:szCs w:val="24"/>
                <w:highlight w:val="none"/>
                <w:lang w:eastAsia="zh-CN"/>
              </w:rPr>
              <w:t>；须提供202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日至开标截止之日期间</w:t>
            </w:r>
            <w:r>
              <w:rPr>
                <w:rFonts w:hint="eastAsia" w:ascii="宋体" w:hAnsi="宋体" w:cs="宋体"/>
                <w:color w:val="auto"/>
                <w:sz w:val="24"/>
                <w:szCs w:val="24"/>
                <w:highlight w:val="none"/>
                <w:lang w:val="en-US" w:eastAsia="zh-CN"/>
              </w:rPr>
              <w:t>，</w:t>
            </w:r>
            <w:r>
              <w:rPr>
                <w:rFonts w:ascii="宋体" w:hAnsi="宋体" w:eastAsia="宋体" w:cs="宋体"/>
                <w:color w:val="auto"/>
                <w:sz w:val="24"/>
                <w:szCs w:val="24"/>
                <w:highlight w:val="none"/>
              </w:rPr>
              <w:t>投标单位为其缴纳至少 1 个月任一险种社会保障资金缴费单据</w:t>
            </w:r>
            <w:r>
              <w:rPr>
                <w:rFonts w:hint="eastAsia" w:ascii="宋体" w:hAnsi="宋体" w:eastAsia="宋体" w:cs="宋体"/>
                <w:color w:val="auto"/>
                <w:sz w:val="24"/>
                <w:szCs w:val="24"/>
                <w:highlight w:val="none"/>
                <w:lang w:val="en-US" w:eastAsia="zh-CN"/>
              </w:rPr>
              <w:t>。</w:t>
            </w:r>
          </w:p>
          <w:p w14:paraId="03752440">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税收缴纳证明：</w:t>
            </w:r>
            <w:r>
              <w:rPr>
                <w:rFonts w:hint="eastAsia" w:ascii="宋体" w:hAnsi="宋体" w:eastAsia="宋体" w:cs="宋体"/>
                <w:color w:val="auto"/>
                <w:sz w:val="24"/>
                <w:szCs w:val="24"/>
                <w:highlight w:val="none"/>
                <w:lang w:eastAsia="zh-CN"/>
              </w:rPr>
              <w:t>提供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01</w:t>
            </w:r>
            <w:r>
              <w:rPr>
                <w:rFonts w:hint="eastAsia" w:ascii="宋体" w:hAnsi="宋体" w:eastAsia="宋体" w:cs="宋体"/>
                <w:color w:val="auto"/>
                <w:sz w:val="24"/>
                <w:szCs w:val="24"/>
                <w:highlight w:val="none"/>
              </w:rPr>
              <w:t>月份</w:t>
            </w:r>
            <w:r>
              <w:rPr>
                <w:rFonts w:hint="eastAsia" w:ascii="宋体" w:hAnsi="宋体" w:eastAsia="宋体" w:cs="宋体"/>
                <w:color w:val="auto"/>
                <w:sz w:val="24"/>
                <w:szCs w:val="24"/>
                <w:highlight w:val="none"/>
                <w:lang w:eastAsia="zh-CN"/>
              </w:rPr>
              <w:t>至</w:t>
            </w:r>
            <w:r>
              <w:rPr>
                <w:rFonts w:hint="eastAsia" w:ascii="宋体" w:hAnsi="宋体" w:eastAsia="宋体" w:cs="宋体"/>
                <w:color w:val="auto"/>
                <w:sz w:val="24"/>
                <w:szCs w:val="24"/>
                <w:highlight w:val="none"/>
                <w:lang w:val="en-US" w:eastAsia="zh-CN"/>
              </w:rPr>
              <w:t>开标截止时间</w:t>
            </w:r>
            <w:r>
              <w:rPr>
                <w:rFonts w:hint="eastAsia" w:ascii="宋体" w:hAnsi="宋体" w:eastAsia="宋体" w:cs="宋体"/>
                <w:color w:val="auto"/>
                <w:sz w:val="24"/>
                <w:szCs w:val="24"/>
                <w:highlight w:val="none"/>
                <w:lang w:eastAsia="zh-CN"/>
              </w:rPr>
              <w:t>已缴纳的至少一个月的纳税证明（银行缴费凭证）或完税证明（时间以税款所属日期为准</w:t>
            </w:r>
            <w:r>
              <w:rPr>
                <w:rFonts w:hint="eastAsia" w:ascii="宋体" w:hAnsi="宋体" w:eastAsia="宋体" w:cs="宋体"/>
                <w:color w:val="auto"/>
                <w:sz w:val="24"/>
                <w:szCs w:val="24"/>
                <w:highlight w:val="none"/>
              </w:rPr>
              <w:t>），依法免税的单位应提供相关证明材料；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社会保障资金缴纳证明：提供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年01月至开标截止时间已缴纳的至少一个月的社会保障资金（任一险种）缴费单据或社保机构开具的社会保险参保缴费情况证明，依法不需要缴纳社会保障资金的单位应提供相关证明材料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）财务状况报告：提供</w:t>
            </w:r>
            <w:r>
              <w:rPr>
                <w:rFonts w:hint="eastAsia" w:ascii="宋体" w:hAnsi="宋体" w:eastAsia="宋体" w:cs="宋体"/>
                <w:color w:val="auto"/>
                <w:sz w:val="24"/>
                <w:szCs w:val="24"/>
                <w:highlight w:val="none"/>
                <w:lang w:eastAsia="zh-CN"/>
              </w:rPr>
              <w:t>缴费主体</w:t>
            </w:r>
            <w:r>
              <w:rPr>
                <w:rFonts w:hint="eastAsia" w:ascii="宋体" w:hAnsi="宋体" w:eastAsia="宋体" w:cs="宋体"/>
                <w:color w:val="auto"/>
                <w:sz w:val="24"/>
                <w:szCs w:val="24"/>
                <w:highlight w:val="none"/>
              </w:rPr>
              <w:t>赋码后</w:t>
            </w:r>
            <w:r>
              <w:rPr>
                <w:rFonts w:hint="eastAsia" w:ascii="宋体" w:hAnsi="宋体" w:eastAsia="宋体" w:cs="宋体"/>
                <w:color w:val="auto"/>
                <w:sz w:val="24"/>
                <w:szCs w:val="24"/>
                <w:highlight w:val="none"/>
                <w:lang w:val="en-US" w:eastAsia="zh-CN"/>
              </w:rPr>
              <w:t>2025年度</w:t>
            </w:r>
            <w:r>
              <w:rPr>
                <w:rFonts w:hint="eastAsia" w:ascii="宋体" w:hAnsi="宋体" w:eastAsia="宋体" w:cs="宋体"/>
                <w:color w:val="auto"/>
                <w:sz w:val="24"/>
                <w:szCs w:val="24"/>
                <w:highlight w:val="none"/>
              </w:rPr>
              <w:t>经会计师事务所或审计机构审计的财务审计报告，提供的财务审计报告需在注册会计师行业统一监管平台（http://acc.mof.gov.cn/）可查询并提供网页查询截图</w:t>
            </w:r>
            <w:r>
              <w:rPr>
                <w:rFonts w:hint="eastAsia" w:ascii="宋体" w:hAnsi="宋体" w:eastAsia="宋体" w:cs="宋体"/>
                <w:color w:val="auto"/>
                <w:sz w:val="24"/>
                <w:szCs w:val="24"/>
                <w:highlight w:val="none"/>
                <w:lang w:eastAsia="zh-CN"/>
              </w:rPr>
              <w:t>；成立</w:t>
            </w:r>
            <w:r>
              <w:rPr>
                <w:rFonts w:hint="eastAsia" w:ascii="宋体" w:hAnsi="宋体" w:eastAsia="宋体" w:cs="宋体"/>
                <w:color w:val="auto"/>
                <w:sz w:val="24"/>
                <w:szCs w:val="24"/>
                <w:highlight w:val="none"/>
              </w:rPr>
              <w:t>不足一年的提供成立以来的资产负债表、利润表、现金流量表及基本账户银行出具的资信证明）； </w:t>
            </w:r>
          </w:p>
          <w:p w14:paraId="2755E576">
            <w:pPr>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对列入 “信用中国” 网站 (</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"https://link.wtturl.cn/?target=https://www.creditchina.gov.cn&amp;scene=im&amp;aid=497858&amp;lang=zh" \o "autolink" \t "_blank" </w:instrText>
            </w:r>
            <w:r>
              <w:rPr>
                <w:rFonts w:ascii="宋体" w:hAnsi="宋体" w:eastAsia="宋体" w:cs="宋体"/>
                <w:color w:val="auto"/>
                <w:sz w:val="24"/>
                <w:szCs w:val="24"/>
                <w:highlight w:val="none"/>
              </w:rPr>
              <w:fldChar w:fldCharType="separate"/>
            </w:r>
            <w:r>
              <w:rPr>
                <w:rStyle w:val="35"/>
                <w:rFonts w:ascii="宋体" w:hAnsi="宋体" w:eastAsia="宋体" w:cs="宋体"/>
                <w:color w:val="auto"/>
                <w:sz w:val="24"/>
                <w:szCs w:val="24"/>
                <w:highlight w:val="none"/>
              </w:rPr>
              <w:t>www.creditchina.gov.cn</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失信被执行人、重大税收违法失信主体、经营异常名录；“中国政府采购网”(</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"https://link.wtturl.cn/?target=https://www.ccgp.gov.cn&amp;scene=im&amp;aid=497858&amp;lang=zh" \o "autolink" \t "_blank" </w:instrText>
            </w:r>
            <w:r>
              <w:rPr>
                <w:rFonts w:ascii="宋体" w:hAnsi="宋体" w:eastAsia="宋体" w:cs="宋体"/>
                <w:color w:val="auto"/>
                <w:sz w:val="24"/>
                <w:szCs w:val="24"/>
                <w:highlight w:val="none"/>
              </w:rPr>
              <w:fldChar w:fldCharType="separate"/>
            </w:r>
            <w:r>
              <w:rPr>
                <w:rStyle w:val="35"/>
                <w:rFonts w:ascii="宋体" w:hAnsi="宋体" w:eastAsia="宋体" w:cs="宋体"/>
                <w:color w:val="auto"/>
                <w:sz w:val="24"/>
                <w:szCs w:val="24"/>
                <w:highlight w:val="none"/>
              </w:rPr>
              <w:t>www.ccgp.gov.cn</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政府采购严重违法失信行为信息记录的单位，应当拒绝参与政府采购活动，</w:t>
            </w:r>
            <w:r>
              <w:rPr>
                <w:rFonts w:hint="eastAsia" w:ascii="宋体" w:hAnsi="宋体" w:eastAsia="宋体" w:cs="宋体"/>
                <w:i w:val="0"/>
                <w:iCs w:val="0"/>
                <w:caps w:val="0"/>
                <w:color w:val="auto"/>
                <w:spacing w:val="0"/>
                <w:sz w:val="24"/>
                <w:szCs w:val="24"/>
                <w:highlight w:val="none"/>
                <w:shd w:val="clear" w:color="auto" w:fill="FFFFFF"/>
              </w:rPr>
              <w:t>提供查询截图（查询日期为从</w:t>
            </w:r>
            <w:r>
              <w:rPr>
                <w:rFonts w:hint="eastAsia" w:ascii="宋体" w:hAnsi="宋体" w:cs="宋体"/>
                <w:i w:val="0"/>
                <w:iCs w:val="0"/>
                <w:caps w:val="0"/>
                <w:color w:val="auto"/>
                <w:spacing w:val="0"/>
                <w:sz w:val="24"/>
                <w:szCs w:val="24"/>
                <w:highlight w:val="none"/>
                <w:shd w:val="clear" w:color="auto" w:fill="FFFFFF"/>
                <w:lang w:val="en-US" w:eastAsia="zh-CN"/>
              </w:rPr>
              <w:t>招标</w:t>
            </w:r>
            <w:r>
              <w:rPr>
                <w:rFonts w:hint="eastAsia" w:ascii="宋体" w:hAnsi="宋体" w:eastAsia="宋体" w:cs="宋体"/>
                <w:i w:val="0"/>
                <w:iCs w:val="0"/>
                <w:caps w:val="0"/>
                <w:color w:val="auto"/>
                <w:spacing w:val="0"/>
                <w:sz w:val="24"/>
                <w:szCs w:val="24"/>
                <w:highlight w:val="none"/>
                <w:shd w:val="clear" w:color="auto" w:fill="FFFFFF"/>
              </w:rPr>
              <w:t>文件获取之日起至投标截止日前但最终以投标截止日当天查询结果为准）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）参加政府采购活动前三年内，在经营活动中没有重大违法记录的书面声明；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）自主上报信用承诺书：投标人及其授权委托人应在“信用中国（陕西榆林）”网站(www.ylcredit.gov.cn)进行注册、登录、自主上报信用承诺书，包括：《榆林市政府采购</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类项目供应商信用承诺书》《投标人信用承诺》、《投标人委托代理人员信用承诺书》(如有)、《投标信用承诺书》。</w:t>
            </w:r>
          </w:p>
          <w:p w14:paraId="117198E2">
            <w:pPr>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）本项目专门面向</w:t>
            </w:r>
            <w:r>
              <w:rPr>
                <w:rFonts w:hint="eastAsia" w:ascii="宋体" w:hAnsi="宋体" w:cs="宋体"/>
                <w:color w:val="auto"/>
                <w:sz w:val="24"/>
                <w:szCs w:val="24"/>
                <w:highlight w:val="none"/>
                <w:lang w:val="en-US" w:eastAsia="zh-CN"/>
              </w:rPr>
              <w:t>中小</w:t>
            </w:r>
            <w:r>
              <w:rPr>
                <w:rFonts w:hint="eastAsia" w:ascii="宋体" w:hAnsi="宋体" w:eastAsia="宋体" w:cs="宋体"/>
                <w:color w:val="auto"/>
                <w:sz w:val="24"/>
                <w:szCs w:val="24"/>
                <w:highlight w:val="none"/>
                <w:lang w:val="en-US" w:eastAsia="zh-CN"/>
              </w:rPr>
              <w:t>企业采购，满足要求的</w:t>
            </w:r>
            <w:r>
              <w:rPr>
                <w:rFonts w:hint="eastAsia" w:ascii="宋体" w:hAnsi="宋体" w:cs="宋体"/>
                <w:color w:val="auto"/>
                <w:sz w:val="24"/>
                <w:szCs w:val="24"/>
                <w:highlight w:val="none"/>
                <w:lang w:val="en-US" w:eastAsia="zh-CN"/>
              </w:rPr>
              <w:t>中小</w:t>
            </w:r>
            <w:r>
              <w:rPr>
                <w:rFonts w:hint="eastAsia" w:ascii="宋体" w:hAnsi="宋体" w:eastAsia="宋体" w:cs="宋体"/>
                <w:color w:val="auto"/>
                <w:sz w:val="24"/>
                <w:szCs w:val="24"/>
                <w:highlight w:val="none"/>
                <w:lang w:val="en-US" w:eastAsia="zh-CN"/>
              </w:rPr>
              <w:t>企业须提供管理办法规定的《中小企业声明函》并对真实性负责。</w:t>
            </w:r>
          </w:p>
          <w:p w14:paraId="6878A187">
            <w:pPr>
              <w:bidi w:val="0"/>
              <w:spacing w:line="360" w:lineRule="auto"/>
              <w:rPr>
                <w:rFonts w:asciiTheme="majorEastAsia" w:hAnsiTheme="majorEastAsia" w:eastAsiaTheme="majorEastAsia" w:cstheme="majorEastAsia"/>
                <w:color w:val="auto"/>
                <w:sz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本项目不接受联合体投标，单位负责人为同一人或者存在直接控股、管理关系的不同供应商，不得参加同一合同项下的政府采购活动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须提供非联合体投标声明</w:t>
            </w:r>
            <w:r>
              <w:rPr>
                <w:rFonts w:hint="eastAsia" w:ascii="宋体" w:hAnsi="宋体" w:eastAsia="宋体" w:cs="宋体"/>
                <w:color w:val="auto"/>
                <w:sz w:val="24"/>
                <w:szCs w:val="24"/>
                <w:highlight w:val="none"/>
                <w:lang w:eastAsia="zh-CN"/>
              </w:rPr>
              <w:t>。</w:t>
            </w:r>
          </w:p>
        </w:tc>
      </w:tr>
      <w:tr w14:paraId="3653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6" w:hRule="exact"/>
          <w:jc w:val="center"/>
        </w:trPr>
        <w:tc>
          <w:tcPr>
            <w:tcW w:w="818" w:type="dxa"/>
            <w:vAlign w:val="center"/>
          </w:tcPr>
          <w:p w14:paraId="284B3F6A">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10</w:t>
            </w:r>
          </w:p>
        </w:tc>
        <w:tc>
          <w:tcPr>
            <w:tcW w:w="1907" w:type="dxa"/>
            <w:vAlign w:val="center"/>
          </w:tcPr>
          <w:p w14:paraId="32DB86C8">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服务期</w:t>
            </w:r>
          </w:p>
        </w:tc>
        <w:tc>
          <w:tcPr>
            <w:tcW w:w="7014" w:type="dxa"/>
            <w:vAlign w:val="center"/>
          </w:tcPr>
          <w:p w14:paraId="2C63B314">
            <w:pPr>
              <w:bidi w:val="0"/>
              <w:spacing w:line="360" w:lineRule="auto"/>
              <w:rPr>
                <w:rFonts w:hint="eastAsia" w:ascii="宋体" w:hAnsi="宋体" w:eastAsia="宋体" w:cs="宋体"/>
                <w:i w:val="0"/>
                <w:iCs w:val="0"/>
                <w:caps w:val="0"/>
                <w:color w:val="auto"/>
                <w:spacing w:val="0"/>
                <w:kern w:val="0"/>
                <w:szCs w:val="24"/>
                <w:highlight w:val="none"/>
                <w:shd w:val="clear" w:fill="FFFFFF"/>
                <w:lang w:val="en-US" w:eastAsia="zh-CN" w:bidi="ar-SA"/>
              </w:rPr>
            </w:pPr>
            <w:r>
              <w:rPr>
                <w:rFonts w:hint="eastAsia"/>
                <w:sz w:val="24"/>
                <w:szCs w:val="24"/>
                <w:lang w:val="en-US" w:eastAsia="zh-CN"/>
              </w:rPr>
              <w:t>自合同签订生效之日起 1 年（为计划服务周期），因降雨、汛期、现场作业条件不具备等客观因素无法按期完成全部工作，服务期顺延至项目成果全部通过审查验收为止，顺延不增加合同价款；因乙方自身人员配置、技术能力、组织管理等原因造成工期滞后的，不得顺延，并按合同承担相应违约责任。发生需要顺延情形，乙方应及时向采购人提交工期顺延申请，经采购人确认后方可顺延。</w:t>
            </w:r>
          </w:p>
        </w:tc>
      </w:tr>
      <w:tr w14:paraId="40991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18" w:type="dxa"/>
            <w:vAlign w:val="center"/>
          </w:tcPr>
          <w:p w14:paraId="347F3D4A">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11</w:t>
            </w:r>
          </w:p>
        </w:tc>
        <w:tc>
          <w:tcPr>
            <w:tcW w:w="1907" w:type="dxa"/>
            <w:vAlign w:val="center"/>
          </w:tcPr>
          <w:p w14:paraId="2AC951B3">
            <w:pPr>
              <w:spacing w:line="360" w:lineRule="auto"/>
              <w:ind w:firstLine="240" w:firstLineChars="10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szCs w:val="32"/>
                <w:highlight w:val="none"/>
                <w:lang w:eastAsia="zh-CN"/>
              </w:rPr>
              <w:t>服务</w:t>
            </w:r>
            <w:r>
              <w:rPr>
                <w:rFonts w:hint="eastAsia" w:asciiTheme="majorEastAsia" w:hAnsiTheme="majorEastAsia" w:eastAsiaTheme="majorEastAsia" w:cstheme="majorEastAsia"/>
                <w:color w:val="auto"/>
                <w:sz w:val="24"/>
                <w:szCs w:val="32"/>
                <w:highlight w:val="none"/>
              </w:rPr>
              <w:t>地点</w:t>
            </w:r>
          </w:p>
        </w:tc>
        <w:tc>
          <w:tcPr>
            <w:tcW w:w="7014" w:type="dxa"/>
            <w:vAlign w:val="center"/>
          </w:tcPr>
          <w:p w14:paraId="378C503E">
            <w:pPr>
              <w:spacing w:line="360" w:lineRule="auto"/>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Theme="majorEastAsia" w:hAnsiTheme="majorEastAsia" w:eastAsiaTheme="majorEastAsia" w:cstheme="majorEastAsia"/>
                <w:color w:val="auto"/>
                <w:sz w:val="24"/>
                <w:szCs w:val="32"/>
                <w:highlight w:val="none"/>
                <w:lang w:eastAsia="zh-CN"/>
              </w:rPr>
              <w:t>清涧县地质环境监测站</w:t>
            </w:r>
            <w:r>
              <w:rPr>
                <w:rFonts w:hint="eastAsia" w:asciiTheme="majorEastAsia" w:hAnsiTheme="majorEastAsia" w:eastAsiaTheme="majorEastAsia" w:cstheme="majorEastAsia"/>
                <w:color w:val="auto"/>
                <w:sz w:val="24"/>
                <w:szCs w:val="32"/>
                <w:highlight w:val="none"/>
              </w:rPr>
              <w:t>指定地点。</w:t>
            </w:r>
          </w:p>
        </w:tc>
      </w:tr>
      <w:tr w14:paraId="063D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8" w:type="dxa"/>
            <w:vAlign w:val="center"/>
          </w:tcPr>
          <w:p w14:paraId="11111BBC">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12</w:t>
            </w:r>
          </w:p>
        </w:tc>
        <w:tc>
          <w:tcPr>
            <w:tcW w:w="1907" w:type="dxa"/>
            <w:vAlign w:val="center"/>
          </w:tcPr>
          <w:p w14:paraId="76F2E410">
            <w:pPr>
              <w:spacing w:line="360" w:lineRule="auto"/>
              <w:ind w:firstLine="480" w:firstLineChars="200"/>
              <w:jc w:val="left"/>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eastAsia="zh-CN"/>
              </w:rPr>
              <w:t>付款方式</w:t>
            </w:r>
          </w:p>
        </w:tc>
        <w:tc>
          <w:tcPr>
            <w:tcW w:w="7014" w:type="dxa"/>
            <w:vAlign w:val="center"/>
          </w:tcPr>
          <w:p w14:paraId="69A9B8FA">
            <w:pPr>
              <w:spacing w:line="360" w:lineRule="auto"/>
              <w:rPr>
                <w:rFonts w:hint="eastAsia" w:eastAsiaTheme="majorEastAsia"/>
                <w:color w:val="auto"/>
                <w:sz w:val="24"/>
                <w:highlight w:val="none"/>
                <w:lang w:eastAsia="zh-CN"/>
              </w:rPr>
            </w:pPr>
            <w:r>
              <w:rPr>
                <w:rFonts w:hint="eastAsia" w:eastAsiaTheme="majorEastAsia"/>
                <w:color w:val="auto"/>
                <w:sz w:val="24"/>
                <w:highlight w:val="none"/>
                <w:lang w:eastAsia="zh-CN"/>
              </w:rPr>
              <w:t>合同签订后支付合同总价的</w:t>
            </w:r>
            <w:r>
              <w:rPr>
                <w:rFonts w:hint="eastAsia" w:eastAsiaTheme="majorEastAsia"/>
                <w:color w:val="auto"/>
                <w:sz w:val="24"/>
                <w:highlight w:val="none"/>
                <w:lang w:val="en-US" w:eastAsia="zh-CN"/>
              </w:rPr>
              <w:t>4</w:t>
            </w:r>
            <w:r>
              <w:rPr>
                <w:rFonts w:hint="eastAsia" w:eastAsiaTheme="majorEastAsia"/>
                <w:color w:val="auto"/>
                <w:sz w:val="24"/>
                <w:highlight w:val="none"/>
                <w:lang w:eastAsia="zh-CN"/>
              </w:rPr>
              <w:t>0%；项目全部野外调查工作完成、野外成果经采购人核查合格后支付合同总价</w:t>
            </w:r>
            <w:r>
              <w:rPr>
                <w:rFonts w:hint="eastAsia" w:eastAsiaTheme="majorEastAsia"/>
                <w:color w:val="auto"/>
                <w:sz w:val="24"/>
                <w:highlight w:val="none"/>
                <w:lang w:val="en-US" w:eastAsia="zh-CN"/>
              </w:rPr>
              <w:t>的</w:t>
            </w:r>
            <w:r>
              <w:rPr>
                <w:rFonts w:hint="eastAsia" w:eastAsiaTheme="majorEastAsia"/>
                <w:color w:val="auto"/>
                <w:sz w:val="24"/>
                <w:highlight w:val="none"/>
                <w:lang w:eastAsia="zh-CN"/>
              </w:rPr>
              <w:t>40%；</w:t>
            </w:r>
            <w:r>
              <w:rPr>
                <w:rFonts w:ascii="宋体" w:hAnsi="宋体" w:eastAsia="宋体" w:cs="宋体"/>
                <w:color w:val="auto"/>
                <w:sz w:val="24"/>
                <w:szCs w:val="24"/>
                <w:highlight w:val="none"/>
              </w:rPr>
              <w:t>项目全部成果报告、数据库等资料完整移交，成果通过主管部门技术审查验收合格后，付清剩余</w:t>
            </w:r>
            <w:r>
              <w:rPr>
                <w:rStyle w:val="28"/>
                <w:rFonts w:ascii="宋体" w:hAnsi="宋体" w:eastAsia="宋体" w:cs="宋体"/>
                <w:color w:val="auto"/>
                <w:sz w:val="24"/>
                <w:szCs w:val="24"/>
                <w:highlight w:val="none"/>
              </w:rPr>
              <w:t>20</w:t>
            </w:r>
            <w:r>
              <w:rPr>
                <w:rFonts w:hint="eastAsia" w:eastAsiaTheme="majorEastAsia"/>
                <w:color w:val="auto"/>
                <w:sz w:val="24"/>
                <w:highlight w:val="none"/>
                <w:lang w:eastAsia="zh-CN"/>
              </w:rPr>
              <w:t>%</w:t>
            </w:r>
            <w:r>
              <w:rPr>
                <w:rFonts w:ascii="宋体" w:hAnsi="宋体" w:eastAsia="宋体" w:cs="宋体"/>
                <w:color w:val="auto"/>
                <w:sz w:val="24"/>
                <w:szCs w:val="24"/>
                <w:highlight w:val="none"/>
              </w:rPr>
              <w:t>款项。</w:t>
            </w:r>
          </w:p>
        </w:tc>
      </w:tr>
      <w:tr w14:paraId="124BD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8" w:type="dxa"/>
            <w:vAlign w:val="center"/>
          </w:tcPr>
          <w:p w14:paraId="38022FD5">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13</w:t>
            </w:r>
          </w:p>
        </w:tc>
        <w:tc>
          <w:tcPr>
            <w:tcW w:w="1907" w:type="dxa"/>
            <w:vAlign w:val="center"/>
          </w:tcPr>
          <w:p w14:paraId="333F2161">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投标文件数量和提交截止时间</w:t>
            </w:r>
          </w:p>
        </w:tc>
        <w:tc>
          <w:tcPr>
            <w:tcW w:w="7014" w:type="dxa"/>
          </w:tcPr>
          <w:p w14:paraId="10F88736">
            <w:pPr>
              <w:topLinePunc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电子文件数量:电子投标文件</w:t>
            </w:r>
            <w:r>
              <w:rPr>
                <w:rFonts w:hint="eastAsia" w:ascii="宋体" w:hAnsi="宋体" w:eastAsia="宋体" w:cs="宋体"/>
                <w:color w:val="auto"/>
                <w:sz w:val="24"/>
                <w:highlight w:val="none"/>
                <w:u w:val="single"/>
              </w:rPr>
              <w:t xml:space="preserve"> 壹 </w:t>
            </w:r>
            <w:r>
              <w:rPr>
                <w:rFonts w:hint="eastAsia" w:ascii="宋体" w:hAnsi="宋体" w:eastAsia="宋体" w:cs="宋体"/>
                <w:color w:val="auto"/>
                <w:sz w:val="24"/>
                <w:highlight w:val="none"/>
              </w:rPr>
              <w:t>份，后缀为（*.SXSTF）；</w:t>
            </w:r>
          </w:p>
          <w:p w14:paraId="382C73A7">
            <w:pPr>
              <w:topLinePunc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提交截止时间:</w:t>
            </w:r>
            <w:r>
              <w:rPr>
                <w:rFonts w:hint="eastAsia" w:ascii="宋体" w:hAnsi="宋体" w:eastAsia="宋体" w:cs="宋体"/>
                <w:color w:val="auto"/>
                <w:sz w:val="24"/>
                <w:highlight w:val="none"/>
                <w:lang w:eastAsia="zh-CN"/>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lang w:eastAsia="zh-CN"/>
              </w:rPr>
              <w:t>月</w:t>
            </w:r>
            <w:r>
              <w:rPr>
                <w:rFonts w:hint="eastAsia" w:ascii="宋体" w:hAnsi="宋体" w:eastAsia="宋体" w:cs="宋体"/>
                <w:color w:val="auto"/>
                <w:sz w:val="24"/>
                <w:highlight w:val="none"/>
                <w:lang w:val="en-US" w:eastAsia="zh-CN"/>
              </w:rPr>
              <w:t>17</w:t>
            </w:r>
            <w:r>
              <w:rPr>
                <w:rFonts w:hint="eastAsia" w:ascii="宋体" w:hAnsi="宋体" w:eastAsia="宋体" w:cs="宋体"/>
                <w:color w:val="auto"/>
                <w:sz w:val="24"/>
                <w:highlight w:val="none"/>
                <w:lang w:eastAsia="zh-CN"/>
              </w:rPr>
              <w:t>日</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分00秒</w:t>
            </w:r>
            <w:r>
              <w:rPr>
                <w:rFonts w:hint="eastAsia" w:ascii="宋体" w:hAnsi="宋体" w:eastAsia="宋体" w:cs="宋体"/>
                <w:i w:val="0"/>
                <w:iCs w:val="0"/>
                <w:caps w:val="0"/>
                <w:color w:val="auto"/>
                <w:spacing w:val="0"/>
                <w:sz w:val="24"/>
                <w:szCs w:val="24"/>
                <w:highlight w:val="none"/>
                <w:shd w:val="clear" w:fill="FFFFFF"/>
              </w:rPr>
              <w:t>（北京时间）</w:t>
            </w:r>
          </w:p>
          <w:p w14:paraId="4AC0C948">
            <w:pPr>
              <w:topLinePunc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color w:val="auto"/>
                <w:sz w:val="24"/>
                <w:highlight w:val="none"/>
              </w:rPr>
              <w:t>1.电子投标文件应于投标文件提交截止时间前任意时段登录全国公共资源交易中心平台（陕西省）提交，逾期提交系统将拒绝接收。</w:t>
            </w:r>
          </w:p>
        </w:tc>
      </w:tr>
      <w:tr w14:paraId="23EB1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18" w:type="dxa"/>
            <w:vAlign w:val="center"/>
          </w:tcPr>
          <w:p w14:paraId="31516307">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14</w:t>
            </w:r>
          </w:p>
        </w:tc>
        <w:tc>
          <w:tcPr>
            <w:tcW w:w="1907" w:type="dxa"/>
            <w:vAlign w:val="center"/>
          </w:tcPr>
          <w:p w14:paraId="6F8E3838">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投标文件开启时间和地点</w:t>
            </w:r>
          </w:p>
        </w:tc>
        <w:tc>
          <w:tcPr>
            <w:tcW w:w="7014" w:type="dxa"/>
            <w:vAlign w:val="center"/>
          </w:tcPr>
          <w:p w14:paraId="59D98C27">
            <w:pPr>
              <w:topLinePunc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开启时间：</w:t>
            </w:r>
            <w:r>
              <w:rPr>
                <w:rFonts w:hint="eastAsia" w:ascii="宋体" w:hAnsi="宋体" w:eastAsia="宋体" w:cs="宋体"/>
                <w:color w:val="auto"/>
                <w:sz w:val="24"/>
                <w:highlight w:val="none"/>
                <w:lang w:eastAsia="zh-CN"/>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lang w:eastAsia="zh-CN"/>
              </w:rPr>
              <w:t>月</w:t>
            </w:r>
            <w:r>
              <w:rPr>
                <w:rFonts w:hint="eastAsia" w:ascii="宋体" w:hAnsi="宋体" w:eastAsia="宋体" w:cs="宋体"/>
                <w:color w:val="auto"/>
                <w:sz w:val="24"/>
                <w:highlight w:val="none"/>
                <w:lang w:val="en-US" w:eastAsia="zh-CN"/>
              </w:rPr>
              <w:t>17</w:t>
            </w:r>
            <w:r>
              <w:rPr>
                <w:rFonts w:hint="eastAsia" w:ascii="宋体" w:hAnsi="宋体" w:eastAsia="宋体" w:cs="宋体"/>
                <w:color w:val="auto"/>
                <w:sz w:val="24"/>
                <w:highlight w:val="none"/>
                <w:lang w:eastAsia="zh-CN"/>
              </w:rPr>
              <w:t>日</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分00秒</w:t>
            </w:r>
            <w:r>
              <w:rPr>
                <w:rFonts w:hint="eastAsia" w:ascii="宋体" w:hAnsi="宋体" w:eastAsia="宋体" w:cs="宋体"/>
                <w:i w:val="0"/>
                <w:iCs w:val="0"/>
                <w:caps w:val="0"/>
                <w:color w:val="auto"/>
                <w:spacing w:val="0"/>
                <w:sz w:val="24"/>
                <w:szCs w:val="24"/>
                <w:highlight w:val="none"/>
                <w:shd w:val="clear" w:fill="FFFFFF"/>
              </w:rPr>
              <w:t>（北京时间）</w:t>
            </w:r>
            <w:r>
              <w:rPr>
                <w:rFonts w:hint="eastAsia" w:ascii="宋体" w:hAnsi="宋体" w:eastAsia="宋体" w:cs="宋体"/>
                <w:color w:val="auto"/>
                <w:sz w:val="24"/>
                <w:highlight w:val="none"/>
              </w:rPr>
              <w:t>（同投标截止时间）</w:t>
            </w:r>
          </w:p>
          <w:p w14:paraId="6527FC3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开启地点：登录全国公共资源交易平台（陕西省•榆林市）网站〖首页〉不见面开标〗系统，在线参加开标过程</w:t>
            </w:r>
          </w:p>
        </w:tc>
      </w:tr>
      <w:tr w14:paraId="0487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818" w:type="dxa"/>
            <w:vAlign w:val="center"/>
          </w:tcPr>
          <w:p w14:paraId="048764EE">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15</w:t>
            </w:r>
          </w:p>
        </w:tc>
        <w:tc>
          <w:tcPr>
            <w:tcW w:w="1907" w:type="dxa"/>
            <w:vAlign w:val="center"/>
          </w:tcPr>
          <w:p w14:paraId="400CEAAB">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投标有效期</w:t>
            </w:r>
          </w:p>
        </w:tc>
        <w:tc>
          <w:tcPr>
            <w:tcW w:w="7014" w:type="dxa"/>
            <w:vAlign w:val="center"/>
          </w:tcPr>
          <w:p w14:paraId="638213B0">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自提交投标文件截止之日起不少于90个日历日</w:t>
            </w:r>
          </w:p>
        </w:tc>
      </w:tr>
      <w:tr w14:paraId="27091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18" w:type="dxa"/>
            <w:vAlign w:val="center"/>
          </w:tcPr>
          <w:p w14:paraId="0102B29B">
            <w:pPr>
              <w:spacing w:line="360" w:lineRule="auto"/>
              <w:jc w:val="center"/>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1</w:t>
            </w:r>
            <w:r>
              <w:rPr>
                <w:rFonts w:hint="eastAsia" w:asciiTheme="majorEastAsia" w:hAnsiTheme="majorEastAsia" w:eastAsiaTheme="majorEastAsia" w:cstheme="majorEastAsia"/>
                <w:color w:val="auto"/>
                <w:sz w:val="24"/>
                <w:highlight w:val="none"/>
                <w:lang w:val="en-US" w:eastAsia="zh-CN"/>
              </w:rPr>
              <w:t>6</w:t>
            </w:r>
          </w:p>
        </w:tc>
        <w:tc>
          <w:tcPr>
            <w:tcW w:w="1907" w:type="dxa"/>
            <w:vAlign w:val="center"/>
          </w:tcPr>
          <w:p w14:paraId="62E79FD4">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联合体投标</w:t>
            </w:r>
          </w:p>
        </w:tc>
        <w:tc>
          <w:tcPr>
            <w:tcW w:w="7014" w:type="dxa"/>
            <w:vAlign w:val="center"/>
          </w:tcPr>
          <w:p w14:paraId="5140812B">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bCs/>
                <w:color w:val="auto"/>
                <w:sz w:val="24"/>
                <w:highlight w:val="none"/>
              </w:rPr>
              <w:sym w:font="Wingdings" w:char="00FE"/>
            </w:r>
            <w:r>
              <w:rPr>
                <w:rFonts w:hint="eastAsia" w:asciiTheme="majorEastAsia" w:hAnsiTheme="majorEastAsia" w:eastAsiaTheme="majorEastAsia" w:cstheme="majorEastAsia"/>
                <w:b/>
                <w:bCs/>
                <w:color w:val="auto"/>
                <w:sz w:val="24"/>
                <w:highlight w:val="none"/>
              </w:rPr>
              <w:t xml:space="preserve">不接受   </w:t>
            </w:r>
            <w:r>
              <w:rPr>
                <w:rFonts w:hint="eastAsia" w:asciiTheme="majorEastAsia" w:hAnsiTheme="majorEastAsia" w:eastAsiaTheme="majorEastAsia" w:cstheme="majorEastAsia"/>
                <w:b/>
                <w:bCs/>
                <w:color w:val="auto"/>
                <w:sz w:val="24"/>
                <w:highlight w:val="none"/>
              </w:rPr>
              <w:sym w:font="Wingdings" w:char="00A8"/>
            </w:r>
            <w:r>
              <w:rPr>
                <w:rFonts w:hint="eastAsia" w:asciiTheme="majorEastAsia" w:hAnsiTheme="majorEastAsia" w:eastAsiaTheme="majorEastAsia" w:cstheme="majorEastAsia"/>
                <w:b/>
                <w:bCs/>
                <w:color w:val="auto"/>
                <w:sz w:val="24"/>
                <w:highlight w:val="none"/>
              </w:rPr>
              <w:t>接受</w:t>
            </w:r>
          </w:p>
        </w:tc>
      </w:tr>
      <w:tr w14:paraId="12EC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818" w:type="dxa"/>
            <w:vAlign w:val="center"/>
          </w:tcPr>
          <w:p w14:paraId="7B7AF5E8">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17</w:t>
            </w:r>
          </w:p>
        </w:tc>
        <w:tc>
          <w:tcPr>
            <w:tcW w:w="1907" w:type="dxa"/>
            <w:vAlign w:val="center"/>
          </w:tcPr>
          <w:p w14:paraId="73592855">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现场勘查、标前答疑会</w:t>
            </w:r>
          </w:p>
        </w:tc>
        <w:tc>
          <w:tcPr>
            <w:tcW w:w="7014" w:type="dxa"/>
            <w:vAlign w:val="center"/>
          </w:tcPr>
          <w:p w14:paraId="4DA2E616">
            <w:pPr>
              <w:spacing w:line="360" w:lineRule="auto"/>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sym w:font="Wingdings" w:char="00FE"/>
            </w:r>
            <w:r>
              <w:rPr>
                <w:rFonts w:hint="eastAsia" w:asciiTheme="majorEastAsia" w:hAnsiTheme="majorEastAsia" w:eastAsiaTheme="majorEastAsia" w:cstheme="majorEastAsia"/>
                <w:b/>
                <w:bCs/>
                <w:color w:val="auto"/>
                <w:sz w:val="24"/>
                <w:highlight w:val="none"/>
              </w:rPr>
              <w:t xml:space="preserve">不组织   </w:t>
            </w:r>
            <w:r>
              <w:rPr>
                <w:rFonts w:hint="eastAsia" w:asciiTheme="majorEastAsia" w:hAnsiTheme="majorEastAsia" w:eastAsiaTheme="majorEastAsia" w:cstheme="majorEastAsia"/>
                <w:b/>
                <w:bCs/>
                <w:color w:val="auto"/>
                <w:sz w:val="24"/>
                <w:highlight w:val="none"/>
              </w:rPr>
              <w:sym w:font="Wingdings" w:char="00A8"/>
            </w:r>
            <w:r>
              <w:rPr>
                <w:rFonts w:hint="eastAsia" w:asciiTheme="majorEastAsia" w:hAnsiTheme="majorEastAsia" w:eastAsiaTheme="majorEastAsia" w:cstheme="majorEastAsia"/>
                <w:b/>
                <w:bCs/>
                <w:color w:val="auto"/>
                <w:sz w:val="24"/>
                <w:highlight w:val="none"/>
              </w:rPr>
              <w:t>组织</w:t>
            </w:r>
          </w:p>
          <w:p w14:paraId="18D88373">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投标人可自行安排勘察现场，由此产生的费用、不良后果、相关责任均由投标人自行承担。</w:t>
            </w:r>
          </w:p>
        </w:tc>
      </w:tr>
      <w:tr w14:paraId="760E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818" w:type="dxa"/>
            <w:vAlign w:val="center"/>
          </w:tcPr>
          <w:p w14:paraId="0E71D620">
            <w:pPr>
              <w:spacing w:line="360" w:lineRule="auto"/>
              <w:jc w:val="center"/>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1</w:t>
            </w:r>
            <w:r>
              <w:rPr>
                <w:rFonts w:hint="eastAsia" w:asciiTheme="majorEastAsia" w:hAnsiTheme="majorEastAsia" w:eastAsiaTheme="majorEastAsia" w:cstheme="majorEastAsia"/>
                <w:color w:val="auto"/>
                <w:sz w:val="24"/>
                <w:highlight w:val="none"/>
                <w:lang w:val="en-US" w:eastAsia="zh-CN"/>
              </w:rPr>
              <w:t>8</w:t>
            </w:r>
          </w:p>
        </w:tc>
        <w:tc>
          <w:tcPr>
            <w:tcW w:w="1907" w:type="dxa"/>
            <w:vAlign w:val="center"/>
          </w:tcPr>
          <w:p w14:paraId="7116647E">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投标人对招标文件提出质疑的时间</w:t>
            </w:r>
          </w:p>
        </w:tc>
        <w:tc>
          <w:tcPr>
            <w:tcW w:w="7014" w:type="dxa"/>
            <w:vAlign w:val="center"/>
          </w:tcPr>
          <w:p w14:paraId="23BC8430">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投标人已依法获取其可质疑的招标文件的，可以对该文件提出质疑。对招标文件提出质疑的，应当在获取招标文件或者招标文件公告期限届满之日起7个工作日内提出，逾期提出的无效。</w:t>
            </w:r>
          </w:p>
        </w:tc>
      </w:tr>
      <w:tr w14:paraId="5DAC6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8" w:type="dxa"/>
            <w:vAlign w:val="center"/>
          </w:tcPr>
          <w:p w14:paraId="57DBBD40">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19</w:t>
            </w:r>
          </w:p>
        </w:tc>
        <w:tc>
          <w:tcPr>
            <w:tcW w:w="1907" w:type="dxa"/>
            <w:vAlign w:val="center"/>
          </w:tcPr>
          <w:p w14:paraId="0EB12662">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构成招标文件的其他文件</w:t>
            </w:r>
          </w:p>
        </w:tc>
        <w:tc>
          <w:tcPr>
            <w:tcW w:w="7014" w:type="dxa"/>
            <w:vAlign w:val="center"/>
          </w:tcPr>
          <w:p w14:paraId="1FFDAA57">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招标文件的澄清、修改书及有关补充通知均为招标文件的有效组成部分。</w:t>
            </w:r>
          </w:p>
          <w:p w14:paraId="4727B2FA">
            <w:pPr>
              <w:pStyle w:val="23"/>
              <w:spacing w:after="0" w:line="360" w:lineRule="auto"/>
              <w:ind w:firstLine="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bCs/>
                <w:color w:val="auto"/>
                <w:sz w:val="24"/>
                <w:highlight w:val="none"/>
              </w:rPr>
              <w:t>注意事项：</w:t>
            </w:r>
            <w:r>
              <w:rPr>
                <w:rFonts w:hint="eastAsia" w:asciiTheme="majorEastAsia" w:hAnsiTheme="majorEastAsia" w:eastAsiaTheme="majorEastAsia" w:cstheme="majorEastAsia"/>
                <w:color w:val="auto"/>
                <w:sz w:val="24"/>
                <w:highlight w:val="none"/>
              </w:rPr>
              <w:t>投标人应随时留意可能发布的变更公告，当澄清或修改的内容影响投标文件编制时，将在全国公共资源交易中心平台（陕西省）上同步发布答疑文件，此时投标人应从“项目流程·〉答疑文件下载”下载最新发布的答疑文件后缀为（*.SXSCF），并使用该文件重新编制电子投标文件后缀为（*.SXSTF），使用旧版电子招标文件或旧版答疑文件制作的电子投标文件，系统将拒绝接收。</w:t>
            </w:r>
          </w:p>
        </w:tc>
      </w:tr>
      <w:tr w14:paraId="666B1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818" w:type="dxa"/>
            <w:vAlign w:val="center"/>
          </w:tcPr>
          <w:p w14:paraId="53B124AE">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20</w:t>
            </w:r>
          </w:p>
        </w:tc>
        <w:tc>
          <w:tcPr>
            <w:tcW w:w="1907" w:type="dxa"/>
            <w:vAlign w:val="center"/>
          </w:tcPr>
          <w:p w14:paraId="2595B181">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投标保证金 </w:t>
            </w:r>
          </w:p>
        </w:tc>
        <w:tc>
          <w:tcPr>
            <w:tcW w:w="7014" w:type="dxa"/>
            <w:vAlign w:val="center"/>
          </w:tcPr>
          <w:p w14:paraId="4FE83941">
            <w:pPr>
              <w:pStyle w:val="23"/>
              <w:spacing w:after="0" w:line="360" w:lineRule="auto"/>
              <w:ind w:firstLine="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采用“投标信用承诺书”代替投标保证金。</w:t>
            </w:r>
          </w:p>
          <w:p w14:paraId="571B215E">
            <w:pPr>
              <w:pStyle w:val="23"/>
              <w:spacing w:after="0" w:line="360" w:lineRule="auto"/>
              <w:ind w:firstLine="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bCs/>
                <w:color w:val="auto"/>
                <w:sz w:val="24"/>
                <w:highlight w:val="none"/>
              </w:rPr>
              <w:t>注：</w:t>
            </w:r>
            <w:r>
              <w:rPr>
                <w:rFonts w:hint="eastAsia" w:asciiTheme="majorEastAsia" w:hAnsiTheme="majorEastAsia" w:eastAsiaTheme="majorEastAsia" w:cstheme="majorEastAsia"/>
                <w:color w:val="auto"/>
                <w:sz w:val="24"/>
                <w:highlight w:val="none"/>
              </w:rPr>
              <w:t>需在网上提交《投标信用承诺》，并将《投标信用承诺》及网上已上报后的网页截图附在投标文件中。（承诺书格式详见第七章《投标文件构成及格式》，自主上报信用承诺具体要求详见投标人须知前附表2</w:t>
            </w:r>
            <w:r>
              <w:rPr>
                <w:rFonts w:hint="eastAsia" w:asciiTheme="majorEastAsia" w:hAnsiTheme="majorEastAsia" w:eastAsiaTheme="majorEastAsia" w:cstheme="majorEastAsia"/>
                <w:color w:val="auto"/>
                <w:sz w:val="24"/>
                <w:highlight w:val="none"/>
                <w:lang w:val="en-US" w:eastAsia="zh-CN"/>
              </w:rPr>
              <w:t>7</w:t>
            </w:r>
            <w:r>
              <w:rPr>
                <w:rFonts w:hint="eastAsia" w:asciiTheme="majorEastAsia" w:hAnsiTheme="majorEastAsia" w:eastAsiaTheme="majorEastAsia" w:cstheme="majorEastAsia"/>
                <w:color w:val="auto"/>
                <w:sz w:val="24"/>
                <w:highlight w:val="none"/>
              </w:rPr>
              <w:t>）</w:t>
            </w:r>
          </w:p>
        </w:tc>
      </w:tr>
      <w:tr w14:paraId="2779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8" w:type="dxa"/>
            <w:vAlign w:val="center"/>
          </w:tcPr>
          <w:p w14:paraId="33AE3884">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21</w:t>
            </w:r>
          </w:p>
        </w:tc>
        <w:tc>
          <w:tcPr>
            <w:tcW w:w="1907" w:type="dxa"/>
            <w:vAlign w:val="center"/>
          </w:tcPr>
          <w:p w14:paraId="754A2AA9">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是否允许递交备选投标方案</w:t>
            </w:r>
          </w:p>
        </w:tc>
        <w:tc>
          <w:tcPr>
            <w:tcW w:w="7014" w:type="dxa"/>
            <w:vAlign w:val="center"/>
          </w:tcPr>
          <w:p w14:paraId="4076F1F9">
            <w:pPr>
              <w:tabs>
                <w:tab w:val="left" w:pos="7013"/>
              </w:tabs>
              <w:spacing w:line="360" w:lineRule="auto"/>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sym w:font="Wingdings" w:char="00FE"/>
            </w:r>
            <w:r>
              <w:rPr>
                <w:rFonts w:hint="eastAsia" w:asciiTheme="majorEastAsia" w:hAnsiTheme="majorEastAsia" w:eastAsiaTheme="majorEastAsia" w:cstheme="majorEastAsia"/>
                <w:b/>
                <w:bCs/>
                <w:color w:val="auto"/>
                <w:sz w:val="24"/>
                <w:highlight w:val="none"/>
              </w:rPr>
              <w:t xml:space="preserve">不接受   </w:t>
            </w:r>
            <w:r>
              <w:rPr>
                <w:rFonts w:hint="eastAsia" w:asciiTheme="majorEastAsia" w:hAnsiTheme="majorEastAsia" w:eastAsiaTheme="majorEastAsia" w:cstheme="majorEastAsia"/>
                <w:b/>
                <w:bCs/>
                <w:color w:val="auto"/>
                <w:sz w:val="24"/>
                <w:highlight w:val="none"/>
              </w:rPr>
              <w:sym w:font="Wingdings" w:char="00A8"/>
            </w:r>
            <w:r>
              <w:rPr>
                <w:rFonts w:hint="eastAsia" w:asciiTheme="majorEastAsia" w:hAnsiTheme="majorEastAsia" w:eastAsiaTheme="majorEastAsia" w:cstheme="majorEastAsia"/>
                <w:b/>
                <w:bCs/>
                <w:color w:val="auto"/>
                <w:sz w:val="24"/>
                <w:highlight w:val="none"/>
              </w:rPr>
              <w:t>接受</w:t>
            </w:r>
          </w:p>
          <w:p w14:paraId="19CBE6EA">
            <w:pPr>
              <w:tabs>
                <w:tab w:val="left" w:pos="7013"/>
              </w:tabs>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不接受备选投标方案和投标文件中出现多个报价。</w:t>
            </w:r>
          </w:p>
        </w:tc>
      </w:tr>
      <w:tr w14:paraId="718D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9" w:hRule="atLeast"/>
          <w:jc w:val="center"/>
        </w:trPr>
        <w:tc>
          <w:tcPr>
            <w:tcW w:w="818" w:type="dxa"/>
            <w:vAlign w:val="center"/>
          </w:tcPr>
          <w:p w14:paraId="0D151CEF">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22</w:t>
            </w:r>
          </w:p>
        </w:tc>
        <w:tc>
          <w:tcPr>
            <w:tcW w:w="1907" w:type="dxa"/>
            <w:vAlign w:val="center"/>
          </w:tcPr>
          <w:p w14:paraId="4D2FAD6A">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电子投标文件签字和盖章要求</w:t>
            </w:r>
          </w:p>
        </w:tc>
        <w:tc>
          <w:tcPr>
            <w:tcW w:w="7014" w:type="dxa"/>
            <w:vAlign w:val="center"/>
          </w:tcPr>
          <w:p w14:paraId="22B7E04C">
            <w:pPr>
              <w:tabs>
                <w:tab w:val="left" w:pos="7013"/>
              </w:tabs>
              <w:spacing w:line="360" w:lineRule="auto"/>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后缀为“*.SXSTF”格式的电子投标文件须逐页进行电子签章，法定代表人或其委托代理人签字和盖章以所发布的投标</w:t>
            </w:r>
            <w:r>
              <w:rPr>
                <w:rFonts w:hint="eastAsia" w:asciiTheme="majorEastAsia" w:hAnsiTheme="majorEastAsia" w:eastAsiaTheme="majorEastAsia" w:cstheme="majorEastAsia"/>
                <w:color w:val="auto"/>
                <w:sz w:val="24"/>
                <w:highlight w:val="none"/>
              </w:rPr>
              <w:t>文件构成及格式</w:t>
            </w:r>
            <w:r>
              <w:rPr>
                <w:rFonts w:hint="eastAsia" w:asciiTheme="majorEastAsia" w:hAnsiTheme="majorEastAsia" w:eastAsiaTheme="majorEastAsia" w:cstheme="majorEastAsia"/>
                <w:bCs/>
                <w:color w:val="auto"/>
                <w:sz w:val="24"/>
                <w:highlight w:val="none"/>
              </w:rPr>
              <w:t>为准，签章是指签字和盖章，即在当事人的签字上加盖印章。</w:t>
            </w:r>
          </w:p>
          <w:p w14:paraId="629F25B1">
            <w:pPr>
              <w:tabs>
                <w:tab w:val="left" w:pos="7013"/>
              </w:tabs>
              <w:spacing w:line="360" w:lineRule="auto"/>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注：</w:t>
            </w:r>
            <w:r>
              <w:rPr>
                <w:rFonts w:hint="eastAsia" w:asciiTheme="majorEastAsia" w:hAnsiTheme="majorEastAsia" w:eastAsiaTheme="majorEastAsia" w:cstheme="majorEastAsia"/>
                <w:bCs/>
                <w:color w:val="auto"/>
                <w:sz w:val="24"/>
                <w:highlight w:val="none"/>
              </w:rPr>
              <w:t>未作格式要求的除外，擅自修改签字盖章指定格式将否决投标。</w:t>
            </w:r>
          </w:p>
        </w:tc>
      </w:tr>
      <w:tr w14:paraId="20D8D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818" w:type="dxa"/>
            <w:vAlign w:val="center"/>
          </w:tcPr>
          <w:p w14:paraId="1C02C49A">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23</w:t>
            </w:r>
          </w:p>
        </w:tc>
        <w:tc>
          <w:tcPr>
            <w:tcW w:w="1907" w:type="dxa"/>
            <w:vAlign w:val="center"/>
          </w:tcPr>
          <w:p w14:paraId="7CE8DE66">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投标报价</w:t>
            </w:r>
          </w:p>
        </w:tc>
        <w:tc>
          <w:tcPr>
            <w:tcW w:w="7014" w:type="dxa"/>
            <w:vAlign w:val="center"/>
          </w:tcPr>
          <w:p w14:paraId="5B4F860D">
            <w:pPr>
              <w:spacing w:line="360" w:lineRule="auto"/>
              <w:ind w:firstLine="480" w:firstLineChars="200"/>
              <w:rPr>
                <w:rFonts w:asciiTheme="majorEastAsia" w:hAnsiTheme="majorEastAsia" w:eastAsiaTheme="majorEastAsia" w:cstheme="majorEastAsia"/>
                <w:color w:val="auto"/>
                <w:sz w:val="24"/>
                <w:highlight w:val="none"/>
              </w:rPr>
            </w:pPr>
            <w:r>
              <w:rPr>
                <w:rFonts w:asciiTheme="majorEastAsia" w:hAnsiTheme="majorEastAsia" w:eastAsiaTheme="majorEastAsia" w:cstheme="majorEastAsia"/>
                <w:color w:val="auto"/>
                <w:sz w:val="24"/>
                <w:highlight w:val="none"/>
              </w:rPr>
              <w:t>投标报价为投标人响应本采购项目全部工作内容的价格体现，包括完成本项目服务所需的直接费、间接费、管理费、利润、税金、差旅、现场踏勘、资料收集、后续技术服务及其他所有</w:t>
            </w:r>
            <w:r>
              <w:rPr>
                <w:rFonts w:ascii="宋体" w:hAnsi="宋体" w:eastAsia="宋体" w:cs="宋体"/>
                <w:color w:val="auto"/>
                <w:sz w:val="24"/>
                <w:szCs w:val="24"/>
                <w:highlight w:val="none"/>
              </w:rPr>
              <w:t>一切相关费用</w:t>
            </w:r>
            <w:r>
              <w:rPr>
                <w:rFonts w:asciiTheme="majorEastAsia" w:hAnsiTheme="majorEastAsia" w:eastAsiaTheme="majorEastAsia" w:cstheme="majorEastAsia"/>
                <w:color w:val="auto"/>
                <w:sz w:val="24"/>
                <w:highlight w:val="none"/>
              </w:rPr>
              <w:t>。</w:t>
            </w:r>
          </w:p>
          <w:p w14:paraId="1B127A3F">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1.</w:t>
            </w:r>
            <w:r>
              <w:rPr>
                <w:rFonts w:asciiTheme="majorEastAsia" w:hAnsiTheme="majorEastAsia" w:eastAsiaTheme="majorEastAsia" w:cstheme="majorEastAsia"/>
                <w:color w:val="auto"/>
                <w:sz w:val="24"/>
                <w:highlight w:val="none"/>
              </w:rPr>
              <w:t>投标人应结合项目实际情况、市场行情及自身实力自主报价，充分测算并考虑所有可能发生的各项费用。</w:t>
            </w:r>
          </w:p>
          <w:p w14:paraId="06E44D80">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2.</w:t>
            </w:r>
            <w:r>
              <w:rPr>
                <w:rFonts w:asciiTheme="majorEastAsia" w:hAnsiTheme="majorEastAsia" w:eastAsiaTheme="majorEastAsia" w:cstheme="majorEastAsia"/>
                <w:color w:val="auto"/>
                <w:sz w:val="24"/>
                <w:highlight w:val="none"/>
              </w:rPr>
              <w:t>凡招标文件未列明，但投标人根据项目特点、行业惯例及自身判断认为应当计取的费用，均应自行列入投标报价中。</w:t>
            </w:r>
          </w:p>
          <w:p w14:paraId="4C969901">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3.</w:t>
            </w:r>
            <w:r>
              <w:rPr>
                <w:rFonts w:asciiTheme="majorEastAsia" w:hAnsiTheme="majorEastAsia" w:eastAsiaTheme="majorEastAsia" w:cstheme="majorEastAsia"/>
                <w:color w:val="auto"/>
                <w:sz w:val="24"/>
                <w:highlight w:val="none"/>
              </w:rPr>
              <w:t>无论投标人在报价中是否单独列项、是否明示计取，采购人均视为该部分费用已包含在投标总价内，中标后不再另行支付任何额外费用。</w:t>
            </w:r>
          </w:p>
          <w:p w14:paraId="0646C0E2">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4.</w:t>
            </w:r>
            <w:r>
              <w:rPr>
                <w:rFonts w:asciiTheme="majorEastAsia" w:hAnsiTheme="majorEastAsia" w:eastAsiaTheme="majorEastAsia" w:cstheme="majorEastAsia"/>
                <w:color w:val="auto"/>
                <w:sz w:val="24"/>
                <w:highlight w:val="none"/>
              </w:rPr>
              <w:t>投标报价应是唯一、最终、固定不变的价格，合同履行期间不因人工、材料、政策等任何因素调整合同价款。</w:t>
            </w:r>
          </w:p>
          <w:p w14:paraId="33533638">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5.</w:t>
            </w:r>
            <w:r>
              <w:rPr>
                <w:rFonts w:asciiTheme="majorEastAsia" w:hAnsiTheme="majorEastAsia" w:eastAsiaTheme="majorEastAsia" w:cstheme="majorEastAsia"/>
                <w:color w:val="auto"/>
                <w:sz w:val="24"/>
                <w:highlight w:val="none"/>
              </w:rPr>
              <w:t>投标人报价不得高于本项目最高投标限价，否则按无效投标处理。</w:t>
            </w:r>
          </w:p>
          <w:p w14:paraId="63934BC0">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6.</w:t>
            </w:r>
            <w:r>
              <w:rPr>
                <w:rFonts w:hint="eastAsia" w:asciiTheme="majorEastAsia" w:hAnsiTheme="majorEastAsia" w:eastAsiaTheme="majorEastAsia" w:cstheme="majorEastAsia"/>
                <w:color w:val="auto"/>
                <w:sz w:val="24"/>
                <w:highlight w:val="none"/>
              </w:rPr>
              <w:t>投标报价货币：人民币；单位：元。</w:t>
            </w:r>
          </w:p>
          <w:p w14:paraId="247A2301">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7.</w:t>
            </w:r>
            <w:r>
              <w:rPr>
                <w:rFonts w:hint="eastAsia" w:asciiTheme="majorEastAsia" w:hAnsiTheme="majorEastAsia" w:eastAsiaTheme="majorEastAsia" w:cstheme="majorEastAsia"/>
                <w:color w:val="auto"/>
                <w:sz w:val="24"/>
                <w:highlight w:val="none"/>
              </w:rPr>
              <w:t>投标报价只能提交唯一报价，并且在合同履行过程中是固定不变的，任何有选择的报价将不予接受，按无效投标处理。</w:t>
            </w:r>
          </w:p>
          <w:p w14:paraId="5717D309">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8.</w:t>
            </w:r>
            <w:r>
              <w:rPr>
                <w:rFonts w:hint="eastAsia" w:asciiTheme="majorEastAsia" w:hAnsiTheme="majorEastAsia" w:eastAsiaTheme="majorEastAsia" w:cstheme="majorEastAsia"/>
                <w:color w:val="auto"/>
                <w:sz w:val="24"/>
                <w:highlight w:val="none"/>
              </w:rPr>
              <w:t>投标报价应遵守《中华人民共和国价格法》，投标人不得以低于成本的报价参与投标。</w:t>
            </w:r>
          </w:p>
        </w:tc>
      </w:tr>
      <w:tr w14:paraId="00AA3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818" w:type="dxa"/>
            <w:vAlign w:val="center"/>
          </w:tcPr>
          <w:p w14:paraId="01125188">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24</w:t>
            </w:r>
          </w:p>
        </w:tc>
        <w:tc>
          <w:tcPr>
            <w:tcW w:w="1907" w:type="dxa"/>
            <w:vAlign w:val="center"/>
          </w:tcPr>
          <w:p w14:paraId="48EC083D">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评审办法及标准</w:t>
            </w:r>
          </w:p>
        </w:tc>
        <w:tc>
          <w:tcPr>
            <w:tcW w:w="7014" w:type="dxa"/>
            <w:vAlign w:val="center"/>
          </w:tcPr>
          <w:p w14:paraId="5733B3E1">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采用综合评分法；综合评分法，是指投标文件满足招标文件全部实质性要求，且按照评审因素的量化指标评审得分最高的投标人为中标候选人的评标方法。评审方法</w:t>
            </w:r>
            <w:bookmarkStart w:id="294" w:name="_GoBack"/>
            <w:bookmarkEnd w:id="294"/>
            <w:r>
              <w:rPr>
                <w:rFonts w:hint="eastAsia" w:asciiTheme="majorEastAsia" w:hAnsiTheme="majorEastAsia" w:eastAsiaTheme="majorEastAsia" w:cstheme="majorEastAsia"/>
                <w:color w:val="auto"/>
                <w:sz w:val="24"/>
                <w:highlight w:val="none"/>
              </w:rPr>
              <w:t>、评审标准、评审因素等内容详见招标文件第三章投标须知。</w:t>
            </w:r>
          </w:p>
        </w:tc>
      </w:tr>
      <w:tr w14:paraId="7C80C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818" w:type="dxa"/>
            <w:vAlign w:val="center"/>
          </w:tcPr>
          <w:p w14:paraId="7E2D717D">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25</w:t>
            </w:r>
          </w:p>
        </w:tc>
        <w:tc>
          <w:tcPr>
            <w:tcW w:w="1907" w:type="dxa"/>
            <w:vAlign w:val="center"/>
          </w:tcPr>
          <w:p w14:paraId="64346983">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其它事项</w:t>
            </w:r>
          </w:p>
        </w:tc>
        <w:tc>
          <w:tcPr>
            <w:tcW w:w="7014" w:type="dxa"/>
            <w:vAlign w:val="center"/>
          </w:tcPr>
          <w:p w14:paraId="31DF666C">
            <w:pPr>
              <w:pStyle w:val="107"/>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本次采购项目、投标报价、评审和合同授予均以项目为单位，投标人必须就一个完整项目进行响应。中标人与采购人在成交通知书发出</w:t>
            </w:r>
            <w:r>
              <w:rPr>
                <w:rFonts w:hint="eastAsia" w:asciiTheme="majorEastAsia" w:hAnsiTheme="majorEastAsia" w:eastAsiaTheme="majorEastAsia" w:cstheme="majorEastAsia"/>
                <w:color w:val="auto"/>
                <w:sz w:val="24"/>
                <w:szCs w:val="24"/>
                <w:highlight w:val="none"/>
                <w:lang w:val="en-US" w:eastAsia="zh-CN"/>
              </w:rPr>
              <w:t>25</w:t>
            </w:r>
            <w:r>
              <w:rPr>
                <w:rFonts w:hint="eastAsia" w:asciiTheme="majorEastAsia" w:hAnsiTheme="majorEastAsia" w:eastAsiaTheme="majorEastAsia" w:cstheme="majorEastAsia"/>
                <w:color w:val="auto"/>
                <w:sz w:val="24"/>
                <w:szCs w:val="24"/>
                <w:highlight w:val="none"/>
              </w:rPr>
              <w:t>日内签订合同，不及时签订视为自动放弃。非经采购人同意，本项目不允许中标后另行转包或者分包。中标人无正当理由不得放弃中标。因自身原因拒绝签订政府采购合同的或者未按合同约定进行履约的中标人不得参加对该项目重新开展的采购活动。</w:t>
            </w:r>
          </w:p>
        </w:tc>
      </w:tr>
      <w:tr w14:paraId="4DC8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18" w:type="dxa"/>
            <w:vAlign w:val="center"/>
          </w:tcPr>
          <w:p w14:paraId="0A11F540">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26</w:t>
            </w:r>
          </w:p>
        </w:tc>
        <w:tc>
          <w:tcPr>
            <w:tcW w:w="1907" w:type="dxa"/>
            <w:vAlign w:val="center"/>
          </w:tcPr>
          <w:p w14:paraId="3B6C4FC6">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招标代理服务费</w:t>
            </w:r>
          </w:p>
        </w:tc>
        <w:tc>
          <w:tcPr>
            <w:tcW w:w="7014" w:type="dxa"/>
            <w:vAlign w:val="center"/>
          </w:tcPr>
          <w:p w14:paraId="4EF02929">
            <w:pPr>
              <w:numPr>
                <w:ilvl w:val="0"/>
                <w:numId w:val="0"/>
              </w:numPr>
              <w:spacing w:line="360" w:lineRule="auto"/>
              <w:ind w:firstLine="480" w:firstLineChars="200"/>
              <w:rPr>
                <w:rFonts w:hint="eastAsia"/>
                <w:color w:val="auto"/>
                <w:spacing w:val="-2"/>
                <w:sz w:val="24"/>
                <w:szCs w:val="24"/>
                <w:highlight w:val="none"/>
                <w:lang w:val="en-US" w:eastAsia="zh-CN"/>
              </w:rPr>
            </w:pPr>
            <w:r>
              <w:rPr>
                <w:rFonts w:hint="eastAsia"/>
                <w:color w:val="auto"/>
                <w:sz w:val="24"/>
                <w:szCs w:val="24"/>
                <w:highlight w:val="none"/>
              </w:rPr>
              <w:t>参考国家计委2002年颁发的《招标代理服务收费管理暂行办法》(计价格〔2002〕1980号)、国家发展</w:t>
            </w:r>
            <w:r>
              <w:rPr>
                <w:rFonts w:hint="eastAsia"/>
                <w:color w:val="auto"/>
                <w:sz w:val="24"/>
                <w:szCs w:val="24"/>
                <w:highlight w:val="none"/>
                <w:lang w:eastAsia="zh-CN"/>
              </w:rPr>
              <w:t>和</w:t>
            </w:r>
            <w:r>
              <w:rPr>
                <w:rFonts w:hint="eastAsia"/>
                <w:color w:val="auto"/>
                <w:sz w:val="24"/>
                <w:szCs w:val="24"/>
                <w:highlight w:val="none"/>
              </w:rPr>
              <w:t>改革委员会办公厅颁发的《关于招标代理服务费收费有关问题的通知》（发改办价格[2003]857号）</w:t>
            </w:r>
            <w:r>
              <w:rPr>
                <w:rFonts w:hint="eastAsia"/>
                <w:color w:val="auto"/>
                <w:sz w:val="24"/>
                <w:szCs w:val="24"/>
                <w:highlight w:val="none"/>
                <w:lang w:eastAsia="zh-CN"/>
              </w:rPr>
              <w:t>、</w:t>
            </w:r>
            <w:r>
              <w:rPr>
                <w:rFonts w:hint="eastAsia"/>
                <w:color w:val="auto"/>
                <w:sz w:val="24"/>
                <w:szCs w:val="24"/>
                <w:highlight w:val="none"/>
              </w:rPr>
              <w:t>《调整后的招标代理服务收费标准》(发改价格〔2011〕〕534号</w:t>
            </w:r>
            <w:r>
              <w:rPr>
                <w:rFonts w:hint="eastAsia"/>
                <w:color w:val="auto"/>
                <w:sz w:val="24"/>
                <w:szCs w:val="24"/>
                <w:highlight w:val="none"/>
                <w:lang w:eastAsia="zh-CN"/>
              </w:rPr>
              <w:t>、</w:t>
            </w:r>
            <w:r>
              <w:rPr>
                <w:rFonts w:hint="eastAsia"/>
                <w:color w:val="auto"/>
                <w:sz w:val="24"/>
                <w:szCs w:val="24"/>
                <w:highlight w:val="none"/>
                <w:lang w:val="en-US" w:eastAsia="zh-CN"/>
              </w:rPr>
              <w:t>《清涧县政府投资管理办法（修订版）》（清政发【2025】8号）</w:t>
            </w:r>
            <w:r>
              <w:rPr>
                <w:rFonts w:hint="eastAsia"/>
                <w:color w:val="auto"/>
                <w:spacing w:val="-2"/>
                <w:sz w:val="24"/>
                <w:szCs w:val="24"/>
                <w:highlight w:val="none"/>
                <w:lang w:val="en-US" w:eastAsia="zh-CN"/>
              </w:rPr>
              <w:t>规定</w:t>
            </w:r>
            <w:r>
              <w:rPr>
                <w:rFonts w:hint="eastAsia" w:asciiTheme="majorEastAsia" w:hAnsiTheme="majorEastAsia" w:eastAsiaTheme="majorEastAsia" w:cstheme="majorEastAsia"/>
                <w:color w:val="auto"/>
                <w:sz w:val="24"/>
                <w:szCs w:val="24"/>
                <w:highlight w:val="none"/>
              </w:rPr>
              <w:t>由</w:t>
            </w:r>
            <w:r>
              <w:rPr>
                <w:rFonts w:hint="eastAsia" w:asciiTheme="majorEastAsia" w:hAnsiTheme="majorEastAsia" w:eastAsiaTheme="majorEastAsia" w:cstheme="majorEastAsia"/>
                <w:color w:val="auto"/>
                <w:sz w:val="24"/>
                <w:szCs w:val="24"/>
                <w:highlight w:val="none"/>
                <w:u w:val="single"/>
                <w:lang w:val="en-US" w:eastAsia="zh-CN"/>
              </w:rPr>
              <w:t xml:space="preserve"> 中标单位 </w:t>
            </w:r>
            <w:r>
              <w:rPr>
                <w:rFonts w:hint="eastAsia" w:asciiTheme="majorEastAsia" w:hAnsiTheme="majorEastAsia" w:eastAsiaTheme="majorEastAsia" w:cstheme="majorEastAsia"/>
                <w:color w:val="auto"/>
                <w:sz w:val="24"/>
                <w:szCs w:val="24"/>
                <w:highlight w:val="none"/>
              </w:rPr>
              <w:t>一次性支付给</w:t>
            </w:r>
            <w:r>
              <w:rPr>
                <w:rFonts w:hint="eastAsia" w:asciiTheme="majorEastAsia" w:hAnsiTheme="majorEastAsia" w:eastAsiaTheme="majorEastAsia" w:cstheme="majorEastAsia"/>
                <w:color w:val="auto"/>
                <w:sz w:val="24"/>
                <w:szCs w:val="24"/>
                <w:highlight w:val="none"/>
                <w:u w:val="single"/>
                <w:lang w:eastAsia="zh-CN"/>
              </w:rPr>
              <w:t>陕安项目管理有限公司</w:t>
            </w:r>
            <w:r>
              <w:rPr>
                <w:rFonts w:hint="eastAsia"/>
                <w:color w:val="auto"/>
                <w:spacing w:val="-2"/>
                <w:sz w:val="24"/>
                <w:szCs w:val="24"/>
                <w:highlight w:val="none"/>
                <w:lang w:val="en-US" w:eastAsia="zh-CN"/>
              </w:rPr>
              <w:t>。</w:t>
            </w:r>
          </w:p>
          <w:p w14:paraId="5F9FCB8F">
            <w:pPr>
              <w:pStyle w:val="114"/>
              <w:spacing w:before="40" w:line="350" w:lineRule="auto"/>
              <w:ind w:right="108" w:firstLine="472" w:firstLineChars="200"/>
              <w:jc w:val="both"/>
              <w:rPr>
                <w:rFonts w:hint="eastAsia"/>
                <w:color w:val="auto"/>
                <w:spacing w:val="-2"/>
                <w:highlight w:val="none"/>
                <w:lang w:val="en-US" w:eastAsia="zh-CN"/>
              </w:rPr>
            </w:pPr>
            <w:r>
              <w:rPr>
                <w:rFonts w:hint="eastAsia"/>
                <w:color w:val="auto"/>
                <w:spacing w:val="-2"/>
                <w:sz w:val="24"/>
                <w:szCs w:val="24"/>
                <w:highlight w:val="none"/>
                <w:lang w:val="en-US" w:eastAsia="zh-CN"/>
              </w:rPr>
              <w:t>采购代理服务费按差额定率累进法计算：</w:t>
            </w:r>
          </w:p>
          <w:tbl>
            <w:tblPr>
              <w:tblStyle w:val="25"/>
              <w:tblW w:w="6579" w:type="dxa"/>
              <w:jc w:val="center"/>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1753"/>
              <w:gridCol w:w="1651"/>
              <w:gridCol w:w="1669"/>
              <w:gridCol w:w="1506"/>
            </w:tblGrid>
            <w:tr w14:paraId="3A9CBC26">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0" w:type="dxa"/>
                  <w:left w:w="0" w:type="dxa"/>
                  <w:bottom w:w="0" w:type="dxa"/>
                  <w:right w:w="0" w:type="dxa"/>
                </w:tblCellMar>
              </w:tblPrEx>
              <w:trPr>
                <w:trHeight w:val="509" w:hRule="atLeast"/>
                <w:jc w:val="center"/>
              </w:trPr>
              <w:tc>
                <w:tcPr>
                  <w:tcW w:w="175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3C80F13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Style w:val="28"/>
                      <w:rFonts w:hint="default" w:ascii="Arial" w:hAnsi="Arial" w:cs="Arial"/>
                      <w:b/>
                      <w:i w:val="0"/>
                      <w:caps w:val="0"/>
                      <w:color w:val="auto"/>
                      <w:spacing w:val="0"/>
                      <w:sz w:val="18"/>
                      <w:szCs w:val="18"/>
                      <w:highlight w:val="none"/>
                    </w:rPr>
                    <w:t>服费务类率型</w:t>
                  </w:r>
                </w:p>
                <w:p w14:paraId="0A0B655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Style w:val="28"/>
                      <w:rFonts w:hint="default" w:ascii="Arial" w:hAnsi="Arial" w:cs="Arial"/>
                      <w:b/>
                      <w:i w:val="0"/>
                      <w:caps w:val="0"/>
                      <w:color w:val="auto"/>
                      <w:spacing w:val="0"/>
                      <w:sz w:val="18"/>
                      <w:szCs w:val="18"/>
                      <w:highlight w:val="none"/>
                    </w:rPr>
                    <w:t>中标金额(万元)</w:t>
                  </w:r>
                </w:p>
              </w:tc>
              <w:tc>
                <w:tcPr>
                  <w:tcW w:w="1651"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0B6EB41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Style w:val="28"/>
                      <w:rFonts w:hint="default" w:ascii="Arial" w:hAnsi="Arial" w:cs="Arial"/>
                      <w:b/>
                      <w:i w:val="0"/>
                      <w:caps w:val="0"/>
                      <w:color w:val="auto"/>
                      <w:spacing w:val="0"/>
                      <w:sz w:val="18"/>
                      <w:szCs w:val="18"/>
                      <w:highlight w:val="none"/>
                    </w:rPr>
                    <w:t>货物招标</w:t>
                  </w:r>
                </w:p>
              </w:tc>
              <w:tc>
                <w:tcPr>
                  <w:tcW w:w="1669"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A1DAEE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Style w:val="28"/>
                      <w:rFonts w:hint="default" w:ascii="Arial" w:hAnsi="Arial" w:cs="Arial"/>
                      <w:b/>
                      <w:i w:val="0"/>
                      <w:caps w:val="0"/>
                      <w:color w:val="auto"/>
                      <w:spacing w:val="0"/>
                      <w:sz w:val="18"/>
                      <w:szCs w:val="18"/>
                      <w:highlight w:val="none"/>
                    </w:rPr>
                    <w:t>服务招标</w:t>
                  </w:r>
                </w:p>
              </w:tc>
              <w:tc>
                <w:tcPr>
                  <w:tcW w:w="1506"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1230BCC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Style w:val="28"/>
                      <w:rFonts w:hint="default" w:ascii="Arial" w:hAnsi="Arial" w:cs="Arial"/>
                      <w:b/>
                      <w:i w:val="0"/>
                      <w:caps w:val="0"/>
                      <w:color w:val="auto"/>
                      <w:spacing w:val="0"/>
                      <w:sz w:val="18"/>
                      <w:szCs w:val="18"/>
                      <w:highlight w:val="none"/>
                    </w:rPr>
                    <w:t>工程招标</w:t>
                  </w:r>
                </w:p>
              </w:tc>
            </w:tr>
            <w:tr w14:paraId="4821466C">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0" w:type="dxa"/>
                  <w:left w:w="0" w:type="dxa"/>
                  <w:bottom w:w="0" w:type="dxa"/>
                  <w:right w:w="0" w:type="dxa"/>
                </w:tblCellMar>
              </w:tblPrEx>
              <w:trPr>
                <w:trHeight w:val="229" w:hRule="atLeast"/>
                <w:jc w:val="center"/>
              </w:trPr>
              <w:tc>
                <w:tcPr>
                  <w:tcW w:w="175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55A3BBA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100以下</w:t>
                  </w:r>
                </w:p>
              </w:tc>
              <w:tc>
                <w:tcPr>
                  <w:tcW w:w="1651"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33CCFBF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1.5%</w:t>
                  </w:r>
                </w:p>
              </w:tc>
              <w:tc>
                <w:tcPr>
                  <w:tcW w:w="1669"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3533CEA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1.5%</w:t>
                  </w:r>
                </w:p>
              </w:tc>
              <w:tc>
                <w:tcPr>
                  <w:tcW w:w="1506"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CC05B5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1.0%</w:t>
                  </w:r>
                </w:p>
              </w:tc>
            </w:tr>
            <w:tr w14:paraId="6441789A">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0" w:type="dxa"/>
                  <w:left w:w="0" w:type="dxa"/>
                  <w:bottom w:w="0" w:type="dxa"/>
                  <w:right w:w="0" w:type="dxa"/>
                </w:tblCellMar>
              </w:tblPrEx>
              <w:trPr>
                <w:trHeight w:val="267" w:hRule="atLeast"/>
                <w:jc w:val="center"/>
              </w:trPr>
              <w:tc>
                <w:tcPr>
                  <w:tcW w:w="175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0B2402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100-500</w:t>
                  </w:r>
                </w:p>
              </w:tc>
              <w:tc>
                <w:tcPr>
                  <w:tcW w:w="1651"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465D2A3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1.1%</w:t>
                  </w:r>
                </w:p>
              </w:tc>
              <w:tc>
                <w:tcPr>
                  <w:tcW w:w="1669"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5DE8686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0.8%</w:t>
                  </w:r>
                </w:p>
              </w:tc>
              <w:tc>
                <w:tcPr>
                  <w:tcW w:w="1506"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2048C6F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0.7%</w:t>
                  </w:r>
                </w:p>
              </w:tc>
            </w:tr>
            <w:tr w14:paraId="5690E7C9">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0" w:type="dxa"/>
                  <w:left w:w="0" w:type="dxa"/>
                  <w:bottom w:w="0" w:type="dxa"/>
                  <w:right w:w="0" w:type="dxa"/>
                </w:tblCellMar>
              </w:tblPrEx>
              <w:trPr>
                <w:trHeight w:val="221" w:hRule="atLeast"/>
                <w:jc w:val="center"/>
              </w:trPr>
              <w:tc>
                <w:tcPr>
                  <w:tcW w:w="175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73B680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500-1000</w:t>
                  </w:r>
                </w:p>
              </w:tc>
              <w:tc>
                <w:tcPr>
                  <w:tcW w:w="1651"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DC0819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0.8%</w:t>
                  </w:r>
                </w:p>
              </w:tc>
              <w:tc>
                <w:tcPr>
                  <w:tcW w:w="1669"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32FB75D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0.45%</w:t>
                  </w:r>
                </w:p>
              </w:tc>
              <w:tc>
                <w:tcPr>
                  <w:tcW w:w="1506"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7BF56BA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0.55%</w:t>
                  </w:r>
                </w:p>
              </w:tc>
            </w:tr>
            <w:tr w14:paraId="0E97398B">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0" w:type="dxa"/>
                  <w:left w:w="0" w:type="dxa"/>
                  <w:bottom w:w="0" w:type="dxa"/>
                  <w:right w:w="0" w:type="dxa"/>
                </w:tblCellMar>
              </w:tblPrEx>
              <w:trPr>
                <w:trHeight w:val="221" w:hRule="atLeast"/>
                <w:jc w:val="center"/>
              </w:trPr>
              <w:tc>
                <w:tcPr>
                  <w:tcW w:w="175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70E1469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1000-5000</w:t>
                  </w:r>
                </w:p>
              </w:tc>
              <w:tc>
                <w:tcPr>
                  <w:tcW w:w="1651"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0C692AB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0.5%</w:t>
                  </w:r>
                </w:p>
              </w:tc>
              <w:tc>
                <w:tcPr>
                  <w:tcW w:w="1669"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7027518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0.25%</w:t>
                  </w:r>
                </w:p>
              </w:tc>
              <w:tc>
                <w:tcPr>
                  <w:tcW w:w="1506"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3A92714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0.35%</w:t>
                  </w:r>
                </w:p>
              </w:tc>
            </w:tr>
            <w:tr w14:paraId="1E8374A0">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0" w:type="dxa"/>
                  <w:left w:w="0" w:type="dxa"/>
                  <w:bottom w:w="0" w:type="dxa"/>
                  <w:right w:w="0" w:type="dxa"/>
                </w:tblCellMar>
              </w:tblPrEx>
              <w:trPr>
                <w:trHeight w:val="263" w:hRule="atLeast"/>
                <w:jc w:val="center"/>
              </w:trPr>
              <w:tc>
                <w:tcPr>
                  <w:tcW w:w="175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1D6E723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5000-10000</w:t>
                  </w:r>
                </w:p>
              </w:tc>
              <w:tc>
                <w:tcPr>
                  <w:tcW w:w="1651"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250B499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0.25%</w:t>
                  </w:r>
                </w:p>
              </w:tc>
              <w:tc>
                <w:tcPr>
                  <w:tcW w:w="1669"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0C0CCD2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0.1%</w:t>
                  </w:r>
                </w:p>
              </w:tc>
              <w:tc>
                <w:tcPr>
                  <w:tcW w:w="1506"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0AA7A32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0.2%</w:t>
                  </w:r>
                </w:p>
              </w:tc>
            </w:tr>
            <w:tr w14:paraId="459ED942">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0" w:type="dxa"/>
                  <w:left w:w="0" w:type="dxa"/>
                  <w:bottom w:w="0" w:type="dxa"/>
                  <w:right w:w="0" w:type="dxa"/>
                </w:tblCellMar>
              </w:tblPrEx>
              <w:trPr>
                <w:trHeight w:val="180" w:hRule="atLeast"/>
                <w:jc w:val="center"/>
              </w:trPr>
              <w:tc>
                <w:tcPr>
                  <w:tcW w:w="1753"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3CDCA1A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1亿~5亿</w:t>
                  </w:r>
                </w:p>
              </w:tc>
              <w:tc>
                <w:tcPr>
                  <w:tcW w:w="1651"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F1C75E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0.05%</w:t>
                  </w:r>
                </w:p>
              </w:tc>
              <w:tc>
                <w:tcPr>
                  <w:tcW w:w="1669"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6AE7091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0.05%</w:t>
                  </w:r>
                </w:p>
              </w:tc>
              <w:tc>
                <w:tcPr>
                  <w:tcW w:w="1506" w:type="dxa"/>
                  <w:tcBorders>
                    <w:top w:val="single" w:color="auto" w:sz="4" w:space="0"/>
                    <w:left w:val="single" w:color="auto" w:sz="4" w:space="0"/>
                    <w:bottom w:val="single" w:color="auto" w:sz="4" w:space="0"/>
                    <w:right w:val="single" w:color="auto" w:sz="4" w:space="0"/>
                  </w:tcBorders>
                  <w:shd w:val="clear" w:color="auto" w:fill="FFFFFF"/>
                  <w:noWrap w:val="0"/>
                  <w:tcMar>
                    <w:top w:w="30" w:type="dxa"/>
                    <w:left w:w="90" w:type="dxa"/>
                    <w:bottom w:w="30" w:type="dxa"/>
                    <w:right w:w="90" w:type="dxa"/>
                  </w:tcMar>
                  <w:vAlign w:val="center"/>
                </w:tcPr>
                <w:p w14:paraId="5F4BC1D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pacing w:before="0" w:beforeAutospacing="0" w:after="0" w:afterAutospacing="0" w:line="240" w:lineRule="auto"/>
                    <w:ind w:left="0" w:right="0" w:firstLine="0"/>
                    <w:jc w:val="center"/>
                    <w:textAlignment w:val="auto"/>
                    <w:rPr>
                      <w:color w:val="auto"/>
                      <w:highlight w:val="none"/>
                    </w:rPr>
                  </w:pPr>
                  <w:r>
                    <w:rPr>
                      <w:rFonts w:hint="default" w:ascii="Arial" w:hAnsi="Arial" w:cs="Arial"/>
                      <w:i w:val="0"/>
                      <w:caps w:val="0"/>
                      <w:color w:val="auto"/>
                      <w:spacing w:val="0"/>
                      <w:sz w:val="18"/>
                      <w:szCs w:val="18"/>
                      <w:highlight w:val="none"/>
                    </w:rPr>
                    <w:t>0.05%</w:t>
                  </w:r>
                </w:p>
              </w:tc>
            </w:tr>
          </w:tbl>
          <w:p w14:paraId="2ECC6B6B">
            <w:pPr>
              <w:keepNext w:val="0"/>
              <w:keepLines w:val="0"/>
              <w:suppressLineNumbers w:val="0"/>
              <w:spacing w:before="0" w:beforeAutospacing="0" w:after="0" w:afterAutospacing="0" w:line="360" w:lineRule="auto"/>
              <w:ind w:left="0" w:right="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例如：某服务招标成交金额为678.2万元，采购代理服务费计算如下：</w:t>
            </w:r>
          </w:p>
          <w:p w14:paraId="32F78471">
            <w:pPr>
              <w:keepNext w:val="0"/>
              <w:keepLines w:val="0"/>
              <w:suppressLineNumbers w:val="0"/>
              <w:spacing w:before="0" w:beforeAutospacing="0" w:after="0" w:afterAutospacing="0" w:line="360" w:lineRule="auto"/>
              <w:ind w:left="0" w:right="0"/>
              <w:rPr>
                <w:rFonts w:ascii="宋体" w:hAnsi="宋体" w:cs="宋体"/>
                <w:color w:val="auto"/>
                <w:sz w:val="24"/>
                <w:szCs w:val="24"/>
                <w:highlight w:val="none"/>
              </w:rPr>
            </w:pPr>
            <w:r>
              <w:rPr>
                <w:rFonts w:hint="eastAsia" w:ascii="宋体" w:hAnsi="宋体" w:cs="宋体"/>
                <w:color w:val="auto"/>
                <w:sz w:val="24"/>
                <w:szCs w:val="24"/>
                <w:highlight w:val="none"/>
              </w:rPr>
              <w:t xml:space="preserve">100万元*1.5%=1.50万元 </w:t>
            </w:r>
          </w:p>
          <w:p w14:paraId="623C8FE7">
            <w:pPr>
              <w:keepNext w:val="0"/>
              <w:keepLines w:val="0"/>
              <w:suppressLineNumbers w:val="0"/>
              <w:spacing w:before="0" w:beforeAutospacing="0" w:after="0" w:afterAutospacing="0" w:line="360" w:lineRule="auto"/>
              <w:ind w:left="0" w:right="0"/>
              <w:rPr>
                <w:rFonts w:ascii="宋体" w:hAnsi="宋体" w:cs="宋体"/>
                <w:color w:val="auto"/>
                <w:sz w:val="24"/>
                <w:szCs w:val="24"/>
                <w:highlight w:val="none"/>
              </w:rPr>
            </w:pPr>
            <w:r>
              <w:rPr>
                <w:rFonts w:hint="eastAsia" w:ascii="宋体" w:hAnsi="宋体" w:cs="宋体"/>
                <w:color w:val="auto"/>
                <w:sz w:val="24"/>
                <w:szCs w:val="24"/>
                <w:highlight w:val="none"/>
              </w:rPr>
              <w:t>(500-100)*0.8%=3.20万元</w:t>
            </w:r>
          </w:p>
          <w:p w14:paraId="6EB72EBC">
            <w:pPr>
              <w:keepNext w:val="0"/>
              <w:keepLines w:val="0"/>
              <w:suppressLineNumbers w:val="0"/>
              <w:spacing w:before="0" w:beforeAutospacing="0" w:after="0" w:afterAutospacing="0" w:line="360" w:lineRule="auto"/>
              <w:ind w:left="0" w:right="0"/>
              <w:rPr>
                <w:rFonts w:ascii="宋体" w:hAnsi="宋体" w:cs="宋体"/>
                <w:color w:val="auto"/>
                <w:sz w:val="24"/>
                <w:szCs w:val="24"/>
                <w:highlight w:val="none"/>
              </w:rPr>
            </w:pPr>
            <w:r>
              <w:rPr>
                <w:rFonts w:hint="eastAsia" w:ascii="宋体" w:hAnsi="宋体" w:cs="宋体"/>
                <w:color w:val="auto"/>
                <w:sz w:val="24"/>
                <w:szCs w:val="24"/>
                <w:highlight w:val="none"/>
              </w:rPr>
              <w:t>(678.2-500)*0.45%=0.8019万元</w:t>
            </w:r>
          </w:p>
          <w:p w14:paraId="4C41ED78">
            <w:pPr>
              <w:keepNext w:val="0"/>
              <w:keepLines w:val="0"/>
              <w:suppressLineNumbers w:val="0"/>
              <w:spacing w:before="0" w:beforeAutospacing="0" w:after="0" w:afterAutospacing="0" w:line="360" w:lineRule="auto"/>
              <w:ind w:left="0" w:right="0"/>
              <w:rPr>
                <w:rFonts w:ascii="宋体" w:hAnsi="宋体" w:cs="宋体"/>
                <w:color w:val="auto"/>
                <w:sz w:val="24"/>
                <w:szCs w:val="24"/>
                <w:highlight w:val="none"/>
              </w:rPr>
            </w:pPr>
            <w:r>
              <w:rPr>
                <w:rFonts w:hint="eastAsia" w:ascii="宋体" w:hAnsi="宋体" w:cs="宋体"/>
                <w:color w:val="auto"/>
                <w:sz w:val="24"/>
                <w:szCs w:val="24"/>
                <w:highlight w:val="none"/>
              </w:rPr>
              <w:t>服务费=1.50+3.20+0.8019=5.5019万元。</w:t>
            </w:r>
          </w:p>
          <w:p w14:paraId="6BB946B0">
            <w:pPr>
              <w:numPr>
                <w:ilvl w:val="0"/>
                <w:numId w:val="0"/>
              </w:numPr>
              <w:spacing w:line="360" w:lineRule="auto"/>
              <w:ind w:firstLine="480" w:firstLineChars="200"/>
              <w:rPr>
                <w:rFonts w:hint="default" w:asciiTheme="majorEastAsia" w:hAnsiTheme="majorEastAsia" w:eastAsiaTheme="majorEastAsia" w:cstheme="majorEastAsia"/>
                <w:color w:val="auto"/>
                <w:sz w:val="24"/>
                <w:highlight w:val="none"/>
                <w:lang w:val="en-US" w:eastAsia="zh-CN"/>
              </w:rPr>
            </w:pPr>
            <w:r>
              <w:rPr>
                <w:rFonts w:hint="eastAsia" w:ascii="宋体" w:hAnsi="宋体" w:cs="宋体"/>
                <w:color w:val="auto"/>
                <w:sz w:val="24"/>
                <w:szCs w:val="24"/>
                <w:highlight w:val="none"/>
              </w:rPr>
              <w:t>本项目项目属性：服务招标。</w:t>
            </w:r>
          </w:p>
        </w:tc>
      </w:tr>
      <w:tr w14:paraId="41CB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18" w:type="dxa"/>
            <w:vAlign w:val="center"/>
          </w:tcPr>
          <w:p w14:paraId="646DE4CE">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27</w:t>
            </w:r>
          </w:p>
        </w:tc>
        <w:tc>
          <w:tcPr>
            <w:tcW w:w="1907" w:type="dxa"/>
            <w:vAlign w:val="center"/>
          </w:tcPr>
          <w:p w14:paraId="4548F909">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关于自主上报信用承诺书说明</w:t>
            </w:r>
          </w:p>
        </w:tc>
        <w:tc>
          <w:tcPr>
            <w:tcW w:w="7014" w:type="dxa"/>
            <w:vAlign w:val="center"/>
          </w:tcPr>
          <w:p w14:paraId="2CD8A58B">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所有投标人按照《榆林市公共资源交易中心关于公共资源交易信用承诺网上公示的通知》（榆交易函〔2021〕19号）文件要求，于投标文件提交截止时间前自主申报信用承诺，具体操作流程详见招标文件附件1。自主上报信用承诺书具体要求事项如下：</w:t>
            </w:r>
          </w:p>
          <w:p w14:paraId="167F81FB">
            <w:pPr>
              <w:spacing w:line="360" w:lineRule="auto"/>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color w:val="auto"/>
                <w:sz w:val="24"/>
                <w:highlight w:val="none"/>
              </w:rPr>
              <w:t>1.承诺事项名称：选择《榆林市政府采购工程类/货物类/服务类项目供应商信用承诺书》；承诺事由：“填写项目名称+项目编号”；承诺附件：按招标文件第七章给定的格式填写，需上传至承诺附件；受理部门为榆林市财政局采购科；附件承诺有效期为1年，承诺起始时间为提交投标文件截止之日。</w:t>
            </w:r>
          </w:p>
          <w:p w14:paraId="7506C43A">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承诺事项名称：选择《投标人信用承诺》；承诺事由：填写“公共资源交易平台所有活动”；承诺附件：按招标文件第七章给定的格式填写，需上传至承诺附件；受理部门为榆林市公共资源交易中心；承诺有效期</w:t>
            </w:r>
            <w:r>
              <w:rPr>
                <w:rFonts w:hint="eastAsia" w:asciiTheme="majorEastAsia" w:hAnsiTheme="majorEastAsia" w:eastAsiaTheme="majorEastAsia" w:cstheme="majorEastAsia"/>
                <w:color w:val="auto"/>
                <w:sz w:val="24"/>
                <w:highlight w:val="none"/>
                <w:lang w:eastAsia="zh-CN"/>
              </w:rPr>
              <w:t>为</w:t>
            </w:r>
            <w:r>
              <w:rPr>
                <w:rFonts w:hint="eastAsia" w:asciiTheme="majorEastAsia" w:hAnsiTheme="majorEastAsia" w:eastAsiaTheme="majorEastAsia" w:cstheme="majorEastAsia"/>
                <w:color w:val="auto"/>
                <w:sz w:val="24"/>
                <w:highlight w:val="none"/>
                <w:lang w:val="en-US" w:eastAsia="zh-CN"/>
              </w:rPr>
              <w:t>1年</w:t>
            </w:r>
            <w:r>
              <w:rPr>
                <w:rFonts w:hint="eastAsia" w:asciiTheme="majorEastAsia" w:hAnsiTheme="majorEastAsia" w:eastAsiaTheme="majorEastAsia" w:cstheme="majorEastAsia"/>
                <w:color w:val="auto"/>
                <w:sz w:val="24"/>
                <w:highlight w:val="none"/>
              </w:rPr>
              <w:t>，承诺起始时间为提交投标文件截止之日。</w:t>
            </w:r>
          </w:p>
          <w:p w14:paraId="60CB430B">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 承诺事项名称：选择《投标信用(保证金）承诺书》；承诺事由：填写“公共资源交易平台所有活动”；承诺附件：按招标文件第七章给定的格式填写，需上传至承诺附件；受理部门为榆林市公共资源交易中心；承诺有效期同投标有效期，承诺起始时间为提交投标文件截止之日。</w:t>
            </w:r>
          </w:p>
          <w:p w14:paraId="781386C7">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承诺事项名称：《投标人委托代理人员信用承诺书》；承诺事由：填写“公共资源交易平台所有活动”；承诺附件：按招标文件第七章给定的格式填写，需上传至承诺附件；受理部门为榆林市公共资源交易中心；承诺有效期</w:t>
            </w:r>
            <w:r>
              <w:rPr>
                <w:rFonts w:hint="eastAsia" w:asciiTheme="majorEastAsia" w:hAnsiTheme="majorEastAsia" w:eastAsiaTheme="majorEastAsia" w:cstheme="majorEastAsia"/>
                <w:color w:val="auto"/>
                <w:sz w:val="24"/>
                <w:highlight w:val="none"/>
                <w:lang w:eastAsia="zh-CN"/>
              </w:rPr>
              <w:t>为</w:t>
            </w:r>
            <w:r>
              <w:rPr>
                <w:rFonts w:hint="eastAsia" w:asciiTheme="majorEastAsia" w:hAnsiTheme="majorEastAsia" w:eastAsiaTheme="majorEastAsia" w:cstheme="majorEastAsia"/>
                <w:color w:val="auto"/>
                <w:sz w:val="24"/>
                <w:highlight w:val="none"/>
                <w:lang w:val="en-US" w:eastAsia="zh-CN"/>
              </w:rPr>
              <w:t>1年</w:t>
            </w:r>
            <w:r>
              <w:rPr>
                <w:rFonts w:hint="eastAsia" w:asciiTheme="majorEastAsia" w:hAnsiTheme="majorEastAsia" w:eastAsiaTheme="majorEastAsia" w:cstheme="majorEastAsia"/>
                <w:color w:val="auto"/>
                <w:sz w:val="24"/>
                <w:highlight w:val="none"/>
              </w:rPr>
              <w:t>，承诺起始时间为提交投标文件截止之日。</w:t>
            </w:r>
          </w:p>
          <w:p w14:paraId="01F6406A">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注：①法定代表人直接参与投标的无须上报和提供《投标人委托代理人员信用承诺书》。</w:t>
            </w:r>
          </w:p>
          <w:p w14:paraId="53B350F8">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②不见面开标结束后由采购代理机构通过平台进行核实查验，未按上述要求在“信用中国（陕西榆林）”网站进行自主上报信用承诺或投标文件中所附内容与上报内容不符的将否决投标。</w:t>
            </w:r>
          </w:p>
        </w:tc>
      </w:tr>
      <w:tr w14:paraId="5FB12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18" w:type="dxa"/>
            <w:vAlign w:val="center"/>
          </w:tcPr>
          <w:p w14:paraId="0B3C8154">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28</w:t>
            </w:r>
          </w:p>
        </w:tc>
        <w:tc>
          <w:tcPr>
            <w:tcW w:w="1907" w:type="dxa"/>
            <w:vAlign w:val="center"/>
          </w:tcPr>
          <w:p w14:paraId="23780AE8">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关于中小企业执行的优惠政策说明</w:t>
            </w:r>
          </w:p>
        </w:tc>
        <w:tc>
          <w:tcPr>
            <w:tcW w:w="7014" w:type="dxa"/>
            <w:vAlign w:val="center"/>
          </w:tcPr>
          <w:p w14:paraId="417B3989">
            <w:pPr>
              <w:pStyle w:val="23"/>
              <w:spacing w:after="0" w:line="360" w:lineRule="auto"/>
              <w:ind w:firstLine="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sym w:font="Wingdings" w:char="00FE"/>
            </w:r>
            <w:r>
              <w:rPr>
                <w:rFonts w:hint="eastAsia" w:asciiTheme="majorEastAsia" w:hAnsiTheme="majorEastAsia" w:eastAsiaTheme="majorEastAsia" w:cstheme="majorEastAsia"/>
                <w:color w:val="auto"/>
                <w:sz w:val="24"/>
                <w:highlight w:val="none"/>
              </w:rPr>
              <w:t>专门面向中小企业采购项目。</w:t>
            </w:r>
          </w:p>
          <w:p w14:paraId="5EA06AA8">
            <w:pPr>
              <w:pStyle w:val="24"/>
              <w:rPr>
                <w:rFonts w:hint="default" w:eastAsiaTheme="majorEastAsia"/>
                <w:color w:val="auto"/>
                <w:highlight w:val="none"/>
                <w:lang w:val="en-US" w:eastAsia="zh-CN"/>
              </w:rPr>
            </w:pPr>
            <w:r>
              <w:rPr>
                <w:rFonts w:hint="eastAsia" w:asciiTheme="majorEastAsia" w:hAnsiTheme="majorEastAsia" w:eastAsiaTheme="majorEastAsia" w:cstheme="majorEastAsia"/>
                <w:color w:val="auto"/>
                <w:sz w:val="24"/>
                <w:highlight w:val="none"/>
                <w:lang w:val="en-US" w:eastAsia="zh-CN"/>
              </w:rPr>
              <w:t>本项目专门面向中小企业采购。</w:t>
            </w:r>
          </w:p>
          <w:p w14:paraId="74AA61D3">
            <w:pPr>
              <w:pStyle w:val="23"/>
              <w:spacing w:after="0" w:line="360" w:lineRule="auto"/>
              <w:ind w:firstLine="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sym w:font="Wingdings" w:char="00A8"/>
            </w:r>
            <w:r>
              <w:rPr>
                <w:rFonts w:hint="eastAsia" w:asciiTheme="majorEastAsia" w:hAnsiTheme="majorEastAsia" w:eastAsiaTheme="majorEastAsia" w:cstheme="majorEastAsia"/>
                <w:color w:val="auto"/>
                <w:sz w:val="24"/>
                <w:highlight w:val="none"/>
              </w:rPr>
              <w:t>非专门面向中小企业采购项目(价格扣除)：用扣除后的价格参与评审。小微企业的价格扣除比例为20%。</w:t>
            </w:r>
          </w:p>
          <w:p w14:paraId="6A88A138">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各行业划分标准具体为</w:t>
            </w:r>
            <w:r>
              <w:rPr>
                <w:rFonts w:hint="eastAsia" w:ascii="宋体" w:hAnsi="宋体" w:eastAsia="宋体" w:cs="宋体"/>
                <w:color w:val="auto"/>
                <w:sz w:val="24"/>
                <w:szCs w:val="24"/>
                <w:highlight w:val="none"/>
                <w:lang w:eastAsia="zh-CN"/>
              </w:rPr>
              <w:t>：</w:t>
            </w:r>
          </w:p>
          <w:p w14:paraId="3CA5DD2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1、农、林、牧、渔业。营业收入20000万元以下的为中小微型企业。其中，营业收入500万元及以上的为中型企业,营业收入50万元及以上的为小型企业，营业收入50万元以下的为微型企业。　　</w:t>
            </w:r>
          </w:p>
          <w:p w14:paraId="6890FFB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289E5CE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3A60729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3EE4DBA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582BD1E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229BDC9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3A343A5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764AFCA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2FEAC420">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w:t>
            </w:r>
            <w:r>
              <w:rPr>
                <w:rFonts w:hint="eastAsia" w:ascii="宋体" w:hAnsi="宋体" w:eastAsia="宋体" w:cs="宋体"/>
                <w:b w:val="0"/>
                <w:bCs w:val="0"/>
                <w:color w:val="auto"/>
                <w:sz w:val="24"/>
                <w:szCs w:val="24"/>
                <w:highlight w:val="none"/>
              </w:rPr>
              <w:t>入100万元以下的为微型企业。　　</w:t>
            </w:r>
          </w:p>
          <w:p w14:paraId="0D1D58D9">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2F08001C">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E953C1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13、房地产开发经营。营业收入200000万元以下或资产</w:t>
            </w:r>
            <w:r>
              <w:rPr>
                <w:rFonts w:hint="eastAsia" w:ascii="宋体" w:hAnsi="宋体" w:eastAsia="宋体" w:cs="宋体"/>
                <w:color w:val="auto"/>
                <w:sz w:val="24"/>
                <w:szCs w:val="24"/>
                <w:highlight w:val="none"/>
              </w:rPr>
              <w:t>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15CA8FA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43E23AB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2BD39809">
            <w:pPr>
              <w:spacing w:line="360" w:lineRule="auto"/>
              <w:jc w:val="left"/>
              <w:rPr>
                <w:rFonts w:hint="eastAsia" w:ascii="宋体" w:hAnsi="宋体" w:eastAsia="宋体" w:cs="宋体"/>
                <w:b/>
                <w:bCs/>
                <w:color w:val="auto"/>
                <w:highlight w:val="none"/>
                <w:lang w:val="en-US" w:eastAsia="zh-CN"/>
              </w:rPr>
            </w:pPr>
            <w:r>
              <w:rPr>
                <w:rFonts w:hint="eastAsia" w:ascii="宋体" w:hAnsi="宋体" w:eastAsia="宋体" w:cs="宋体"/>
                <w:b/>
                <w:bCs/>
                <w:color w:val="auto"/>
                <w:sz w:val="24"/>
                <w:szCs w:val="24"/>
                <w:highlight w:val="none"/>
                <w:lang w:val="en-US" w:eastAsia="zh-CN"/>
              </w:rPr>
              <w:t>16、其他未列明行业</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从业人员300人以下的为中小微型企业。其中，从业人员100人及以上的为中型企业;从业人员10人及以上的为小型企业；从业人员10人以下的为微型企业。</w:t>
            </w:r>
          </w:p>
          <w:p w14:paraId="22C676A6">
            <w:pPr>
              <w:pStyle w:val="23"/>
              <w:spacing w:after="0" w:line="360" w:lineRule="auto"/>
              <w:ind w:firstLine="482" w:firstLineChars="200"/>
              <w:rPr>
                <w:rFonts w:hint="eastAsia" w:eastAsia="宋体"/>
                <w:color w:val="auto"/>
                <w:highlight w:val="none"/>
                <w:lang w:eastAsia="zh-CN"/>
              </w:rPr>
            </w:pPr>
            <w:r>
              <w:rPr>
                <w:rFonts w:hint="eastAsia" w:ascii="宋体" w:hAnsi="宋体" w:eastAsia="宋体" w:cs="宋体"/>
                <w:b/>
                <w:bCs/>
                <w:color w:val="auto"/>
                <w:sz w:val="24"/>
                <w:szCs w:val="24"/>
                <w:highlight w:val="none"/>
              </w:rPr>
              <w:t>本项目</w:t>
            </w:r>
            <w:r>
              <w:rPr>
                <w:rFonts w:hint="eastAsia" w:ascii="宋体" w:hAnsi="宋体" w:eastAsia="宋体" w:cs="宋体"/>
                <w:b/>
                <w:bCs/>
                <w:color w:val="auto"/>
                <w:sz w:val="24"/>
                <w:szCs w:val="24"/>
                <w:highlight w:val="none"/>
                <w:lang w:val="en-US" w:eastAsia="zh-CN"/>
              </w:rPr>
              <w:t>采购标的对应的中小企业划分标准所属行业：其他未列明行业</w:t>
            </w:r>
            <w:r>
              <w:rPr>
                <w:rFonts w:hint="eastAsia" w:ascii="宋体" w:hAnsi="宋体" w:eastAsia="宋体" w:cs="宋体"/>
                <w:b/>
                <w:bCs/>
                <w:color w:val="auto"/>
                <w:sz w:val="24"/>
                <w:highlight w:val="none"/>
                <w:lang w:eastAsia="zh-CN"/>
              </w:rPr>
              <w:t>。</w:t>
            </w:r>
          </w:p>
        </w:tc>
      </w:tr>
      <w:tr w14:paraId="3742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818" w:type="dxa"/>
            <w:vAlign w:val="center"/>
          </w:tcPr>
          <w:p w14:paraId="281740E5">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29</w:t>
            </w:r>
          </w:p>
        </w:tc>
        <w:tc>
          <w:tcPr>
            <w:tcW w:w="1907" w:type="dxa"/>
            <w:vAlign w:val="center"/>
          </w:tcPr>
          <w:p w14:paraId="5F793E47">
            <w:pPr>
              <w:pStyle w:val="17"/>
              <w:snapToGrid/>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合同价款形式</w:t>
            </w:r>
          </w:p>
        </w:tc>
        <w:tc>
          <w:tcPr>
            <w:tcW w:w="7014" w:type="dxa"/>
            <w:vAlign w:val="center"/>
          </w:tcPr>
          <w:p w14:paraId="067276D0">
            <w:pPr>
              <w:pStyle w:val="17"/>
              <w:snapToGrid/>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本采购项目签订固定总价合同。</w:t>
            </w:r>
          </w:p>
        </w:tc>
      </w:tr>
      <w:tr w14:paraId="396B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818" w:type="dxa"/>
            <w:vAlign w:val="center"/>
          </w:tcPr>
          <w:p w14:paraId="5CA2CD1D">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30</w:t>
            </w:r>
          </w:p>
        </w:tc>
        <w:tc>
          <w:tcPr>
            <w:tcW w:w="1907" w:type="dxa"/>
            <w:vAlign w:val="center"/>
          </w:tcPr>
          <w:p w14:paraId="2F16BACC">
            <w:pPr>
              <w:pStyle w:val="17"/>
              <w:snapToGrid/>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其他</w:t>
            </w:r>
          </w:p>
        </w:tc>
        <w:tc>
          <w:tcPr>
            <w:tcW w:w="7014" w:type="dxa"/>
            <w:vAlign w:val="center"/>
          </w:tcPr>
          <w:p w14:paraId="0A71FE94">
            <w:pPr>
              <w:spacing w:line="360" w:lineRule="auto"/>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招标文件与媒体发布的采购公告不一致时，以采购公告为准；正文与投标人须知前附表表述不一致时，以投标人须知前附表为准。</w:t>
            </w:r>
          </w:p>
        </w:tc>
      </w:tr>
    </w:tbl>
    <w:p w14:paraId="197870C1">
      <w:pPr>
        <w:jc w:val="center"/>
        <w:rPr>
          <w:rFonts w:asciiTheme="majorEastAsia" w:hAnsiTheme="majorEastAsia" w:eastAsiaTheme="majorEastAsia" w:cstheme="majorEastAsia"/>
          <w:b/>
          <w:color w:val="auto"/>
          <w:sz w:val="30"/>
          <w:szCs w:val="30"/>
          <w:highlight w:val="none"/>
        </w:rPr>
      </w:pPr>
    </w:p>
    <w:p w14:paraId="3BD21040">
      <w:pPr>
        <w:jc w:val="center"/>
        <w:outlineLvl w:val="0"/>
        <w:rPr>
          <w:rFonts w:asciiTheme="majorEastAsia" w:hAnsiTheme="majorEastAsia" w:eastAsiaTheme="majorEastAsia" w:cstheme="majorEastAsia"/>
          <w:b/>
          <w:color w:val="auto"/>
          <w:sz w:val="30"/>
          <w:szCs w:val="30"/>
          <w:highlight w:val="none"/>
        </w:rPr>
        <w:sectPr>
          <w:headerReference r:id="rId7" w:type="default"/>
          <w:footerReference r:id="rId8" w:type="default"/>
          <w:pgSz w:w="11900" w:h="16838"/>
          <w:pgMar w:top="1429" w:right="1417" w:bottom="1417" w:left="1417" w:header="850" w:footer="850" w:gutter="0"/>
          <w:pgNumType w:fmt="decimal"/>
          <w:cols w:space="720" w:num="1"/>
          <w:docGrid w:linePitch="326" w:charSpace="0"/>
        </w:sectPr>
      </w:pPr>
    </w:p>
    <w:p w14:paraId="4EB4D435">
      <w:pPr>
        <w:pStyle w:val="2"/>
        <w:bidi w:val="0"/>
        <w:jc w:val="center"/>
        <w:rPr>
          <w:rFonts w:asciiTheme="majorEastAsia" w:hAnsiTheme="majorEastAsia" w:eastAsiaTheme="majorEastAsia" w:cstheme="majorEastAsia"/>
          <w:b/>
          <w:color w:val="auto"/>
          <w:szCs w:val="30"/>
          <w:highlight w:val="none"/>
        </w:rPr>
      </w:pPr>
      <w:bookmarkStart w:id="28" w:name="_Toc5220"/>
      <w:bookmarkStart w:id="29" w:name="_Toc27150"/>
      <w:r>
        <w:rPr>
          <w:rFonts w:hint="eastAsia"/>
          <w:color w:val="auto"/>
          <w:sz w:val="32"/>
          <w:szCs w:val="32"/>
          <w:highlight w:val="none"/>
        </w:rPr>
        <w:t>第三章  投标须知</w:t>
      </w:r>
      <w:bookmarkEnd w:id="28"/>
      <w:bookmarkEnd w:id="29"/>
    </w:p>
    <w:p w14:paraId="6C321E87">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一、总  则</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46B94A37">
      <w:pPr>
        <w:spacing w:line="360" w:lineRule="auto"/>
        <w:ind w:firstLine="470" w:firstLineChars="196"/>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本次招标依据《中华人民共和国政府采购法》、《政府采购货物和服务招标投标管理办法》、及国家现行有关法律法规执行。</w:t>
      </w:r>
    </w:p>
    <w:p w14:paraId="612D00CB">
      <w:pPr>
        <w:spacing w:line="360" w:lineRule="auto"/>
        <w:ind w:firstLine="472" w:firstLineChars="196"/>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1．采购人、采购代理机构、监督管理机构</w:t>
      </w:r>
    </w:p>
    <w:p w14:paraId="36F047F5">
      <w:pPr>
        <w:spacing w:line="360" w:lineRule="auto"/>
        <w:ind w:firstLine="470" w:firstLineChars="196"/>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1.1 采   购   人：</w:t>
      </w:r>
      <w:r>
        <w:rPr>
          <w:rFonts w:hint="eastAsia" w:asciiTheme="majorEastAsia" w:hAnsiTheme="majorEastAsia" w:eastAsiaTheme="majorEastAsia" w:cstheme="majorEastAsia"/>
          <w:color w:val="auto"/>
          <w:sz w:val="24"/>
          <w:highlight w:val="none"/>
          <w:lang w:eastAsia="zh-CN"/>
        </w:rPr>
        <w:t>清涧县地质环境监测站</w:t>
      </w:r>
    </w:p>
    <w:p w14:paraId="4D8B8A4B">
      <w:pPr>
        <w:spacing w:line="360" w:lineRule="auto"/>
        <w:ind w:firstLine="470" w:firstLineChars="196"/>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1.2 采购代理机构：</w:t>
      </w:r>
      <w:r>
        <w:rPr>
          <w:rFonts w:hint="eastAsia" w:asciiTheme="majorEastAsia" w:hAnsiTheme="majorEastAsia" w:eastAsiaTheme="majorEastAsia" w:cstheme="majorEastAsia"/>
          <w:color w:val="auto"/>
          <w:sz w:val="24"/>
          <w:highlight w:val="none"/>
          <w:lang w:eastAsia="zh-CN"/>
        </w:rPr>
        <w:t>陕安项目管理有限公司</w:t>
      </w:r>
    </w:p>
    <w:p w14:paraId="21CFF261">
      <w:pPr>
        <w:spacing w:line="360" w:lineRule="auto"/>
        <w:ind w:firstLine="470" w:firstLineChars="196"/>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1.3 监督管理机构：</w:t>
      </w:r>
      <w:r>
        <w:rPr>
          <w:rFonts w:hint="eastAsia" w:asciiTheme="majorEastAsia" w:hAnsiTheme="majorEastAsia" w:eastAsiaTheme="majorEastAsia" w:cstheme="majorEastAsia"/>
          <w:color w:val="auto"/>
          <w:sz w:val="24"/>
          <w:highlight w:val="none"/>
          <w:lang w:val="en-US" w:eastAsia="zh-CN"/>
        </w:rPr>
        <w:t>清涧县</w:t>
      </w:r>
      <w:r>
        <w:rPr>
          <w:rFonts w:hint="eastAsia" w:asciiTheme="majorEastAsia" w:hAnsiTheme="majorEastAsia" w:eastAsiaTheme="majorEastAsia" w:cstheme="majorEastAsia"/>
          <w:color w:val="auto"/>
          <w:sz w:val="24"/>
          <w:highlight w:val="none"/>
        </w:rPr>
        <w:t>财政局</w:t>
      </w:r>
    </w:p>
    <w:p w14:paraId="47F9C525">
      <w:pPr>
        <w:spacing w:line="360" w:lineRule="auto"/>
        <w:ind w:firstLine="472" w:firstLineChars="196"/>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bCs/>
          <w:color w:val="auto"/>
          <w:sz w:val="24"/>
          <w:highlight w:val="none"/>
        </w:rPr>
        <w:t>2．合格的投标人、合格的服务</w:t>
      </w:r>
    </w:p>
    <w:p w14:paraId="4B8D269B">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2.1 合格的投标人</w:t>
      </w:r>
    </w:p>
    <w:p w14:paraId="2E36EB11">
      <w:pPr>
        <w:spacing w:line="360" w:lineRule="auto"/>
        <w:ind w:firstLine="470" w:firstLineChars="196"/>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2.1.1 资质要求：</w:t>
      </w:r>
    </w:p>
    <w:p w14:paraId="0A96A319">
      <w:pPr>
        <w:spacing w:line="360" w:lineRule="auto"/>
        <w:ind w:firstLine="42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1、符合《中华人民共和国政府采购法》第二十二条的规定；</w:t>
      </w:r>
    </w:p>
    <w:p w14:paraId="597F5389">
      <w:pPr>
        <w:pStyle w:val="22"/>
        <w:spacing w:line="360" w:lineRule="auto"/>
        <w:ind w:firstLine="420"/>
        <w:rPr>
          <w:rFonts w:asciiTheme="majorEastAsia" w:hAnsiTheme="majorEastAsia" w:eastAsiaTheme="majorEastAsia" w:cstheme="majorEastAsia"/>
          <w:bCs/>
          <w:color w:val="auto"/>
          <w:highlight w:val="none"/>
        </w:rPr>
      </w:pPr>
      <w:r>
        <w:rPr>
          <w:rFonts w:hint="eastAsia" w:asciiTheme="majorEastAsia" w:hAnsiTheme="majorEastAsia" w:eastAsiaTheme="majorEastAsia" w:cstheme="majorEastAsia"/>
          <w:bCs/>
          <w:color w:val="auto"/>
          <w:highlight w:val="none"/>
        </w:rPr>
        <w:t>2、落实政府采购政策需满足的资格要求：详见招标公告</w:t>
      </w:r>
    </w:p>
    <w:p w14:paraId="036BA856">
      <w:pPr>
        <w:pStyle w:val="22"/>
        <w:spacing w:line="360" w:lineRule="auto"/>
        <w:ind w:firstLine="420"/>
        <w:rPr>
          <w:rFonts w:asciiTheme="majorEastAsia" w:hAnsiTheme="majorEastAsia" w:eastAsiaTheme="majorEastAsia" w:cstheme="majorEastAsia"/>
          <w:bCs/>
          <w:color w:val="auto"/>
          <w:highlight w:val="none"/>
        </w:rPr>
      </w:pPr>
      <w:r>
        <w:rPr>
          <w:rFonts w:hint="eastAsia" w:asciiTheme="majorEastAsia" w:hAnsiTheme="majorEastAsia" w:eastAsiaTheme="majorEastAsia" w:cstheme="majorEastAsia"/>
          <w:bCs/>
          <w:color w:val="auto"/>
          <w:highlight w:val="none"/>
        </w:rPr>
        <w:t>3、本项目的特定资格要求：详见招标公告</w:t>
      </w:r>
    </w:p>
    <w:p w14:paraId="19EDC41D">
      <w:pPr>
        <w:pStyle w:val="10"/>
        <w:spacing w:after="0" w:line="360" w:lineRule="auto"/>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 xml:space="preserve"> 2.1.1.2 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7F23410C">
      <w:pPr>
        <w:pStyle w:val="10"/>
        <w:spacing w:after="0"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2.1.2 本项目不接受联合体投标。</w:t>
      </w:r>
    </w:p>
    <w:p w14:paraId="7B76944F">
      <w:pPr>
        <w:spacing w:line="360" w:lineRule="auto"/>
        <w:ind w:firstLine="472" w:firstLineChars="196"/>
        <w:rPr>
          <w:rFonts w:asciiTheme="majorEastAsia" w:hAnsiTheme="majorEastAsia" w:eastAsiaTheme="majorEastAsia" w:cstheme="majorEastAsia"/>
          <w:b/>
          <w:color w:val="auto"/>
          <w:sz w:val="24"/>
          <w:highlight w:val="none"/>
        </w:rPr>
      </w:pPr>
      <w:bookmarkStart w:id="30" w:name="_Toc167591317"/>
      <w:bookmarkStart w:id="31" w:name="_Toc245657540"/>
      <w:bookmarkStart w:id="32" w:name="_Toc208337151"/>
      <w:bookmarkStart w:id="33" w:name="_Toc167590762"/>
      <w:bookmarkStart w:id="34" w:name="_Toc169838519"/>
      <w:bookmarkStart w:id="35" w:name="_Toc245658521"/>
      <w:bookmarkStart w:id="36" w:name="_Toc170980441"/>
      <w:bookmarkStart w:id="37" w:name="_Toc167591030"/>
      <w:bookmarkStart w:id="38" w:name="_Toc169846763"/>
      <w:bookmarkStart w:id="39" w:name="_Toc173549965"/>
      <w:bookmarkStart w:id="40" w:name="_Toc207897903"/>
      <w:bookmarkStart w:id="41" w:name="_Toc175032424"/>
      <w:bookmarkStart w:id="42" w:name="_Toc154482466"/>
      <w:bookmarkStart w:id="43" w:name="_Toc167849347"/>
      <w:bookmarkStart w:id="44" w:name="_Toc170980539"/>
      <w:bookmarkStart w:id="45" w:name="_Toc167591479"/>
      <w:bookmarkStart w:id="46" w:name="_Toc169846860"/>
      <w:bookmarkStart w:id="47" w:name="_Toc175033579"/>
      <w:bookmarkStart w:id="48" w:name="_Toc167591131"/>
      <w:bookmarkStart w:id="49" w:name="_Toc245176652"/>
      <w:bookmarkStart w:id="50" w:name="_Toc244623578"/>
      <w:r>
        <w:rPr>
          <w:rFonts w:hint="eastAsia" w:asciiTheme="majorEastAsia" w:hAnsiTheme="majorEastAsia" w:eastAsiaTheme="majorEastAsia" w:cstheme="majorEastAsia"/>
          <w:b/>
          <w:color w:val="auto"/>
          <w:sz w:val="24"/>
          <w:highlight w:val="none"/>
        </w:rPr>
        <w:t>2.2 合格的服务</w:t>
      </w:r>
    </w:p>
    <w:p w14:paraId="075B7F3A">
      <w:pPr>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投标人提供的服务必须完全响应本招标文件的所有实质性要求，符合国家、行业及项目所在地现行有效的相关规范、规程、标准、强制性条文及相关政策规定。</w:t>
      </w:r>
    </w:p>
    <w:p w14:paraId="53437530">
      <w:pPr>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服务内容、成果深度、工作进度、服务质量、项目人员、交付成果、后续技术配合等不得存在任何负偏差；存在正偏差且不影响采购人权益的，可接受。</w:t>
      </w:r>
    </w:p>
    <w:p w14:paraId="0189A806">
      <w:pPr>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服务必须满足本项目的功能需求、规划要求、安全要求、环保要求、经济合理性及可实施性。</w:t>
      </w:r>
    </w:p>
    <w:p w14:paraId="6132F62B">
      <w:pPr>
        <w:bidi w:val="0"/>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宋体" w:hAnsi="宋体" w:eastAsia="宋体" w:cs="宋体"/>
          <w:color w:val="auto"/>
          <w:sz w:val="24"/>
          <w:szCs w:val="24"/>
          <w:highlight w:val="none"/>
        </w:rPr>
        <w:t>2.2.4 投标人应确保服务成果合法合规、完整准确、经济适用、技术可行、便于实施与后期运维，按合同约定承担成果质量责任，做好成果交底、答疑、修改完善、验收配合等全周期技术保障工作。</w:t>
      </w:r>
    </w:p>
    <w:p w14:paraId="3EA1849F">
      <w:pPr>
        <w:spacing w:line="360" w:lineRule="auto"/>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auto"/>
          <w:sz w:val="24"/>
          <w:highlight w:val="none"/>
        </w:rPr>
        <w:t>3．投标费用</w:t>
      </w:r>
    </w:p>
    <w:p w14:paraId="42520F6E">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3.1</w:t>
      </w:r>
      <w:r>
        <w:rPr>
          <w:rFonts w:asciiTheme="majorEastAsia" w:hAnsiTheme="majorEastAsia" w:eastAsiaTheme="majorEastAsia" w:cstheme="majorEastAsia"/>
          <w:color w:val="auto"/>
          <w:sz w:val="24"/>
          <w:highlight w:val="none"/>
        </w:rPr>
        <w:t>投标报价为投标人响应本采购项目全部工作内容的价格体现，包括完成本项目服务所需的直接费、间接费、管理费、利润、税金、差旅、现场踏勘、资料收集、后续技术服务及其他所有</w:t>
      </w:r>
      <w:r>
        <w:rPr>
          <w:rFonts w:ascii="宋体" w:hAnsi="宋体" w:eastAsia="宋体" w:cs="宋体"/>
          <w:color w:val="auto"/>
          <w:sz w:val="24"/>
          <w:szCs w:val="24"/>
          <w:highlight w:val="none"/>
        </w:rPr>
        <w:t>一切相关费用</w:t>
      </w:r>
      <w:r>
        <w:rPr>
          <w:rFonts w:asciiTheme="majorEastAsia" w:hAnsiTheme="majorEastAsia" w:eastAsiaTheme="majorEastAsia" w:cstheme="majorEastAsia"/>
          <w:color w:val="auto"/>
          <w:sz w:val="24"/>
          <w:highlight w:val="none"/>
        </w:rPr>
        <w:t>。</w:t>
      </w:r>
    </w:p>
    <w:p w14:paraId="6222A1C8">
      <w:pPr>
        <w:spacing w:line="360" w:lineRule="auto"/>
        <w:ind w:firstLine="480" w:firstLineChars="200"/>
        <w:rPr>
          <w:rFonts w:asciiTheme="majorEastAsia" w:hAnsiTheme="majorEastAsia" w:eastAsiaTheme="majorEastAsia" w:cstheme="majorEastAsia"/>
          <w:color w:val="auto"/>
          <w:sz w:val="24"/>
          <w:highlight w:val="none"/>
        </w:rPr>
      </w:pPr>
      <w:r>
        <w:rPr>
          <w:rFonts w:ascii="宋体" w:hAnsi="宋体" w:eastAsia="宋体" w:cs="宋体"/>
          <w:color w:val="auto"/>
          <w:sz w:val="24"/>
          <w:szCs w:val="24"/>
          <w:highlight w:val="none"/>
        </w:rPr>
        <w:t>3.2 无论投标结果如何，采购人和采购代理机构均无义务和责任承担、补偿投标人发生的任何投标费用。</w:t>
      </w:r>
    </w:p>
    <w:p w14:paraId="55686BA4">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二、招标文件</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3C206CDE">
      <w:pPr>
        <w:spacing w:line="360" w:lineRule="auto"/>
        <w:ind w:firstLine="482"/>
        <w:rPr>
          <w:rFonts w:asciiTheme="majorEastAsia" w:hAnsiTheme="majorEastAsia" w:eastAsiaTheme="majorEastAsia" w:cstheme="majorEastAsia"/>
          <w:b/>
          <w:color w:val="auto"/>
          <w:kern w:val="1"/>
          <w:sz w:val="24"/>
          <w:highlight w:val="none"/>
        </w:rPr>
      </w:pPr>
      <w:bookmarkStart w:id="51" w:name="_Toc245657541"/>
      <w:bookmarkStart w:id="52" w:name="_Toc244623579"/>
      <w:bookmarkStart w:id="53" w:name="_Toc169838520"/>
      <w:bookmarkStart w:id="54" w:name="_Toc175032425"/>
      <w:bookmarkStart w:id="55" w:name="_Toc167591318"/>
      <w:bookmarkStart w:id="56" w:name="_Toc169846764"/>
      <w:bookmarkStart w:id="57" w:name="_Toc208337152"/>
      <w:bookmarkStart w:id="58" w:name="_Toc245658522"/>
      <w:bookmarkStart w:id="59" w:name="_Toc207897904"/>
      <w:bookmarkStart w:id="60" w:name="_Toc245176653"/>
      <w:bookmarkStart w:id="61" w:name="_Toc167849348"/>
      <w:bookmarkStart w:id="62" w:name="_Toc167591132"/>
      <w:bookmarkStart w:id="63" w:name="_Toc175033580"/>
      <w:bookmarkStart w:id="64" w:name="_Toc167591031"/>
      <w:bookmarkStart w:id="65" w:name="_Toc154482467"/>
      <w:bookmarkStart w:id="66" w:name="_Toc167591480"/>
      <w:bookmarkStart w:id="67" w:name="_Toc170980540"/>
      <w:bookmarkStart w:id="68" w:name="_Toc170980442"/>
      <w:bookmarkStart w:id="69" w:name="_Toc173549966"/>
      <w:bookmarkStart w:id="70" w:name="_Toc169846861"/>
      <w:bookmarkStart w:id="71" w:name="_Toc167590763"/>
      <w:r>
        <w:rPr>
          <w:rFonts w:hint="eastAsia" w:asciiTheme="majorEastAsia" w:hAnsiTheme="majorEastAsia" w:eastAsiaTheme="majorEastAsia" w:cstheme="majorEastAsia"/>
          <w:b/>
          <w:color w:val="auto"/>
          <w:kern w:val="1"/>
          <w:sz w:val="24"/>
          <w:highlight w:val="none"/>
        </w:rPr>
        <w:t>4．招标文件构成</w:t>
      </w:r>
    </w:p>
    <w:p w14:paraId="39FCF95B">
      <w:pPr>
        <w:spacing w:line="360" w:lineRule="auto"/>
        <w:ind w:firstLine="47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招标文件包括下列内容：</w:t>
      </w:r>
    </w:p>
    <w:p w14:paraId="7B857CE1">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第一章  招标公告</w:t>
      </w:r>
    </w:p>
    <w:p w14:paraId="4B08A212">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第二章  投标须知前附表</w:t>
      </w:r>
    </w:p>
    <w:p w14:paraId="055F77FE">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第三章  投标须知</w:t>
      </w:r>
    </w:p>
    <w:p w14:paraId="7F53D8A6">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第四章  采购内容及技术要求</w:t>
      </w:r>
    </w:p>
    <w:p w14:paraId="239A1DA1">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第五章  商务条款</w:t>
      </w:r>
    </w:p>
    <w:p w14:paraId="4919093A">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 xml:space="preserve">第六章  合同条款  </w:t>
      </w:r>
    </w:p>
    <w:p w14:paraId="69938EFE">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第七章  投标文件基本格式</w:t>
      </w:r>
    </w:p>
    <w:p w14:paraId="75FE326E">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第八章  榆林市公共资源交易平台全流程电子化政府采购项目内容</w:t>
      </w:r>
    </w:p>
    <w:p w14:paraId="5E980CD8">
      <w:pPr>
        <w:spacing w:line="360" w:lineRule="auto"/>
        <w:ind w:firstLine="482"/>
        <w:rPr>
          <w:rFonts w:asciiTheme="majorEastAsia" w:hAnsiTheme="majorEastAsia" w:eastAsiaTheme="majorEastAsia" w:cstheme="majorEastAsia"/>
          <w:b/>
          <w:color w:val="auto"/>
          <w:kern w:val="1"/>
          <w:sz w:val="24"/>
          <w:highlight w:val="none"/>
        </w:rPr>
      </w:pPr>
      <w:r>
        <w:rPr>
          <w:rFonts w:hint="eastAsia" w:asciiTheme="majorEastAsia" w:hAnsiTheme="majorEastAsia" w:eastAsiaTheme="majorEastAsia" w:cstheme="majorEastAsia"/>
          <w:b/>
          <w:color w:val="auto"/>
          <w:kern w:val="1"/>
          <w:sz w:val="24"/>
          <w:highlight w:val="none"/>
        </w:rPr>
        <w:t>5．招标文件的澄清和修改</w:t>
      </w:r>
    </w:p>
    <w:p w14:paraId="0DE6814E">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1"/>
          <w:sz w:val="24"/>
          <w:highlight w:val="none"/>
        </w:rPr>
        <w:t xml:space="preserve">5.1 </w:t>
      </w:r>
      <w:r>
        <w:rPr>
          <w:rFonts w:hint="eastAsia" w:asciiTheme="majorEastAsia" w:hAnsiTheme="majorEastAsia" w:eastAsiaTheme="majorEastAsia" w:cstheme="majorEastAsia"/>
          <w:color w:val="auto"/>
          <w:sz w:val="24"/>
          <w:highlight w:val="none"/>
        </w:rPr>
        <w:t>采购代理机构可以对已发出的招标文件进行必要的澄清或者修改，</w:t>
      </w:r>
      <w:r>
        <w:rPr>
          <w:rFonts w:hint="eastAsia" w:asciiTheme="majorEastAsia" w:hAnsiTheme="majorEastAsia" w:eastAsiaTheme="majorEastAsia" w:cstheme="majorEastAsia"/>
          <w:b/>
          <w:color w:val="auto"/>
          <w:sz w:val="24"/>
          <w:highlight w:val="none"/>
        </w:rPr>
        <w:t>但不得改变采购标的和资格条件。</w:t>
      </w:r>
      <w:r>
        <w:rPr>
          <w:rFonts w:hint="eastAsia" w:asciiTheme="majorEastAsia" w:hAnsiTheme="majorEastAsia" w:eastAsiaTheme="majorEastAsia" w:cstheme="majorEastAsia"/>
          <w:color w:val="auto"/>
          <w:sz w:val="24"/>
          <w:highlight w:val="none"/>
        </w:rPr>
        <w:t>澄清或者修改应将在原公告发布媒体上发布澄清公告，其内容为招标文件的组成部分。</w:t>
      </w:r>
    </w:p>
    <w:p w14:paraId="157DC41B">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5.2 澄清或者修改的内容可能影响投标文件编制的，采购代理机构将在投标截止时间至少15日前，在原公告发布媒体上发布更正公告；不足15日，采购代理机构将顺延提交投标文件的截止时间。</w:t>
      </w:r>
    </w:p>
    <w:p w14:paraId="3DB4C8AD">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1"/>
          <w:sz w:val="24"/>
          <w:highlight w:val="none"/>
        </w:rPr>
        <w:t xml:space="preserve">5.3 </w:t>
      </w:r>
      <w:r>
        <w:rPr>
          <w:rFonts w:hint="eastAsia" w:asciiTheme="majorEastAsia" w:hAnsiTheme="majorEastAsia" w:eastAsiaTheme="majorEastAsia" w:cstheme="majorEastAsia"/>
          <w:color w:val="auto"/>
          <w:sz w:val="24"/>
          <w:highlight w:val="none"/>
        </w:rPr>
        <w:t>各投标人在提交投标文件截止时间之前，应随时关注下列地址发布的变更公告，也可登录全国公共资源交易平台（陕西省）政府采购交易系统查看左上角的信息提醒，采购代理机构</w:t>
      </w:r>
      <w:r>
        <w:rPr>
          <w:rFonts w:hint="eastAsia" w:asciiTheme="majorEastAsia" w:hAnsiTheme="majorEastAsia" w:eastAsiaTheme="majorEastAsia" w:cstheme="majorEastAsia"/>
          <w:b/>
          <w:color w:val="auto"/>
          <w:sz w:val="24"/>
          <w:highlight w:val="none"/>
        </w:rPr>
        <w:t>不再单独通知，因投标人未及时关注所造成的一切后果由投标人自行承担：</w:t>
      </w:r>
    </w:p>
    <w:p w14:paraId="5B2E2034">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w:t>
      </w:r>
      <w:r>
        <w:rPr>
          <w:color w:val="auto"/>
          <w:highlight w:val="none"/>
        </w:rPr>
        <w:fldChar w:fldCharType="begin"/>
      </w:r>
      <w:r>
        <w:rPr>
          <w:color w:val="auto"/>
          <w:highlight w:val="none"/>
        </w:rPr>
        <w:instrText xml:space="preserve"> HYPERLINK "http://www.ccgp-shaanxi.gov.cn" </w:instrText>
      </w:r>
      <w:r>
        <w:rPr>
          <w:color w:val="auto"/>
          <w:highlight w:val="none"/>
        </w:rPr>
        <w:fldChar w:fldCharType="separate"/>
      </w:r>
      <w:r>
        <w:rPr>
          <w:rStyle w:val="35"/>
          <w:rFonts w:hint="default" w:asciiTheme="majorEastAsia" w:hAnsiTheme="majorEastAsia" w:eastAsiaTheme="majorEastAsia" w:cstheme="majorEastAsia"/>
          <w:color w:val="auto"/>
          <w:sz w:val="24"/>
          <w:szCs w:val="24"/>
          <w:highlight w:val="none"/>
        </w:rPr>
        <w:t>陕西省政府采购网</w:t>
      </w:r>
      <w:r>
        <w:rPr>
          <w:rStyle w:val="35"/>
          <w:rFonts w:hint="default" w:asciiTheme="majorEastAsia" w:hAnsiTheme="majorEastAsia" w:eastAsiaTheme="majorEastAsia" w:cstheme="majorEastAsia"/>
          <w:color w:val="auto"/>
          <w:sz w:val="24"/>
          <w:szCs w:val="24"/>
          <w:highlight w:val="none"/>
        </w:rPr>
        <w:fldChar w:fldCharType="end"/>
      </w:r>
      <w:r>
        <w:rPr>
          <w:rFonts w:hint="eastAsia" w:asciiTheme="majorEastAsia" w:hAnsiTheme="majorEastAsia" w:eastAsiaTheme="majorEastAsia" w:cstheme="majorEastAsia"/>
          <w:color w:val="auto"/>
          <w:sz w:val="24"/>
          <w:highlight w:val="none"/>
        </w:rPr>
        <w:t>（www.ccgp-shaanxi.gov.cn）】中的〖首页·〉省级公告·〉更正公告〗；</w:t>
      </w:r>
    </w:p>
    <w:p w14:paraId="3251CD6B">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sz w:val="24"/>
          <w:highlight w:val="none"/>
        </w:rPr>
        <w:t>（2）【全国公共资源交易平台（陕西省）（http://www.sxggzyjy.cn/）】中的〖首页·〉交易大厅·〉政府采购〗。</w:t>
      </w:r>
    </w:p>
    <w:p w14:paraId="420D6632">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1"/>
          <w:sz w:val="24"/>
          <w:highlight w:val="none"/>
        </w:rPr>
        <w:t>6招标文件的解释权归采购代理机构。</w:t>
      </w:r>
    </w:p>
    <w:p w14:paraId="0556C212">
      <w:pPr>
        <w:spacing w:beforeLines="50" w:afterLines="50"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三、投标文件的编制</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672D5D07">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7．编制要求</w:t>
      </w:r>
    </w:p>
    <w:p w14:paraId="3E846669">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7.1 投标人应认真阅读招标文件的所有内容，严格按照招标文件的要求编制和提供投标文件，并保证所提供的全部资料的真实性，使投标文件对招标文件作出实质性响应。如果投标人在投标文件中没有按照招标文件要求提交全部资料或者投标文件没有对招标文件在各方面都做出实质性响应，其投标将被拒绝。</w:t>
      </w:r>
    </w:p>
    <w:p w14:paraId="71EAEE61">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7.2 投标人提交的投标文件（包括项目的技术资料）以及投标人与采购代理机构就有关投标的所有来往函电均应以中文书写。</w:t>
      </w:r>
    </w:p>
    <w:p w14:paraId="1BE6BDE4">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8．投标文件构成和格式</w:t>
      </w:r>
    </w:p>
    <w:p w14:paraId="0D001769">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8.1 投标人编写的投标文件应按招标文件提供的相应格式按顺序编写。</w:t>
      </w:r>
    </w:p>
    <w:p w14:paraId="18F7E946">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8.2 投标人应按照本须知第8.1条的内容及第六章提供的格式编写投标文件，不得缺少招标文件要求填写的表格或提交的资料。</w:t>
      </w:r>
    </w:p>
    <w:p w14:paraId="51278127">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1"/>
          <w:sz w:val="24"/>
          <w:highlight w:val="none"/>
        </w:rPr>
        <w:t>8.3 投标人应将投标文件按本须知第8.1条规定的顺序编排并应编制目录，</w:t>
      </w:r>
      <w:r>
        <w:rPr>
          <w:rFonts w:hint="eastAsia" w:asciiTheme="majorEastAsia" w:hAnsiTheme="majorEastAsia" w:eastAsiaTheme="majorEastAsia" w:cstheme="majorEastAsia"/>
          <w:b/>
          <w:color w:val="auto"/>
          <w:kern w:val="1"/>
          <w:sz w:val="24"/>
          <w:highlight w:val="none"/>
        </w:rPr>
        <w:t>采用胶装方式装订成册。</w:t>
      </w:r>
    </w:p>
    <w:p w14:paraId="458F5436">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9．投标报价</w:t>
      </w:r>
    </w:p>
    <w:p w14:paraId="4C4CE485">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9.1 投标报价为完成本项目所要求的全部服务内容的价格体现，包括投标人完成本项目所需的一切费用（包括人员、现场作业、资料收集、成果编制、评审配合、技术交底、后期技术支持、税费、招标文件规定的其它全部费用）。</w:t>
      </w:r>
    </w:p>
    <w:p w14:paraId="0203D33E">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9.2 投标人须对本项目所要求的全部工作内容进行完整报价。采购人拒绝只对部分内容进行报价的投标，不接受选择性报价。 </w:t>
      </w:r>
    </w:p>
    <w:p w14:paraId="4F5B783F">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9.3 所有根据合同或其它原因应由投标人支付的税款和其它应交纳的费用都要包括在投标人提交的投标报价中。 </w:t>
      </w:r>
    </w:p>
    <w:p w14:paraId="025C5523">
      <w:pPr>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9.4 投标人所报的投标价在合同执行过程中是固定不变的，不得以任何理由予以变更。任何包含价格调整要求的投标，将被认为是非响应性投标而予以拒绝</w:t>
      </w:r>
      <w:r>
        <w:rPr>
          <w:rFonts w:hint="eastAsia" w:asciiTheme="majorEastAsia" w:hAnsiTheme="majorEastAsia" w:eastAsiaTheme="majorEastAsia" w:cstheme="majorEastAsia"/>
          <w:color w:val="auto"/>
          <w:sz w:val="24"/>
          <w:highlight w:val="none"/>
          <w:lang w:eastAsia="zh-CN"/>
        </w:rPr>
        <w:t>。</w:t>
      </w:r>
    </w:p>
    <w:p w14:paraId="6B180C98">
      <w:pPr>
        <w:spacing w:line="360" w:lineRule="auto"/>
        <w:ind w:right="-199" w:rightChars="-95" w:firstLine="482" w:firstLineChars="200"/>
        <w:jc w:val="left"/>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9.5 投标报价大于采购预算按废标处理。</w:t>
      </w:r>
    </w:p>
    <w:p w14:paraId="6369B9F6">
      <w:pPr>
        <w:spacing w:line="360" w:lineRule="auto"/>
        <w:ind w:firstLine="480" w:firstLineChars="200"/>
        <w:rPr>
          <w:rFonts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kern w:val="1"/>
          <w:sz w:val="24"/>
          <w:highlight w:val="none"/>
        </w:rPr>
        <w:t>9.6 投标人不得以低于成本的报价参加投标，投标人的投标报价明显低于其他投标人的报价，经评标委员会质询后不能在规定时间内说明理由，或说明理由经评标委员会认为不成立，则按无效标处理。</w:t>
      </w:r>
    </w:p>
    <w:p w14:paraId="18C682B9">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10．投标货币</w:t>
      </w:r>
    </w:p>
    <w:p w14:paraId="69B3744D">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10.1 投标人提供的服务一律以人民币报价。</w:t>
      </w:r>
    </w:p>
    <w:p w14:paraId="65551A70">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11．投标保证金</w:t>
      </w:r>
    </w:p>
    <w:p w14:paraId="476E2EAB">
      <w:pPr>
        <w:autoSpaceDE w:val="0"/>
        <w:autoSpaceDN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采用“投标信用承诺书”代替投标保证金。</w:t>
      </w:r>
    </w:p>
    <w:p w14:paraId="50151F75">
      <w:pPr>
        <w:autoSpaceDE w:val="0"/>
        <w:autoSpaceDN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注：需在网上提交《投标信用承诺》，并将《投标信用承诺》及网上已上报后的网页截图附在投标文件中。</w:t>
      </w:r>
    </w:p>
    <w:p w14:paraId="15B82BDD">
      <w:pPr>
        <w:autoSpaceDE w:val="0"/>
        <w:autoSpaceDN w:val="0"/>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12．投标有效期</w:t>
      </w:r>
    </w:p>
    <w:p w14:paraId="73D86E82">
      <w:pPr>
        <w:autoSpaceDE w:val="0"/>
        <w:autoSpaceDN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12.1 投标有效期为开标之日起九十（90）个日历日。投标人的投标有效期比招标文件规定短的将被视为非响应性投标而予以拒绝。</w:t>
      </w:r>
    </w:p>
    <w:p w14:paraId="59EF647A">
      <w:pPr>
        <w:autoSpaceDE w:val="0"/>
        <w:autoSpaceDN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12.2 在特殊情况下，在原投标有效期期满之前，采购人可征得投标人同意延长投标有效期。这种要求与答复均应为书面形式提交。</w:t>
      </w:r>
    </w:p>
    <w:p w14:paraId="5C55A276">
      <w:pPr>
        <w:spacing w:line="360" w:lineRule="auto"/>
        <w:ind w:firstLine="482"/>
        <w:rPr>
          <w:rFonts w:asciiTheme="majorEastAsia" w:hAnsiTheme="majorEastAsia" w:eastAsiaTheme="majorEastAsia" w:cstheme="majorEastAsia"/>
          <w:b/>
          <w:color w:val="auto"/>
          <w:kern w:val="1"/>
          <w:sz w:val="24"/>
          <w:highlight w:val="none"/>
        </w:rPr>
      </w:pPr>
      <w:r>
        <w:rPr>
          <w:rFonts w:hint="eastAsia" w:asciiTheme="majorEastAsia" w:hAnsiTheme="majorEastAsia" w:eastAsiaTheme="majorEastAsia" w:cstheme="majorEastAsia"/>
          <w:b/>
          <w:color w:val="auto"/>
          <w:kern w:val="1"/>
          <w:sz w:val="24"/>
          <w:highlight w:val="none"/>
        </w:rPr>
        <w:t>13．投标文件的制作和签署</w:t>
      </w:r>
    </w:p>
    <w:p w14:paraId="4D09F2FA">
      <w:pPr>
        <w:spacing w:line="360" w:lineRule="auto"/>
        <w:ind w:firstLine="480"/>
        <w:rPr>
          <w:rFonts w:asciiTheme="majorEastAsia" w:hAnsiTheme="majorEastAsia" w:eastAsiaTheme="majorEastAsia" w:cstheme="majorEastAsia"/>
          <w:color w:val="auto"/>
          <w:kern w:val="1"/>
          <w:sz w:val="24"/>
          <w:highlight w:val="none"/>
        </w:rPr>
      </w:pPr>
      <w:bookmarkStart w:id="72" w:name="_Toc245658523"/>
      <w:bookmarkStart w:id="73" w:name="_Toc169846765"/>
      <w:bookmarkStart w:id="74" w:name="_Toc244623580"/>
      <w:bookmarkStart w:id="75" w:name="_Toc154482468"/>
      <w:bookmarkStart w:id="76" w:name="_Toc175032426"/>
      <w:bookmarkStart w:id="77" w:name="_Toc207897905"/>
      <w:bookmarkStart w:id="78" w:name="_Toc173549967"/>
      <w:bookmarkStart w:id="79" w:name="_Toc170980541"/>
      <w:bookmarkStart w:id="80" w:name="_Toc245657542"/>
      <w:bookmarkStart w:id="81" w:name="_Toc167591133"/>
      <w:bookmarkStart w:id="82" w:name="_Toc167591319"/>
      <w:bookmarkStart w:id="83" w:name="_Toc245176654"/>
      <w:bookmarkStart w:id="84" w:name="_Toc208337153"/>
      <w:bookmarkStart w:id="85" w:name="_Toc167591481"/>
      <w:bookmarkStart w:id="86" w:name="_Toc167591032"/>
      <w:bookmarkStart w:id="87" w:name="_Toc169846862"/>
      <w:bookmarkStart w:id="88" w:name="_Toc170980443"/>
      <w:bookmarkStart w:id="89" w:name="_Toc175033581"/>
      <w:bookmarkStart w:id="90" w:name="_Toc167849349"/>
      <w:bookmarkStart w:id="91" w:name="_Toc169838521"/>
      <w:bookmarkStart w:id="92" w:name="_Toc167590764"/>
      <w:r>
        <w:rPr>
          <w:rFonts w:hint="eastAsia" w:asciiTheme="majorEastAsia" w:hAnsiTheme="majorEastAsia" w:eastAsiaTheme="majorEastAsia" w:cstheme="majorEastAsia"/>
          <w:color w:val="auto"/>
          <w:kern w:val="1"/>
          <w:sz w:val="24"/>
          <w:highlight w:val="none"/>
        </w:rPr>
        <w:t>13.1为确保采购项目顺利开展，本项目采用电子投标文件的方式。供应商在投标时须时提供电子投标文件。</w:t>
      </w:r>
    </w:p>
    <w:p w14:paraId="7E5035AF">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13.2 编制电子投标文件时，应使用最新发布的电子招标文件及专用制作工具进行编制。并使用数字认证证书（CA）对电子投标文件进行签署、加密、递交及开标时解密等相关操作。</w:t>
      </w:r>
    </w:p>
    <w:p w14:paraId="6995C0FD">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（1）电子招标文件下载</w:t>
      </w:r>
    </w:p>
    <w:p w14:paraId="569B6B7A">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供应商登录全国公共资源交易平台（陕西省）网站[电子交易平台-企业端]后，在[我的项目]中点击“项目流程-交易文件下载”下载电子招标文件（*.SXSZF）;</w:t>
      </w:r>
    </w:p>
    <w:p w14:paraId="1BA42E7A">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注意：该项目如有变更文件，则应点击“项目流程&gt;答疑文件下载”下载更新后的电子招标文件（*.SXSCF），使用旧版电子招标文件制作的电子投标文件，系统将拒绝接收。</w:t>
      </w:r>
    </w:p>
    <w:p w14:paraId="1AE76D56">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（2）电子招标文件需要使用专用软件打开、浏览</w:t>
      </w:r>
    </w:p>
    <w:p w14:paraId="7C34F7C1">
      <w:pPr>
        <w:spacing w:line="360" w:lineRule="auto"/>
        <w:ind w:firstLine="480" w:firstLineChars="200"/>
        <w:rPr>
          <w:rFonts w:asciiTheme="majorEastAsia" w:hAnsiTheme="majorEastAsia" w:eastAsiaTheme="majorEastAsia" w:cstheme="majorEastAsia"/>
          <w:color w:val="auto"/>
          <w:kern w:val="1"/>
          <w:sz w:val="24"/>
          <w:highlight w:val="none"/>
        </w:rPr>
      </w:pPr>
      <w:bookmarkStart w:id="93" w:name="_Toc5554"/>
      <w:bookmarkStart w:id="94" w:name="_Toc8108"/>
      <w:bookmarkStart w:id="95" w:name="_Toc22321"/>
      <w:r>
        <w:rPr>
          <w:rFonts w:hint="eastAsia" w:asciiTheme="majorEastAsia" w:hAnsiTheme="majorEastAsia" w:eastAsiaTheme="majorEastAsia" w:cstheme="majorEastAsia"/>
          <w:bCs/>
          <w:color w:val="auto"/>
          <w:sz w:val="24"/>
          <w:highlight w:val="none"/>
        </w:rPr>
        <w:t>投标供应商须在“全国公共资源交易中心平台（陕西省）（http://www.sxggzyjy.cn/）”的“服务指南”栏目“下载专区”中，免费下载“陕西省公共资源交易平台政府采购电子标书制作工具(V8.0.0.44)”，并升级至最新版本，使用该客户端制作电子投标文件，制作扩展名为“.SXSTF”的电子投标文件。”</w:t>
      </w:r>
      <w:bookmarkEnd w:id="93"/>
      <w:bookmarkEnd w:id="94"/>
      <w:bookmarkEnd w:id="95"/>
    </w:p>
    <w:p w14:paraId="04CF6075">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（3）制作电子投标文件</w:t>
      </w:r>
    </w:p>
    <w:p w14:paraId="0DA3617E">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电子投标文件同样需要使用上述软件进行编制。在编制过程中，如有技术性问题，请先翻阅操作手册或致电软件开发商，技术支持热线：4009280095、4009980000；</w:t>
      </w:r>
    </w:p>
    <w:p w14:paraId="378E019A">
      <w:pPr>
        <w:spacing w:line="360" w:lineRule="auto"/>
        <w:ind w:firstLine="48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13.3纸质版文件的编制：</w:t>
      </w:r>
    </w:p>
    <w:p w14:paraId="2C8DA8B1">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13.3.1投标供应商无需提交纸质投标文件，待采购结果公告后，由中标单位补交一正三副纸质投标文件及电子版（光盘或 U 盘，包含可编辑 word 版，签字盖章后的</w:t>
      </w:r>
      <w:r>
        <w:rPr>
          <w:rFonts w:hint="eastAsia" w:asciiTheme="majorEastAsia" w:hAnsiTheme="majorEastAsia" w:eastAsiaTheme="majorEastAsia" w:cstheme="majorEastAsia"/>
          <w:color w:val="auto"/>
          <w:kern w:val="1"/>
          <w:sz w:val="24"/>
          <w:highlight w:val="none"/>
          <w:lang w:val="en-US" w:eastAsia="zh-CN"/>
        </w:rPr>
        <w:t>PDF</w:t>
      </w:r>
      <w:r>
        <w:rPr>
          <w:rFonts w:hint="eastAsia" w:asciiTheme="majorEastAsia" w:hAnsiTheme="majorEastAsia" w:eastAsiaTheme="majorEastAsia" w:cstheme="majorEastAsia"/>
          <w:color w:val="auto"/>
          <w:kern w:val="1"/>
          <w:sz w:val="24"/>
          <w:highlight w:val="none"/>
        </w:rPr>
        <w:t>投标文件一份</w:t>
      </w:r>
      <w:r>
        <w:rPr>
          <w:rFonts w:hint="eastAsia" w:asciiTheme="majorEastAsia" w:hAnsiTheme="majorEastAsia" w:eastAsiaTheme="majorEastAsia" w:cstheme="majorEastAsia"/>
          <w:color w:val="auto"/>
          <w:kern w:val="1"/>
          <w:sz w:val="24"/>
          <w:highlight w:val="none"/>
          <w:lang w:val="en-US" w:eastAsia="zh-CN"/>
        </w:rPr>
        <w:t>)</w:t>
      </w:r>
      <w:r>
        <w:rPr>
          <w:rFonts w:hint="eastAsia" w:asciiTheme="majorEastAsia" w:hAnsiTheme="majorEastAsia" w:eastAsiaTheme="majorEastAsia" w:cstheme="majorEastAsia"/>
          <w:color w:val="auto"/>
          <w:kern w:val="1"/>
          <w:sz w:val="24"/>
          <w:highlight w:val="none"/>
        </w:rPr>
        <w:t>（备案用）</w:t>
      </w:r>
    </w:p>
    <w:p w14:paraId="3DC221CE">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13.3.2投标文件封面及内容、投标函及其它有要求处均应加盖投标人印章并经法定代表人或其委托代理人签字，由委托代理人签字的在投标文件中须同时提交投标文件签署授权委托书，</w:t>
      </w:r>
      <w:r>
        <w:rPr>
          <w:rFonts w:hint="eastAsia" w:asciiTheme="majorEastAsia" w:hAnsiTheme="majorEastAsia" w:eastAsiaTheme="majorEastAsia" w:cstheme="majorEastAsia"/>
          <w:b/>
          <w:bCs/>
          <w:color w:val="auto"/>
          <w:kern w:val="1"/>
          <w:sz w:val="24"/>
          <w:highlight w:val="none"/>
        </w:rPr>
        <w:t>纸质版文件与电子版文件签字盖章必须一致。</w:t>
      </w:r>
    </w:p>
    <w:p w14:paraId="08DFF260">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13.3.3投标文件的正本和副本应分别单独采用A4纸胶粘装订成册，装订应牢固、不易拆散、夹页、换页，不得采用活页装订，应编制目录，字迹应清晰易于辨认，文件编制应符合8.1至8.3项要求。</w:t>
      </w:r>
    </w:p>
    <w:p w14:paraId="335CB576">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1"/>
          <w:sz w:val="24"/>
          <w:highlight w:val="none"/>
        </w:rPr>
        <w:t>13.4 除投标人对投标文件错处做必要修改外，投标文件不得行间插字、涂改和增删，如有修改错漏处，必须由投标人的法人或其授权代表在修改处签字或加盖公章后才有效。</w:t>
      </w:r>
    </w:p>
    <w:p w14:paraId="06EF118E">
      <w:pPr>
        <w:snapToGrid w:val="0"/>
        <w:spacing w:beforeLines="50" w:afterLines="50"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四、投标文件的递交</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61E9BC58">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14．投标文件的提交</w:t>
      </w:r>
    </w:p>
    <w:p w14:paraId="080DC9A0">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78538EC2">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15.投标人应在不迟于招标文件中规定的投标截止时间上传投标文件。</w:t>
      </w:r>
    </w:p>
    <w:p w14:paraId="448A04A1">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16．迟交的投标文件</w:t>
      </w:r>
    </w:p>
    <w:p w14:paraId="1052EBB7">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16.1采购代理机构将拒绝接收投标截止期后送达的任何投标文件。</w:t>
      </w:r>
    </w:p>
    <w:p w14:paraId="09E931E2">
      <w:pPr>
        <w:spacing w:line="360" w:lineRule="auto"/>
        <w:ind w:firstLine="482"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auto"/>
          <w:sz w:val="24"/>
          <w:highlight w:val="none"/>
        </w:rPr>
        <w:t>17．投标文件的修改和撤回</w:t>
      </w:r>
    </w:p>
    <w:p w14:paraId="50B59493">
      <w:pPr>
        <w:spacing w:line="360" w:lineRule="auto"/>
        <w:ind w:firstLine="480"/>
        <w:rPr>
          <w:rFonts w:asciiTheme="majorEastAsia" w:hAnsiTheme="majorEastAsia" w:eastAsiaTheme="majorEastAsia" w:cstheme="majorEastAsia"/>
          <w:color w:val="auto"/>
          <w:sz w:val="24"/>
          <w:highlight w:val="none"/>
        </w:rPr>
      </w:pPr>
      <w:bookmarkStart w:id="96" w:name="_Toc170980542"/>
      <w:bookmarkStart w:id="97" w:name="_Toc167591134"/>
      <w:bookmarkStart w:id="98" w:name="_Toc173549968"/>
      <w:bookmarkStart w:id="99" w:name="_Toc245657543"/>
      <w:bookmarkStart w:id="100" w:name="_Toc245658524"/>
      <w:bookmarkStart w:id="101" w:name="_Toc167591320"/>
      <w:bookmarkStart w:id="102" w:name="_Toc175033582"/>
      <w:bookmarkStart w:id="103" w:name="_Toc244623581"/>
      <w:bookmarkStart w:id="104" w:name="_Toc169838522"/>
      <w:bookmarkStart w:id="105" w:name="_Toc167591033"/>
      <w:bookmarkStart w:id="106" w:name="_Toc169846863"/>
      <w:bookmarkStart w:id="107" w:name="_Toc208337154"/>
      <w:bookmarkStart w:id="108" w:name="_Toc175032427"/>
      <w:bookmarkStart w:id="109" w:name="_Toc167849350"/>
      <w:bookmarkStart w:id="110" w:name="_Toc167591482"/>
      <w:bookmarkStart w:id="111" w:name="_Toc170980444"/>
      <w:bookmarkStart w:id="112" w:name="_Toc154482469"/>
      <w:bookmarkStart w:id="113" w:name="_Toc169846766"/>
      <w:bookmarkStart w:id="114" w:name="_Toc167590765"/>
      <w:bookmarkStart w:id="115" w:name="_Toc245176655"/>
      <w:bookmarkStart w:id="116" w:name="_Toc207897906"/>
      <w:r>
        <w:rPr>
          <w:rFonts w:hint="eastAsia" w:asciiTheme="majorEastAsia" w:hAnsiTheme="majorEastAsia" w:eastAsiaTheme="majorEastAsia" w:cstheme="majorEastAsia"/>
          <w:color w:val="auto"/>
          <w:sz w:val="24"/>
          <w:highlight w:val="none"/>
        </w:rPr>
        <w:t>17.1 在投标截止日期之后，投标人不得对其投标文件做任何修改。</w:t>
      </w:r>
    </w:p>
    <w:p w14:paraId="7B8AC883">
      <w:pPr>
        <w:snapToGrid w:val="0"/>
        <w:spacing w:line="360" w:lineRule="auto"/>
        <w:ind w:firstLine="482"/>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17.2 从投标截止期始至招标文件确定的投标有效期期满这段时间内，投标人不得撤回其投标，否则其投标保证金将被没收。</w:t>
      </w:r>
    </w:p>
    <w:p w14:paraId="47B70219">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为确保采购项目顺利开展，本项目采用电子投标文件的方式。供应商在投标时须时提供电子投标文件。</w:t>
      </w:r>
    </w:p>
    <w:p w14:paraId="5F323C92">
      <w:pPr>
        <w:snapToGrid w:val="0"/>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五、开标与评标</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48B70B24">
      <w:pPr>
        <w:snapToGrid w:val="0"/>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18．开标</w:t>
      </w:r>
    </w:p>
    <w:p w14:paraId="290FDEB2">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18.1 采购代理机构将在招标公告规定的时间和地点组织公开开标。开标会议邀请所有供应商派代表参加，开标当日，请各供应商在开标截止时间前1小时登录“不见面”开标系统进行签到。</w:t>
      </w:r>
    </w:p>
    <w:p w14:paraId="26577896">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18.2</w:t>
      </w:r>
      <w:r>
        <w:rPr>
          <w:rFonts w:hint="eastAsia" w:asciiTheme="majorEastAsia" w:hAnsiTheme="majorEastAsia" w:eastAsiaTheme="majorEastAsia" w:cstheme="majorEastAsia"/>
          <w:bCs/>
          <w:color w:val="auto"/>
          <w:sz w:val="24"/>
          <w:highlight w:val="none"/>
        </w:rPr>
        <w:t>开标过程中，供应商在收到工作人员“开始解密”指令后，请及时使用CA对电子投标文件进行解密。解密时所用CA应与加密投标文件时所用CA相同；注：解密时间为30分钟，在解密时间内供应商全部解密完成后，可提前进入开标下一阶段</w:t>
      </w:r>
      <w:r>
        <w:rPr>
          <w:rFonts w:hint="eastAsia" w:asciiTheme="majorEastAsia" w:hAnsiTheme="majorEastAsia" w:eastAsiaTheme="majorEastAsia" w:cstheme="majorEastAsia"/>
          <w:color w:val="auto"/>
          <w:sz w:val="24"/>
          <w:highlight w:val="none"/>
        </w:rPr>
        <w:t>，由电子交易系统进行自动唱标。</w:t>
      </w:r>
    </w:p>
    <w:p w14:paraId="42FC3F97">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18.3 采购代理机构将在开标会议现场做开标记录。</w:t>
      </w:r>
    </w:p>
    <w:p w14:paraId="537834FA">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18.4 在开标环节出现下列情况之一的，其电子及纸质投标文件视为无效文件：</w:t>
      </w:r>
    </w:p>
    <w:p w14:paraId="0F10F1B3">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（1）供应商拒绝对电子投标文件进行解密的；</w:t>
      </w:r>
    </w:p>
    <w:p w14:paraId="65FA5708">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（2）因供应商自身原因（如CA锁与制作电子投标文件使用的CA锁不一致、或沿用旧版招标文件编制投标文件等情形），导致在规定时间内无法解密投标文件的；</w:t>
      </w:r>
    </w:p>
    <w:p w14:paraId="31CF2B42">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（3）上传的电子投标文件无法打开的；</w:t>
      </w:r>
    </w:p>
    <w:p w14:paraId="6DF52F16">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（4）政府采购法律法规规定的其他无效情形。</w:t>
      </w:r>
    </w:p>
    <w:p w14:paraId="24A5F0AE">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18.5 特殊情形下的应急处置</w:t>
      </w:r>
    </w:p>
    <w:p w14:paraId="276051AA">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在开标、评审过程中，如因停电、断网、电子化系统故障等特殊原因导致电子化开、评标无法正常进行时，视具体情况确定是否停止开评标活动。</w:t>
      </w:r>
    </w:p>
    <w:p w14:paraId="4512B543">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19．评标委员会</w:t>
      </w:r>
    </w:p>
    <w:p w14:paraId="3730DAC7">
      <w:pPr>
        <w:spacing w:line="360" w:lineRule="auto"/>
        <w:ind w:firstLine="480" w:firstLineChars="200"/>
        <w:rPr>
          <w:rFonts w:asciiTheme="majorEastAsia" w:hAnsiTheme="majorEastAsia" w:eastAsiaTheme="majorEastAsia" w:cstheme="majorEastAsia"/>
          <w:snapToGrid w:val="0"/>
          <w:color w:val="auto"/>
          <w:sz w:val="24"/>
          <w:highlight w:val="none"/>
        </w:rPr>
      </w:pPr>
      <w:r>
        <w:rPr>
          <w:rFonts w:hint="eastAsia" w:asciiTheme="majorEastAsia" w:hAnsiTheme="majorEastAsia" w:eastAsiaTheme="majorEastAsia" w:cstheme="majorEastAsia"/>
          <w:color w:val="auto"/>
          <w:sz w:val="24"/>
          <w:highlight w:val="none"/>
        </w:rPr>
        <w:t>19.1 采购人</w:t>
      </w:r>
      <w:r>
        <w:rPr>
          <w:rFonts w:hint="eastAsia" w:asciiTheme="majorEastAsia" w:hAnsiTheme="majorEastAsia" w:eastAsiaTheme="majorEastAsia" w:cstheme="majorEastAsia"/>
          <w:snapToGrid w:val="0"/>
          <w:color w:val="auto"/>
          <w:sz w:val="24"/>
          <w:highlight w:val="none"/>
        </w:rPr>
        <w:t>将按照《</w:t>
      </w:r>
      <w:r>
        <w:rPr>
          <w:rFonts w:hint="eastAsia" w:asciiTheme="majorEastAsia" w:hAnsiTheme="majorEastAsia" w:eastAsiaTheme="majorEastAsia" w:cstheme="majorEastAsia"/>
          <w:color w:val="auto"/>
          <w:sz w:val="24"/>
          <w:highlight w:val="none"/>
        </w:rPr>
        <w:t>中华人民共和国政府采购法</w:t>
      </w:r>
      <w:r>
        <w:rPr>
          <w:rFonts w:hint="eastAsia" w:asciiTheme="majorEastAsia" w:hAnsiTheme="majorEastAsia" w:eastAsiaTheme="majorEastAsia" w:cstheme="majorEastAsia"/>
          <w:snapToGrid w:val="0"/>
          <w:color w:val="auto"/>
          <w:sz w:val="24"/>
          <w:highlight w:val="none"/>
        </w:rPr>
        <w:t>》、《政府采购货物和服务招标投标管理办法》及有关规定组建评标委员会。</w:t>
      </w:r>
    </w:p>
    <w:p w14:paraId="1E08EAE1">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19.2 评标委员会由采购人代表及评审专家组成，专家从陕西省政府采购专家库中随机抽取产生。</w:t>
      </w:r>
    </w:p>
    <w:p w14:paraId="361FE8D0">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19.3 评标委员会负责评标工作，对投标文件进行审查和评估，并向采购人提交书面评审意见。</w:t>
      </w:r>
    </w:p>
    <w:p w14:paraId="38A5DB58">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20．评标过程的保密性</w:t>
      </w:r>
    </w:p>
    <w:p w14:paraId="10823983">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20.1 公开开标后，直至发布中标公告时止，凡与审查、澄清、评价和比较投标的有关资料以及授标意见等，均属保密范围，评标委员会及招标工作人员不得向投标人及与评标无关的其他人透露。</w:t>
      </w:r>
    </w:p>
    <w:p w14:paraId="2DA04BD6">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20.2 在评标过程中，如果投标人试图在投标文件审查、澄清、比较及授予合同方面向评标委员会或采购人施加任何影响，其投标将被拒绝。</w:t>
      </w:r>
    </w:p>
    <w:p w14:paraId="7718563C">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21、投标文件的澄清</w:t>
      </w:r>
    </w:p>
    <w:p w14:paraId="32DAD941">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21.1 在评标期间，为有助于对投标文件的审查、评价和比较，评标委员会可分别要求投标人对其投标文件进行澄清或说明，有关澄清或说明的要求和答复应以书面形式提交。澄清和说明的内容不得超出投标文件的范围或改变投标文件实质性内容。</w:t>
      </w:r>
    </w:p>
    <w:p w14:paraId="7C1A7E9D">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22．投标文件的初审</w:t>
      </w:r>
    </w:p>
    <w:p w14:paraId="6F51C2D1">
      <w:pPr>
        <w:pStyle w:val="22"/>
        <w:spacing w:line="360" w:lineRule="auto"/>
        <w:ind w:firstLine="420"/>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22.1 采购人将审查资格证明文件是否齐全有效。</w:t>
      </w:r>
    </w:p>
    <w:tbl>
      <w:tblPr>
        <w:tblStyle w:val="25"/>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79"/>
        <w:gridCol w:w="1686"/>
        <w:gridCol w:w="7112"/>
      </w:tblGrid>
      <w:tr w14:paraId="3D4A7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2"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5CD2C969">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序号</w:t>
            </w:r>
          </w:p>
        </w:tc>
        <w:tc>
          <w:tcPr>
            <w:tcW w:w="1686" w:type="dxa"/>
            <w:tcBorders>
              <w:top w:val="single" w:color="auto" w:sz="4" w:space="0"/>
              <w:left w:val="single" w:color="auto" w:sz="4" w:space="0"/>
              <w:bottom w:val="single" w:color="auto" w:sz="4" w:space="0"/>
              <w:right w:val="single" w:color="auto" w:sz="4" w:space="0"/>
            </w:tcBorders>
            <w:noWrap/>
            <w:vAlign w:val="center"/>
          </w:tcPr>
          <w:p w14:paraId="041997ED">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审查因素</w:t>
            </w:r>
          </w:p>
        </w:tc>
        <w:tc>
          <w:tcPr>
            <w:tcW w:w="7112" w:type="dxa"/>
            <w:tcBorders>
              <w:top w:val="single" w:color="auto" w:sz="4" w:space="0"/>
              <w:left w:val="single" w:color="auto" w:sz="4" w:space="0"/>
              <w:bottom w:val="single" w:color="auto" w:sz="4" w:space="0"/>
              <w:right w:val="single" w:color="auto" w:sz="4" w:space="0"/>
            </w:tcBorders>
            <w:noWrap/>
            <w:vAlign w:val="center"/>
          </w:tcPr>
          <w:p w14:paraId="72B8AE8C">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审查标准</w:t>
            </w:r>
          </w:p>
        </w:tc>
      </w:tr>
      <w:tr w14:paraId="528A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6" w:hRule="atLeast"/>
          <w:jc w:val="center"/>
        </w:trPr>
        <w:tc>
          <w:tcPr>
            <w:tcW w:w="779" w:type="dxa"/>
            <w:tcBorders>
              <w:left w:val="single" w:color="auto" w:sz="4" w:space="0"/>
              <w:right w:val="single" w:color="auto" w:sz="4" w:space="0"/>
            </w:tcBorders>
            <w:noWrap/>
            <w:vAlign w:val="center"/>
          </w:tcPr>
          <w:p w14:paraId="2B72A8C1">
            <w:pPr>
              <w:spacing w:line="360" w:lineRule="auto"/>
              <w:ind w:firstLine="240" w:firstLineChars="1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w:t>
            </w:r>
          </w:p>
        </w:tc>
        <w:tc>
          <w:tcPr>
            <w:tcW w:w="1686" w:type="dxa"/>
            <w:tcBorders>
              <w:top w:val="single" w:color="auto" w:sz="4" w:space="0"/>
              <w:left w:val="single" w:color="auto" w:sz="4" w:space="0"/>
              <w:bottom w:val="single" w:color="auto" w:sz="4" w:space="0"/>
              <w:right w:val="single" w:color="auto" w:sz="4" w:space="0"/>
            </w:tcBorders>
            <w:noWrap/>
            <w:vAlign w:val="center"/>
          </w:tcPr>
          <w:p w14:paraId="63C2CB4D">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有效的主体资格证明</w:t>
            </w:r>
          </w:p>
        </w:tc>
        <w:tc>
          <w:tcPr>
            <w:tcW w:w="7112" w:type="dxa"/>
            <w:tcBorders>
              <w:top w:val="single" w:color="auto" w:sz="4" w:space="0"/>
              <w:left w:val="single" w:color="auto" w:sz="4" w:space="0"/>
              <w:bottom w:val="single" w:color="auto" w:sz="4" w:space="0"/>
              <w:right w:val="single" w:color="auto" w:sz="4" w:space="0"/>
            </w:tcBorders>
            <w:noWrap/>
            <w:vAlign w:val="center"/>
          </w:tcPr>
          <w:p w14:paraId="42A26B16">
            <w:pPr>
              <w:spacing w:line="360" w:lineRule="auto"/>
              <w:jc w:val="left"/>
              <w:rPr>
                <w:rFonts w:hint="eastAsia" w:eastAsia="宋体" w:asciiTheme="majorEastAsia" w:hAnsiTheme="majorEastAsia" w:cstheme="majorEastAsia"/>
                <w:color w:val="auto"/>
                <w:sz w:val="24"/>
                <w:highlight w:val="none"/>
                <w:lang w:eastAsia="zh-CN"/>
              </w:rPr>
            </w:pPr>
            <w:r>
              <w:rPr>
                <w:rFonts w:hint="eastAsia" w:ascii="宋体" w:hAnsi="宋体" w:eastAsia="宋体" w:cs="宋体"/>
                <w:color w:val="auto"/>
                <w:sz w:val="24"/>
                <w:szCs w:val="24"/>
                <w:highlight w:val="none"/>
              </w:rPr>
              <w:t>具有独立承担民事责任能力的法人、</w:t>
            </w:r>
            <w:r>
              <w:rPr>
                <w:rFonts w:hint="eastAsia" w:ascii="宋体" w:hAnsi="宋体" w:eastAsia="宋体" w:cs="宋体"/>
                <w:color w:val="auto"/>
                <w:sz w:val="24"/>
                <w:szCs w:val="24"/>
                <w:highlight w:val="none"/>
                <w:lang w:eastAsia="zh-CN"/>
              </w:rPr>
              <w:t>事业法人、</w:t>
            </w:r>
            <w:r>
              <w:rPr>
                <w:rFonts w:hint="eastAsia" w:ascii="宋体" w:hAnsi="宋体" w:eastAsia="宋体" w:cs="宋体"/>
                <w:color w:val="auto"/>
                <w:sz w:val="24"/>
                <w:szCs w:val="24"/>
                <w:highlight w:val="none"/>
              </w:rPr>
              <w:t>其他组织或自然人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并出具合法有效的营业执照或事业单位法人证书等国家规定的相关证明，自然人参与的提供其身份证明</w:t>
            </w:r>
            <w:r>
              <w:rPr>
                <w:rFonts w:hint="eastAsia" w:ascii="宋体" w:hAnsi="宋体" w:eastAsia="宋体" w:cs="宋体"/>
                <w:color w:val="auto"/>
                <w:sz w:val="24"/>
                <w:szCs w:val="24"/>
                <w:highlight w:val="none"/>
                <w:lang w:eastAsia="zh-CN"/>
              </w:rPr>
              <w:t>。</w:t>
            </w:r>
          </w:p>
        </w:tc>
      </w:tr>
      <w:tr w14:paraId="6ABDD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7113AF4B">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p>
        </w:tc>
        <w:tc>
          <w:tcPr>
            <w:tcW w:w="1686" w:type="dxa"/>
            <w:tcBorders>
              <w:top w:val="single" w:color="auto" w:sz="4" w:space="0"/>
              <w:left w:val="single" w:color="auto" w:sz="4" w:space="0"/>
              <w:bottom w:val="single" w:color="auto" w:sz="4" w:space="0"/>
              <w:right w:val="single" w:color="auto" w:sz="4" w:space="0"/>
            </w:tcBorders>
            <w:noWrap/>
            <w:vAlign w:val="center"/>
          </w:tcPr>
          <w:p w14:paraId="505FC46B">
            <w:pPr>
              <w:spacing w:line="360" w:lineRule="auto"/>
              <w:jc w:val="both"/>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投标人有效资质</w:t>
            </w:r>
          </w:p>
        </w:tc>
        <w:tc>
          <w:tcPr>
            <w:tcW w:w="7112" w:type="dxa"/>
            <w:tcBorders>
              <w:top w:val="single" w:color="auto" w:sz="4" w:space="0"/>
              <w:left w:val="single" w:color="auto" w:sz="4" w:space="0"/>
              <w:bottom w:val="single" w:color="auto" w:sz="4" w:space="0"/>
              <w:right w:val="single" w:color="auto" w:sz="4" w:space="0"/>
            </w:tcBorders>
            <w:noWrap/>
            <w:vAlign w:val="center"/>
          </w:tcPr>
          <w:p w14:paraId="7E54D230">
            <w:pPr>
              <w:spacing w:line="360" w:lineRule="auto"/>
              <w:jc w:val="left"/>
              <w:rPr>
                <w:rFonts w:hint="eastAsia" w:eastAsia="宋体" w:asciiTheme="majorEastAsia" w:hAnsiTheme="majorEastAsia" w:cstheme="majorEastAsia"/>
                <w:color w:val="auto"/>
                <w:sz w:val="24"/>
                <w:highlight w:val="none"/>
                <w:shd w:val="clear" w:color="auto" w:fill="FFFFFF"/>
                <w:lang w:eastAsia="zh-CN"/>
              </w:rPr>
            </w:pPr>
            <w:r>
              <w:rPr>
                <w:rFonts w:hint="eastAsia" w:ascii="宋体" w:hAnsi="宋体" w:eastAsia="宋体" w:cs="宋体"/>
                <w:color w:val="auto"/>
                <w:sz w:val="24"/>
                <w:szCs w:val="24"/>
                <w:highlight w:val="none"/>
                <w:lang w:eastAsia="zh-CN"/>
              </w:rPr>
              <w:t>供应商须持有行政主管部门颁发有效的【地质灾害评估和治理工程勘查设计乙级及以上资质证书】</w:t>
            </w:r>
            <w:r>
              <w:rPr>
                <w:rFonts w:hint="eastAsia" w:ascii="宋体" w:hAnsi="宋体" w:cs="宋体"/>
                <w:color w:val="auto"/>
                <w:sz w:val="24"/>
                <w:szCs w:val="24"/>
                <w:highlight w:val="none"/>
                <w:lang w:eastAsia="zh-CN"/>
              </w:rPr>
              <w:t>。</w:t>
            </w:r>
          </w:p>
        </w:tc>
      </w:tr>
      <w:tr w14:paraId="79C3F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2A4ADE51">
            <w:pPr>
              <w:spacing w:line="360" w:lineRule="auto"/>
              <w:jc w:val="center"/>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3</w:t>
            </w:r>
          </w:p>
        </w:tc>
        <w:tc>
          <w:tcPr>
            <w:tcW w:w="1686" w:type="dxa"/>
            <w:tcBorders>
              <w:top w:val="single" w:color="auto" w:sz="4" w:space="0"/>
              <w:left w:val="single" w:color="auto" w:sz="4" w:space="0"/>
              <w:bottom w:val="single" w:color="auto" w:sz="4" w:space="0"/>
              <w:right w:val="single" w:color="auto" w:sz="4" w:space="0"/>
            </w:tcBorders>
            <w:noWrap/>
            <w:vAlign w:val="center"/>
          </w:tcPr>
          <w:p w14:paraId="2DDE1538">
            <w:pPr>
              <w:spacing w:line="360" w:lineRule="auto"/>
              <w:jc w:val="both"/>
              <w:rPr>
                <w:rFonts w:hint="eastAsia" w:asciiTheme="majorEastAsia" w:hAnsiTheme="majorEastAsia" w:eastAsiaTheme="majorEastAsia" w:cstheme="majorEastAsia"/>
                <w:color w:val="auto"/>
                <w:sz w:val="24"/>
                <w:highlight w:val="none"/>
                <w:lang w:val="en-US" w:eastAsia="zh-CN"/>
              </w:rPr>
            </w:pPr>
            <w:r>
              <w:rPr>
                <w:rFonts w:hint="eastAsia" w:ascii="宋体" w:hAnsi="宋体" w:eastAsia="宋体" w:cs="宋体"/>
                <w:color w:val="auto"/>
                <w:sz w:val="24"/>
                <w:szCs w:val="24"/>
                <w:highlight w:val="none"/>
                <w:lang w:val="en-US" w:eastAsia="zh-CN"/>
              </w:rPr>
              <w:t>项目负责人资格要求</w:t>
            </w:r>
          </w:p>
        </w:tc>
        <w:tc>
          <w:tcPr>
            <w:tcW w:w="7112" w:type="dxa"/>
            <w:tcBorders>
              <w:top w:val="single" w:color="auto" w:sz="4" w:space="0"/>
              <w:left w:val="single" w:color="auto" w:sz="4" w:space="0"/>
              <w:bottom w:val="single" w:color="auto" w:sz="4" w:space="0"/>
              <w:right w:val="single" w:color="auto" w:sz="4" w:space="0"/>
            </w:tcBorders>
            <w:noWrap/>
            <w:vAlign w:val="center"/>
          </w:tcPr>
          <w:p w14:paraId="60C75CE6">
            <w:pPr>
              <w:bidi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拟派项目负责人须具备水文地质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工程地质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环境地质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岩土工程中级及以上职称</w:t>
            </w:r>
            <w:r>
              <w:rPr>
                <w:rFonts w:hint="eastAsia" w:ascii="宋体" w:hAnsi="宋体" w:cs="宋体"/>
                <w:color w:val="auto"/>
                <w:sz w:val="24"/>
                <w:szCs w:val="24"/>
                <w:highlight w:val="none"/>
                <w:lang w:eastAsia="zh-CN"/>
              </w:rPr>
              <w:t>；须提供202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日至开标截止之日期间</w:t>
            </w:r>
            <w:r>
              <w:rPr>
                <w:rFonts w:hint="eastAsia" w:ascii="宋体" w:hAnsi="宋体" w:cs="宋体"/>
                <w:color w:val="auto"/>
                <w:sz w:val="24"/>
                <w:szCs w:val="24"/>
                <w:highlight w:val="none"/>
                <w:lang w:val="en-US" w:eastAsia="zh-CN"/>
              </w:rPr>
              <w:t>，</w:t>
            </w:r>
            <w:r>
              <w:rPr>
                <w:rFonts w:ascii="宋体" w:hAnsi="宋体" w:eastAsia="宋体" w:cs="宋体"/>
                <w:color w:val="auto"/>
                <w:sz w:val="24"/>
                <w:szCs w:val="24"/>
                <w:highlight w:val="none"/>
              </w:rPr>
              <w:t>投标单位为其缴纳至少 1 个月任一险种社会保障资金缴费单据</w:t>
            </w:r>
            <w:r>
              <w:rPr>
                <w:rFonts w:hint="eastAsia" w:ascii="宋体" w:hAnsi="宋体" w:eastAsia="宋体" w:cs="宋体"/>
                <w:color w:val="auto"/>
                <w:sz w:val="24"/>
                <w:szCs w:val="24"/>
                <w:highlight w:val="none"/>
                <w:lang w:val="en-US" w:eastAsia="zh-CN"/>
              </w:rPr>
              <w:t>。</w:t>
            </w:r>
          </w:p>
        </w:tc>
      </w:tr>
      <w:tr w14:paraId="13CC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53F8C347">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4</w:t>
            </w:r>
          </w:p>
        </w:tc>
        <w:tc>
          <w:tcPr>
            <w:tcW w:w="1686" w:type="dxa"/>
            <w:tcBorders>
              <w:top w:val="single" w:color="auto" w:sz="4" w:space="0"/>
              <w:left w:val="single" w:color="auto" w:sz="4" w:space="0"/>
              <w:bottom w:val="single" w:color="auto" w:sz="4" w:space="0"/>
              <w:right w:val="single" w:color="auto" w:sz="4" w:space="0"/>
            </w:tcBorders>
            <w:noWrap/>
            <w:vAlign w:val="center"/>
          </w:tcPr>
          <w:p w14:paraId="6D4E9271">
            <w:pPr>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税收缴纳证明</w:t>
            </w:r>
          </w:p>
        </w:tc>
        <w:tc>
          <w:tcPr>
            <w:tcW w:w="7112" w:type="dxa"/>
            <w:tcBorders>
              <w:top w:val="single" w:color="auto" w:sz="4" w:space="0"/>
              <w:left w:val="single" w:color="auto" w:sz="4" w:space="0"/>
              <w:bottom w:val="single" w:color="auto" w:sz="4" w:space="0"/>
              <w:right w:val="single" w:color="auto" w:sz="4" w:space="0"/>
            </w:tcBorders>
            <w:noWrap/>
            <w:vAlign w:val="center"/>
          </w:tcPr>
          <w:p w14:paraId="71666F7D">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01</w:t>
            </w:r>
            <w:r>
              <w:rPr>
                <w:rFonts w:hint="eastAsia" w:ascii="宋体" w:hAnsi="宋体" w:eastAsia="宋体" w:cs="宋体"/>
                <w:color w:val="auto"/>
                <w:sz w:val="24"/>
                <w:szCs w:val="24"/>
                <w:highlight w:val="none"/>
              </w:rPr>
              <w:t>月份</w:t>
            </w:r>
            <w:r>
              <w:rPr>
                <w:rFonts w:hint="eastAsia" w:ascii="宋体" w:hAnsi="宋体" w:eastAsia="宋体" w:cs="宋体"/>
                <w:color w:val="auto"/>
                <w:sz w:val="24"/>
                <w:szCs w:val="24"/>
                <w:highlight w:val="none"/>
                <w:lang w:eastAsia="zh-CN"/>
              </w:rPr>
              <w:t>至</w:t>
            </w:r>
            <w:r>
              <w:rPr>
                <w:rFonts w:hint="eastAsia" w:ascii="宋体" w:hAnsi="宋体" w:eastAsia="宋体" w:cs="宋体"/>
                <w:color w:val="auto"/>
                <w:sz w:val="24"/>
                <w:szCs w:val="24"/>
                <w:highlight w:val="none"/>
                <w:lang w:val="en-US" w:eastAsia="zh-CN"/>
              </w:rPr>
              <w:t>开标截止时间</w:t>
            </w:r>
            <w:r>
              <w:rPr>
                <w:rFonts w:hint="eastAsia" w:ascii="宋体" w:hAnsi="宋体" w:eastAsia="宋体" w:cs="宋体"/>
                <w:color w:val="auto"/>
                <w:sz w:val="24"/>
                <w:szCs w:val="24"/>
                <w:highlight w:val="none"/>
                <w:lang w:eastAsia="zh-CN"/>
              </w:rPr>
              <w:t>已缴纳的至少一个月的纳税证明（银行缴费凭证）或完税证明（时间以税款所属日期为准</w:t>
            </w:r>
            <w:r>
              <w:rPr>
                <w:rFonts w:hint="eastAsia" w:ascii="宋体" w:hAnsi="宋体" w:eastAsia="宋体" w:cs="宋体"/>
                <w:color w:val="auto"/>
                <w:sz w:val="24"/>
                <w:szCs w:val="24"/>
                <w:highlight w:val="none"/>
              </w:rPr>
              <w:t>），依法免税的单位应提供相关证明材料</w:t>
            </w:r>
            <w:r>
              <w:rPr>
                <w:rFonts w:hint="eastAsia" w:ascii="宋体" w:hAnsi="宋体" w:cs="宋体"/>
                <w:color w:val="auto"/>
                <w:sz w:val="24"/>
                <w:szCs w:val="24"/>
                <w:highlight w:val="none"/>
                <w:lang w:eastAsia="zh-CN"/>
              </w:rPr>
              <w:t>。</w:t>
            </w:r>
          </w:p>
        </w:tc>
      </w:tr>
      <w:tr w14:paraId="3F49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5DFF8614">
            <w:pPr>
              <w:spacing w:line="360" w:lineRule="auto"/>
              <w:jc w:val="center"/>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val="en-US" w:eastAsia="zh-CN"/>
              </w:rPr>
              <w:t>5</w:t>
            </w:r>
          </w:p>
        </w:tc>
        <w:tc>
          <w:tcPr>
            <w:tcW w:w="1686" w:type="dxa"/>
            <w:tcBorders>
              <w:top w:val="single" w:color="auto" w:sz="4" w:space="0"/>
              <w:left w:val="single" w:color="auto" w:sz="4" w:space="0"/>
              <w:bottom w:val="single" w:color="auto" w:sz="4" w:space="0"/>
              <w:right w:val="single" w:color="auto" w:sz="4" w:space="0"/>
            </w:tcBorders>
            <w:noWrap/>
            <w:vAlign w:val="center"/>
          </w:tcPr>
          <w:p w14:paraId="4A214DDC">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社会保障资金缴纳证明</w:t>
            </w:r>
          </w:p>
        </w:tc>
        <w:tc>
          <w:tcPr>
            <w:tcW w:w="7112" w:type="dxa"/>
            <w:tcBorders>
              <w:top w:val="single" w:color="auto" w:sz="4" w:space="0"/>
              <w:left w:val="single" w:color="auto" w:sz="4" w:space="0"/>
              <w:bottom w:val="single" w:color="auto" w:sz="4" w:space="0"/>
              <w:right w:val="single" w:color="auto" w:sz="4" w:space="0"/>
            </w:tcBorders>
            <w:noWrap/>
            <w:vAlign w:val="center"/>
          </w:tcPr>
          <w:p w14:paraId="7061A036">
            <w:pPr>
              <w:spacing w:line="360" w:lineRule="auto"/>
              <w:jc w:val="left"/>
              <w:rPr>
                <w:rFonts w:hint="eastAsia" w:eastAsia="宋体" w:asciiTheme="majorEastAsia" w:hAnsiTheme="majorEastAsia" w:cstheme="majorEastAsia"/>
                <w:color w:val="auto"/>
                <w:sz w:val="24"/>
                <w:highlight w:val="none"/>
                <w:shd w:val="clear" w:color="auto" w:fill="FFFFFF"/>
                <w:lang w:eastAsia="zh-CN"/>
              </w:rPr>
            </w:pPr>
            <w:r>
              <w:rPr>
                <w:rFonts w:hint="eastAsia" w:ascii="宋体" w:hAnsi="宋体" w:eastAsia="宋体" w:cs="宋体"/>
                <w:color w:val="auto"/>
                <w:sz w:val="24"/>
                <w:szCs w:val="24"/>
                <w:highlight w:val="none"/>
                <w:lang w:val="en-US" w:eastAsia="zh-CN"/>
              </w:rPr>
              <w:t>提供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年01月至开标截止时间已缴纳的至少一个月的社会保障资金（任一险种）缴费单据或社保机构开具的社会保险参保缴费情况证明，依法不需要缴纳社会保障资金的单位应提供相关证明材料</w:t>
            </w:r>
            <w:r>
              <w:rPr>
                <w:rFonts w:hint="eastAsia" w:ascii="宋体" w:hAnsi="宋体" w:cs="宋体"/>
                <w:color w:val="auto"/>
                <w:sz w:val="24"/>
                <w:szCs w:val="24"/>
                <w:highlight w:val="none"/>
                <w:lang w:val="en-US" w:eastAsia="zh-CN"/>
              </w:rPr>
              <w:t>。</w:t>
            </w:r>
          </w:p>
        </w:tc>
      </w:tr>
      <w:tr w14:paraId="66949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75C04B87">
            <w:pPr>
              <w:spacing w:line="360" w:lineRule="auto"/>
              <w:jc w:val="center"/>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val="en-US" w:eastAsia="zh-CN"/>
              </w:rPr>
              <w:t>6</w:t>
            </w:r>
          </w:p>
        </w:tc>
        <w:tc>
          <w:tcPr>
            <w:tcW w:w="1686" w:type="dxa"/>
            <w:tcBorders>
              <w:top w:val="single" w:color="auto" w:sz="4" w:space="0"/>
              <w:left w:val="single" w:color="auto" w:sz="4" w:space="0"/>
              <w:bottom w:val="single" w:color="auto" w:sz="4" w:space="0"/>
              <w:right w:val="single" w:color="auto" w:sz="4" w:space="0"/>
            </w:tcBorders>
            <w:noWrap/>
            <w:vAlign w:val="center"/>
          </w:tcPr>
          <w:p w14:paraId="64CC33DA">
            <w:pPr>
              <w:spacing w:line="360" w:lineRule="auto"/>
              <w:jc w:val="center"/>
              <w:rPr>
                <w:rFonts w:asciiTheme="majorEastAsia" w:hAnsiTheme="majorEastAsia" w:eastAsiaTheme="majorEastAsia" w:cstheme="majorEastAsia"/>
                <w:color w:val="auto"/>
                <w:sz w:val="24"/>
                <w:highlight w:val="none"/>
              </w:rPr>
            </w:pPr>
            <w:r>
              <w:rPr>
                <w:rFonts w:hint="eastAsia" w:ascii="宋体" w:hAnsi="宋体" w:eastAsia="宋体" w:cs="宋体"/>
                <w:color w:val="auto"/>
                <w:sz w:val="24"/>
                <w:szCs w:val="24"/>
                <w:highlight w:val="none"/>
              </w:rPr>
              <w:t>财务状况报告</w:t>
            </w:r>
          </w:p>
        </w:tc>
        <w:tc>
          <w:tcPr>
            <w:tcW w:w="7112" w:type="dxa"/>
            <w:tcBorders>
              <w:top w:val="single" w:color="auto" w:sz="4" w:space="0"/>
              <w:left w:val="single" w:color="auto" w:sz="4" w:space="0"/>
              <w:bottom w:val="single" w:color="auto" w:sz="4" w:space="0"/>
              <w:right w:val="single" w:color="auto" w:sz="4" w:space="0"/>
            </w:tcBorders>
            <w:noWrap/>
            <w:vAlign w:val="center"/>
          </w:tcPr>
          <w:p w14:paraId="3E325E01">
            <w:pPr>
              <w:spacing w:line="360" w:lineRule="auto"/>
              <w:jc w:val="left"/>
              <w:rPr>
                <w:rFonts w:hint="eastAsia" w:eastAsia="宋体" w:asciiTheme="majorEastAsia" w:hAnsiTheme="majorEastAsia" w:cstheme="majorEastAsia"/>
                <w:color w:val="auto"/>
                <w:sz w:val="24"/>
                <w:highlight w:val="none"/>
                <w:shd w:val="clear" w:color="auto" w:fill="FFFFFF"/>
                <w:lang w:eastAsia="zh-CN"/>
              </w:rPr>
            </w:pP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eastAsia="zh-CN"/>
              </w:rPr>
              <w:t>缴费主体</w:t>
            </w:r>
            <w:r>
              <w:rPr>
                <w:rFonts w:hint="eastAsia" w:ascii="宋体" w:hAnsi="宋体" w:eastAsia="宋体" w:cs="宋体"/>
                <w:color w:val="auto"/>
                <w:sz w:val="24"/>
                <w:szCs w:val="24"/>
                <w:highlight w:val="none"/>
              </w:rPr>
              <w:t>赋码后</w:t>
            </w:r>
            <w:r>
              <w:rPr>
                <w:rFonts w:hint="eastAsia" w:ascii="宋体" w:hAnsi="宋体" w:eastAsia="宋体" w:cs="宋体"/>
                <w:color w:val="auto"/>
                <w:sz w:val="24"/>
                <w:szCs w:val="24"/>
                <w:highlight w:val="none"/>
                <w:lang w:val="en-US" w:eastAsia="zh-CN"/>
              </w:rPr>
              <w:t>2025年度</w:t>
            </w:r>
            <w:r>
              <w:rPr>
                <w:rFonts w:hint="eastAsia" w:ascii="宋体" w:hAnsi="宋体" w:eastAsia="宋体" w:cs="宋体"/>
                <w:color w:val="auto"/>
                <w:sz w:val="24"/>
                <w:szCs w:val="24"/>
                <w:highlight w:val="none"/>
              </w:rPr>
              <w:t>经会计师事务所或审计机构审计的财务审计报告，提供的财务审计报告需在注册会计师行业统一监管平台（http://acc.mof.gov.cn/）可查询并提供网页查询截图</w:t>
            </w:r>
            <w:r>
              <w:rPr>
                <w:rFonts w:hint="eastAsia" w:ascii="宋体" w:hAnsi="宋体" w:eastAsia="宋体" w:cs="宋体"/>
                <w:color w:val="auto"/>
                <w:sz w:val="24"/>
                <w:szCs w:val="24"/>
                <w:highlight w:val="none"/>
                <w:lang w:eastAsia="zh-CN"/>
              </w:rPr>
              <w:t>；成立</w:t>
            </w:r>
            <w:r>
              <w:rPr>
                <w:rFonts w:hint="eastAsia" w:ascii="宋体" w:hAnsi="宋体" w:eastAsia="宋体" w:cs="宋体"/>
                <w:color w:val="auto"/>
                <w:sz w:val="24"/>
                <w:szCs w:val="24"/>
                <w:highlight w:val="none"/>
              </w:rPr>
              <w:t>不足一年的提供成立以来的资产负债表、利润表、现金流量表及基本账户银行出具的资信证明）</w:t>
            </w:r>
            <w:r>
              <w:rPr>
                <w:rFonts w:hint="eastAsia" w:ascii="宋体" w:hAnsi="宋体" w:cs="宋体"/>
                <w:color w:val="auto"/>
                <w:sz w:val="24"/>
                <w:szCs w:val="24"/>
                <w:highlight w:val="none"/>
                <w:lang w:eastAsia="zh-CN"/>
              </w:rPr>
              <w:t>。</w:t>
            </w:r>
          </w:p>
        </w:tc>
      </w:tr>
      <w:tr w14:paraId="6A1D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83" w:hRule="atLeast"/>
          <w:jc w:val="center"/>
        </w:trPr>
        <w:tc>
          <w:tcPr>
            <w:tcW w:w="779" w:type="dxa"/>
            <w:tcBorders>
              <w:left w:val="single" w:color="auto" w:sz="4" w:space="0"/>
              <w:right w:val="single" w:color="auto" w:sz="4" w:space="0"/>
            </w:tcBorders>
            <w:noWrap/>
            <w:vAlign w:val="center"/>
          </w:tcPr>
          <w:p w14:paraId="6B8E996C">
            <w:pPr>
              <w:spacing w:line="360" w:lineRule="auto"/>
              <w:jc w:val="center"/>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val="en-US" w:eastAsia="zh-CN"/>
              </w:rPr>
              <w:t>7</w:t>
            </w:r>
          </w:p>
        </w:tc>
        <w:tc>
          <w:tcPr>
            <w:tcW w:w="1686" w:type="dxa"/>
            <w:tcBorders>
              <w:top w:val="single" w:color="auto" w:sz="4" w:space="0"/>
              <w:left w:val="single" w:color="auto" w:sz="4" w:space="0"/>
              <w:bottom w:val="single" w:color="auto" w:sz="4" w:space="0"/>
              <w:right w:val="single" w:color="auto" w:sz="4" w:space="0"/>
            </w:tcBorders>
            <w:noWrap/>
            <w:vAlign w:val="center"/>
          </w:tcPr>
          <w:p w14:paraId="3978AE68">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主体信用查询记录</w:t>
            </w:r>
          </w:p>
        </w:tc>
        <w:tc>
          <w:tcPr>
            <w:tcW w:w="7112" w:type="dxa"/>
            <w:tcBorders>
              <w:top w:val="single" w:color="auto" w:sz="4" w:space="0"/>
              <w:left w:val="single" w:color="auto" w:sz="4" w:space="0"/>
              <w:bottom w:val="single" w:color="auto" w:sz="4" w:space="0"/>
              <w:right w:val="single" w:color="auto" w:sz="4" w:space="0"/>
            </w:tcBorders>
            <w:noWrap/>
            <w:vAlign w:val="center"/>
          </w:tcPr>
          <w:p w14:paraId="3A54303C">
            <w:pPr>
              <w:spacing w:line="360" w:lineRule="auto"/>
              <w:jc w:val="left"/>
              <w:rPr>
                <w:rFonts w:hint="eastAsia" w:eastAsia="宋体" w:asciiTheme="majorEastAsia" w:hAnsiTheme="majorEastAsia" w:cstheme="majorEastAsia"/>
                <w:color w:val="auto"/>
                <w:sz w:val="24"/>
                <w:highlight w:val="none"/>
                <w:shd w:val="clear" w:color="auto" w:fill="FFFFFF"/>
                <w:lang w:eastAsia="zh-CN"/>
              </w:rPr>
            </w:pPr>
            <w:r>
              <w:rPr>
                <w:rFonts w:ascii="宋体" w:hAnsi="宋体" w:eastAsia="宋体" w:cs="宋体"/>
                <w:color w:val="auto"/>
                <w:sz w:val="24"/>
                <w:szCs w:val="24"/>
                <w:highlight w:val="none"/>
              </w:rPr>
              <w:t>对列入 “信用中国” 网站 (</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"https://link.wtturl.cn/?target=https://www.creditchina.gov.cn&amp;scene=im&amp;aid=497858&amp;lang=zh" \o "autolink" \t "_blank" </w:instrText>
            </w:r>
            <w:r>
              <w:rPr>
                <w:rFonts w:ascii="宋体" w:hAnsi="宋体" w:eastAsia="宋体" w:cs="宋体"/>
                <w:color w:val="auto"/>
                <w:sz w:val="24"/>
                <w:szCs w:val="24"/>
                <w:highlight w:val="none"/>
              </w:rPr>
              <w:fldChar w:fldCharType="separate"/>
            </w:r>
            <w:r>
              <w:rPr>
                <w:rStyle w:val="35"/>
                <w:rFonts w:ascii="宋体" w:hAnsi="宋体" w:eastAsia="宋体" w:cs="宋体"/>
                <w:color w:val="auto"/>
                <w:sz w:val="24"/>
                <w:szCs w:val="24"/>
                <w:highlight w:val="none"/>
              </w:rPr>
              <w:t>www.creditchina.gov.cn</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失信被执行人、重大税收违法失信主体、经营异常名录；“中国政府采购网”(</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"https://link.wtturl.cn/?target=https://www.ccgp.gov.cn&amp;scene=im&amp;aid=497858&amp;lang=zh" \o "autolink" \t "_blank" </w:instrText>
            </w:r>
            <w:r>
              <w:rPr>
                <w:rFonts w:ascii="宋体" w:hAnsi="宋体" w:eastAsia="宋体" w:cs="宋体"/>
                <w:color w:val="auto"/>
                <w:sz w:val="24"/>
                <w:szCs w:val="24"/>
                <w:highlight w:val="none"/>
              </w:rPr>
              <w:fldChar w:fldCharType="separate"/>
            </w:r>
            <w:r>
              <w:rPr>
                <w:rStyle w:val="35"/>
                <w:rFonts w:ascii="宋体" w:hAnsi="宋体" w:eastAsia="宋体" w:cs="宋体"/>
                <w:color w:val="auto"/>
                <w:sz w:val="24"/>
                <w:szCs w:val="24"/>
                <w:highlight w:val="none"/>
              </w:rPr>
              <w:t>www.ccgp.gov.cn</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政府采购严重违法失信行为信息记录的单位，应当拒绝参与政府采购活动，</w:t>
            </w:r>
            <w:r>
              <w:rPr>
                <w:rFonts w:hint="eastAsia" w:ascii="宋体" w:hAnsi="宋体" w:eastAsia="宋体" w:cs="宋体"/>
                <w:i w:val="0"/>
                <w:iCs w:val="0"/>
                <w:caps w:val="0"/>
                <w:color w:val="auto"/>
                <w:spacing w:val="0"/>
                <w:sz w:val="24"/>
                <w:szCs w:val="24"/>
                <w:highlight w:val="none"/>
                <w:shd w:val="clear" w:color="auto" w:fill="FFFFFF"/>
              </w:rPr>
              <w:t>提供查询截图（查询日期为从</w:t>
            </w:r>
            <w:r>
              <w:rPr>
                <w:rFonts w:hint="eastAsia" w:ascii="宋体" w:hAnsi="宋体" w:cs="宋体"/>
                <w:i w:val="0"/>
                <w:iCs w:val="0"/>
                <w:caps w:val="0"/>
                <w:color w:val="auto"/>
                <w:spacing w:val="0"/>
                <w:sz w:val="24"/>
                <w:szCs w:val="24"/>
                <w:highlight w:val="none"/>
                <w:shd w:val="clear" w:color="auto" w:fill="FFFFFF"/>
                <w:lang w:val="en-US" w:eastAsia="zh-CN"/>
              </w:rPr>
              <w:t>招标</w:t>
            </w:r>
            <w:r>
              <w:rPr>
                <w:rFonts w:hint="eastAsia" w:ascii="宋体" w:hAnsi="宋体" w:eastAsia="宋体" w:cs="宋体"/>
                <w:i w:val="0"/>
                <w:iCs w:val="0"/>
                <w:caps w:val="0"/>
                <w:color w:val="auto"/>
                <w:spacing w:val="0"/>
                <w:sz w:val="24"/>
                <w:szCs w:val="24"/>
                <w:highlight w:val="none"/>
                <w:shd w:val="clear" w:color="auto" w:fill="FFFFFF"/>
              </w:rPr>
              <w:t>文件获取之日起至投标截止日前但最终以投标截止日当天查询结果为准）</w:t>
            </w:r>
            <w:r>
              <w:rPr>
                <w:rFonts w:hint="eastAsia" w:ascii="宋体" w:hAnsi="宋体" w:eastAsia="宋体" w:cs="宋体"/>
                <w:color w:val="auto"/>
                <w:sz w:val="24"/>
                <w:szCs w:val="24"/>
                <w:highlight w:val="none"/>
              </w:rPr>
              <w:t>。</w:t>
            </w:r>
          </w:p>
        </w:tc>
      </w:tr>
      <w:tr w14:paraId="467C2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4D095DB2">
            <w:pPr>
              <w:spacing w:line="360" w:lineRule="auto"/>
              <w:jc w:val="center"/>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val="en-US" w:eastAsia="zh-CN"/>
              </w:rPr>
              <w:t>8</w:t>
            </w:r>
          </w:p>
        </w:tc>
        <w:tc>
          <w:tcPr>
            <w:tcW w:w="1686" w:type="dxa"/>
            <w:tcBorders>
              <w:top w:val="single" w:color="auto" w:sz="4" w:space="0"/>
              <w:left w:val="single" w:color="auto" w:sz="4" w:space="0"/>
              <w:bottom w:val="single" w:color="auto" w:sz="4" w:space="0"/>
              <w:right w:val="single" w:color="auto" w:sz="4" w:space="0"/>
            </w:tcBorders>
            <w:noWrap/>
            <w:vAlign w:val="center"/>
          </w:tcPr>
          <w:p w14:paraId="06C211C6">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无违纪声明</w:t>
            </w:r>
          </w:p>
        </w:tc>
        <w:tc>
          <w:tcPr>
            <w:tcW w:w="7112" w:type="dxa"/>
            <w:tcBorders>
              <w:top w:val="single" w:color="auto" w:sz="4" w:space="0"/>
              <w:left w:val="single" w:color="auto" w:sz="4" w:space="0"/>
              <w:bottom w:val="single" w:color="auto" w:sz="4" w:space="0"/>
              <w:right w:val="single" w:color="auto" w:sz="4" w:space="0"/>
            </w:tcBorders>
            <w:noWrap/>
            <w:vAlign w:val="center"/>
          </w:tcPr>
          <w:p w14:paraId="41467285">
            <w:pPr>
              <w:spacing w:line="360" w:lineRule="auto"/>
              <w:jc w:val="left"/>
              <w:rPr>
                <w:rFonts w:hint="eastAsia" w:eastAsia="宋体" w:asciiTheme="majorEastAsia" w:hAnsiTheme="majorEastAsia" w:cstheme="majorEastAsia"/>
                <w:color w:val="auto"/>
                <w:sz w:val="24"/>
                <w:highlight w:val="none"/>
                <w:shd w:val="clear" w:color="auto" w:fill="FFFFFF"/>
                <w:lang w:eastAsia="zh-CN"/>
              </w:rPr>
            </w:pPr>
            <w:r>
              <w:rPr>
                <w:rFonts w:hint="eastAsia" w:ascii="宋体" w:hAnsi="宋体" w:eastAsia="宋体" w:cs="宋体"/>
                <w:color w:val="auto"/>
                <w:sz w:val="24"/>
                <w:szCs w:val="24"/>
                <w:highlight w:val="none"/>
              </w:rPr>
              <w:t>参加政府采购活动前三年内，在经营活动中没有重大违法记录的书面声明</w:t>
            </w:r>
            <w:r>
              <w:rPr>
                <w:rFonts w:hint="eastAsia" w:ascii="宋体" w:hAnsi="宋体" w:cs="宋体"/>
                <w:color w:val="auto"/>
                <w:sz w:val="24"/>
                <w:szCs w:val="24"/>
                <w:highlight w:val="none"/>
                <w:lang w:eastAsia="zh-CN"/>
              </w:rPr>
              <w:t>。</w:t>
            </w:r>
          </w:p>
        </w:tc>
      </w:tr>
      <w:tr w14:paraId="3732D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2CEB22B3">
            <w:pPr>
              <w:spacing w:line="360" w:lineRule="auto"/>
              <w:jc w:val="center"/>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val="en-US" w:eastAsia="zh-CN"/>
              </w:rPr>
              <w:t>9</w:t>
            </w:r>
          </w:p>
        </w:tc>
        <w:tc>
          <w:tcPr>
            <w:tcW w:w="1686" w:type="dxa"/>
            <w:tcBorders>
              <w:top w:val="single" w:color="auto" w:sz="4" w:space="0"/>
              <w:left w:val="single" w:color="auto" w:sz="4" w:space="0"/>
              <w:bottom w:val="single" w:color="auto" w:sz="4" w:space="0"/>
              <w:right w:val="single" w:color="auto" w:sz="4" w:space="0"/>
            </w:tcBorders>
            <w:noWrap/>
            <w:vAlign w:val="center"/>
          </w:tcPr>
          <w:p w14:paraId="111D4E4B">
            <w:pPr>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自主上报信用承诺书</w:t>
            </w:r>
          </w:p>
        </w:tc>
        <w:tc>
          <w:tcPr>
            <w:tcW w:w="7112" w:type="dxa"/>
            <w:tcBorders>
              <w:top w:val="single" w:color="auto" w:sz="4" w:space="0"/>
              <w:left w:val="single" w:color="auto" w:sz="4" w:space="0"/>
              <w:bottom w:val="single" w:color="auto" w:sz="4" w:space="0"/>
              <w:right w:val="single" w:color="auto" w:sz="4" w:space="0"/>
            </w:tcBorders>
            <w:noWrap/>
            <w:vAlign w:val="center"/>
          </w:tcPr>
          <w:p w14:paraId="67855EEE">
            <w:pPr>
              <w:bidi w:val="0"/>
              <w:spacing w:line="360" w:lineRule="auto"/>
              <w:rPr>
                <w:rFonts w:asciiTheme="majorEastAsia" w:hAnsiTheme="majorEastAsia" w:eastAsiaTheme="majorEastAsia" w:cstheme="majorEastAsia"/>
                <w:color w:val="auto"/>
                <w:sz w:val="24"/>
                <w:highlight w:val="none"/>
              </w:rPr>
            </w:pPr>
            <w:r>
              <w:rPr>
                <w:rFonts w:hint="eastAsia" w:ascii="宋体" w:hAnsi="宋体" w:eastAsia="宋体" w:cs="宋体"/>
                <w:color w:val="auto"/>
                <w:sz w:val="24"/>
                <w:szCs w:val="24"/>
                <w:highlight w:val="none"/>
              </w:rPr>
              <w:t>投标人及其授权委托人应在“信用中国（陕西榆林）”网站(www.ylcredit.gov.cn)进行注册、登录、自主上报信用承诺书，包括：《榆林市政府采购</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类项目供应商信用承诺书》《投标人信用承诺》、《投标人委托代理人员信用承诺书》(如有)、《投标信用承诺书》。</w:t>
            </w:r>
          </w:p>
        </w:tc>
      </w:tr>
      <w:tr w14:paraId="08331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58EEDB7E">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10</w:t>
            </w:r>
          </w:p>
        </w:tc>
        <w:tc>
          <w:tcPr>
            <w:tcW w:w="1686" w:type="dxa"/>
            <w:tcBorders>
              <w:top w:val="single" w:color="auto" w:sz="4" w:space="0"/>
              <w:left w:val="single" w:color="auto" w:sz="4" w:space="0"/>
              <w:bottom w:val="single" w:color="auto" w:sz="4" w:space="0"/>
              <w:right w:val="single" w:color="auto" w:sz="4" w:space="0"/>
            </w:tcBorders>
            <w:noWrap/>
            <w:vAlign w:val="center"/>
          </w:tcPr>
          <w:p w14:paraId="30CEC37E">
            <w:pPr>
              <w:spacing w:line="360" w:lineRule="auto"/>
              <w:jc w:val="center"/>
              <w:rPr>
                <w:rFonts w:hint="eastAsia" w:asciiTheme="majorEastAsia" w:hAnsiTheme="majorEastAsia" w:eastAsiaTheme="majorEastAsia" w:cstheme="majorEastAsia"/>
                <w:bCs/>
                <w:color w:val="auto"/>
                <w:sz w:val="24"/>
                <w:highlight w:val="none"/>
              </w:rPr>
            </w:pPr>
            <w:r>
              <w:rPr>
                <w:rFonts w:hint="eastAsia" w:ascii="宋体" w:hAnsi="宋体" w:eastAsia="宋体" w:cs="宋体"/>
                <w:color w:val="auto"/>
                <w:sz w:val="24"/>
                <w:szCs w:val="24"/>
                <w:highlight w:val="none"/>
                <w:lang w:val="en-US" w:eastAsia="zh-CN"/>
              </w:rPr>
              <w:t>中小企业声明函</w:t>
            </w:r>
          </w:p>
        </w:tc>
        <w:tc>
          <w:tcPr>
            <w:tcW w:w="7112" w:type="dxa"/>
            <w:tcBorders>
              <w:top w:val="single" w:color="auto" w:sz="4" w:space="0"/>
              <w:left w:val="single" w:color="auto" w:sz="4" w:space="0"/>
              <w:bottom w:val="single" w:color="auto" w:sz="4" w:space="0"/>
              <w:right w:val="single" w:color="auto" w:sz="4" w:space="0"/>
            </w:tcBorders>
            <w:noWrap/>
            <w:vAlign w:val="center"/>
          </w:tcPr>
          <w:p w14:paraId="3D3FC346">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本项目专门面向</w:t>
            </w:r>
            <w:r>
              <w:rPr>
                <w:rFonts w:hint="eastAsia" w:ascii="宋体" w:hAnsi="宋体" w:cs="宋体"/>
                <w:color w:val="auto"/>
                <w:sz w:val="24"/>
                <w:szCs w:val="24"/>
                <w:highlight w:val="none"/>
                <w:lang w:val="en-US" w:eastAsia="zh-CN"/>
              </w:rPr>
              <w:t>中小</w:t>
            </w:r>
            <w:r>
              <w:rPr>
                <w:rFonts w:hint="eastAsia" w:ascii="宋体" w:hAnsi="宋体" w:eastAsia="宋体" w:cs="宋体"/>
                <w:color w:val="auto"/>
                <w:sz w:val="24"/>
                <w:szCs w:val="24"/>
                <w:highlight w:val="none"/>
                <w:lang w:val="en-US" w:eastAsia="zh-CN"/>
              </w:rPr>
              <w:t>企业采购，满足要求的</w:t>
            </w:r>
            <w:r>
              <w:rPr>
                <w:rFonts w:hint="eastAsia" w:ascii="宋体" w:hAnsi="宋体" w:cs="宋体"/>
                <w:color w:val="auto"/>
                <w:sz w:val="24"/>
                <w:szCs w:val="24"/>
                <w:highlight w:val="none"/>
                <w:lang w:val="en-US" w:eastAsia="zh-CN"/>
              </w:rPr>
              <w:t>中小</w:t>
            </w:r>
            <w:r>
              <w:rPr>
                <w:rFonts w:hint="eastAsia" w:ascii="宋体" w:hAnsi="宋体" w:eastAsia="宋体" w:cs="宋体"/>
                <w:color w:val="auto"/>
                <w:sz w:val="24"/>
                <w:szCs w:val="24"/>
                <w:highlight w:val="none"/>
                <w:lang w:val="en-US" w:eastAsia="zh-CN"/>
              </w:rPr>
              <w:t>企业须提供管理办法规定的《中小企业声明函》并对真实性负责。</w:t>
            </w:r>
          </w:p>
        </w:tc>
      </w:tr>
      <w:tr w14:paraId="17D0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779" w:type="dxa"/>
            <w:tcBorders>
              <w:left w:val="single" w:color="auto" w:sz="4" w:space="0"/>
              <w:right w:val="single" w:color="auto" w:sz="4" w:space="0"/>
            </w:tcBorders>
            <w:noWrap/>
            <w:vAlign w:val="center"/>
          </w:tcPr>
          <w:p w14:paraId="1C027794">
            <w:pPr>
              <w:spacing w:line="360" w:lineRule="auto"/>
              <w:jc w:val="center"/>
              <w:rPr>
                <w:rFonts w:hint="default"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11</w:t>
            </w:r>
          </w:p>
        </w:tc>
        <w:tc>
          <w:tcPr>
            <w:tcW w:w="1686" w:type="dxa"/>
            <w:tcBorders>
              <w:top w:val="single" w:color="auto" w:sz="4" w:space="0"/>
              <w:left w:val="single" w:color="auto" w:sz="4" w:space="0"/>
              <w:bottom w:val="single" w:color="auto" w:sz="4" w:space="0"/>
              <w:right w:val="single" w:color="auto" w:sz="4" w:space="0"/>
            </w:tcBorders>
            <w:noWrap/>
            <w:vAlign w:val="center"/>
          </w:tcPr>
          <w:p w14:paraId="55ED75EF">
            <w:pPr>
              <w:spacing w:line="360" w:lineRule="auto"/>
              <w:jc w:val="center"/>
              <w:rPr>
                <w:rFonts w:hint="eastAsia" w:asciiTheme="majorEastAsia" w:hAnsiTheme="majorEastAsia" w:eastAsiaTheme="majorEastAsia" w:cstheme="majorEastAsia"/>
                <w:bCs/>
                <w:color w:val="auto"/>
                <w:sz w:val="24"/>
                <w:highlight w:val="none"/>
              </w:rPr>
            </w:pPr>
            <w:r>
              <w:rPr>
                <w:rFonts w:hint="eastAsia" w:ascii="宋体" w:hAnsi="宋体" w:eastAsia="宋体" w:cs="宋体"/>
                <w:i w:val="0"/>
                <w:iCs w:val="0"/>
                <w:caps w:val="0"/>
                <w:color w:val="auto"/>
                <w:spacing w:val="0"/>
                <w:sz w:val="24"/>
                <w:szCs w:val="24"/>
                <w:highlight w:val="none"/>
                <w:shd w:val="clear" w:fill="FFFFFF"/>
              </w:rPr>
              <w:t>非联合体投标声明</w:t>
            </w:r>
          </w:p>
        </w:tc>
        <w:tc>
          <w:tcPr>
            <w:tcW w:w="7112" w:type="dxa"/>
            <w:tcBorders>
              <w:top w:val="single" w:color="auto" w:sz="4" w:space="0"/>
              <w:left w:val="single" w:color="auto" w:sz="4" w:space="0"/>
              <w:bottom w:val="single" w:color="auto" w:sz="4" w:space="0"/>
              <w:right w:val="single" w:color="auto" w:sz="4" w:space="0"/>
            </w:tcBorders>
            <w:noWrap/>
            <w:vAlign w:val="center"/>
          </w:tcPr>
          <w:p w14:paraId="4391A987">
            <w:pPr>
              <w:spacing w:line="360" w:lineRule="auto"/>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color w:val="auto"/>
                <w:sz w:val="24"/>
                <w:szCs w:val="24"/>
                <w:highlight w:val="none"/>
              </w:rPr>
              <w:t>本项目不接受联合体投标，单位负责人为同一人或者存在直接控股、管理关系的不同供应商，不得参加同一合同项下的政府采购活动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须提供非联合体投标声明</w:t>
            </w:r>
            <w:r>
              <w:rPr>
                <w:rFonts w:hint="eastAsia" w:ascii="宋体" w:hAnsi="宋体" w:eastAsia="宋体" w:cs="宋体"/>
                <w:color w:val="auto"/>
                <w:sz w:val="24"/>
                <w:szCs w:val="24"/>
                <w:highlight w:val="none"/>
                <w:lang w:eastAsia="zh-CN"/>
              </w:rPr>
              <w:t>。</w:t>
            </w:r>
          </w:p>
        </w:tc>
      </w:tr>
      <w:tr w14:paraId="10B7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8" w:hRule="atLeast"/>
          <w:jc w:val="center"/>
        </w:trPr>
        <w:tc>
          <w:tcPr>
            <w:tcW w:w="9577" w:type="dxa"/>
            <w:gridSpan w:val="3"/>
            <w:tcBorders>
              <w:left w:val="single" w:color="auto" w:sz="4" w:space="0"/>
              <w:bottom w:val="single" w:color="auto" w:sz="4" w:space="0"/>
              <w:right w:val="single" w:color="auto" w:sz="4" w:space="0"/>
            </w:tcBorders>
            <w:noWrap/>
            <w:vAlign w:val="center"/>
          </w:tcPr>
          <w:p w14:paraId="18D8E4BD">
            <w:pPr>
              <w:spacing w:line="360" w:lineRule="auto"/>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auto"/>
                <w:sz w:val="24"/>
                <w:highlight w:val="none"/>
              </w:rPr>
              <w:t>注：审查不合格的投标供应商将视为非响应投标，不再进入后续评标阶段。</w:t>
            </w:r>
          </w:p>
        </w:tc>
      </w:tr>
    </w:tbl>
    <w:p w14:paraId="2C1E49DA">
      <w:pPr>
        <w:spacing w:beforeLines="50"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22.2 评标委员会将审查每份投标文件是否实质上响应了招标文件的要求。实质上响应的投标应该是与招标文件要求的全部条款、条件和规格相符，没有重大偏离或保留的投标。对关键条文的偏离、保留或反对将被认为是实质上的偏离。重大偏离或保留是指实质上影响服务内容；或者实质上与招标文件不一致，而且限制了采购人的权利或投标人的义务。纠正这些偏离或保留将会对其他实质上响应要求的投标人的竞争地位产生不公正的影响。对于投标文件中不构成实质性偏差的不正规、不一致或不规则，采购人可以接受，但这种接受将影响投标人的综合得分。评标委员会只根据投标文件本身的内容确定投标文件的响应性，而不寻求外部的证据。</w:t>
      </w:r>
    </w:p>
    <w:p w14:paraId="1C224B47">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22.3 符合性评审：主要对各供应商投标文件进行商务性的审定。不符合下列情况之一的，其投标将按无效处理：</w:t>
      </w:r>
    </w:p>
    <w:tbl>
      <w:tblPr>
        <w:tblStyle w:val="25"/>
        <w:tblW w:w="91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46"/>
        <w:gridCol w:w="7762"/>
        <w:gridCol w:w="659"/>
      </w:tblGrid>
      <w:tr w14:paraId="0CD9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1" w:hRule="atLeast"/>
          <w:jc w:val="center"/>
        </w:trPr>
        <w:tc>
          <w:tcPr>
            <w:tcW w:w="746" w:type="dxa"/>
            <w:tcBorders>
              <w:top w:val="single" w:color="auto" w:sz="4" w:space="0"/>
              <w:left w:val="single" w:color="auto" w:sz="4" w:space="0"/>
              <w:bottom w:val="single" w:color="auto" w:sz="4" w:space="0"/>
              <w:right w:val="single" w:color="auto" w:sz="4" w:space="0"/>
            </w:tcBorders>
            <w:noWrap/>
            <w:vAlign w:val="center"/>
          </w:tcPr>
          <w:p w14:paraId="75EE6956">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序号</w:t>
            </w:r>
          </w:p>
        </w:tc>
        <w:tc>
          <w:tcPr>
            <w:tcW w:w="7762" w:type="dxa"/>
            <w:tcBorders>
              <w:top w:val="single" w:color="auto" w:sz="4" w:space="0"/>
              <w:left w:val="single" w:color="auto" w:sz="4" w:space="0"/>
              <w:bottom w:val="single" w:color="auto" w:sz="4" w:space="0"/>
              <w:right w:val="single" w:color="auto" w:sz="4" w:space="0"/>
            </w:tcBorders>
            <w:noWrap/>
            <w:vAlign w:val="center"/>
          </w:tcPr>
          <w:p w14:paraId="0359C80D">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审查因素</w:t>
            </w:r>
          </w:p>
        </w:tc>
        <w:tc>
          <w:tcPr>
            <w:tcW w:w="659" w:type="dxa"/>
            <w:tcBorders>
              <w:top w:val="single" w:color="auto" w:sz="4" w:space="0"/>
              <w:left w:val="single" w:color="auto" w:sz="4" w:space="0"/>
              <w:bottom w:val="single" w:color="auto" w:sz="4" w:space="0"/>
              <w:right w:val="single" w:color="auto" w:sz="4" w:space="0"/>
            </w:tcBorders>
            <w:noWrap/>
            <w:vAlign w:val="center"/>
          </w:tcPr>
          <w:p w14:paraId="3BBD12C2">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备注</w:t>
            </w:r>
          </w:p>
        </w:tc>
      </w:tr>
      <w:tr w14:paraId="769CE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90" w:hRule="atLeast"/>
          <w:jc w:val="center"/>
        </w:trPr>
        <w:tc>
          <w:tcPr>
            <w:tcW w:w="746" w:type="dxa"/>
            <w:tcBorders>
              <w:left w:val="single" w:color="auto" w:sz="4" w:space="0"/>
              <w:right w:val="single" w:color="auto" w:sz="4" w:space="0"/>
            </w:tcBorders>
            <w:noWrap/>
            <w:vAlign w:val="center"/>
          </w:tcPr>
          <w:p w14:paraId="43B77818">
            <w:pPr>
              <w:spacing w:line="360" w:lineRule="auto"/>
              <w:jc w:val="center"/>
              <w:rPr>
                <w:rFonts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1</w:t>
            </w:r>
          </w:p>
        </w:tc>
        <w:tc>
          <w:tcPr>
            <w:tcW w:w="7762" w:type="dxa"/>
            <w:tcBorders>
              <w:top w:val="single" w:color="auto" w:sz="4" w:space="0"/>
              <w:left w:val="single" w:color="auto" w:sz="4" w:space="0"/>
              <w:bottom w:val="single" w:color="auto" w:sz="4" w:space="0"/>
              <w:right w:val="single" w:color="auto" w:sz="4" w:space="0"/>
            </w:tcBorders>
            <w:noWrap/>
            <w:vAlign w:val="center"/>
          </w:tcPr>
          <w:p w14:paraId="583DB114">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投标报价同时满足以下条款：（1）投标报价符合唯一性要求；（2）开标一览表填写符合要求；（3）报价货币符合招标文件要求；（4）未超出采购预算或招标文件规定的最高限价；</w:t>
            </w:r>
          </w:p>
        </w:tc>
        <w:tc>
          <w:tcPr>
            <w:tcW w:w="659" w:type="dxa"/>
            <w:tcBorders>
              <w:top w:val="single" w:color="auto" w:sz="4" w:space="0"/>
              <w:left w:val="single" w:color="auto" w:sz="4" w:space="0"/>
              <w:bottom w:val="single" w:color="auto" w:sz="4" w:space="0"/>
              <w:right w:val="single" w:color="auto" w:sz="4" w:space="0"/>
            </w:tcBorders>
            <w:noWrap/>
            <w:vAlign w:val="center"/>
          </w:tcPr>
          <w:p w14:paraId="3BCCB099">
            <w:pPr>
              <w:spacing w:line="360" w:lineRule="auto"/>
              <w:jc w:val="center"/>
              <w:rPr>
                <w:rFonts w:asciiTheme="majorEastAsia" w:hAnsiTheme="majorEastAsia" w:eastAsiaTheme="majorEastAsia" w:cstheme="majorEastAsia"/>
                <w:b/>
                <w:bCs/>
                <w:color w:val="auto"/>
                <w:sz w:val="24"/>
                <w:highlight w:val="none"/>
              </w:rPr>
            </w:pPr>
          </w:p>
        </w:tc>
      </w:tr>
      <w:tr w14:paraId="0397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2" w:hRule="atLeast"/>
          <w:jc w:val="center"/>
        </w:trPr>
        <w:tc>
          <w:tcPr>
            <w:tcW w:w="746" w:type="dxa"/>
            <w:tcBorders>
              <w:left w:val="single" w:color="auto" w:sz="4" w:space="0"/>
              <w:right w:val="single" w:color="auto" w:sz="4" w:space="0"/>
            </w:tcBorders>
            <w:noWrap/>
            <w:vAlign w:val="center"/>
          </w:tcPr>
          <w:p w14:paraId="20C56FD1">
            <w:pPr>
              <w:spacing w:line="360" w:lineRule="auto"/>
              <w:jc w:val="center"/>
              <w:rPr>
                <w:rFonts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2</w:t>
            </w:r>
          </w:p>
        </w:tc>
        <w:tc>
          <w:tcPr>
            <w:tcW w:w="7762" w:type="dxa"/>
            <w:tcBorders>
              <w:top w:val="single" w:color="auto" w:sz="4" w:space="0"/>
              <w:left w:val="single" w:color="auto" w:sz="4" w:space="0"/>
              <w:bottom w:val="single" w:color="auto" w:sz="4" w:space="0"/>
              <w:right w:val="single" w:color="auto" w:sz="4" w:space="0"/>
            </w:tcBorders>
            <w:noWrap/>
            <w:vAlign w:val="center"/>
          </w:tcPr>
          <w:p w14:paraId="2043E09C">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投标有效期符合招标文件要求；</w:t>
            </w:r>
          </w:p>
        </w:tc>
        <w:tc>
          <w:tcPr>
            <w:tcW w:w="659" w:type="dxa"/>
            <w:tcBorders>
              <w:top w:val="single" w:color="auto" w:sz="4" w:space="0"/>
              <w:left w:val="single" w:color="auto" w:sz="4" w:space="0"/>
              <w:bottom w:val="single" w:color="auto" w:sz="4" w:space="0"/>
              <w:right w:val="single" w:color="auto" w:sz="4" w:space="0"/>
            </w:tcBorders>
            <w:noWrap/>
            <w:vAlign w:val="center"/>
          </w:tcPr>
          <w:p w14:paraId="12A248A6">
            <w:pPr>
              <w:spacing w:line="360" w:lineRule="auto"/>
              <w:jc w:val="center"/>
              <w:rPr>
                <w:rFonts w:asciiTheme="majorEastAsia" w:hAnsiTheme="majorEastAsia" w:eastAsiaTheme="majorEastAsia" w:cstheme="majorEastAsia"/>
                <w:b/>
                <w:color w:val="auto"/>
                <w:sz w:val="24"/>
                <w:highlight w:val="none"/>
              </w:rPr>
            </w:pPr>
          </w:p>
        </w:tc>
      </w:tr>
      <w:tr w14:paraId="1F0B6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2" w:hRule="atLeast"/>
          <w:jc w:val="center"/>
        </w:trPr>
        <w:tc>
          <w:tcPr>
            <w:tcW w:w="746" w:type="dxa"/>
            <w:tcBorders>
              <w:left w:val="single" w:color="auto" w:sz="4" w:space="0"/>
              <w:right w:val="single" w:color="auto" w:sz="4" w:space="0"/>
            </w:tcBorders>
            <w:noWrap/>
            <w:vAlign w:val="center"/>
          </w:tcPr>
          <w:p w14:paraId="34D99CC6">
            <w:pPr>
              <w:spacing w:line="360" w:lineRule="auto"/>
              <w:jc w:val="center"/>
              <w:rPr>
                <w:rFonts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3</w:t>
            </w:r>
          </w:p>
        </w:tc>
        <w:tc>
          <w:tcPr>
            <w:tcW w:w="7762" w:type="dxa"/>
            <w:tcBorders>
              <w:top w:val="single" w:color="auto" w:sz="4" w:space="0"/>
              <w:left w:val="single" w:color="auto" w:sz="4" w:space="0"/>
              <w:bottom w:val="single" w:color="auto" w:sz="4" w:space="0"/>
              <w:right w:val="single" w:color="auto" w:sz="4" w:space="0"/>
            </w:tcBorders>
            <w:noWrap/>
            <w:vAlign w:val="center"/>
          </w:tcPr>
          <w:p w14:paraId="42F5E304">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实质性条款完全响应招标文件要求的各项实质性条款；</w:t>
            </w:r>
          </w:p>
        </w:tc>
        <w:tc>
          <w:tcPr>
            <w:tcW w:w="659" w:type="dxa"/>
            <w:tcBorders>
              <w:top w:val="single" w:color="auto" w:sz="4" w:space="0"/>
              <w:left w:val="single" w:color="auto" w:sz="4" w:space="0"/>
              <w:bottom w:val="single" w:color="auto" w:sz="4" w:space="0"/>
              <w:right w:val="single" w:color="auto" w:sz="4" w:space="0"/>
            </w:tcBorders>
            <w:noWrap/>
            <w:vAlign w:val="center"/>
          </w:tcPr>
          <w:p w14:paraId="46280FD5">
            <w:pPr>
              <w:spacing w:line="360" w:lineRule="auto"/>
              <w:jc w:val="center"/>
              <w:rPr>
                <w:rFonts w:asciiTheme="majorEastAsia" w:hAnsiTheme="majorEastAsia" w:eastAsiaTheme="majorEastAsia" w:cstheme="majorEastAsia"/>
                <w:b/>
                <w:color w:val="auto"/>
                <w:sz w:val="24"/>
                <w:highlight w:val="none"/>
              </w:rPr>
            </w:pPr>
          </w:p>
        </w:tc>
      </w:tr>
      <w:tr w14:paraId="1065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01" w:hRule="atLeast"/>
          <w:jc w:val="center"/>
        </w:trPr>
        <w:tc>
          <w:tcPr>
            <w:tcW w:w="746" w:type="dxa"/>
            <w:tcBorders>
              <w:left w:val="single" w:color="auto" w:sz="4" w:space="0"/>
              <w:bottom w:val="single" w:color="auto" w:sz="4" w:space="0"/>
              <w:right w:val="single" w:color="auto" w:sz="4" w:space="0"/>
            </w:tcBorders>
            <w:noWrap/>
            <w:vAlign w:val="center"/>
          </w:tcPr>
          <w:p w14:paraId="43C0B490">
            <w:pPr>
              <w:spacing w:line="360" w:lineRule="auto"/>
              <w:jc w:val="center"/>
              <w:rPr>
                <w:rFonts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4</w:t>
            </w:r>
          </w:p>
        </w:tc>
        <w:tc>
          <w:tcPr>
            <w:tcW w:w="7762" w:type="dxa"/>
            <w:tcBorders>
              <w:top w:val="single" w:color="auto" w:sz="4" w:space="0"/>
              <w:left w:val="single" w:color="auto" w:sz="4" w:space="0"/>
              <w:bottom w:val="single" w:color="auto" w:sz="4" w:space="0"/>
              <w:right w:val="single" w:color="auto" w:sz="4" w:space="0"/>
            </w:tcBorders>
            <w:noWrap/>
            <w:vAlign w:val="center"/>
          </w:tcPr>
          <w:p w14:paraId="4421B438">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投标文件的语言及计量单位符合招标文件的要求；</w:t>
            </w:r>
          </w:p>
        </w:tc>
        <w:tc>
          <w:tcPr>
            <w:tcW w:w="659" w:type="dxa"/>
            <w:tcBorders>
              <w:top w:val="single" w:color="auto" w:sz="4" w:space="0"/>
              <w:left w:val="single" w:color="auto" w:sz="4" w:space="0"/>
              <w:bottom w:val="single" w:color="auto" w:sz="4" w:space="0"/>
              <w:right w:val="single" w:color="auto" w:sz="4" w:space="0"/>
            </w:tcBorders>
            <w:noWrap/>
            <w:vAlign w:val="center"/>
          </w:tcPr>
          <w:p w14:paraId="1D82BD3D">
            <w:pPr>
              <w:spacing w:line="360" w:lineRule="auto"/>
              <w:jc w:val="center"/>
              <w:rPr>
                <w:rFonts w:asciiTheme="majorEastAsia" w:hAnsiTheme="majorEastAsia" w:eastAsiaTheme="majorEastAsia" w:cstheme="majorEastAsia"/>
                <w:b/>
                <w:color w:val="auto"/>
                <w:sz w:val="24"/>
                <w:highlight w:val="none"/>
              </w:rPr>
            </w:pPr>
          </w:p>
        </w:tc>
      </w:tr>
      <w:tr w14:paraId="6BD72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90" w:hRule="atLeast"/>
          <w:jc w:val="center"/>
        </w:trPr>
        <w:tc>
          <w:tcPr>
            <w:tcW w:w="746" w:type="dxa"/>
            <w:tcBorders>
              <w:left w:val="single" w:color="auto" w:sz="4" w:space="0"/>
              <w:right w:val="single" w:color="auto" w:sz="4" w:space="0"/>
            </w:tcBorders>
            <w:noWrap/>
            <w:vAlign w:val="center"/>
          </w:tcPr>
          <w:p w14:paraId="2C3B469B">
            <w:pPr>
              <w:spacing w:line="360" w:lineRule="auto"/>
              <w:jc w:val="center"/>
              <w:rPr>
                <w:rFonts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5</w:t>
            </w:r>
          </w:p>
        </w:tc>
        <w:tc>
          <w:tcPr>
            <w:tcW w:w="7762" w:type="dxa"/>
            <w:tcBorders>
              <w:top w:val="single" w:color="auto" w:sz="4" w:space="0"/>
              <w:left w:val="single" w:color="auto" w:sz="4" w:space="0"/>
              <w:bottom w:val="single" w:color="auto" w:sz="4" w:space="0"/>
              <w:right w:val="single" w:color="auto" w:sz="4" w:space="0"/>
            </w:tcBorders>
            <w:noWrap/>
            <w:vAlign w:val="center"/>
          </w:tcPr>
          <w:p w14:paraId="169F4CD1">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其他情况：没有串通投标或弄虚作假或有其他违法行为；招标文件或法律法规规有关废标或否决投标规定的其他情形。</w:t>
            </w:r>
          </w:p>
        </w:tc>
        <w:tc>
          <w:tcPr>
            <w:tcW w:w="659" w:type="dxa"/>
            <w:tcBorders>
              <w:top w:val="single" w:color="auto" w:sz="4" w:space="0"/>
              <w:left w:val="single" w:color="auto" w:sz="4" w:space="0"/>
              <w:bottom w:val="single" w:color="auto" w:sz="4" w:space="0"/>
              <w:right w:val="single" w:color="auto" w:sz="4" w:space="0"/>
            </w:tcBorders>
            <w:noWrap/>
            <w:vAlign w:val="center"/>
          </w:tcPr>
          <w:p w14:paraId="6E35B0BA">
            <w:pPr>
              <w:spacing w:line="360" w:lineRule="auto"/>
              <w:jc w:val="center"/>
              <w:rPr>
                <w:rFonts w:asciiTheme="majorEastAsia" w:hAnsiTheme="majorEastAsia" w:eastAsiaTheme="majorEastAsia" w:cstheme="majorEastAsia"/>
                <w:b/>
                <w:color w:val="auto"/>
                <w:sz w:val="24"/>
                <w:highlight w:val="none"/>
              </w:rPr>
            </w:pPr>
          </w:p>
        </w:tc>
      </w:tr>
      <w:tr w14:paraId="3195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5" w:hRule="atLeast"/>
          <w:jc w:val="center"/>
        </w:trPr>
        <w:tc>
          <w:tcPr>
            <w:tcW w:w="8508" w:type="dxa"/>
            <w:gridSpan w:val="2"/>
            <w:tcBorders>
              <w:left w:val="single" w:color="auto" w:sz="4" w:space="0"/>
              <w:bottom w:val="single" w:color="auto" w:sz="4" w:space="0"/>
              <w:right w:val="single" w:color="auto" w:sz="4" w:space="0"/>
            </w:tcBorders>
            <w:noWrap/>
            <w:vAlign w:val="center"/>
          </w:tcPr>
          <w:p w14:paraId="276D395D">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备注：符合性审查不合格的投标单位不得进入下一评审环节。</w:t>
            </w:r>
          </w:p>
        </w:tc>
        <w:tc>
          <w:tcPr>
            <w:tcW w:w="659" w:type="dxa"/>
            <w:tcBorders>
              <w:top w:val="single" w:color="auto" w:sz="4" w:space="0"/>
              <w:left w:val="single" w:color="auto" w:sz="4" w:space="0"/>
              <w:bottom w:val="single" w:color="auto" w:sz="4" w:space="0"/>
              <w:right w:val="single" w:color="auto" w:sz="4" w:space="0"/>
            </w:tcBorders>
            <w:noWrap/>
            <w:vAlign w:val="center"/>
          </w:tcPr>
          <w:p w14:paraId="0842AAE8">
            <w:pPr>
              <w:spacing w:line="360" w:lineRule="auto"/>
              <w:jc w:val="center"/>
              <w:rPr>
                <w:rFonts w:asciiTheme="majorEastAsia" w:hAnsiTheme="majorEastAsia" w:eastAsiaTheme="majorEastAsia" w:cstheme="majorEastAsia"/>
                <w:b/>
                <w:color w:val="auto"/>
                <w:sz w:val="24"/>
                <w:highlight w:val="none"/>
              </w:rPr>
            </w:pPr>
          </w:p>
        </w:tc>
      </w:tr>
    </w:tbl>
    <w:p w14:paraId="590B46A9">
      <w:pPr>
        <w:pStyle w:val="10"/>
        <w:spacing w:line="360" w:lineRule="auto"/>
        <w:rPr>
          <w:rFonts w:asciiTheme="majorEastAsia" w:hAnsiTheme="majorEastAsia" w:eastAsiaTheme="majorEastAsia" w:cstheme="majorEastAsia"/>
          <w:color w:val="auto"/>
          <w:kern w:val="2"/>
          <w:sz w:val="24"/>
          <w:highlight w:val="none"/>
        </w:rPr>
      </w:pPr>
      <w:r>
        <w:rPr>
          <w:rFonts w:hint="eastAsia" w:asciiTheme="majorEastAsia" w:hAnsiTheme="majorEastAsia" w:eastAsiaTheme="majorEastAsia" w:cstheme="majorEastAsia"/>
          <w:color w:val="auto"/>
          <w:kern w:val="2"/>
          <w:sz w:val="24"/>
          <w:highlight w:val="none"/>
        </w:rPr>
        <w:t>22.3.1有下列情形之一的，视为投标人相互恶意串通投标响应，其投标文件按无效处理：</w:t>
      </w:r>
    </w:p>
    <w:p w14:paraId="7FDBE4E9">
      <w:pPr>
        <w:pStyle w:val="10"/>
        <w:spacing w:line="360" w:lineRule="auto"/>
        <w:ind w:firstLine="240" w:firstLineChars="100"/>
        <w:rPr>
          <w:rFonts w:asciiTheme="majorEastAsia" w:hAnsiTheme="majorEastAsia" w:eastAsiaTheme="majorEastAsia" w:cstheme="majorEastAsia"/>
          <w:color w:val="auto"/>
          <w:kern w:val="2"/>
          <w:sz w:val="24"/>
          <w:highlight w:val="none"/>
        </w:rPr>
      </w:pPr>
      <w:r>
        <w:rPr>
          <w:rFonts w:hint="eastAsia" w:asciiTheme="majorEastAsia" w:hAnsiTheme="majorEastAsia" w:eastAsiaTheme="majorEastAsia" w:cstheme="majorEastAsia"/>
          <w:color w:val="auto"/>
          <w:kern w:val="2"/>
          <w:sz w:val="24"/>
          <w:highlight w:val="none"/>
        </w:rPr>
        <w:t>1）不同投标人的投标文件由同一单位或者个人编制；</w:t>
      </w:r>
    </w:p>
    <w:p w14:paraId="5983EA94">
      <w:pPr>
        <w:pStyle w:val="10"/>
        <w:spacing w:line="360" w:lineRule="auto"/>
        <w:ind w:firstLine="240" w:firstLineChars="100"/>
        <w:rPr>
          <w:rFonts w:asciiTheme="majorEastAsia" w:hAnsiTheme="majorEastAsia" w:eastAsiaTheme="majorEastAsia" w:cstheme="majorEastAsia"/>
          <w:color w:val="auto"/>
          <w:kern w:val="2"/>
          <w:sz w:val="24"/>
          <w:highlight w:val="none"/>
        </w:rPr>
      </w:pPr>
      <w:r>
        <w:rPr>
          <w:rFonts w:hint="eastAsia" w:asciiTheme="majorEastAsia" w:hAnsiTheme="majorEastAsia" w:eastAsiaTheme="majorEastAsia" w:cstheme="majorEastAsia"/>
          <w:color w:val="auto"/>
          <w:kern w:val="2"/>
          <w:sz w:val="24"/>
          <w:highlight w:val="none"/>
        </w:rPr>
        <w:t>2）不同投标人委托同一单位或者个人办理投标事宜；</w:t>
      </w:r>
    </w:p>
    <w:p w14:paraId="35ADCDEF">
      <w:pPr>
        <w:pStyle w:val="10"/>
        <w:spacing w:line="360" w:lineRule="auto"/>
        <w:ind w:firstLine="240" w:firstLineChars="100"/>
        <w:rPr>
          <w:rFonts w:asciiTheme="majorEastAsia" w:hAnsiTheme="majorEastAsia" w:eastAsiaTheme="majorEastAsia" w:cstheme="majorEastAsia"/>
          <w:color w:val="auto"/>
          <w:kern w:val="2"/>
          <w:sz w:val="24"/>
          <w:highlight w:val="none"/>
        </w:rPr>
      </w:pPr>
      <w:r>
        <w:rPr>
          <w:rFonts w:hint="eastAsia" w:asciiTheme="majorEastAsia" w:hAnsiTheme="majorEastAsia" w:eastAsiaTheme="majorEastAsia" w:cstheme="majorEastAsia"/>
          <w:color w:val="auto"/>
          <w:kern w:val="2"/>
          <w:sz w:val="24"/>
          <w:highlight w:val="none"/>
        </w:rPr>
        <w:t>3）不同投标人的响应文件载明的项目管理成员为同一人；</w:t>
      </w:r>
    </w:p>
    <w:p w14:paraId="6BF8E249">
      <w:pPr>
        <w:pStyle w:val="10"/>
        <w:spacing w:line="360" w:lineRule="auto"/>
        <w:ind w:firstLine="240" w:firstLineChars="100"/>
        <w:rPr>
          <w:rFonts w:asciiTheme="majorEastAsia" w:hAnsiTheme="majorEastAsia" w:eastAsiaTheme="majorEastAsia" w:cstheme="majorEastAsia"/>
          <w:color w:val="auto"/>
          <w:kern w:val="2"/>
          <w:sz w:val="24"/>
          <w:highlight w:val="none"/>
        </w:rPr>
      </w:pPr>
      <w:r>
        <w:rPr>
          <w:rFonts w:hint="eastAsia" w:asciiTheme="majorEastAsia" w:hAnsiTheme="majorEastAsia" w:eastAsiaTheme="majorEastAsia" w:cstheme="majorEastAsia"/>
          <w:color w:val="auto"/>
          <w:kern w:val="2"/>
          <w:sz w:val="24"/>
          <w:highlight w:val="none"/>
        </w:rPr>
        <w:t>4）不同投标人的响应文件异常一致或者投标报价呈规律性差异；</w:t>
      </w:r>
    </w:p>
    <w:p w14:paraId="2960E8F5">
      <w:pPr>
        <w:pStyle w:val="10"/>
        <w:spacing w:line="360" w:lineRule="auto"/>
        <w:ind w:firstLine="240" w:firstLineChars="100"/>
        <w:rPr>
          <w:rFonts w:asciiTheme="majorEastAsia" w:hAnsiTheme="majorEastAsia" w:eastAsiaTheme="majorEastAsia" w:cstheme="majorEastAsia"/>
          <w:color w:val="auto"/>
          <w:kern w:val="2"/>
          <w:sz w:val="24"/>
          <w:highlight w:val="none"/>
        </w:rPr>
      </w:pPr>
      <w:r>
        <w:rPr>
          <w:rFonts w:hint="eastAsia" w:asciiTheme="majorEastAsia" w:hAnsiTheme="majorEastAsia" w:eastAsiaTheme="majorEastAsia" w:cstheme="majorEastAsia"/>
          <w:color w:val="auto"/>
          <w:kern w:val="2"/>
          <w:sz w:val="24"/>
          <w:highlight w:val="none"/>
        </w:rPr>
        <w:t>5）不同投标人的响应文件相互混装；</w:t>
      </w:r>
    </w:p>
    <w:p w14:paraId="3B2CCF37">
      <w:pPr>
        <w:pStyle w:val="10"/>
        <w:spacing w:line="360" w:lineRule="auto"/>
        <w:ind w:firstLine="240" w:firstLineChars="100"/>
        <w:rPr>
          <w:rFonts w:asciiTheme="majorEastAsia" w:hAnsiTheme="majorEastAsia" w:eastAsiaTheme="majorEastAsia" w:cstheme="majorEastAsia"/>
          <w:color w:val="auto"/>
          <w:kern w:val="2"/>
          <w:sz w:val="24"/>
          <w:highlight w:val="none"/>
        </w:rPr>
      </w:pPr>
      <w:r>
        <w:rPr>
          <w:rFonts w:hint="eastAsia" w:asciiTheme="majorEastAsia" w:hAnsiTheme="majorEastAsia" w:eastAsiaTheme="majorEastAsia" w:cstheme="majorEastAsia"/>
          <w:color w:val="auto"/>
          <w:kern w:val="2"/>
          <w:sz w:val="24"/>
          <w:highlight w:val="none"/>
        </w:rPr>
        <w:t>6）不同投标人的投标保证金从同一单位或者个人的账户转出；</w:t>
      </w:r>
    </w:p>
    <w:p w14:paraId="0390115D">
      <w:pPr>
        <w:pStyle w:val="10"/>
        <w:spacing w:line="360" w:lineRule="auto"/>
        <w:ind w:firstLine="240" w:firstLineChars="100"/>
        <w:rPr>
          <w:rFonts w:asciiTheme="majorEastAsia" w:hAnsiTheme="majorEastAsia" w:eastAsiaTheme="majorEastAsia" w:cstheme="majorEastAsia"/>
          <w:color w:val="auto"/>
          <w:kern w:val="2"/>
          <w:sz w:val="24"/>
          <w:highlight w:val="none"/>
        </w:rPr>
      </w:pPr>
      <w:r>
        <w:rPr>
          <w:rFonts w:hint="eastAsia" w:asciiTheme="majorEastAsia" w:hAnsiTheme="majorEastAsia" w:eastAsiaTheme="majorEastAsia" w:cstheme="majorEastAsia"/>
          <w:color w:val="auto"/>
          <w:kern w:val="2"/>
          <w:sz w:val="24"/>
          <w:highlight w:val="none"/>
        </w:rPr>
        <w:t>7）不同投标人的响应文件由同一单位送达。</w:t>
      </w:r>
    </w:p>
    <w:p w14:paraId="46B74BA2">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22.4 如果投标文件实质上没有响应招标文件的要求，评标委员会将予以拒绝，投标人不得通过修正或撤销不合要求的偏离从而使其投标成为实质上响应的投标。</w:t>
      </w:r>
    </w:p>
    <w:p w14:paraId="68F96FD2">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22.5 评标委员会将只对确定为实质上响应的投标进行审核，看其是否有计算上和累加上的算术错误，修正错误的原则如下：</w:t>
      </w:r>
    </w:p>
    <w:p w14:paraId="3533C1F7">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1）投标报价表中内容与投标文件投标分项报价表内容不一致的，应以投标报价表为准；</w:t>
      </w:r>
    </w:p>
    <w:p w14:paraId="709F81FC">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2）投标文件的大写金额和小写金额不一致的，以大写金额为准；总价金额与按单价汇总金额不一致的，以单价金额计算结果为准；单价金额小数点有明显错位的，应以总价为准，并修改单价；</w:t>
      </w:r>
    </w:p>
    <w:p w14:paraId="5AE6A702">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22.6 评标委员会将按上述修正错误的原则调整投标文件中的投标报价，调整后的价格应对投标人具有约束力。如果投标人不接受修正后的价格，则其投标将被拒绝。</w:t>
      </w:r>
    </w:p>
    <w:p w14:paraId="7E58E1B8">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23．投标文件的详细评审</w:t>
      </w:r>
    </w:p>
    <w:p w14:paraId="478B8990">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23.1 评标委员会将按照第22条规定只对确定为实质上响应招标文件要求的投标进行详细的评价和比较。</w:t>
      </w:r>
    </w:p>
    <w:p w14:paraId="7C429807">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23.2 评标方法：综合评分法</w:t>
      </w:r>
    </w:p>
    <w:p w14:paraId="6A3AFBB5">
      <w:pPr>
        <w:spacing w:line="360" w:lineRule="auto"/>
        <w:ind w:firstLine="482" w:firstLineChars="20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评审总分值为100分，具体分值如下：</w:t>
      </w:r>
    </w:p>
    <w:tbl>
      <w:tblPr>
        <w:tblStyle w:val="26"/>
        <w:tblpPr w:leftFromText="180" w:rightFromText="180" w:vertAnchor="text" w:horzAnchor="page" w:tblpX="1214" w:tblpY="426"/>
        <w:tblOverlap w:val="never"/>
        <w:tblW w:w="98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7656"/>
        <w:gridCol w:w="867"/>
      </w:tblGrid>
      <w:tr w14:paraId="7CD6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278" w:type="dxa"/>
            <w:noWrap/>
            <w:vAlign w:val="center"/>
          </w:tcPr>
          <w:p w14:paraId="3682090D">
            <w:pPr>
              <w:spacing w:line="360" w:lineRule="auto"/>
              <w:jc w:val="center"/>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分项名称</w:t>
            </w:r>
          </w:p>
        </w:tc>
        <w:tc>
          <w:tcPr>
            <w:tcW w:w="7656" w:type="dxa"/>
            <w:noWrap/>
            <w:vAlign w:val="center"/>
          </w:tcPr>
          <w:p w14:paraId="3544DEAB">
            <w:pPr>
              <w:spacing w:line="360" w:lineRule="auto"/>
              <w:jc w:val="center"/>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评分标准</w:t>
            </w:r>
          </w:p>
        </w:tc>
        <w:tc>
          <w:tcPr>
            <w:tcW w:w="867" w:type="dxa"/>
            <w:noWrap/>
            <w:vAlign w:val="center"/>
          </w:tcPr>
          <w:p w14:paraId="3164A04E">
            <w:pPr>
              <w:spacing w:line="360" w:lineRule="auto"/>
              <w:jc w:val="center"/>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满分</w:t>
            </w:r>
          </w:p>
        </w:tc>
      </w:tr>
      <w:tr w14:paraId="649B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32C4E394">
            <w:pPr>
              <w:spacing w:line="360" w:lineRule="auto"/>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投标报价</w:t>
            </w:r>
          </w:p>
          <w:p w14:paraId="62581D36">
            <w:pPr>
              <w:spacing w:line="360" w:lineRule="auto"/>
              <w:rPr>
                <w:rFonts w:asciiTheme="majorEastAsia" w:hAnsiTheme="majorEastAsia" w:eastAsiaTheme="majorEastAsia" w:cstheme="majorEastAsia"/>
                <w:b/>
                <w:bCs/>
                <w:color w:val="auto"/>
                <w:sz w:val="24"/>
                <w:highlight w:val="none"/>
              </w:rPr>
            </w:pPr>
          </w:p>
        </w:tc>
        <w:tc>
          <w:tcPr>
            <w:tcW w:w="7656" w:type="dxa"/>
            <w:noWrap/>
          </w:tcPr>
          <w:p w14:paraId="1169E5A6">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满足招标文件要求且投标价格最低的投标价为评标基准价，其价格分为满分。</w:t>
            </w:r>
          </w:p>
          <w:p w14:paraId="05106A58">
            <w:pPr>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其他投标企业的价格分数按照下列公式计算：投标报价得分数=(评标基准价／投标报价)×</w:t>
            </w:r>
            <w:r>
              <w:rPr>
                <w:rFonts w:hint="eastAsia" w:asciiTheme="majorEastAsia" w:hAnsiTheme="majorEastAsia" w:eastAsiaTheme="majorEastAsia" w:cstheme="majorEastAsia"/>
                <w:color w:val="auto"/>
                <w:sz w:val="24"/>
                <w:highlight w:val="none"/>
                <w:lang w:val="en-US" w:eastAsia="zh-CN"/>
              </w:rPr>
              <w:t>1</w:t>
            </w:r>
            <w:r>
              <w:rPr>
                <w:rFonts w:hint="eastAsia" w:asciiTheme="majorEastAsia" w:hAnsiTheme="majorEastAsia" w:eastAsiaTheme="majorEastAsia" w:cstheme="majorEastAsia"/>
                <w:color w:val="auto"/>
                <w:sz w:val="24"/>
                <w:highlight w:val="none"/>
              </w:rPr>
              <w:t>0，计算分数时四舍五入取小数点后两位。</w:t>
            </w:r>
          </w:p>
          <w:p w14:paraId="134FB722">
            <w:pPr>
              <w:spacing w:line="360" w:lineRule="auto"/>
              <w:rPr>
                <w:rFonts w:hint="eastAsia" w:asciiTheme="majorEastAsia" w:hAnsiTheme="majorEastAsia" w:eastAsiaTheme="majorEastAsia" w:cstheme="majorEastAsia"/>
                <w:color w:val="auto"/>
                <w:sz w:val="24"/>
                <w:highlight w:val="none"/>
              </w:rPr>
            </w:pPr>
            <w:r>
              <w:rPr>
                <w:rFonts w:hint="eastAsia" w:ascii="宋体" w:hAnsi="宋体" w:eastAsia="宋体" w:cs="宋体"/>
                <w:b/>
                <w:bCs/>
                <w:caps w:val="0"/>
                <w:smallCaps w:val="0"/>
                <w:color w:val="auto"/>
                <w:spacing w:val="0"/>
                <w:sz w:val="24"/>
                <w:szCs w:val="24"/>
                <w:highlight w:val="none"/>
                <w:lang w:val="en-US" w:eastAsia="zh-CN"/>
              </w:rPr>
              <w:t>注：本项目专门面向</w:t>
            </w:r>
            <w:r>
              <w:rPr>
                <w:rFonts w:hint="eastAsia" w:ascii="宋体" w:hAnsi="宋体" w:cs="宋体"/>
                <w:b/>
                <w:bCs/>
                <w:caps w:val="0"/>
                <w:smallCaps w:val="0"/>
                <w:color w:val="auto"/>
                <w:spacing w:val="0"/>
                <w:sz w:val="24"/>
                <w:szCs w:val="24"/>
                <w:highlight w:val="none"/>
                <w:lang w:val="en-US" w:eastAsia="zh-CN"/>
              </w:rPr>
              <w:t>中小</w:t>
            </w:r>
            <w:r>
              <w:rPr>
                <w:rFonts w:hint="eastAsia" w:ascii="宋体" w:hAnsi="宋体" w:eastAsia="宋体" w:cs="宋体"/>
                <w:b/>
                <w:bCs/>
                <w:caps w:val="0"/>
                <w:smallCaps w:val="0"/>
                <w:color w:val="auto"/>
                <w:spacing w:val="0"/>
                <w:sz w:val="24"/>
                <w:szCs w:val="24"/>
                <w:highlight w:val="none"/>
                <w:lang w:val="en-US" w:eastAsia="zh-CN"/>
              </w:rPr>
              <w:t>企业采购，不再执行价格评审优惠的扶持政策。</w:t>
            </w:r>
          </w:p>
        </w:tc>
        <w:tc>
          <w:tcPr>
            <w:tcW w:w="867" w:type="dxa"/>
            <w:noWrap/>
            <w:vAlign w:val="center"/>
          </w:tcPr>
          <w:p w14:paraId="4A4596F2">
            <w:pPr>
              <w:spacing w:line="360" w:lineRule="auto"/>
              <w:jc w:val="center"/>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lang w:val="en-US" w:eastAsia="zh-CN"/>
              </w:rPr>
              <w:t>1</w:t>
            </w:r>
            <w:r>
              <w:rPr>
                <w:rFonts w:hint="eastAsia" w:asciiTheme="majorEastAsia" w:hAnsiTheme="majorEastAsia" w:eastAsiaTheme="majorEastAsia" w:cstheme="majorEastAsia"/>
                <w:b/>
                <w:bCs/>
                <w:color w:val="auto"/>
                <w:sz w:val="24"/>
                <w:highlight w:val="none"/>
              </w:rPr>
              <w:t>0分</w:t>
            </w:r>
          </w:p>
        </w:tc>
      </w:tr>
      <w:tr w14:paraId="39184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shd w:val="clear" w:color="auto" w:fill="auto"/>
            <w:noWrap/>
            <w:vAlign w:val="center"/>
          </w:tcPr>
          <w:p w14:paraId="08DBECB2">
            <w:pPr>
              <w:pStyle w:val="22"/>
              <w:keepNext w:val="0"/>
              <w:keepLines w:val="0"/>
              <w:widowControl/>
              <w:suppressLineNumbers w:val="0"/>
              <w:spacing w:before="116" w:beforeAutospacing="0" w:after="0" w:afterAutospacing="0"/>
              <w:ind w:right="0" w:rightChars="0"/>
              <w:jc w:val="both"/>
              <w:rPr>
                <w:rFonts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类似业绩</w:t>
            </w:r>
          </w:p>
        </w:tc>
        <w:tc>
          <w:tcPr>
            <w:tcW w:w="7656" w:type="dxa"/>
            <w:shd w:val="clear" w:color="auto" w:fill="auto"/>
            <w:noWrap/>
            <w:vAlign w:val="top"/>
          </w:tcPr>
          <w:p w14:paraId="7E6EBC82">
            <w:pPr>
              <w:spacing w:line="360" w:lineRule="auto"/>
              <w:rPr>
                <w:rFonts w:hint="eastAsia" w:asciiTheme="majorEastAsia" w:hAnsiTheme="majorEastAsia" w:eastAsiaTheme="majorEastAsia" w:cstheme="majorEastAsia"/>
                <w:b/>
                <w:bCs/>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业绩认定时间：2023年1月1日至本项目开标截止时间。</w:t>
            </w:r>
          </w:p>
          <w:p w14:paraId="53188C25">
            <w:pPr>
              <w:spacing w:line="360" w:lineRule="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投标人每提供1个地质灾害风险调查、隐患排查、风险评价类与本项目类似的项目有效业绩得2分，本项最高得10分。</w:t>
            </w:r>
          </w:p>
          <w:p w14:paraId="49278AC0">
            <w:pPr>
              <w:spacing w:line="360" w:lineRule="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业绩佐证要求：</w:t>
            </w:r>
            <w:r>
              <w:rPr>
                <w:rFonts w:hint="eastAsia" w:asciiTheme="majorEastAsia" w:hAnsiTheme="majorEastAsia" w:eastAsiaTheme="majorEastAsia" w:cstheme="majorEastAsia"/>
                <w:color w:val="auto"/>
                <w:kern w:val="2"/>
                <w:sz w:val="24"/>
                <w:szCs w:val="24"/>
                <w:highlight w:val="none"/>
                <w:lang w:val="en-US" w:eastAsia="zh-CN" w:bidi="ar-SA"/>
              </w:rPr>
              <w:t>投标文件中提供对应项目合同扫描件或中标（成交）通知书扫描件，未按要求提供或材料无效的不得分。</w:t>
            </w:r>
          </w:p>
          <w:p w14:paraId="07A42349">
            <w:pPr>
              <w:numPr>
                <w:ilvl w:val="0"/>
                <w:numId w:val="0"/>
              </w:numPr>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评审规则：</w:t>
            </w:r>
            <w:r>
              <w:rPr>
                <w:rFonts w:hint="eastAsia" w:asciiTheme="majorEastAsia" w:hAnsiTheme="majorEastAsia" w:eastAsiaTheme="majorEastAsia" w:cstheme="majorEastAsia"/>
                <w:color w:val="auto"/>
                <w:kern w:val="2"/>
                <w:sz w:val="24"/>
                <w:szCs w:val="24"/>
                <w:highlight w:val="none"/>
                <w:lang w:val="en-US" w:eastAsia="zh-CN" w:bidi="ar-SA"/>
              </w:rPr>
              <w:t>仅核查业绩时间、材料完整性，不审核合同金额、项目规模、服务成效、项目等级。</w:t>
            </w:r>
          </w:p>
        </w:tc>
        <w:tc>
          <w:tcPr>
            <w:tcW w:w="867" w:type="dxa"/>
            <w:noWrap/>
            <w:vAlign w:val="center"/>
          </w:tcPr>
          <w:p w14:paraId="0F67F7CE">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10分</w:t>
            </w:r>
          </w:p>
        </w:tc>
      </w:tr>
      <w:tr w14:paraId="0E2D9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40416632">
            <w:pPr>
              <w:spacing w:line="360" w:lineRule="auto"/>
              <w:jc w:val="center"/>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rPr>
              <w:t>技术团队配置</w:t>
            </w:r>
          </w:p>
        </w:tc>
        <w:tc>
          <w:tcPr>
            <w:tcW w:w="7656" w:type="dxa"/>
            <w:noWrap/>
          </w:tcPr>
          <w:p w14:paraId="0579C410">
            <w:pPr>
              <w:spacing w:line="360" w:lineRule="auto"/>
              <w:rPr>
                <w:rFonts w:hint="eastAsia" w:ascii="宋体" w:hAnsi="宋体" w:eastAsia="宋体" w:cs="宋体"/>
                <w:b w:val="0"/>
                <w:bCs w:val="0"/>
                <w:caps w:val="0"/>
                <w:smallCaps w:val="0"/>
                <w:color w:val="auto"/>
                <w:spacing w:val="0"/>
                <w:sz w:val="24"/>
                <w:szCs w:val="24"/>
                <w:highlight w:val="none"/>
                <w:lang w:val="en-US" w:eastAsia="zh-CN"/>
              </w:rPr>
            </w:pPr>
            <w:r>
              <w:rPr>
                <w:rFonts w:hint="eastAsia" w:ascii="宋体" w:hAnsi="宋体" w:eastAsia="宋体" w:cs="宋体"/>
                <w:b w:val="0"/>
                <w:bCs w:val="0"/>
                <w:caps w:val="0"/>
                <w:smallCaps w:val="0"/>
                <w:color w:val="auto"/>
                <w:spacing w:val="0"/>
                <w:sz w:val="24"/>
                <w:szCs w:val="24"/>
                <w:highlight w:val="none"/>
                <w:lang w:val="en-US" w:eastAsia="zh-CN"/>
              </w:rPr>
              <w:t>拟派本项目专职地质专业技术人员，持有地质相关中级及以上职称证书，每提供1人职称证书扫描件及有效佐证材料（社保佐证）得1分，本项满分7分。人员资质不符、佐证材料不全或无效的，不计分。</w:t>
            </w:r>
          </w:p>
          <w:p w14:paraId="7B81CEE2">
            <w:pPr>
              <w:numPr>
                <w:ilvl w:val="0"/>
                <w:numId w:val="0"/>
              </w:numPr>
              <w:spacing w:line="360" w:lineRule="auto"/>
              <w:rPr>
                <w:rFonts w:hint="eastAsia" w:ascii="宋体" w:hAnsi="宋体" w:eastAsia="宋体" w:cs="宋体"/>
                <w:b/>
                <w:bCs/>
                <w:caps w:val="0"/>
                <w:smallCaps w:val="0"/>
                <w:color w:val="auto"/>
                <w:spacing w:val="0"/>
                <w:sz w:val="24"/>
                <w:szCs w:val="24"/>
                <w:highlight w:val="none"/>
                <w:lang w:val="en-US" w:eastAsia="zh-CN"/>
              </w:rPr>
            </w:pPr>
            <w:r>
              <w:rPr>
                <w:rFonts w:ascii="宋体" w:hAnsi="宋体" w:eastAsia="宋体" w:cs="宋体"/>
                <w:b/>
                <w:bCs/>
                <w:color w:val="auto"/>
                <w:sz w:val="24"/>
                <w:szCs w:val="24"/>
                <w:highlight w:val="none"/>
              </w:rPr>
              <w:t>证明材料：</w:t>
            </w:r>
            <w:r>
              <w:rPr>
                <w:rFonts w:ascii="宋体" w:hAnsi="宋体" w:eastAsia="宋体" w:cs="宋体"/>
                <w:color w:val="auto"/>
                <w:sz w:val="24"/>
                <w:szCs w:val="24"/>
                <w:highlight w:val="none"/>
              </w:rPr>
              <w:t>须提供职称证书、</w:t>
            </w:r>
            <w:r>
              <w:rPr>
                <w:rFonts w:hint="eastAsia" w:ascii="宋体" w:hAnsi="宋体" w:cs="宋体"/>
                <w:color w:val="auto"/>
                <w:sz w:val="24"/>
                <w:szCs w:val="24"/>
                <w:highlight w:val="none"/>
                <w:lang w:val="en-US" w:eastAsia="zh-CN"/>
              </w:rPr>
              <w:t xml:space="preserve">近 6 个月内任意一个月本单位为其缴纳任一险种社保凭证； </w:t>
            </w:r>
          </w:p>
        </w:tc>
        <w:tc>
          <w:tcPr>
            <w:tcW w:w="867" w:type="dxa"/>
            <w:noWrap/>
            <w:vAlign w:val="center"/>
          </w:tcPr>
          <w:p w14:paraId="6CC57E92">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7分</w:t>
            </w:r>
          </w:p>
        </w:tc>
      </w:tr>
      <w:tr w14:paraId="6F3E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7E20BFA9">
            <w:pPr>
              <w:spacing w:line="360" w:lineRule="auto"/>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lang w:val="en-US" w:eastAsia="zh-CN"/>
              </w:rPr>
              <w:t>拟投入设备</w:t>
            </w:r>
          </w:p>
        </w:tc>
        <w:tc>
          <w:tcPr>
            <w:tcW w:w="7656" w:type="dxa"/>
            <w:noWrap/>
          </w:tcPr>
          <w:p w14:paraId="26870167">
            <w:pPr>
              <w:keepNext w:val="0"/>
              <w:keepLines w:val="0"/>
              <w:widowControl/>
              <w:suppressLineNumbers w:val="0"/>
              <w:spacing w:line="360" w:lineRule="auto"/>
              <w:jc w:val="left"/>
              <w:rPr>
                <w:color w:val="auto"/>
                <w:sz w:val="24"/>
                <w:szCs w:val="24"/>
                <w:highlight w:val="none"/>
              </w:rPr>
            </w:pPr>
            <w:r>
              <w:rPr>
                <w:rStyle w:val="28"/>
                <w:rFonts w:ascii="宋体" w:hAnsi="宋体" w:eastAsia="宋体" w:cs="宋体"/>
                <w:color w:val="auto"/>
                <w:kern w:val="0"/>
                <w:sz w:val="24"/>
                <w:szCs w:val="24"/>
                <w:highlight w:val="none"/>
                <w:lang w:val="en-US" w:eastAsia="zh-CN" w:bidi="ar"/>
              </w:rPr>
              <w:t>（1）作业车辆配置（满分2分）</w:t>
            </w:r>
          </w:p>
          <w:p w14:paraId="1FFB92FB">
            <w:pPr>
              <w:keepNext w:val="0"/>
              <w:keepLines w:val="0"/>
              <w:widowControl/>
              <w:suppressLineNumbers w:val="0"/>
              <w:spacing w:line="360" w:lineRule="auto"/>
              <w:jc w:val="left"/>
              <w:rPr>
                <w:color w:val="auto"/>
                <w:sz w:val="24"/>
                <w:szCs w:val="24"/>
                <w:highlight w:val="none"/>
              </w:rPr>
            </w:pPr>
            <w:r>
              <w:rPr>
                <w:rFonts w:ascii="宋体" w:hAnsi="宋体" w:eastAsia="宋体" w:cs="宋体"/>
                <w:color w:val="auto"/>
                <w:kern w:val="0"/>
                <w:sz w:val="24"/>
                <w:szCs w:val="24"/>
                <w:highlight w:val="none"/>
                <w:lang w:val="en-US" w:eastAsia="zh-CN" w:bidi="ar"/>
              </w:rPr>
              <w:t>投标人拟投入本项目外业调查专用作业车辆，每投入1台得1分，最高得2分。</w:t>
            </w:r>
          </w:p>
          <w:p w14:paraId="071C003B">
            <w:pPr>
              <w:keepNext w:val="0"/>
              <w:keepLines w:val="0"/>
              <w:widowControl/>
              <w:suppressLineNumbers w:val="0"/>
              <w:spacing w:line="360" w:lineRule="auto"/>
              <w:jc w:val="left"/>
              <w:rPr>
                <w:color w:val="auto"/>
                <w:sz w:val="24"/>
                <w:szCs w:val="24"/>
                <w:highlight w:val="none"/>
              </w:rPr>
            </w:pPr>
            <w:r>
              <w:rPr>
                <w:rStyle w:val="28"/>
                <w:rFonts w:ascii="宋体" w:hAnsi="宋体" w:eastAsia="宋体" w:cs="宋体"/>
                <w:color w:val="auto"/>
                <w:kern w:val="0"/>
                <w:sz w:val="24"/>
                <w:szCs w:val="24"/>
                <w:highlight w:val="none"/>
                <w:lang w:val="en-US" w:eastAsia="zh-CN" w:bidi="ar"/>
              </w:rPr>
              <w:t>（2）专业作业设备配置（满分3分）</w:t>
            </w:r>
          </w:p>
          <w:p w14:paraId="0AB37802">
            <w:pPr>
              <w:keepNext w:val="0"/>
              <w:keepLines w:val="0"/>
              <w:widowControl/>
              <w:suppressLineNumbers w:val="0"/>
              <w:spacing w:line="360" w:lineRule="auto"/>
              <w:jc w:val="left"/>
              <w:rPr>
                <w:color w:val="auto"/>
                <w:highlight w:val="none"/>
              </w:rPr>
            </w:pPr>
            <w:r>
              <w:rPr>
                <w:rFonts w:ascii="宋体" w:hAnsi="宋体" w:eastAsia="宋体" w:cs="宋体"/>
                <w:color w:val="auto"/>
                <w:kern w:val="0"/>
                <w:sz w:val="24"/>
                <w:szCs w:val="24"/>
                <w:highlight w:val="none"/>
                <w:lang w:val="en-US" w:eastAsia="zh-CN" w:bidi="ar"/>
              </w:rPr>
              <w:t>投标人拟投入本项目</w:t>
            </w:r>
            <w:r>
              <w:rPr>
                <w:rFonts w:hint="eastAsia" w:ascii="宋体" w:hAnsi="宋体" w:eastAsia="宋体" w:cs="宋体"/>
                <w:color w:val="auto"/>
                <w:kern w:val="0"/>
                <w:sz w:val="24"/>
                <w:szCs w:val="24"/>
                <w:highlight w:val="none"/>
                <w:lang w:val="en-US" w:eastAsia="zh-CN" w:bidi="ar"/>
              </w:rPr>
              <w:t>无人机、地质勘查设备、影像采集设备等</w:t>
            </w:r>
            <w:r>
              <w:rPr>
                <w:rFonts w:ascii="宋体" w:hAnsi="宋体" w:eastAsia="宋体" w:cs="宋体"/>
                <w:color w:val="auto"/>
                <w:kern w:val="0"/>
                <w:sz w:val="24"/>
                <w:szCs w:val="24"/>
                <w:highlight w:val="none"/>
                <w:lang w:val="en-US" w:eastAsia="zh-CN" w:bidi="ar"/>
              </w:rPr>
              <w:t>全套所需专业设备：设备齐全、数量合理且全部为投标人自有设备的得3分；设备齐全、数量合理，为全部租赁设备的得2分；设备基本齐全，为部分自有、部分租赁的得1分；设备配置不完善、配置缺失或未提供相关证明材料的不得分。</w:t>
            </w:r>
          </w:p>
          <w:p w14:paraId="1BEA44C0">
            <w:pPr>
              <w:keepNext w:val="0"/>
              <w:keepLines w:val="0"/>
              <w:widowControl/>
              <w:suppressLineNumbers w:val="0"/>
              <w:spacing w:line="360" w:lineRule="auto"/>
              <w:jc w:val="left"/>
              <w:rPr>
                <w:rFonts w:hint="eastAsia" w:ascii="宋体" w:hAnsi="宋体" w:eastAsia="宋体" w:cs="宋体"/>
                <w:b/>
                <w:bCs/>
                <w:caps w:val="0"/>
                <w:smallCaps w:val="0"/>
                <w:color w:val="auto"/>
                <w:spacing w:val="0"/>
                <w:sz w:val="24"/>
                <w:szCs w:val="24"/>
                <w:highlight w:val="none"/>
                <w:lang w:val="en-US" w:eastAsia="zh-CN"/>
              </w:rPr>
            </w:pPr>
            <w:r>
              <w:rPr>
                <w:rStyle w:val="28"/>
                <w:rFonts w:ascii="宋体" w:hAnsi="宋体" w:eastAsia="宋体" w:cs="宋体"/>
                <w:color w:val="auto"/>
                <w:kern w:val="0"/>
                <w:sz w:val="24"/>
                <w:szCs w:val="24"/>
                <w:highlight w:val="none"/>
                <w:lang w:val="en-US" w:eastAsia="zh-CN" w:bidi="ar"/>
              </w:rPr>
              <w:t>佐证材料要求：</w:t>
            </w:r>
            <w:r>
              <w:rPr>
                <w:rStyle w:val="28"/>
                <w:rFonts w:hint="eastAsia" w:ascii="宋体" w:hAnsi="宋体" w:eastAsia="宋体" w:cs="宋体"/>
                <w:b w:val="0"/>
                <w:bCs w:val="0"/>
                <w:color w:val="auto"/>
                <w:kern w:val="0"/>
                <w:sz w:val="24"/>
                <w:szCs w:val="24"/>
                <w:highlight w:val="none"/>
                <w:lang w:val="en-US" w:eastAsia="zh-CN" w:bidi="ar"/>
              </w:rPr>
              <w:t>自有设备提供设备购买合同或发票扫描件</w:t>
            </w:r>
            <w:r>
              <w:rPr>
                <w:rStyle w:val="28"/>
                <w:rFonts w:hint="eastAsia" w:ascii="宋体" w:hAnsi="宋体" w:cs="宋体"/>
                <w:b w:val="0"/>
                <w:bCs w:val="0"/>
                <w:color w:val="auto"/>
                <w:kern w:val="0"/>
                <w:sz w:val="24"/>
                <w:szCs w:val="24"/>
                <w:highlight w:val="none"/>
                <w:lang w:val="en-US" w:eastAsia="zh-CN" w:bidi="ar"/>
              </w:rPr>
              <w:t>/</w:t>
            </w:r>
            <w:r>
              <w:rPr>
                <w:rStyle w:val="28"/>
                <w:rFonts w:hint="eastAsia" w:ascii="宋体" w:hAnsi="宋体" w:eastAsia="宋体" w:cs="宋体"/>
                <w:b w:val="0"/>
                <w:bCs w:val="0"/>
                <w:color w:val="auto"/>
                <w:kern w:val="0"/>
                <w:sz w:val="24"/>
                <w:szCs w:val="24"/>
                <w:highlight w:val="none"/>
                <w:lang w:val="en-US" w:eastAsia="zh-CN" w:bidi="ar"/>
              </w:rPr>
              <w:t>复印件</w:t>
            </w:r>
            <w:r>
              <w:rPr>
                <w:rStyle w:val="28"/>
                <w:rFonts w:hint="eastAsia" w:ascii="宋体" w:hAnsi="宋体" w:cs="宋体"/>
                <w:b w:val="0"/>
                <w:bCs w:val="0"/>
                <w:color w:val="auto"/>
                <w:kern w:val="0"/>
                <w:sz w:val="24"/>
                <w:szCs w:val="24"/>
                <w:highlight w:val="none"/>
                <w:lang w:val="en-US" w:eastAsia="zh-CN" w:bidi="ar"/>
              </w:rPr>
              <w:t>;</w:t>
            </w:r>
            <w:r>
              <w:rPr>
                <w:rFonts w:ascii="宋体" w:hAnsi="宋体" w:eastAsia="宋体" w:cs="宋体"/>
                <w:color w:val="auto"/>
                <w:kern w:val="0"/>
                <w:sz w:val="24"/>
                <w:szCs w:val="24"/>
                <w:highlight w:val="none"/>
                <w:lang w:val="en-US" w:eastAsia="zh-CN" w:bidi="ar"/>
              </w:rPr>
              <w:t>租赁</w:t>
            </w:r>
            <w:r>
              <w:rPr>
                <w:rFonts w:hint="eastAsia" w:ascii="宋体" w:hAnsi="宋体" w:cs="宋体"/>
                <w:color w:val="auto"/>
                <w:kern w:val="0"/>
                <w:sz w:val="24"/>
                <w:szCs w:val="24"/>
                <w:highlight w:val="none"/>
                <w:lang w:val="en-US" w:eastAsia="zh-CN" w:bidi="ar"/>
              </w:rPr>
              <w:t>设备提供</w:t>
            </w:r>
            <w:r>
              <w:rPr>
                <w:rStyle w:val="28"/>
                <w:rFonts w:hint="eastAsia" w:ascii="宋体" w:hAnsi="宋体" w:eastAsia="宋体" w:cs="宋体"/>
                <w:b w:val="0"/>
                <w:bCs w:val="0"/>
                <w:color w:val="auto"/>
                <w:kern w:val="0"/>
                <w:sz w:val="24"/>
                <w:szCs w:val="24"/>
                <w:highlight w:val="none"/>
                <w:lang w:val="en-US" w:eastAsia="zh-CN" w:bidi="ar"/>
              </w:rPr>
              <w:t>租赁合同扫描件</w:t>
            </w:r>
            <w:r>
              <w:rPr>
                <w:rStyle w:val="28"/>
                <w:rFonts w:hint="eastAsia" w:ascii="宋体" w:hAnsi="宋体" w:cs="宋体"/>
                <w:b w:val="0"/>
                <w:bCs w:val="0"/>
                <w:color w:val="auto"/>
                <w:kern w:val="0"/>
                <w:sz w:val="24"/>
                <w:szCs w:val="24"/>
                <w:highlight w:val="none"/>
                <w:lang w:val="en-US" w:eastAsia="zh-CN" w:bidi="ar"/>
              </w:rPr>
              <w:t>/</w:t>
            </w:r>
            <w:r>
              <w:rPr>
                <w:rStyle w:val="28"/>
                <w:rFonts w:hint="eastAsia" w:ascii="宋体" w:hAnsi="宋体" w:eastAsia="宋体" w:cs="宋体"/>
                <w:b w:val="0"/>
                <w:bCs w:val="0"/>
                <w:color w:val="auto"/>
                <w:kern w:val="0"/>
                <w:sz w:val="24"/>
                <w:szCs w:val="24"/>
                <w:highlight w:val="none"/>
                <w:lang w:val="en-US" w:eastAsia="zh-CN" w:bidi="ar"/>
              </w:rPr>
              <w:t>复印件，未按要求提供佐证材料的本项不予计分。</w:t>
            </w:r>
            <w:r>
              <w:rPr>
                <w:rFonts w:ascii="宋体" w:hAnsi="宋体" w:eastAsia="宋体" w:cs="宋体"/>
                <w:color w:val="auto"/>
                <w:kern w:val="0"/>
                <w:sz w:val="24"/>
                <w:szCs w:val="24"/>
                <w:highlight w:val="none"/>
                <w:lang w:val="en-US" w:eastAsia="zh-CN" w:bidi="ar"/>
              </w:rPr>
              <w:t>本项评分不指定设备品牌、型号，仅考核设备配置完整性、自有及租赁情况</w:t>
            </w:r>
            <w:r>
              <w:rPr>
                <w:rFonts w:hint="eastAsia" w:ascii="宋体" w:hAnsi="宋体" w:eastAsia="宋体" w:cs="宋体"/>
                <w:color w:val="auto"/>
                <w:kern w:val="0"/>
                <w:sz w:val="24"/>
                <w:szCs w:val="24"/>
                <w:highlight w:val="none"/>
                <w:lang w:val="en-US" w:eastAsia="zh-CN" w:bidi="ar"/>
              </w:rPr>
              <w:t>。</w:t>
            </w:r>
          </w:p>
        </w:tc>
        <w:tc>
          <w:tcPr>
            <w:tcW w:w="867" w:type="dxa"/>
            <w:noWrap/>
            <w:vAlign w:val="center"/>
          </w:tcPr>
          <w:p w14:paraId="62F25A98">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5分</w:t>
            </w:r>
          </w:p>
        </w:tc>
      </w:tr>
      <w:tr w14:paraId="2E71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278" w:type="dxa"/>
            <w:noWrap/>
            <w:vAlign w:val="center"/>
          </w:tcPr>
          <w:p w14:paraId="6818FD3A">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全过程履约专项承诺</w:t>
            </w:r>
          </w:p>
        </w:tc>
        <w:tc>
          <w:tcPr>
            <w:tcW w:w="7656" w:type="dxa"/>
            <w:noWrap/>
          </w:tcPr>
          <w:p w14:paraId="42991972">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投标人针对本项目单独出具加盖公章的专项承诺函，逐项提供、逐项得分，满分6分：</w:t>
            </w:r>
          </w:p>
          <w:p w14:paraId="4AECCDDB">
            <w:pPr>
              <w:numPr>
                <w:ilvl w:val="0"/>
                <w:numId w:val="0"/>
              </w:numPr>
              <w:spacing w:line="360" w:lineRule="auto"/>
              <w:rPr>
                <w:rFonts w:ascii="宋体" w:hAnsi="宋体" w:eastAsia="宋体" w:cs="宋体"/>
                <w:sz w:val="24"/>
                <w:szCs w:val="24"/>
              </w:rPr>
            </w:pPr>
            <w:r>
              <w:rPr>
                <w:rFonts w:ascii="宋体" w:hAnsi="宋体" w:eastAsia="宋体" w:cs="宋体"/>
                <w:kern w:val="2"/>
                <w:sz w:val="24"/>
                <w:szCs w:val="24"/>
                <w:lang w:val="en-US" w:eastAsia="zh-CN" w:bidi="ar-SA"/>
              </w:rPr>
              <w:t>1、</w:t>
            </w:r>
            <w:r>
              <w:rPr>
                <w:rFonts w:ascii="宋体" w:hAnsi="宋体" w:eastAsia="宋体" w:cs="宋体"/>
                <w:sz w:val="24"/>
                <w:szCs w:val="24"/>
              </w:rPr>
              <w:t>出具服务期履约</w:t>
            </w:r>
            <w:r>
              <w:rPr>
                <w:rFonts w:hint="eastAsia" w:ascii="宋体" w:hAnsi="宋体" w:eastAsia="宋体" w:cs="宋体"/>
                <w:sz w:val="24"/>
                <w:szCs w:val="24"/>
                <w:lang w:val="en-US" w:eastAsia="zh-CN"/>
              </w:rPr>
              <w:t>服务</w:t>
            </w:r>
            <w:r>
              <w:rPr>
                <w:rFonts w:ascii="宋体" w:hAnsi="宋体" w:eastAsia="宋体" w:cs="宋体"/>
                <w:sz w:val="24"/>
                <w:szCs w:val="24"/>
              </w:rPr>
              <w:t>期承诺，承诺严格按照招标文件计划 1 年服务周期推进项目实施，积极完成本项目全部调查、成果编制工作，如因自身原因造成工期延误自愿承担合同违约责任，得 2 分；</w:t>
            </w:r>
          </w:p>
          <w:p w14:paraId="0DE0786E">
            <w:pPr>
              <w:numPr>
                <w:ilvl w:val="0"/>
                <w:numId w:val="0"/>
              </w:numPr>
              <w:spacing w:line="360" w:lineRule="auto"/>
              <w:ind w:left="0" w:leftChars="0" w:firstLine="0" w:firstLineChars="0"/>
              <w:rPr>
                <w:rFonts w:ascii="宋体" w:hAnsi="宋体" w:eastAsia="宋体" w:cs="宋体"/>
                <w:sz w:val="24"/>
                <w:szCs w:val="24"/>
              </w:rPr>
            </w:pPr>
            <w:r>
              <w:rPr>
                <w:rFonts w:ascii="宋体" w:hAnsi="宋体" w:eastAsia="宋体" w:cs="宋体"/>
                <w:kern w:val="2"/>
                <w:sz w:val="24"/>
                <w:szCs w:val="24"/>
                <w:lang w:val="en-US" w:eastAsia="zh-CN" w:bidi="ar-SA"/>
              </w:rPr>
              <w:t>2、</w:t>
            </w:r>
            <w:r>
              <w:rPr>
                <w:rFonts w:ascii="宋体" w:hAnsi="宋体" w:eastAsia="宋体" w:cs="宋体"/>
                <w:sz w:val="24"/>
                <w:szCs w:val="24"/>
              </w:rPr>
              <w:t>出具项目成果保质验收承诺，承诺项目成果符合国家及行业规范标准，全力配合业主及主管部门开展审查验收工作，成果不合格的无条件无偿整改，直至审查验收通过，得 2 分；</w:t>
            </w:r>
          </w:p>
          <w:p w14:paraId="5701284E">
            <w:pPr>
              <w:numPr>
                <w:ilvl w:val="0"/>
                <w:numId w:val="0"/>
              </w:numPr>
              <w:spacing w:line="360" w:lineRule="auto"/>
              <w:ind w:leftChars="0"/>
              <w:rPr>
                <w:rFonts w:ascii="宋体" w:hAnsi="宋体" w:eastAsia="宋体" w:cs="宋体"/>
                <w:sz w:val="24"/>
                <w:szCs w:val="24"/>
              </w:rPr>
            </w:pPr>
            <w:r>
              <w:rPr>
                <w:rFonts w:ascii="宋体" w:hAnsi="宋体" w:eastAsia="宋体" w:cs="宋体"/>
                <w:sz w:val="24"/>
                <w:szCs w:val="24"/>
              </w:rPr>
              <w:t>3、出具项目全过程售后保障承诺，承诺自合同生效起至本项目成果全部通过主管部门审查验收为止，免费提供成果整改、技术答疑、数据更新、验收配合等全套技术服务，得 2 分。</w:t>
            </w:r>
          </w:p>
          <w:p w14:paraId="24B04F75">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rPr>
              <w:t>注：每提供1项有效且加盖公章的专项承诺函得对应分值，缺项不计分，不重复计分，本项满分6分。</w:t>
            </w:r>
          </w:p>
        </w:tc>
        <w:tc>
          <w:tcPr>
            <w:tcW w:w="867" w:type="dxa"/>
            <w:noWrap/>
            <w:vAlign w:val="center"/>
          </w:tcPr>
          <w:p w14:paraId="42A2A8AF">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6分</w:t>
            </w:r>
          </w:p>
        </w:tc>
      </w:tr>
      <w:tr w14:paraId="0267E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4EE01CF6">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成果合规与保密售后承诺</w:t>
            </w:r>
          </w:p>
        </w:tc>
        <w:tc>
          <w:tcPr>
            <w:tcW w:w="7656" w:type="dxa"/>
            <w:noWrap/>
          </w:tcPr>
          <w:p w14:paraId="073CB997">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投标人出具加盖公章的专项合规承诺，逐项提供、逐项得分，满分4分：</w:t>
            </w:r>
          </w:p>
          <w:p w14:paraId="39B75B1C">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1、出具项目成果资料合规承诺，承诺本项目所有调查成果、图件报告、数据库资料严格按照现行规范编制，资料完整、格式合规、归档齐全，无条件配合成果核查及整改完善，得2分；</w:t>
            </w:r>
          </w:p>
          <w:p w14:paraId="7A9C6505">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2、出具地质数据保密及售后服务承诺，承诺严格管控清涧县属地地质灾害涉密数据，杜绝数据泄露、外泄，免费提供项目后期技术答疑、验收配合、成果运维更新服务，得2分；</w:t>
            </w:r>
          </w:p>
          <w:p w14:paraId="4078FBE7">
            <w:p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rPr>
              <w:t>注：每提供1项有效盖章承诺得对应分值，缺项不计分，本项满分4分。</w:t>
            </w:r>
          </w:p>
        </w:tc>
        <w:tc>
          <w:tcPr>
            <w:tcW w:w="867" w:type="dxa"/>
            <w:noWrap/>
            <w:vAlign w:val="center"/>
          </w:tcPr>
          <w:p w14:paraId="1F5B07AA">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4分</w:t>
            </w:r>
          </w:p>
        </w:tc>
      </w:tr>
      <w:tr w14:paraId="500BB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2E0E4B2B">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数据成果合规承诺</w:t>
            </w:r>
          </w:p>
        </w:tc>
        <w:tc>
          <w:tcPr>
            <w:tcW w:w="7656" w:type="dxa"/>
            <w:noWrap/>
          </w:tcPr>
          <w:p w14:paraId="622EDDCA">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投标人出具加盖公章的数据成果专项承诺，逐项计分，满分5分：</w:t>
            </w:r>
          </w:p>
          <w:p w14:paraId="29C2EE9E">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1、承诺自合同生效起至项目成果全部通过主管部门审查验收为止，项目所有外业调查数据真实、准确、完整，杜绝虚假数据、遗漏隐患点，全程对调查数据真实性负责，得 3 分；</w:t>
            </w:r>
          </w:p>
          <w:p w14:paraId="6D6E0C01">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2、承诺严格按照国家、省、市地质灾害调查规范完成成果编制、数据入库及成果交付，保障项目成果有效可用、可核验、可对接，得 2 分；</w:t>
            </w:r>
          </w:p>
          <w:p w14:paraId="47282FCF">
            <w:p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rPr>
              <w:t>注：每提供1项有效盖章承诺得对应分值，缺项不计分，本项满分5分。</w:t>
            </w:r>
          </w:p>
        </w:tc>
        <w:tc>
          <w:tcPr>
            <w:tcW w:w="867" w:type="dxa"/>
            <w:noWrap/>
            <w:vAlign w:val="center"/>
          </w:tcPr>
          <w:p w14:paraId="7C590EA9">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5分</w:t>
            </w:r>
          </w:p>
        </w:tc>
      </w:tr>
      <w:tr w14:paraId="38F2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24BB8CF0">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质量安全零事故承诺</w:t>
            </w:r>
          </w:p>
        </w:tc>
        <w:tc>
          <w:tcPr>
            <w:tcW w:w="7656" w:type="dxa"/>
            <w:noWrap/>
          </w:tcPr>
          <w:p w14:paraId="6B791DD6">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投标人出具加盖公章的质量安全专项承诺，逐项计分，满分4分：</w:t>
            </w:r>
          </w:p>
          <w:p w14:paraId="75059877">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1、承</w:t>
            </w:r>
            <w:r>
              <w:rPr>
                <w:rFonts w:ascii="宋体" w:hAnsi="宋体" w:eastAsia="宋体" w:cs="宋体"/>
                <w:sz w:val="24"/>
                <w:szCs w:val="24"/>
              </w:rPr>
              <w:t>承诺自合同生效起至项目成果全部通过主管部门审查验收为止严控项目质量，无质量缺陷、无重大返工整改问题，全程落实质量管控要求</w:t>
            </w:r>
            <w:r>
              <w:rPr>
                <w:rFonts w:ascii="宋体" w:hAnsi="宋体" w:eastAsia="宋体" w:cs="宋体"/>
                <w:color w:val="auto"/>
                <w:sz w:val="24"/>
                <w:szCs w:val="24"/>
                <w:highlight w:val="none"/>
                <w:lang w:val="en-US" w:eastAsia="zh-CN"/>
              </w:rPr>
              <w:t>，得2分；</w:t>
            </w:r>
          </w:p>
          <w:p w14:paraId="1FA67EA1">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2、</w:t>
            </w:r>
            <w:r>
              <w:rPr>
                <w:rFonts w:ascii="宋体" w:hAnsi="宋体" w:eastAsia="宋体" w:cs="宋体"/>
                <w:sz w:val="24"/>
                <w:szCs w:val="24"/>
              </w:rPr>
              <w:t>承诺自合同生效起至项目成果全部通过主管部门审查验收为止，外业作业、内业办公全过程落实安全生产制度，实现零安全生产事故，严格遵守安全作业规范</w:t>
            </w:r>
            <w:r>
              <w:rPr>
                <w:rFonts w:ascii="宋体" w:hAnsi="宋体" w:eastAsia="宋体" w:cs="宋体"/>
                <w:color w:val="auto"/>
                <w:sz w:val="24"/>
                <w:szCs w:val="24"/>
                <w:highlight w:val="none"/>
                <w:lang w:val="en-US" w:eastAsia="zh-CN"/>
              </w:rPr>
              <w:t>得2分；</w:t>
            </w:r>
          </w:p>
          <w:p w14:paraId="486CF6B3">
            <w:p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rPr>
              <w:t>注：每提供1项有效盖章承诺得对应分值，缺项不计分，本项满分4分。</w:t>
            </w:r>
          </w:p>
        </w:tc>
        <w:tc>
          <w:tcPr>
            <w:tcW w:w="867" w:type="dxa"/>
            <w:noWrap/>
            <w:vAlign w:val="center"/>
          </w:tcPr>
          <w:p w14:paraId="35E3B097">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4分</w:t>
            </w:r>
          </w:p>
        </w:tc>
      </w:tr>
      <w:tr w14:paraId="7CF3E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1A15213B">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属地服务及应急保障承诺</w:t>
            </w:r>
          </w:p>
        </w:tc>
        <w:tc>
          <w:tcPr>
            <w:tcW w:w="7656" w:type="dxa"/>
            <w:noWrap/>
          </w:tcPr>
          <w:p w14:paraId="1191BBE5">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投标人出具加盖公章的属地服务及应急专项承诺，逐项计分，满分4分：</w:t>
            </w:r>
          </w:p>
          <w:p w14:paraId="76E66EC8">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1、承诺自合同生效起至项目成果全部通过主管部门审查验收为止提供属地驻场配套服务，全程配合乡镇及主管部门现场核查、隐患复核等相关工作，得2分；</w:t>
            </w:r>
          </w:p>
          <w:p w14:paraId="70915464">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2、</w:t>
            </w:r>
            <w:r>
              <w:rPr>
                <w:rFonts w:ascii="宋体" w:hAnsi="宋体" w:eastAsia="宋体" w:cs="宋体"/>
                <w:sz w:val="24"/>
                <w:szCs w:val="24"/>
              </w:rPr>
              <w:t>承诺自合同生效起至项目成果全部通过主管部门审查验收为止，汛期、地质灾害突发险情时，无条件配合属地开展应急排查、技术支撑保障工作</w:t>
            </w:r>
            <w:r>
              <w:rPr>
                <w:rFonts w:ascii="宋体" w:hAnsi="宋体" w:eastAsia="宋体" w:cs="宋体"/>
                <w:color w:val="auto"/>
                <w:sz w:val="24"/>
                <w:szCs w:val="24"/>
                <w:highlight w:val="none"/>
                <w:lang w:val="en-US" w:eastAsia="zh-CN"/>
              </w:rPr>
              <w:t>，得2分</w:t>
            </w:r>
            <w:r>
              <w:rPr>
                <w:rFonts w:hint="eastAsia" w:ascii="宋体" w:hAnsi="宋体" w:cs="宋体"/>
                <w:color w:val="auto"/>
                <w:sz w:val="24"/>
                <w:szCs w:val="24"/>
                <w:highlight w:val="none"/>
                <w:lang w:val="en-US" w:eastAsia="zh-CN"/>
              </w:rPr>
              <w:t>。</w:t>
            </w:r>
          </w:p>
          <w:p w14:paraId="7635A20F">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注：每提供1项有效盖章承诺得对应分值，缺项不计分，本项满分4分。</w:t>
            </w:r>
          </w:p>
        </w:tc>
        <w:tc>
          <w:tcPr>
            <w:tcW w:w="867" w:type="dxa"/>
            <w:noWrap/>
            <w:vAlign w:val="center"/>
          </w:tcPr>
          <w:p w14:paraId="467A7AE8">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4分</w:t>
            </w:r>
          </w:p>
        </w:tc>
      </w:tr>
      <w:tr w14:paraId="57882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53804CC9">
            <w:pPr>
              <w:spacing w:line="360" w:lineRule="auto"/>
              <w:rPr>
                <w:rFonts w:asciiTheme="majorEastAsia" w:hAnsiTheme="majorEastAsia" w:eastAsiaTheme="majorEastAsia" w:cstheme="majorEastAsia"/>
                <w:b/>
                <w:bCs/>
                <w:color w:val="auto"/>
                <w:sz w:val="24"/>
                <w:highlight w:val="none"/>
                <w:lang w:val="en-US" w:eastAsia="zh-CN"/>
              </w:rPr>
            </w:pPr>
            <w:r>
              <w:rPr>
                <w:rFonts w:asciiTheme="majorEastAsia" w:hAnsiTheme="majorEastAsia" w:eastAsiaTheme="majorEastAsia" w:cstheme="majorEastAsia"/>
                <w:b/>
                <w:bCs/>
                <w:color w:val="auto"/>
                <w:sz w:val="24"/>
                <w:highlight w:val="none"/>
                <w:lang w:val="en-US" w:eastAsia="zh-CN"/>
              </w:rPr>
              <w:t>人员设备在岗履约承诺</w:t>
            </w:r>
          </w:p>
        </w:tc>
        <w:tc>
          <w:tcPr>
            <w:tcW w:w="7656" w:type="dxa"/>
            <w:noWrap/>
          </w:tcPr>
          <w:p w14:paraId="7A8637EF">
            <w:pPr>
              <w:spacing w:line="360" w:lineRule="auto"/>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投标人出具加盖公章的人员设备在岗履约专项承诺，逐项计分，满分5分：</w:t>
            </w:r>
          </w:p>
          <w:p w14:paraId="6B4A3F54">
            <w:pPr>
              <w:spacing w:line="360" w:lineRule="auto"/>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1、</w:t>
            </w:r>
            <w:r>
              <w:rPr>
                <w:rFonts w:ascii="宋体" w:hAnsi="宋体" w:eastAsia="宋体" w:cs="宋体"/>
                <w:sz w:val="24"/>
                <w:szCs w:val="24"/>
              </w:rPr>
              <w:t>承诺自合同生效起至项目成果全部通过主管部门审查验收为止，本项目配置的技术团队人员全程在岗、不随意更换人员，如需更换提前报备业主并配备同等资质人员</w:t>
            </w:r>
            <w:r>
              <w:rPr>
                <w:rFonts w:ascii="宋体" w:hAnsi="宋体" w:eastAsia="宋体" w:cs="宋体"/>
                <w:color w:val="auto"/>
                <w:sz w:val="24"/>
                <w:szCs w:val="24"/>
                <w:highlight w:val="none"/>
                <w:lang w:val="en-US" w:eastAsia="zh-CN"/>
              </w:rPr>
              <w:t>，得3分；</w:t>
            </w:r>
          </w:p>
          <w:p w14:paraId="26E7CDEB">
            <w:pPr>
              <w:spacing w:line="360" w:lineRule="auto"/>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2、</w:t>
            </w:r>
            <w:r>
              <w:rPr>
                <w:rFonts w:ascii="宋体" w:hAnsi="宋体" w:eastAsia="宋体" w:cs="宋体"/>
                <w:sz w:val="24"/>
                <w:szCs w:val="24"/>
              </w:rPr>
              <w:t>承诺本项目投入的调查设备、测绘设备全程保障项目使用，设备完好、精度达标，满足外业调查及内业编制工作需求</w:t>
            </w:r>
            <w:r>
              <w:rPr>
                <w:rFonts w:ascii="宋体" w:hAnsi="宋体" w:eastAsia="宋体" w:cs="宋体"/>
                <w:color w:val="auto"/>
                <w:sz w:val="24"/>
                <w:szCs w:val="24"/>
                <w:highlight w:val="none"/>
                <w:lang w:val="en-US" w:eastAsia="zh-CN"/>
              </w:rPr>
              <w:t>，得2分</w:t>
            </w:r>
            <w:r>
              <w:rPr>
                <w:rFonts w:hint="eastAsia" w:ascii="宋体" w:hAnsi="宋体" w:cs="宋体"/>
                <w:color w:val="auto"/>
                <w:sz w:val="24"/>
                <w:szCs w:val="24"/>
                <w:highlight w:val="none"/>
                <w:lang w:val="en-US" w:eastAsia="zh-CN"/>
              </w:rPr>
              <w:t>。</w:t>
            </w:r>
          </w:p>
          <w:p w14:paraId="0BE00578">
            <w:pPr>
              <w:spacing w:line="360" w:lineRule="auto"/>
              <w:rPr>
                <w:rFonts w:ascii="宋体" w:hAnsi="宋体" w:eastAsia="宋体" w:cs="宋体"/>
                <w:color w:val="auto"/>
                <w:sz w:val="24"/>
                <w:szCs w:val="24"/>
                <w:highlight w:val="none"/>
                <w:lang w:val="en-US" w:eastAsia="zh-CN"/>
              </w:rPr>
            </w:pPr>
            <w:r>
              <w:rPr>
                <w:rFonts w:ascii="宋体" w:hAnsi="宋体" w:eastAsia="宋体" w:cs="宋体"/>
                <w:b/>
                <w:bCs/>
                <w:color w:val="auto"/>
                <w:sz w:val="24"/>
                <w:szCs w:val="24"/>
                <w:highlight w:val="none"/>
                <w:lang w:val="en-US" w:eastAsia="zh-CN"/>
              </w:rPr>
              <w:t>注：每提供1项有效盖章承诺得对应分值，缺项不计分，本项满分5分。</w:t>
            </w:r>
          </w:p>
        </w:tc>
        <w:tc>
          <w:tcPr>
            <w:tcW w:w="867" w:type="dxa"/>
            <w:noWrap/>
            <w:vAlign w:val="center"/>
          </w:tcPr>
          <w:p w14:paraId="62931C0E">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5分</w:t>
            </w:r>
          </w:p>
        </w:tc>
      </w:tr>
      <w:tr w14:paraId="400D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3445D14B">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项目概况与本项目针对性理解</w:t>
            </w:r>
          </w:p>
        </w:tc>
        <w:tc>
          <w:tcPr>
            <w:tcW w:w="7656" w:type="dxa"/>
            <w:noWrap/>
          </w:tcPr>
          <w:p w14:paraId="2E2DA9A8">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投标人结合清涧县高杰村镇、李家塔镇地域地形、地质灾害类型、乡镇调查工作特点，提供专项项目理解方案，包含</w:t>
            </w:r>
            <w:r>
              <w:rPr>
                <w:rFonts w:hint="eastAsia" w:ascii="宋体" w:hAnsi="宋体" w:eastAsia="宋体" w:cs="宋体"/>
                <w:color w:val="auto"/>
                <w:sz w:val="24"/>
                <w:szCs w:val="24"/>
                <w:highlight w:val="none"/>
                <w:lang w:val="en-US" w:eastAsia="zh-CN"/>
              </w:rPr>
              <w:t>但不限于</w:t>
            </w:r>
            <w:r>
              <w:rPr>
                <w:rFonts w:ascii="宋体" w:hAnsi="宋体" w:eastAsia="宋体" w:cs="宋体"/>
                <w:color w:val="auto"/>
                <w:sz w:val="24"/>
                <w:szCs w:val="24"/>
                <w:highlight w:val="none"/>
                <w:lang w:val="en-US" w:eastAsia="zh-CN"/>
              </w:rPr>
              <w:t>：①项目工作任务及核心目标认知；②属地地质灾害隐患特征分析；③乡镇野外调查重难点预判；④项目验收及成果交付要求理解。</w:t>
            </w:r>
          </w:p>
          <w:p w14:paraId="2FF33617">
            <w:p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rPr>
              <w:t>计分规则：每完整具备1项专项内容得1.5分，满分6分。存在缺陷的每处扣</w:t>
            </w:r>
            <w:r>
              <w:rPr>
                <w:rFonts w:hint="eastAsia" w:ascii="宋体" w:hAnsi="宋体" w:eastAsia="宋体" w:cs="宋体"/>
                <w:b/>
                <w:bCs/>
                <w:color w:val="auto"/>
                <w:sz w:val="24"/>
                <w:szCs w:val="24"/>
                <w:highlight w:val="none"/>
                <w:lang w:val="en-US" w:eastAsia="zh-CN"/>
              </w:rPr>
              <w:t>0.5</w:t>
            </w:r>
            <w:r>
              <w:rPr>
                <w:rFonts w:ascii="宋体" w:hAnsi="宋体" w:eastAsia="宋体" w:cs="宋体"/>
                <w:b/>
                <w:bCs/>
                <w:color w:val="auto"/>
                <w:sz w:val="24"/>
                <w:szCs w:val="24"/>
                <w:highlight w:val="none"/>
                <w:lang w:val="en-US" w:eastAsia="zh-CN"/>
              </w:rPr>
              <w:t>分，单项最多扣1.5分，本项扣完6分为止。</w:t>
            </w:r>
            <w:r>
              <w:rPr>
                <w:rFonts w:hint="eastAsia" w:asciiTheme="majorEastAsia" w:hAnsiTheme="majorEastAsia" w:eastAsiaTheme="majorEastAsia" w:cstheme="majorEastAsia"/>
                <w:b/>
                <w:bCs/>
                <w:color w:val="auto"/>
                <w:kern w:val="2"/>
                <w:sz w:val="24"/>
                <w:szCs w:val="24"/>
                <w:highlight w:val="none"/>
                <w:lang w:val="en-US" w:eastAsia="zh-CN" w:bidi="ar-SA"/>
              </w:rPr>
              <w:t>内容缺陷是指：非专门针对本项目或不适用项目特性的情形、内容不完整或缺少关键节点、套用其他项目方案、内容前后矛盾、涉及的规范或标准错误、不利于项目实施、不可能实现的情形等任意一种情形。</w:t>
            </w:r>
          </w:p>
        </w:tc>
        <w:tc>
          <w:tcPr>
            <w:tcW w:w="867" w:type="dxa"/>
            <w:noWrap/>
            <w:vAlign w:val="center"/>
          </w:tcPr>
          <w:p w14:paraId="175F163E">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6分</w:t>
            </w:r>
          </w:p>
        </w:tc>
      </w:tr>
      <w:tr w14:paraId="6F8E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385C7622">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项目实施组织机构配置</w:t>
            </w:r>
          </w:p>
        </w:tc>
        <w:tc>
          <w:tcPr>
            <w:tcW w:w="7656" w:type="dxa"/>
            <w:noWrap/>
          </w:tcPr>
          <w:p w14:paraId="1CE47C9A">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投标人结合</w:t>
            </w:r>
            <w:r>
              <w:rPr>
                <w:rFonts w:hint="eastAsia" w:ascii="宋体" w:hAnsi="宋体" w:eastAsia="宋体" w:cs="宋体"/>
                <w:color w:val="auto"/>
                <w:sz w:val="24"/>
                <w:szCs w:val="24"/>
                <w:highlight w:val="none"/>
                <w:lang w:val="en-US" w:eastAsia="zh-CN"/>
              </w:rPr>
              <w:t>本</w:t>
            </w:r>
            <w:r>
              <w:rPr>
                <w:rFonts w:ascii="宋体" w:hAnsi="宋体" w:eastAsia="宋体" w:cs="宋体"/>
                <w:color w:val="auto"/>
                <w:sz w:val="24"/>
                <w:szCs w:val="24"/>
                <w:highlight w:val="none"/>
                <w:lang w:val="en-US" w:eastAsia="zh-CN"/>
              </w:rPr>
              <w:t>项目实际情况，提供本项目专属组织机构搭建方案，包含但不限于：①项目总负责、技术负责人、外业调查组、内业成果组、质量审核组岗位设置；②各岗位职责分工；③岗位人员联动机制；④项目专人驻场管理制度。</w:t>
            </w:r>
          </w:p>
          <w:p w14:paraId="22B337FE">
            <w:p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rPr>
              <w:t>计分规则：每完整具备1项专项内容得1.5分，满分6分。存在缺陷的每处扣0.5分，单项最多扣1.5分，本项扣完6分为止。内容缺陷是指：非专门针对本项目或不适用项目特性的情形、内容不完整或缺少关键节点、套用其他项目方案、内容前后矛盾、涉及的规范或标准错误、不利于项目实施、不可能实现的情形等任意一种情形。</w:t>
            </w:r>
          </w:p>
        </w:tc>
        <w:tc>
          <w:tcPr>
            <w:tcW w:w="867" w:type="dxa"/>
            <w:noWrap/>
            <w:vAlign w:val="center"/>
          </w:tcPr>
          <w:p w14:paraId="4AC2560C">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6分</w:t>
            </w:r>
          </w:p>
        </w:tc>
      </w:tr>
      <w:tr w14:paraId="65374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18DD798A">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项目实施组织方案</w:t>
            </w:r>
          </w:p>
        </w:tc>
        <w:tc>
          <w:tcPr>
            <w:tcW w:w="7656" w:type="dxa"/>
            <w:noWrap/>
          </w:tcPr>
          <w:p w14:paraId="21BF9DAF">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投标人结合</w:t>
            </w:r>
            <w:r>
              <w:rPr>
                <w:rFonts w:hint="eastAsia" w:ascii="宋体" w:hAnsi="宋体" w:eastAsia="宋体" w:cs="宋体"/>
                <w:color w:val="auto"/>
                <w:sz w:val="24"/>
                <w:szCs w:val="24"/>
                <w:highlight w:val="none"/>
                <w:lang w:val="en-US" w:eastAsia="zh-CN"/>
              </w:rPr>
              <w:t>本项目</w:t>
            </w:r>
            <w:r>
              <w:rPr>
                <w:rFonts w:ascii="宋体" w:hAnsi="宋体" w:eastAsia="宋体" w:cs="宋体"/>
                <w:color w:val="auto"/>
                <w:sz w:val="24"/>
                <w:szCs w:val="24"/>
                <w:highlight w:val="none"/>
                <w:lang w:val="en-US" w:eastAsia="zh-CN"/>
              </w:rPr>
              <w:t>全流程工作特点，提供专项实施组织方案，包含但不限于：①外业踏勘、隐患点排查作业方案；②室内数据整理、图件编制、数据库入库方案；③分阶段工期进度管控与节点推进方案；④乡镇属地对接、群众协调、现场配合工作方案；⑤项目成果汇总、自检、报审归档方案。</w:t>
            </w:r>
          </w:p>
          <w:p w14:paraId="4F7BB78A">
            <w:p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rPr>
              <w:t>计分规则：每完整具备1项专项内容得2分，满分10分。存在缺陷的每处扣</w:t>
            </w:r>
            <w:r>
              <w:rPr>
                <w:rFonts w:hint="eastAsia" w:ascii="宋体" w:hAnsi="宋体" w:eastAsia="宋体" w:cs="宋体"/>
                <w:b/>
                <w:bCs/>
                <w:color w:val="auto"/>
                <w:sz w:val="24"/>
                <w:szCs w:val="24"/>
                <w:highlight w:val="none"/>
                <w:lang w:val="en-US" w:eastAsia="zh-CN"/>
              </w:rPr>
              <w:t>0.5</w:t>
            </w:r>
            <w:r>
              <w:rPr>
                <w:rFonts w:ascii="宋体" w:hAnsi="宋体" w:eastAsia="宋体" w:cs="宋体"/>
                <w:b/>
                <w:bCs/>
                <w:color w:val="auto"/>
                <w:sz w:val="24"/>
                <w:szCs w:val="24"/>
                <w:highlight w:val="none"/>
                <w:lang w:val="en-US" w:eastAsia="zh-CN"/>
              </w:rPr>
              <w:t>分，单项最多扣2分，本项扣完10分为止。内容缺陷是指：非专门针对本项目或不适用项目特性的情形、内容不完整或缺少关键节点、套用其他项目方案、内容前后矛盾、涉及的规范或标准错误、不利于项目实施、不可能实现的情形等任意一种情形。</w:t>
            </w:r>
          </w:p>
        </w:tc>
        <w:tc>
          <w:tcPr>
            <w:tcW w:w="867" w:type="dxa"/>
            <w:noWrap/>
            <w:vAlign w:val="center"/>
          </w:tcPr>
          <w:p w14:paraId="58DAA15A">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10分</w:t>
            </w:r>
          </w:p>
        </w:tc>
      </w:tr>
      <w:tr w14:paraId="7AF6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5EE4D9A0">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项目质量保障措施</w:t>
            </w:r>
          </w:p>
        </w:tc>
        <w:tc>
          <w:tcPr>
            <w:tcW w:w="7656" w:type="dxa"/>
            <w:noWrap/>
          </w:tcPr>
          <w:p w14:paraId="431F8CF0">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结合本项目工作要求，提供全流程质量管控专项方案，包含但不限于：①外业调查数据真实性、准确性管控措施；②内业成果编制、规范符合性核查措施；③多级审核、成果自检互检制度；④针对地灾调查常见问题的质量纠错整改措施。</w:t>
            </w:r>
          </w:p>
          <w:p w14:paraId="62979B3D">
            <w:p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lang w:val="en-US" w:eastAsia="zh-CN"/>
              </w:rPr>
              <w:t>计分规则：每完整具备1项专项内容得1.5分，满分6分。存在缺陷的每处扣0.5分，单项最多扣1.5分，本项扣完6分为止。内容缺陷是指：非专门针对本项目或不适用项目特性的情形、内容不完整或缺少关键节点、套用其他项目方案、内容前后矛盾、涉及的规范或标准错误、不利于项目实施、不可能实现的情形等任意一种情形。</w:t>
            </w:r>
          </w:p>
        </w:tc>
        <w:tc>
          <w:tcPr>
            <w:tcW w:w="867" w:type="dxa"/>
            <w:noWrap/>
            <w:vAlign w:val="center"/>
          </w:tcPr>
          <w:p w14:paraId="336A0DF3">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6分</w:t>
            </w:r>
          </w:p>
        </w:tc>
      </w:tr>
      <w:tr w14:paraId="4BE7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7B09A1A5">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安全及保密保障措施</w:t>
            </w:r>
          </w:p>
        </w:tc>
        <w:tc>
          <w:tcPr>
            <w:tcW w:w="7656" w:type="dxa"/>
            <w:noWrap/>
          </w:tcPr>
          <w:p w14:paraId="18EB1BED">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结合本项目野外作业及涉密资料管理要求，提供安全生产、资料保密专项方案，包含但不限于：①野外山地作业人身安全、交通安全、汛期作业防控措施；②现场作业设备、数据资料安全保障；③项目涉密地质资料、属地隐患数据保密管理制度；④资料传输、存储、归档全流程保密管控措施。</w:t>
            </w:r>
          </w:p>
          <w:p w14:paraId="14DCA427">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计分规则：每完整具备1项专项内容得1.5分，满分6分。存在缺陷的每处扣0.5分，单项最多扣1.5分，本项扣完6分为止。内容缺陷是指：非专门针对本项目或不适用项目特性的情形、内容不完整或缺少关键节点、套用其他项目方案、内容前后矛盾、涉及的规范或标准错误、不利于项目实施、不可能实现的情形等任意一种情形。</w:t>
            </w:r>
          </w:p>
        </w:tc>
        <w:tc>
          <w:tcPr>
            <w:tcW w:w="867" w:type="dxa"/>
            <w:noWrap/>
            <w:vAlign w:val="center"/>
          </w:tcPr>
          <w:p w14:paraId="10626A6A">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6分</w:t>
            </w:r>
          </w:p>
        </w:tc>
      </w:tr>
      <w:tr w14:paraId="0311F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1278" w:type="dxa"/>
            <w:noWrap/>
            <w:vAlign w:val="center"/>
          </w:tcPr>
          <w:p w14:paraId="73954992">
            <w:pPr>
              <w:spacing w:line="360" w:lineRule="auto"/>
              <w:rPr>
                <w:rFonts w:asciiTheme="majorEastAsia" w:hAnsiTheme="majorEastAsia" w:eastAsiaTheme="majorEastAsia" w:cstheme="majorEastAsia"/>
                <w:b/>
                <w:bCs/>
                <w:color w:val="auto"/>
                <w:sz w:val="24"/>
                <w:highlight w:val="none"/>
              </w:rPr>
            </w:pPr>
            <w:r>
              <w:rPr>
                <w:rFonts w:asciiTheme="majorEastAsia" w:hAnsiTheme="majorEastAsia" w:eastAsiaTheme="majorEastAsia" w:cstheme="majorEastAsia"/>
                <w:b/>
                <w:bCs/>
                <w:color w:val="auto"/>
                <w:sz w:val="24"/>
                <w:highlight w:val="none"/>
                <w:lang w:val="en-US" w:eastAsia="zh-CN"/>
              </w:rPr>
              <w:t>项目合理化建议</w:t>
            </w:r>
          </w:p>
        </w:tc>
        <w:tc>
          <w:tcPr>
            <w:tcW w:w="7656" w:type="dxa"/>
            <w:noWrap/>
          </w:tcPr>
          <w:p w14:paraId="49353FF8">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投标人结合清涧县乡镇地灾调查项目实际，提供针对性合理化建议，包含：①属地隐患高效排查优化建议；②成果数据对接自然资源平台优化建议；③汛期应急隐患动态更新建议；④项目验收及后期运维优化建议。</w:t>
            </w:r>
          </w:p>
          <w:p w14:paraId="566EB04F">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计分规则：每完整具备1项有效、可落地的专项建议得1.5分，满分6分。建议空泛、套用模板、无针对性视为缺陷，每处扣</w:t>
            </w:r>
            <w:r>
              <w:rPr>
                <w:rFonts w:hint="eastAsia" w:ascii="宋体" w:hAnsi="宋体" w:eastAsia="宋体" w:cs="宋体"/>
                <w:color w:val="auto"/>
                <w:sz w:val="24"/>
                <w:szCs w:val="24"/>
                <w:highlight w:val="none"/>
                <w:lang w:val="en-US" w:eastAsia="zh-CN"/>
              </w:rPr>
              <w:t>0.5</w:t>
            </w:r>
            <w:r>
              <w:rPr>
                <w:rFonts w:ascii="宋体" w:hAnsi="宋体" w:eastAsia="宋体" w:cs="宋体"/>
                <w:color w:val="auto"/>
                <w:sz w:val="24"/>
                <w:szCs w:val="24"/>
                <w:highlight w:val="none"/>
                <w:lang w:val="en-US" w:eastAsia="zh-CN"/>
              </w:rPr>
              <w:t>分，单项最多扣1.5分，本项扣完6分为止。</w:t>
            </w:r>
          </w:p>
        </w:tc>
        <w:tc>
          <w:tcPr>
            <w:tcW w:w="867" w:type="dxa"/>
            <w:noWrap/>
            <w:vAlign w:val="center"/>
          </w:tcPr>
          <w:p w14:paraId="47F22817">
            <w:pPr>
              <w:spacing w:line="360" w:lineRule="auto"/>
              <w:jc w:val="center"/>
              <w:rPr>
                <w:rFonts w:hint="default"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6分</w:t>
            </w:r>
          </w:p>
        </w:tc>
      </w:tr>
    </w:tbl>
    <w:p w14:paraId="1142D35B">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lang w:val="zh-CN"/>
        </w:rPr>
        <w:t>23.</w:t>
      </w:r>
      <w:r>
        <w:rPr>
          <w:rFonts w:hint="eastAsia" w:asciiTheme="majorEastAsia" w:hAnsiTheme="majorEastAsia" w:eastAsiaTheme="majorEastAsia" w:cstheme="majorEastAsia"/>
          <w:color w:val="auto"/>
          <w:sz w:val="24"/>
          <w:highlight w:val="none"/>
        </w:rPr>
        <w:t>3</w:t>
      </w:r>
      <w:r>
        <w:rPr>
          <w:rFonts w:hint="eastAsia" w:asciiTheme="majorEastAsia" w:hAnsiTheme="majorEastAsia" w:eastAsiaTheme="majorEastAsia" w:cstheme="majorEastAsia"/>
          <w:color w:val="auto"/>
          <w:sz w:val="24"/>
          <w:highlight w:val="none"/>
          <w:lang w:val="zh-CN"/>
        </w:rPr>
        <w:t xml:space="preserve"> 本项目落实政府采购政策</w:t>
      </w:r>
    </w:p>
    <w:p w14:paraId="61248CE1">
      <w:pPr>
        <w:autoSpaceDE w:val="0"/>
        <w:autoSpaceDN w:val="0"/>
        <w:snapToGrid w:val="0"/>
        <w:spacing w:line="360" w:lineRule="auto"/>
        <w:ind w:firstLine="482" w:firstLineChars="200"/>
        <w:rPr>
          <w:rFonts w:asciiTheme="majorEastAsia" w:hAnsiTheme="majorEastAsia" w:eastAsiaTheme="majorEastAsia" w:cstheme="majorEastAsia"/>
          <w:b/>
          <w:color w:val="auto"/>
          <w:sz w:val="24"/>
          <w:highlight w:val="none"/>
          <w:lang w:val="zh-CN"/>
        </w:rPr>
      </w:pPr>
      <w:r>
        <w:rPr>
          <w:rFonts w:hint="eastAsia" w:asciiTheme="majorEastAsia" w:hAnsiTheme="majorEastAsia" w:eastAsiaTheme="majorEastAsia" w:cstheme="majorEastAsia"/>
          <w:b/>
          <w:color w:val="auto"/>
          <w:sz w:val="24"/>
          <w:highlight w:val="none"/>
          <w:lang w:val="zh-CN"/>
        </w:rPr>
        <w:t>23.</w:t>
      </w:r>
      <w:r>
        <w:rPr>
          <w:rFonts w:hint="eastAsia" w:asciiTheme="majorEastAsia" w:hAnsiTheme="majorEastAsia" w:eastAsiaTheme="majorEastAsia" w:cstheme="majorEastAsia"/>
          <w:b/>
          <w:color w:val="auto"/>
          <w:sz w:val="24"/>
          <w:highlight w:val="none"/>
        </w:rPr>
        <w:t>3</w:t>
      </w:r>
      <w:r>
        <w:rPr>
          <w:rFonts w:hint="eastAsia" w:asciiTheme="majorEastAsia" w:hAnsiTheme="majorEastAsia" w:eastAsiaTheme="majorEastAsia" w:cstheme="majorEastAsia"/>
          <w:b/>
          <w:color w:val="auto"/>
          <w:sz w:val="24"/>
          <w:highlight w:val="none"/>
          <w:lang w:val="zh-CN"/>
        </w:rPr>
        <w:t>.1 投标企业政府采购政策</w:t>
      </w:r>
    </w:p>
    <w:p w14:paraId="75D7E5F4">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（1）中小企业落实政府采购政策</w:t>
      </w:r>
    </w:p>
    <w:p w14:paraId="67256A0A">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①中小企业应符合工信部联企业[2011]300号文件规定，采购活动执行《政府采购促进中小企业发展管理办法》（财库〔2020〕46号）的规定。提供本企业制造的货物、承担的工程或者服务，或者提供其他中小企业制造的货物。（本项所称货物不包括使用大型企业注册商标的货物）。</w:t>
      </w:r>
    </w:p>
    <w:p w14:paraId="2A5AAFB7">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②投标人须提供中小企业声明函，以此为依据享受政府采购政策。</w:t>
      </w:r>
    </w:p>
    <w:p w14:paraId="1AE1CE57">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r>
        <w:rPr>
          <w:rFonts w:hint="eastAsia" w:asciiTheme="majorEastAsia" w:hAnsiTheme="majorEastAsia" w:eastAsiaTheme="majorEastAsia" w:cstheme="majorEastAsia"/>
          <w:color w:val="auto"/>
          <w:sz w:val="24"/>
          <w:highlight w:val="none"/>
          <w:lang w:val="zh-CN"/>
        </w:rPr>
        <w:t>监狱和戒毒企业</w:t>
      </w:r>
      <w:r>
        <w:rPr>
          <w:rFonts w:hint="eastAsia" w:asciiTheme="majorEastAsia" w:hAnsiTheme="majorEastAsia" w:eastAsiaTheme="majorEastAsia" w:cstheme="majorEastAsia"/>
          <w:color w:val="auto"/>
          <w:sz w:val="24"/>
          <w:highlight w:val="none"/>
        </w:rPr>
        <w:t>落实政府采购政策</w:t>
      </w:r>
    </w:p>
    <w:p w14:paraId="5F9A6021">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zh-CN"/>
        </w:rPr>
        <w:t>监狱和戒毒企业应符合《财政部</w:t>
      </w:r>
      <w:r>
        <w:rPr>
          <w:rFonts w:hint="eastAsia" w:asciiTheme="majorEastAsia" w:hAnsiTheme="majorEastAsia" w:eastAsiaTheme="majorEastAsia" w:cstheme="majorEastAsia"/>
          <w:color w:val="auto"/>
          <w:sz w:val="24"/>
          <w:highlight w:val="none"/>
        </w:rPr>
        <w:t>、司法部关于政府采购支持监狱企业发展有关问题的通知》--财库[2014]68号</w:t>
      </w:r>
      <w:r>
        <w:rPr>
          <w:rFonts w:hint="eastAsia" w:asciiTheme="majorEastAsia" w:hAnsiTheme="majorEastAsia" w:eastAsiaTheme="majorEastAsia" w:cstheme="majorEastAsia"/>
          <w:color w:val="auto"/>
          <w:sz w:val="24"/>
          <w:highlight w:val="none"/>
          <w:lang w:val="zh-CN"/>
        </w:rPr>
        <w:t>，并提供由省级以上监狱管理局、戒毒管理局(含新疆生产建设兵团)出具的属于监狱企业的证明</w:t>
      </w:r>
      <w:r>
        <w:rPr>
          <w:rFonts w:hint="eastAsia" w:asciiTheme="majorEastAsia" w:hAnsiTheme="majorEastAsia" w:eastAsiaTheme="majorEastAsia" w:cstheme="majorEastAsia"/>
          <w:color w:val="auto"/>
          <w:sz w:val="24"/>
          <w:highlight w:val="none"/>
        </w:rPr>
        <w:t>。</w:t>
      </w:r>
    </w:p>
    <w:p w14:paraId="417D74AE">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（3）残疾人福利性单位落实政府采购政策</w:t>
      </w:r>
    </w:p>
    <w:p w14:paraId="271F253B">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残疾人福利性单位应符合财库〔2018〕141号规定，提供本单位制造的货物、承担的工程或者服务（以下简称产品），或者提供其他残疾人福利性单位制造的货物（不包括使用非残疾人福利性单位注册商标的货物）。</w:t>
      </w:r>
    </w:p>
    <w:p w14:paraId="58FB3475">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②投标人须按照财库〔2018〕141号规定，提供《残疾人福利性单位声明函》，并对声明的真实性负责。以此为依据享受政府采购政策。</w:t>
      </w:r>
    </w:p>
    <w:p w14:paraId="35916226">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③中标、成交投标人为残疾人福利性单位的，采购人或者其委托的采购代理机构应当随中标、成交结果同时公告其《残疾人福利性单位声明函》，接受社会监督。</w:t>
      </w:r>
    </w:p>
    <w:p w14:paraId="06CA2860">
      <w:pPr>
        <w:autoSpaceDE w:val="0"/>
        <w:autoSpaceDN w:val="0"/>
        <w:snapToGrid w:val="0"/>
        <w:spacing w:line="360" w:lineRule="auto"/>
        <w:ind w:firstLine="480" w:firstLineChars="200"/>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（4）投标人</w:t>
      </w:r>
      <w:r>
        <w:rPr>
          <w:rFonts w:hint="eastAsia" w:asciiTheme="majorEastAsia" w:hAnsiTheme="majorEastAsia" w:eastAsiaTheme="majorEastAsia" w:cstheme="majorEastAsia"/>
          <w:bCs/>
          <w:color w:val="auto"/>
          <w:sz w:val="24"/>
          <w:highlight w:val="none"/>
        </w:rPr>
        <w:t>应如实提供以上证明文件，如存在虚假应标，将取消其投标资格。</w:t>
      </w:r>
    </w:p>
    <w:p w14:paraId="10A0E804">
      <w:pPr>
        <w:autoSpaceDE w:val="0"/>
        <w:autoSpaceDN w:val="0"/>
        <w:snapToGrid w:val="0"/>
        <w:spacing w:line="360" w:lineRule="auto"/>
        <w:ind w:firstLine="472" w:firstLineChars="196"/>
        <w:rPr>
          <w:rFonts w:asciiTheme="majorEastAsia" w:hAnsiTheme="majorEastAsia" w:eastAsiaTheme="majorEastAsia" w:cstheme="majorEastAsia"/>
          <w:b/>
          <w:color w:val="auto"/>
          <w:sz w:val="24"/>
          <w:highlight w:val="none"/>
          <w:lang w:val="zh-CN"/>
        </w:rPr>
      </w:pPr>
      <w:r>
        <w:rPr>
          <w:rFonts w:hint="eastAsia" w:asciiTheme="majorEastAsia" w:hAnsiTheme="majorEastAsia" w:eastAsiaTheme="majorEastAsia" w:cstheme="majorEastAsia"/>
          <w:b/>
          <w:color w:val="auto"/>
          <w:sz w:val="24"/>
          <w:highlight w:val="none"/>
          <w:lang w:val="zh-CN"/>
        </w:rPr>
        <w:t>23.</w:t>
      </w:r>
      <w:r>
        <w:rPr>
          <w:rFonts w:hint="eastAsia" w:asciiTheme="majorEastAsia" w:hAnsiTheme="majorEastAsia" w:eastAsiaTheme="majorEastAsia" w:cstheme="majorEastAsia"/>
          <w:b/>
          <w:color w:val="auto"/>
          <w:sz w:val="24"/>
          <w:highlight w:val="none"/>
        </w:rPr>
        <w:t>3</w:t>
      </w:r>
      <w:r>
        <w:rPr>
          <w:rFonts w:hint="eastAsia" w:asciiTheme="majorEastAsia" w:hAnsiTheme="majorEastAsia" w:eastAsiaTheme="majorEastAsia" w:cstheme="majorEastAsia"/>
          <w:b/>
          <w:color w:val="auto"/>
          <w:sz w:val="24"/>
          <w:highlight w:val="none"/>
          <w:lang w:val="zh-CN"/>
        </w:rPr>
        <w:t>.2 投标产品政府采购政策</w:t>
      </w:r>
    </w:p>
    <w:p w14:paraId="09C9CB21">
      <w:pPr>
        <w:autoSpaceDE w:val="0"/>
        <w:autoSpaceDN w:val="0"/>
        <w:snapToGrid w:val="0"/>
        <w:spacing w:line="360" w:lineRule="auto"/>
        <w:ind w:firstLine="470" w:firstLineChars="196"/>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（1）节能产品</w:t>
      </w:r>
      <w:r>
        <w:rPr>
          <w:rFonts w:hint="eastAsia" w:asciiTheme="majorEastAsia" w:hAnsiTheme="majorEastAsia" w:eastAsiaTheme="majorEastAsia" w:cstheme="majorEastAsia"/>
          <w:color w:val="auto"/>
          <w:sz w:val="24"/>
          <w:highlight w:val="none"/>
          <w:lang w:val="zh-CN"/>
        </w:rPr>
        <w:t>根据《国务院办公厅关于建立政府强制采购节能产品制度的通知》</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zh-CN"/>
        </w:rPr>
        <w:t>国办发[2007] 51号</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zh-CN"/>
        </w:rPr>
        <w:t>的规定</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zh-CN"/>
        </w:rPr>
        <w:t>以中国政府采购网</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zh-CN"/>
        </w:rPr>
        <w:t>http://www.ccgp.gov.cn/</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zh-CN"/>
        </w:rPr>
        <w:t>公布的最新一期节能产品政府采购清单为准。</w:t>
      </w:r>
    </w:p>
    <w:p w14:paraId="55C615E6">
      <w:pPr>
        <w:autoSpaceDE w:val="0"/>
        <w:autoSpaceDN w:val="0"/>
        <w:snapToGrid w:val="0"/>
        <w:spacing w:line="360" w:lineRule="auto"/>
        <w:ind w:firstLine="470" w:firstLineChars="196"/>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（2）环境标志产品</w:t>
      </w:r>
      <w:r>
        <w:rPr>
          <w:rFonts w:hint="eastAsia" w:asciiTheme="majorEastAsia" w:hAnsiTheme="majorEastAsia" w:eastAsiaTheme="majorEastAsia" w:cstheme="majorEastAsia"/>
          <w:color w:val="auto"/>
          <w:sz w:val="24"/>
          <w:highlight w:val="none"/>
          <w:lang w:val="zh-CN"/>
        </w:rPr>
        <w:t>根据《环境标志产品政府采购实施的意见》</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zh-CN"/>
        </w:rPr>
        <w:t>财库</w:t>
      </w:r>
      <w:r>
        <w:rPr>
          <w:rFonts w:hint="eastAsia" w:asciiTheme="majorEastAsia" w:hAnsiTheme="majorEastAsia" w:eastAsiaTheme="majorEastAsia" w:cstheme="majorEastAsia"/>
          <w:color w:val="auto"/>
          <w:sz w:val="24"/>
          <w:highlight w:val="none"/>
        </w:rPr>
        <w:t>[2006]90</w:t>
      </w:r>
      <w:r>
        <w:rPr>
          <w:rFonts w:hint="eastAsia" w:asciiTheme="majorEastAsia" w:hAnsiTheme="majorEastAsia" w:eastAsiaTheme="majorEastAsia" w:cstheme="majorEastAsia"/>
          <w:color w:val="auto"/>
          <w:sz w:val="24"/>
          <w:highlight w:val="none"/>
          <w:lang w:val="zh-CN"/>
        </w:rPr>
        <w:t>号</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zh-CN"/>
        </w:rPr>
        <w:t>的规定</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zh-CN"/>
        </w:rPr>
        <w:t>以中国政府采购网</w:t>
      </w:r>
      <w:r>
        <w:rPr>
          <w:rFonts w:hint="eastAsia" w:asciiTheme="majorEastAsia" w:hAnsiTheme="majorEastAsia" w:eastAsiaTheme="majorEastAsia" w:cstheme="majorEastAsia"/>
          <w:color w:val="auto"/>
          <w:sz w:val="24"/>
          <w:highlight w:val="none"/>
        </w:rPr>
        <w:t>（http://www.ccgp.gov.cn/）</w:t>
      </w:r>
      <w:r>
        <w:rPr>
          <w:rFonts w:hint="eastAsia" w:asciiTheme="majorEastAsia" w:hAnsiTheme="majorEastAsia" w:eastAsiaTheme="majorEastAsia" w:cstheme="majorEastAsia"/>
          <w:color w:val="auto"/>
          <w:sz w:val="24"/>
          <w:highlight w:val="none"/>
          <w:lang w:val="zh-CN"/>
        </w:rPr>
        <w:t>公布的最新一期环境标志产品政府采购清单为准。</w:t>
      </w:r>
    </w:p>
    <w:p w14:paraId="031DD466">
      <w:pPr>
        <w:autoSpaceDE w:val="0"/>
        <w:autoSpaceDN w:val="0"/>
        <w:snapToGrid w:val="0"/>
        <w:spacing w:line="360" w:lineRule="auto"/>
        <w:ind w:firstLine="470" w:firstLineChars="196"/>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（3）</w:t>
      </w:r>
      <w:r>
        <w:rPr>
          <w:rFonts w:hint="eastAsia" w:asciiTheme="majorEastAsia" w:hAnsiTheme="majorEastAsia" w:eastAsiaTheme="majorEastAsia" w:cstheme="majorEastAsia"/>
          <w:color w:val="auto"/>
          <w:sz w:val="24"/>
          <w:highlight w:val="none"/>
          <w:lang w:val="zh-CN"/>
        </w:rPr>
        <w:t>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6784120C">
      <w:pPr>
        <w:autoSpaceDE w:val="0"/>
        <w:autoSpaceDN w:val="0"/>
        <w:snapToGrid w:val="0"/>
        <w:spacing w:line="360" w:lineRule="auto"/>
        <w:ind w:firstLine="470" w:firstLineChars="196"/>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（4）</w:t>
      </w:r>
      <w:r>
        <w:rPr>
          <w:rFonts w:hint="eastAsia" w:asciiTheme="majorEastAsia" w:hAnsiTheme="majorEastAsia" w:eastAsiaTheme="majorEastAsia" w:cstheme="majorEastAsia"/>
          <w:color w:val="auto"/>
          <w:sz w:val="24"/>
          <w:highlight w:val="none"/>
          <w:lang w:val="zh-CN"/>
        </w:rPr>
        <w:t>若节能、环保、环境标志清单内的产品仅是构成投标产品的部件、组件或零件的，则该投标产品不享受鼓励优惠政策。</w:t>
      </w:r>
    </w:p>
    <w:p w14:paraId="37E68CD5">
      <w:pPr>
        <w:autoSpaceDE w:val="0"/>
        <w:autoSpaceDN w:val="0"/>
        <w:snapToGrid w:val="0"/>
        <w:spacing w:line="360" w:lineRule="auto"/>
        <w:ind w:firstLine="470" w:firstLineChars="196"/>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（5）</w:t>
      </w:r>
      <w:r>
        <w:rPr>
          <w:rFonts w:hint="eastAsia" w:asciiTheme="majorEastAsia" w:hAnsiTheme="majorEastAsia" w:eastAsiaTheme="majorEastAsia" w:cstheme="majorEastAsia"/>
          <w:color w:val="auto"/>
          <w:sz w:val="24"/>
          <w:highlight w:val="none"/>
          <w:lang w:val="zh-CN"/>
        </w:rPr>
        <w:t>同一标段的节能、环保、环境标志产品部分优惠只对属于清单内的非强制类产品进行优惠，强制类产品不给予优惠。</w:t>
      </w:r>
    </w:p>
    <w:p w14:paraId="65016DC4">
      <w:pPr>
        <w:autoSpaceDE w:val="0"/>
        <w:autoSpaceDN w:val="0"/>
        <w:snapToGrid w:val="0"/>
        <w:spacing w:line="360" w:lineRule="auto"/>
        <w:ind w:firstLine="470" w:firstLineChars="196"/>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（6）</w:t>
      </w:r>
      <w:r>
        <w:rPr>
          <w:rFonts w:hint="eastAsia" w:asciiTheme="majorEastAsia" w:hAnsiTheme="majorEastAsia" w:eastAsiaTheme="majorEastAsia" w:cstheme="majorEastAsia"/>
          <w:color w:val="auto"/>
          <w:sz w:val="24"/>
          <w:highlight w:val="none"/>
          <w:lang w:val="zh-CN"/>
        </w:rPr>
        <w:t>节能、环保、环境标志产品不重复优惠；同时列入国家级清单和省级清单的产品不重复优惠。</w:t>
      </w:r>
    </w:p>
    <w:p w14:paraId="74CBE8E4">
      <w:pPr>
        <w:autoSpaceDE w:val="0"/>
        <w:autoSpaceDN w:val="0"/>
        <w:snapToGrid w:val="0"/>
        <w:spacing w:line="360" w:lineRule="auto"/>
        <w:ind w:firstLine="470" w:firstLineChars="196"/>
        <w:rPr>
          <w:rFonts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rPr>
        <w:t>（7）</w:t>
      </w:r>
      <w:r>
        <w:rPr>
          <w:rFonts w:hint="eastAsia" w:asciiTheme="majorEastAsia" w:hAnsiTheme="majorEastAsia" w:eastAsiaTheme="majorEastAsia" w:cstheme="majorEastAsia"/>
          <w:color w:val="auto"/>
          <w:sz w:val="24"/>
          <w:highlight w:val="none"/>
          <w:lang w:val="zh-CN"/>
        </w:rPr>
        <w:t>获得上述认证的产品在投标时应提供有效证明材料。以上所有证明文件复印件须加盖投标人公章并注明“与原件一致”，否则不予优惠。</w:t>
      </w:r>
    </w:p>
    <w:p w14:paraId="6DEF38F4">
      <w:pPr>
        <w:pStyle w:val="4"/>
        <w:spacing w:line="360" w:lineRule="auto"/>
        <w:ind w:firstLine="482"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23.3.</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充分、公平竞争保障措施</w:t>
      </w:r>
    </w:p>
    <w:p w14:paraId="2AC8D2E0">
      <w:pPr>
        <w:spacing w:line="360" w:lineRule="auto"/>
        <w:ind w:firstLine="480"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Cs/>
          <w:color w:val="auto"/>
          <w:sz w:val="24"/>
          <w:highlight w:val="none"/>
        </w:rPr>
        <w:t>（1）非单一产品采购项目中，采购人根据采购项目技术构成、产品价格比重等合理确定核心产品。多家投标人提供的任一核心产品品牌相同的，视为提供相同品牌产品。</w:t>
      </w:r>
      <w:r>
        <w:rPr>
          <w:rFonts w:hint="eastAsia" w:asciiTheme="majorEastAsia" w:hAnsiTheme="majorEastAsia" w:eastAsiaTheme="majorEastAsia" w:cstheme="majorEastAsia"/>
          <w:b w:val="0"/>
          <w:bCs/>
          <w:color w:val="auto"/>
          <w:sz w:val="24"/>
          <w:highlight w:val="none"/>
        </w:rPr>
        <w:t>本采购项目核心产品为：</w:t>
      </w:r>
      <w:r>
        <w:rPr>
          <w:rFonts w:hint="eastAsia" w:asciiTheme="majorEastAsia" w:hAnsiTheme="majorEastAsia" w:eastAsiaTheme="majorEastAsia" w:cstheme="majorEastAsia"/>
          <w:b w:val="0"/>
          <w:bCs/>
          <w:color w:val="auto"/>
          <w:sz w:val="24"/>
          <w:highlight w:val="none"/>
          <w:lang w:val="en-US" w:eastAsia="zh-CN"/>
        </w:rPr>
        <w:t>多功能教学一体机、数字音乐系统、五线谱电教板</w:t>
      </w:r>
      <w:r>
        <w:rPr>
          <w:rFonts w:hint="eastAsia" w:asciiTheme="majorEastAsia" w:hAnsiTheme="majorEastAsia" w:eastAsiaTheme="majorEastAsia" w:cstheme="majorEastAsia"/>
          <w:b w:val="0"/>
          <w:bCs/>
          <w:color w:val="auto"/>
          <w:sz w:val="24"/>
          <w:highlight w:val="none"/>
        </w:rPr>
        <w:t>。</w:t>
      </w:r>
    </w:p>
    <w:p w14:paraId="2D358232">
      <w:pPr>
        <w:pStyle w:val="10"/>
        <w:spacing w:line="360" w:lineRule="auto"/>
        <w:ind w:firstLine="480" w:firstLineChars="200"/>
        <w:rPr>
          <w:rFonts w:asciiTheme="majorEastAsia" w:hAnsiTheme="majorEastAsia" w:eastAsiaTheme="majorEastAsia" w:cstheme="majorEastAsia"/>
          <w:bCs/>
          <w:color w:val="auto"/>
          <w:kern w:val="1"/>
          <w:sz w:val="24"/>
          <w:highlight w:val="none"/>
        </w:rPr>
      </w:pPr>
      <w:r>
        <w:rPr>
          <w:rFonts w:hint="eastAsia" w:asciiTheme="majorEastAsia" w:hAnsiTheme="majorEastAsia" w:eastAsiaTheme="majorEastAsia" w:cstheme="majorEastAsia"/>
          <w:bCs/>
          <w:color w:val="auto"/>
          <w:kern w:val="1"/>
          <w:sz w:val="24"/>
          <w:highlight w:val="none"/>
        </w:rPr>
        <w:t>（2）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其他同品牌投标人不作为中标候选人。</w:t>
      </w:r>
    </w:p>
    <w:p w14:paraId="48B0C9DA">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1"/>
          <w:sz w:val="24"/>
          <w:highlight w:val="none"/>
        </w:rPr>
        <w:t>24.评标委员会根据</w:t>
      </w:r>
      <w:r>
        <w:rPr>
          <w:rFonts w:hint="eastAsia" w:asciiTheme="majorEastAsia" w:hAnsiTheme="majorEastAsia" w:eastAsiaTheme="majorEastAsia" w:cstheme="majorEastAsia"/>
          <w:color w:val="auto"/>
          <w:sz w:val="24"/>
          <w:highlight w:val="none"/>
        </w:rPr>
        <w:t>原始评标记录和评标结果编写</w:t>
      </w:r>
      <w:r>
        <w:rPr>
          <w:rFonts w:hint="eastAsia" w:asciiTheme="majorEastAsia" w:hAnsiTheme="majorEastAsia" w:eastAsiaTheme="majorEastAsia" w:cstheme="majorEastAsia"/>
          <w:color w:val="auto"/>
          <w:kern w:val="1"/>
          <w:sz w:val="24"/>
          <w:highlight w:val="none"/>
        </w:rPr>
        <w:t>评标报告，报采购人。</w:t>
      </w:r>
    </w:p>
    <w:p w14:paraId="2D701877">
      <w:pPr>
        <w:spacing w:line="360" w:lineRule="auto"/>
        <w:ind w:firstLine="480"/>
        <w:rPr>
          <w:rFonts w:asciiTheme="majorEastAsia" w:hAnsiTheme="majorEastAsia" w:eastAsiaTheme="majorEastAsia" w:cstheme="majorEastAsia"/>
          <w:b/>
          <w:color w:val="auto"/>
          <w:kern w:val="1"/>
          <w:sz w:val="24"/>
          <w:highlight w:val="none"/>
        </w:rPr>
      </w:pPr>
      <w:r>
        <w:rPr>
          <w:rFonts w:hint="eastAsia" w:asciiTheme="majorEastAsia" w:hAnsiTheme="majorEastAsia" w:eastAsiaTheme="majorEastAsia" w:cstheme="majorEastAsia"/>
          <w:color w:val="auto"/>
          <w:kern w:val="1"/>
          <w:sz w:val="24"/>
          <w:highlight w:val="none"/>
        </w:rPr>
        <w:t>按照综合得分高到低，推荐出一个以上三个以下中标候选单位。如果综合评分出现两个投标人得分相同的情况，按下列顺序排列：</w:t>
      </w:r>
    </w:p>
    <w:p w14:paraId="72648C99">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(1) 投标价格低的；</w:t>
      </w:r>
    </w:p>
    <w:p w14:paraId="2B03BC75">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(2) 技术评估得分高的；</w:t>
      </w:r>
    </w:p>
    <w:p w14:paraId="167BA8A3">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(3) 服务承诺优的。</w:t>
      </w:r>
    </w:p>
    <w:p w14:paraId="0938D000">
      <w:pPr>
        <w:snapToGrid w:val="0"/>
        <w:spacing w:beforeLines="50" w:afterLines="50" w:line="360" w:lineRule="auto"/>
        <w:jc w:val="center"/>
        <w:rPr>
          <w:rFonts w:asciiTheme="majorEastAsia" w:hAnsiTheme="majorEastAsia" w:eastAsiaTheme="majorEastAsia" w:cstheme="majorEastAsia"/>
          <w:b/>
          <w:color w:val="auto"/>
          <w:sz w:val="24"/>
          <w:highlight w:val="none"/>
        </w:rPr>
      </w:pPr>
      <w:bookmarkStart w:id="117" w:name="_Toc169846767"/>
      <w:bookmarkStart w:id="118" w:name="_Toc207897907"/>
      <w:bookmarkStart w:id="119" w:name="_Toc245657544"/>
      <w:bookmarkStart w:id="120" w:name="_Toc167590766"/>
      <w:bookmarkStart w:id="121" w:name="_Toc175033583"/>
      <w:bookmarkStart w:id="122" w:name="_Toc167591321"/>
      <w:bookmarkStart w:id="123" w:name="_Toc208337155"/>
      <w:bookmarkStart w:id="124" w:name="_Toc167591135"/>
      <w:bookmarkStart w:id="125" w:name="_Toc154482470"/>
      <w:bookmarkStart w:id="126" w:name="_Toc244623582"/>
      <w:bookmarkStart w:id="127" w:name="_Toc169838523"/>
      <w:bookmarkStart w:id="128" w:name="_Toc173549969"/>
      <w:bookmarkStart w:id="129" w:name="_Toc175032428"/>
      <w:bookmarkStart w:id="130" w:name="_Toc170980543"/>
      <w:bookmarkStart w:id="131" w:name="_Toc169846864"/>
      <w:bookmarkStart w:id="132" w:name="_Toc245176656"/>
      <w:bookmarkStart w:id="133" w:name="_Toc245658525"/>
      <w:bookmarkStart w:id="134" w:name="_Toc167849351"/>
      <w:bookmarkStart w:id="135" w:name="_Toc170980445"/>
      <w:bookmarkStart w:id="136" w:name="_Toc167591483"/>
      <w:bookmarkStart w:id="137" w:name="_Toc167591034"/>
      <w:r>
        <w:rPr>
          <w:rFonts w:hint="eastAsia" w:asciiTheme="majorEastAsia" w:hAnsiTheme="majorEastAsia" w:eastAsiaTheme="majorEastAsia" w:cstheme="majorEastAsia"/>
          <w:b/>
          <w:color w:val="auto"/>
          <w:sz w:val="24"/>
          <w:highlight w:val="none"/>
        </w:rPr>
        <w:t>六、授予合同</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102A7B23">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25．中标通知书</w:t>
      </w:r>
    </w:p>
    <w:p w14:paraId="324EE17A">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25.1采购代理机构在收到采购人的中标复函后，将在陕西省政府采购网和陕西省公共资源交易网上发布中标公告，并在规定时间向中标人发出中标通知书。</w:t>
      </w:r>
    </w:p>
    <w:p w14:paraId="5CAEAA79">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25.2 中标通知书是合同的组成部分。</w:t>
      </w:r>
    </w:p>
    <w:p w14:paraId="6BE30917">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26．招标代理服务费</w:t>
      </w:r>
    </w:p>
    <w:p w14:paraId="09162D72">
      <w:pPr>
        <w:pStyle w:val="114"/>
        <w:spacing w:before="40" w:line="350" w:lineRule="auto"/>
        <w:ind w:right="108" w:firstLine="480" w:firstLineChars="200"/>
        <w:jc w:val="both"/>
        <w:rPr>
          <w:rFonts w:hint="eastAsia"/>
          <w:color w:val="auto"/>
          <w:spacing w:val="-2"/>
          <w:highlight w:val="none"/>
          <w:lang w:val="en-US" w:eastAsia="zh-CN"/>
        </w:rPr>
      </w:pPr>
      <w:r>
        <w:rPr>
          <w:rFonts w:hint="eastAsia" w:asciiTheme="majorEastAsia" w:hAnsiTheme="majorEastAsia" w:eastAsiaTheme="majorEastAsia" w:cstheme="majorEastAsia"/>
          <w:color w:val="auto"/>
          <w:sz w:val="24"/>
          <w:highlight w:val="none"/>
        </w:rPr>
        <w:t>26.1参考国家计委2002年颁发的《招标代理服务收费管理暂行办法》(计价格〔2002〕1980号)、国家发展</w:t>
      </w:r>
      <w:r>
        <w:rPr>
          <w:rFonts w:hint="eastAsia" w:asciiTheme="majorEastAsia" w:hAnsiTheme="majorEastAsia" w:eastAsiaTheme="majorEastAsia" w:cstheme="majorEastAsia"/>
          <w:color w:val="auto"/>
          <w:sz w:val="24"/>
          <w:highlight w:val="none"/>
          <w:lang w:eastAsia="zh-CN"/>
        </w:rPr>
        <w:t>和</w:t>
      </w:r>
      <w:r>
        <w:rPr>
          <w:rFonts w:hint="eastAsia" w:asciiTheme="majorEastAsia" w:hAnsiTheme="majorEastAsia" w:eastAsiaTheme="majorEastAsia" w:cstheme="majorEastAsia"/>
          <w:color w:val="auto"/>
          <w:sz w:val="24"/>
          <w:highlight w:val="none"/>
        </w:rPr>
        <w:t>改革委员会办公厅颁发的《关于招标代理服务费收费有关问题的通知》（发改办价格[2003]857号）</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rPr>
        <w:t>《调整后的招标代理服务收费标准》(发改价格〔2011〕〕534号</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《清涧县政府投资管理办法（修订版）》（清政发【2025】8号）规定</w:t>
      </w:r>
      <w:r>
        <w:rPr>
          <w:rFonts w:hint="eastAsia"/>
          <w:color w:val="auto"/>
          <w:spacing w:val="-2"/>
          <w:highlight w:val="none"/>
          <w:lang w:val="en-US" w:eastAsia="zh-CN"/>
        </w:rPr>
        <w:t>收取。</w:t>
      </w:r>
    </w:p>
    <w:p w14:paraId="2EF76052">
      <w:pPr>
        <w:numPr>
          <w:ilvl w:val="0"/>
          <w:numId w:val="0"/>
        </w:num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26.2招标代理服务费由</w:t>
      </w:r>
      <w:r>
        <w:rPr>
          <w:rFonts w:hint="eastAsia" w:asciiTheme="majorEastAsia" w:hAnsiTheme="majorEastAsia" w:eastAsiaTheme="majorEastAsia" w:cstheme="majorEastAsia"/>
          <w:color w:val="auto"/>
          <w:sz w:val="24"/>
          <w:highlight w:val="none"/>
          <w:u w:val="single"/>
          <w:lang w:val="en-US" w:eastAsia="zh-CN"/>
        </w:rPr>
        <w:t xml:space="preserve"> 中标单位 </w:t>
      </w:r>
      <w:r>
        <w:rPr>
          <w:rFonts w:hint="eastAsia" w:asciiTheme="majorEastAsia" w:hAnsiTheme="majorEastAsia" w:eastAsiaTheme="majorEastAsia" w:cstheme="majorEastAsia"/>
          <w:color w:val="auto"/>
          <w:sz w:val="24"/>
          <w:highlight w:val="none"/>
        </w:rPr>
        <w:t>一次性支付给</w:t>
      </w:r>
      <w:r>
        <w:rPr>
          <w:rFonts w:hint="eastAsia" w:asciiTheme="majorEastAsia" w:hAnsiTheme="majorEastAsia" w:eastAsiaTheme="majorEastAsia" w:cstheme="majorEastAsia"/>
          <w:color w:val="auto"/>
          <w:sz w:val="24"/>
          <w:highlight w:val="none"/>
          <w:u w:val="single"/>
          <w:lang w:eastAsia="zh-CN"/>
        </w:rPr>
        <w:t>陕安项目管理有限公司</w:t>
      </w:r>
      <w:r>
        <w:rPr>
          <w:rFonts w:hint="eastAsia" w:asciiTheme="majorEastAsia" w:hAnsiTheme="majorEastAsia" w:eastAsiaTheme="majorEastAsia" w:cstheme="majorEastAsia"/>
          <w:color w:val="auto"/>
          <w:sz w:val="24"/>
          <w:highlight w:val="none"/>
        </w:rPr>
        <w:t>。</w:t>
      </w:r>
    </w:p>
    <w:p w14:paraId="493DB384">
      <w:pPr>
        <w:spacing w:line="360" w:lineRule="auto"/>
        <w:ind w:firstLine="482" w:firstLineChars="200"/>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27．签订合同</w:t>
      </w:r>
    </w:p>
    <w:p w14:paraId="64CD3411">
      <w:pPr>
        <w:spacing w:line="360" w:lineRule="auto"/>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27.1中标人在收到中标通知书后</w:t>
      </w:r>
      <w:r>
        <w:rPr>
          <w:rFonts w:hint="eastAsia" w:asciiTheme="majorEastAsia" w:hAnsiTheme="majorEastAsia" w:eastAsiaTheme="majorEastAsia" w:cstheme="majorEastAsia"/>
          <w:b/>
          <w:bCs/>
          <w:color w:val="auto"/>
          <w:sz w:val="24"/>
          <w:highlight w:val="none"/>
          <w:lang w:val="en-US" w:eastAsia="zh-CN"/>
        </w:rPr>
        <w:t>25</w:t>
      </w:r>
      <w:r>
        <w:rPr>
          <w:rFonts w:hint="eastAsia" w:asciiTheme="majorEastAsia" w:hAnsiTheme="majorEastAsia" w:eastAsiaTheme="majorEastAsia" w:cstheme="majorEastAsia"/>
          <w:b/>
          <w:bCs/>
          <w:color w:val="auto"/>
          <w:sz w:val="24"/>
          <w:highlight w:val="none"/>
        </w:rPr>
        <w:t>日内与采购人签订合同。</w:t>
      </w:r>
    </w:p>
    <w:p w14:paraId="50CDC1B6">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27.2 如果中标人没有按照上述第26.1条或第27.1条规定执行，采购人将有充分理由取消该中标决定。在此情况下，采购人可将合同授予综合得分排序名列下一个的投标人，或重新招标。</w:t>
      </w:r>
    </w:p>
    <w:p w14:paraId="6C291AE6">
      <w:pPr>
        <w:spacing w:line="360" w:lineRule="auto"/>
        <w:ind w:firstLine="482" w:firstLineChars="200"/>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28．其他</w:t>
      </w:r>
    </w:p>
    <w:p w14:paraId="679BBF8A">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28.1 拒绝商业贿赂</w:t>
      </w:r>
    </w:p>
    <w:p w14:paraId="5D64AB6B">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28.1.1投标人须填写一份《拒绝政府采购领域商业贿赂承诺书》编制在投标文件中，同时保证投标文件正、副本中都有且一致。</w:t>
      </w:r>
    </w:p>
    <w:p w14:paraId="772FD98C">
      <w:pPr>
        <w:spacing w:line="360" w:lineRule="auto"/>
        <w:ind w:firstLine="482"/>
        <w:rPr>
          <w:rFonts w:asciiTheme="majorEastAsia" w:hAnsiTheme="majorEastAsia" w:eastAsiaTheme="majorEastAsia" w:cstheme="majorEastAsia"/>
          <w:b/>
          <w:color w:val="auto"/>
          <w:kern w:val="1"/>
          <w:sz w:val="24"/>
          <w:highlight w:val="none"/>
        </w:rPr>
      </w:pPr>
      <w:r>
        <w:rPr>
          <w:rFonts w:hint="eastAsia" w:asciiTheme="majorEastAsia" w:hAnsiTheme="majorEastAsia" w:eastAsiaTheme="majorEastAsia" w:cstheme="majorEastAsia"/>
          <w:b/>
          <w:color w:val="auto"/>
          <w:kern w:val="1"/>
          <w:sz w:val="24"/>
          <w:highlight w:val="none"/>
        </w:rPr>
        <w:t>29、公开招标拟转为竞争性谈判程序</w:t>
      </w:r>
    </w:p>
    <w:p w14:paraId="17C45714">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招标过程中提交投标文件或者经评审实质性响应招标文件要求的投标人只有两家时，采购人、采购代理机构依据《政府采购非招标采购方式管理办法》（财政部令第74号）第二十七条第二款规定并</w:t>
      </w:r>
      <w:r>
        <w:rPr>
          <w:rFonts w:hint="eastAsia" w:asciiTheme="majorEastAsia" w:hAnsiTheme="majorEastAsia" w:eastAsiaTheme="majorEastAsia" w:cstheme="majorEastAsia"/>
          <w:color w:val="auto"/>
          <w:sz w:val="24"/>
          <w:highlight w:val="none"/>
        </w:rPr>
        <w:t>经本级财政部门批准后可以与该两家投标人进行竞争性谈判采购，具体程序如下：</w:t>
      </w:r>
    </w:p>
    <w:p w14:paraId="747D4349">
      <w:pPr>
        <w:spacing w:line="360" w:lineRule="auto"/>
        <w:ind w:firstLine="482"/>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kern w:val="1"/>
          <w:sz w:val="24"/>
          <w:highlight w:val="none"/>
        </w:rPr>
        <w:t>29.1 谈判小组</w:t>
      </w:r>
    </w:p>
    <w:p w14:paraId="415C775A">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1"/>
          <w:sz w:val="24"/>
          <w:highlight w:val="none"/>
        </w:rPr>
        <w:t>（1）原公开招标组建的评标委员会现转为谈判小组</w:t>
      </w:r>
      <w:r>
        <w:rPr>
          <w:rFonts w:hint="eastAsia" w:asciiTheme="majorEastAsia" w:hAnsiTheme="majorEastAsia" w:eastAsiaTheme="majorEastAsia" w:cstheme="majorEastAsia"/>
          <w:color w:val="auto"/>
          <w:sz w:val="24"/>
          <w:highlight w:val="none"/>
        </w:rPr>
        <w:t>。</w:t>
      </w:r>
    </w:p>
    <w:p w14:paraId="4A4025EE">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（2）谈判小组负责谈判工作，对谈判响应文件进行审查和评估，并向采购人提交书面提交评审报告，推荐成交候选人。</w:t>
      </w:r>
    </w:p>
    <w:p w14:paraId="4209A290">
      <w:pPr>
        <w:spacing w:line="360" w:lineRule="auto"/>
        <w:ind w:firstLine="482"/>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b/>
          <w:color w:val="auto"/>
          <w:kern w:val="1"/>
          <w:sz w:val="24"/>
          <w:highlight w:val="none"/>
        </w:rPr>
        <w:t>29.</w:t>
      </w:r>
      <w:r>
        <w:rPr>
          <w:rFonts w:hint="eastAsia" w:asciiTheme="majorEastAsia" w:hAnsiTheme="majorEastAsia" w:eastAsiaTheme="majorEastAsia" w:cstheme="majorEastAsia"/>
          <w:b/>
          <w:bCs/>
          <w:color w:val="auto"/>
          <w:kern w:val="1"/>
          <w:sz w:val="24"/>
          <w:highlight w:val="none"/>
        </w:rPr>
        <w:t xml:space="preserve">2 </w:t>
      </w:r>
      <w:r>
        <w:rPr>
          <w:rFonts w:hint="eastAsia" w:asciiTheme="majorEastAsia" w:hAnsiTheme="majorEastAsia" w:eastAsiaTheme="majorEastAsia" w:cstheme="majorEastAsia"/>
          <w:b/>
          <w:color w:val="auto"/>
          <w:kern w:val="1"/>
          <w:sz w:val="24"/>
          <w:highlight w:val="none"/>
        </w:rPr>
        <w:t>谈判</w:t>
      </w:r>
      <w:r>
        <w:rPr>
          <w:rFonts w:hint="eastAsia" w:asciiTheme="majorEastAsia" w:hAnsiTheme="majorEastAsia" w:eastAsiaTheme="majorEastAsia" w:cstheme="majorEastAsia"/>
          <w:b/>
          <w:bCs/>
          <w:color w:val="auto"/>
          <w:kern w:val="1"/>
          <w:sz w:val="24"/>
          <w:highlight w:val="none"/>
        </w:rPr>
        <w:t>程序</w:t>
      </w:r>
      <w:r>
        <w:rPr>
          <w:rFonts w:hint="eastAsia" w:asciiTheme="majorEastAsia" w:hAnsiTheme="majorEastAsia" w:eastAsiaTheme="majorEastAsia" w:cstheme="majorEastAsia"/>
          <w:bCs/>
          <w:color w:val="auto"/>
          <w:kern w:val="1"/>
          <w:sz w:val="24"/>
          <w:highlight w:val="none"/>
        </w:rPr>
        <w:t>：</w:t>
      </w:r>
    </w:p>
    <w:p w14:paraId="2132BC97">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谈判的全过程分为第一次谈判报价（原参加公开招标的投标人的投标报价作为第一次谈判报价）、资质审查、谈判过程、第二次谈判报价、最终评审等阶段，最终报价采取集中报价形式。</w:t>
      </w:r>
    </w:p>
    <w:p w14:paraId="71072FB5">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通过资质审查合格的各投标人，只有在谈判响应文件（原参加公开招标的投标人的投标文件作为谈判响应文件）及谈判承诺符合谈判文件要求和满足技术、商务需要的才有最终报价和评审的机会。谈判小组按其最终承诺和报价内容，推荐成交候选单位排序。</w:t>
      </w:r>
    </w:p>
    <w:p w14:paraId="2CF727A6">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（1）第一次报价：原参加公开招标的投标人的投标报价作为第一次谈判报价。</w:t>
      </w:r>
    </w:p>
    <w:p w14:paraId="6C33740E">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（2）符合性评审：主要对各投标人资格以及谈判响应文件进行商务和技术符合性的审定。</w:t>
      </w:r>
    </w:p>
    <w:p w14:paraId="69761E14">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（3）</w:t>
      </w:r>
      <w:r>
        <w:rPr>
          <w:rFonts w:hint="eastAsia" w:asciiTheme="majorEastAsia" w:hAnsiTheme="majorEastAsia" w:eastAsiaTheme="majorEastAsia" w:cstheme="majorEastAsia"/>
          <w:bCs/>
          <w:color w:val="auto"/>
          <w:kern w:val="1"/>
          <w:sz w:val="24"/>
          <w:highlight w:val="none"/>
        </w:rPr>
        <w:t>谈判过程</w:t>
      </w:r>
      <w:r>
        <w:rPr>
          <w:rFonts w:hint="eastAsia" w:asciiTheme="majorEastAsia" w:hAnsiTheme="majorEastAsia" w:eastAsiaTheme="majorEastAsia" w:cstheme="majorEastAsia"/>
          <w:color w:val="auto"/>
          <w:kern w:val="1"/>
          <w:sz w:val="24"/>
          <w:highlight w:val="none"/>
        </w:rPr>
        <w:t>：谈判小组应在符合性评审的基础上对各投标人的谈判响应文件认真阅读，并对采购内容等有关要求进行谈判。</w:t>
      </w:r>
    </w:p>
    <w:p w14:paraId="7CA5C699">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① 谈判方案（原投标方案）</w:t>
      </w:r>
    </w:p>
    <w:p w14:paraId="1505716A">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② 售后服务措施</w:t>
      </w:r>
    </w:p>
    <w:p w14:paraId="376DB987">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③ 综合评定，推荐候选成交单位。</w:t>
      </w:r>
    </w:p>
    <w:p w14:paraId="6963979A">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④ 谈判澄清：采购代理机构有权就谈判响应文件中有疑义之处或前后表述不一致的问题，向投标人提出询问或澄清。投标人必须在谈判文件规定的时间内派技术和商务人员进行澄清，有关澄清的内容应以书面形式（包括电传、传真）提交，并由投标人法定代表人或被授权人签名确认。</w:t>
      </w:r>
    </w:p>
    <w:p w14:paraId="76BD5507">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（4）第二次谈判报价</w:t>
      </w:r>
    </w:p>
    <w:p w14:paraId="57F5238A">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通过资质审查合格，投标人的谈判响应文件及谈判承诺符合谈判文件要求和满足技术、商务需要的，在规定的时间内报出第二次谈判报价。</w:t>
      </w:r>
    </w:p>
    <w:p w14:paraId="57FDC565">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（5）最终评审</w:t>
      </w:r>
    </w:p>
    <w:p w14:paraId="5863B40C">
      <w:pPr>
        <w:spacing w:line="360" w:lineRule="auto"/>
        <w:ind w:firstLine="48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谈判小组根据符合采购需求、质量和服务，以综合评审有效报价（第二次谈判报价）最低者推荐为成交第一候选人，其次低价者第二候选人，以此类推。若成交候选人的报价相同时，谈判小组将分别依次序以：技术方案、商务响应的优劣的原则，确定成交候选人排序。</w:t>
      </w:r>
    </w:p>
    <w:p w14:paraId="5FA79E74">
      <w:pPr>
        <w:spacing w:line="360" w:lineRule="auto"/>
        <w:ind w:firstLine="480" w:firstLineChars="200"/>
        <w:rPr>
          <w:rFonts w:asciiTheme="majorEastAsia" w:hAnsiTheme="majorEastAsia" w:eastAsiaTheme="majorEastAsia" w:cstheme="majorEastAsia"/>
          <w:color w:val="auto"/>
          <w:kern w:val="1"/>
          <w:sz w:val="24"/>
          <w:highlight w:val="none"/>
        </w:rPr>
      </w:pPr>
      <w:r>
        <w:rPr>
          <w:rFonts w:hint="eastAsia" w:asciiTheme="majorEastAsia" w:hAnsiTheme="majorEastAsia" w:eastAsiaTheme="majorEastAsia" w:cstheme="majorEastAsia"/>
          <w:color w:val="auto"/>
          <w:kern w:val="1"/>
          <w:sz w:val="24"/>
          <w:highlight w:val="none"/>
        </w:rPr>
        <w:t>29.3 谈判小组根据</w:t>
      </w:r>
      <w:r>
        <w:rPr>
          <w:rFonts w:hint="eastAsia" w:asciiTheme="majorEastAsia" w:hAnsiTheme="majorEastAsia" w:eastAsiaTheme="majorEastAsia" w:cstheme="majorEastAsia"/>
          <w:color w:val="auto"/>
          <w:sz w:val="24"/>
          <w:highlight w:val="none"/>
        </w:rPr>
        <w:t>原始谈判记录和谈判结果编写</w:t>
      </w:r>
      <w:r>
        <w:rPr>
          <w:rFonts w:hint="eastAsia" w:asciiTheme="majorEastAsia" w:hAnsiTheme="majorEastAsia" w:eastAsiaTheme="majorEastAsia" w:cstheme="majorEastAsia"/>
          <w:color w:val="auto"/>
          <w:kern w:val="1"/>
          <w:sz w:val="24"/>
          <w:highlight w:val="none"/>
        </w:rPr>
        <w:t>谈判</w:t>
      </w:r>
      <w:r>
        <w:rPr>
          <w:rFonts w:hint="eastAsia" w:asciiTheme="majorEastAsia" w:hAnsiTheme="majorEastAsia" w:eastAsiaTheme="majorEastAsia" w:cstheme="majorEastAsia"/>
          <w:color w:val="auto"/>
          <w:sz w:val="24"/>
          <w:highlight w:val="none"/>
        </w:rPr>
        <w:t>结果</w:t>
      </w:r>
      <w:r>
        <w:rPr>
          <w:rFonts w:hint="eastAsia" w:asciiTheme="majorEastAsia" w:hAnsiTheme="majorEastAsia" w:eastAsiaTheme="majorEastAsia" w:cstheme="majorEastAsia"/>
          <w:color w:val="auto"/>
          <w:kern w:val="1"/>
          <w:sz w:val="24"/>
          <w:highlight w:val="none"/>
        </w:rPr>
        <w:t>报告，报采购人。</w:t>
      </w:r>
    </w:p>
    <w:p w14:paraId="74854498">
      <w:pPr>
        <w:spacing w:beforeLines="50" w:afterLines="50"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auto"/>
          <w:sz w:val="24"/>
          <w:highlight w:val="none"/>
        </w:rPr>
        <w:t>七、质疑与投诉</w:t>
      </w:r>
    </w:p>
    <w:p w14:paraId="66D146A3">
      <w:pPr>
        <w:spacing w:line="360" w:lineRule="auto"/>
        <w:ind w:firstLine="472" w:firstLineChars="196"/>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30、质疑及投诉</w:t>
      </w:r>
    </w:p>
    <w:p w14:paraId="719EF613">
      <w:pPr>
        <w:spacing w:line="360" w:lineRule="auto"/>
        <w:ind w:firstLine="472" w:firstLineChars="196"/>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30.1 质疑</w:t>
      </w:r>
    </w:p>
    <w:p w14:paraId="05A64ED9">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w:t>
      </w:r>
    </w:p>
    <w:p w14:paraId="3464522E">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（2）提出质疑的供应商应当是参与本项目采购活动的供应商。</w:t>
      </w:r>
    </w:p>
    <w:p w14:paraId="2ADDD046">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（3）潜在供应商已依法获取其可质疑的采购文件的，可以对该文件提出质疑。对采购文件提出质疑的，应当在获取采购文件或者采购文件公告期限届满之日起7个工作日内一次性提出。</w:t>
      </w:r>
    </w:p>
    <w:p w14:paraId="68B741DE">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（4）供应商提出质疑应当提交质疑函和必要的证明材料，质疑函应包括下列内容：</w:t>
      </w:r>
    </w:p>
    <w:p w14:paraId="2FBADCF9">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 供应商的姓名或者名称、地址、邮编、联系人及联系电话；</w:t>
      </w:r>
    </w:p>
    <w:p w14:paraId="2BDB4015">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 质疑项目的名称、编号；</w:t>
      </w:r>
    </w:p>
    <w:p w14:paraId="506E49AE">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③ 具体、明确的质疑事项和与质疑事项相关的请求；</w:t>
      </w:r>
    </w:p>
    <w:p w14:paraId="220524B1">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④ 事实依据；</w:t>
      </w:r>
    </w:p>
    <w:p w14:paraId="5D691116">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⑤ 必要的法律依据；</w:t>
      </w:r>
    </w:p>
    <w:p w14:paraId="318DFC75">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⑥ 提出质疑的日期。</w:t>
      </w:r>
    </w:p>
    <w:p w14:paraId="597E77EC">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（5）供应商为自然人的，应当由本人签字；供应商为法人或者其他组织的，应当由法定代表人、主要负责人，或者其授权代表签字或者盖章并加盖公章。</w:t>
      </w:r>
    </w:p>
    <w:p w14:paraId="23B5913B">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F9077CB">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（7）采购人负责投标人质疑答复。采购人委托采购代理机构采购的，采购代理机构在委托授权范围内作出答复。</w:t>
      </w:r>
    </w:p>
    <w:p w14:paraId="42ADD96A">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（8）接收质疑函的方式和联系方式：</w:t>
      </w:r>
    </w:p>
    <w:p w14:paraId="592CFECA">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 接收质疑函的方式：书面递交质疑函纸质版（当面递交）或PDF格式扫描件（发至电子邮箱）</w:t>
      </w:r>
    </w:p>
    <w:p w14:paraId="1A20A8ED">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 联系方式</w:t>
      </w:r>
    </w:p>
    <w:p w14:paraId="4F3C0EEF">
      <w:pPr>
        <w:spacing w:line="360" w:lineRule="auto"/>
        <w:ind w:firstLine="48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采购代理机构：</w:t>
      </w:r>
      <w:r>
        <w:rPr>
          <w:rFonts w:hint="eastAsia" w:asciiTheme="majorEastAsia" w:hAnsiTheme="majorEastAsia" w:eastAsiaTheme="majorEastAsia" w:cstheme="majorEastAsia"/>
          <w:color w:val="auto"/>
          <w:sz w:val="24"/>
          <w:highlight w:val="none"/>
          <w:lang w:eastAsia="zh-CN"/>
        </w:rPr>
        <w:t>陕安项目管理有限公司</w:t>
      </w:r>
    </w:p>
    <w:p w14:paraId="67007C4E">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地    址：</w:t>
      </w:r>
      <w:r>
        <w:rPr>
          <w:rFonts w:hint="eastAsia" w:asciiTheme="majorEastAsia" w:hAnsiTheme="majorEastAsia" w:eastAsiaTheme="majorEastAsia" w:cstheme="majorEastAsia"/>
          <w:color w:val="auto"/>
          <w:sz w:val="24"/>
          <w:highlight w:val="none"/>
          <w:lang w:eastAsia="zh-CN"/>
        </w:rPr>
        <w:t>榆林市富康路榆溪尚品3号楼1408</w:t>
      </w:r>
    </w:p>
    <w:p w14:paraId="058126A8">
      <w:pPr>
        <w:spacing w:line="360" w:lineRule="auto"/>
        <w:ind w:firstLine="48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联 系 人：刘</w:t>
      </w:r>
      <w:r>
        <w:rPr>
          <w:rFonts w:hint="eastAsia" w:asciiTheme="majorEastAsia" w:hAnsiTheme="majorEastAsia" w:eastAsiaTheme="majorEastAsia" w:cstheme="majorEastAsia"/>
          <w:color w:val="auto"/>
          <w:sz w:val="24"/>
          <w:highlight w:val="none"/>
          <w:lang w:eastAsia="zh-CN"/>
        </w:rPr>
        <w:t>工</w:t>
      </w:r>
    </w:p>
    <w:p w14:paraId="18703E29">
      <w:pPr>
        <w:spacing w:line="360" w:lineRule="auto"/>
        <w:ind w:firstLine="48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联系方式：</w:t>
      </w:r>
      <w:r>
        <w:rPr>
          <w:rFonts w:hint="eastAsia" w:asciiTheme="majorEastAsia" w:hAnsiTheme="majorEastAsia" w:eastAsiaTheme="majorEastAsia" w:cstheme="majorEastAsia"/>
          <w:color w:val="auto"/>
          <w:sz w:val="24"/>
          <w:highlight w:val="none"/>
          <w:lang w:eastAsia="zh-CN"/>
        </w:rPr>
        <w:t>13228440603</w:t>
      </w:r>
    </w:p>
    <w:p w14:paraId="633700AC">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邮    箱：</w:t>
      </w:r>
      <w:r>
        <w:rPr>
          <w:rFonts w:hint="eastAsia" w:asciiTheme="majorEastAsia" w:hAnsiTheme="majorEastAsia" w:eastAsiaTheme="majorEastAsia" w:cstheme="majorEastAsia"/>
          <w:color w:val="auto"/>
          <w:sz w:val="24"/>
          <w:highlight w:val="none"/>
          <w:lang w:eastAsia="zh-CN"/>
        </w:rPr>
        <w:t>652556020@qq.com</w:t>
      </w:r>
      <w:r>
        <w:rPr>
          <w:rFonts w:hint="eastAsia" w:asciiTheme="majorEastAsia" w:hAnsiTheme="majorEastAsia" w:eastAsiaTheme="majorEastAsia" w:cstheme="majorEastAsia"/>
          <w:color w:val="auto"/>
          <w:sz w:val="24"/>
          <w:highlight w:val="none"/>
        </w:rPr>
        <w:t xml:space="preserve">  </w:t>
      </w:r>
    </w:p>
    <w:p w14:paraId="7453F641">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30.2 投诉</w:t>
      </w:r>
    </w:p>
    <w:p w14:paraId="50075D0B">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（1）质疑供应商对采购人、采购代理机构的答复不满意，或者采购人、采购代理机构未在规定时间内作出答复的，可以在答复期满后15个工作日内向同级财政部门提起投诉。</w:t>
      </w:r>
    </w:p>
    <w:p w14:paraId="573E6139">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（2）投诉人投诉时,应当提交投诉书和必要的证明材料，并按照被投诉采购人、采购代理机构（以下简称被投诉人）和与投诉事项有关的投标人数量提供投诉书的副本。投诉书应当包括下列内容：</w:t>
      </w:r>
    </w:p>
    <w:p w14:paraId="450B31E3">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 投诉人和被投诉人的姓名或者名称、通讯地址、邮编、联系人及联系电话；</w:t>
      </w:r>
    </w:p>
    <w:p w14:paraId="0E5E0FF5">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 质疑和质疑答复情况说明及相关证明材料；</w:t>
      </w:r>
    </w:p>
    <w:p w14:paraId="401A4317">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③ 具体、明确的投诉事项和与投诉事项相关的投诉请求；</w:t>
      </w:r>
    </w:p>
    <w:p w14:paraId="4536BC31">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④ 事实依据；</w:t>
      </w:r>
    </w:p>
    <w:p w14:paraId="219BC668">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⑤ 法律依据；</w:t>
      </w:r>
    </w:p>
    <w:p w14:paraId="7DD0D367">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⑥ 提起投诉的日期。</w:t>
      </w:r>
    </w:p>
    <w:p w14:paraId="49BC665E">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（3）投诉人为自然人的，应当由本人签字；投诉人为法人或者其他组织的，应当由法定代表人、主要负责人，或者其授权代表签字或者盖章，并加盖公章。</w:t>
      </w:r>
    </w:p>
    <w:p w14:paraId="6A017C00">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（4）投诉人提起投诉应当符合下列条件：</w:t>
      </w:r>
    </w:p>
    <w:p w14:paraId="6E492810">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① 提起投诉前已依法进行质疑；</w:t>
      </w:r>
    </w:p>
    <w:p w14:paraId="588A25C2">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② 投诉书内容符合《政府采购质疑和投诉办法》（财政部令第94号令）的规定；</w:t>
      </w:r>
    </w:p>
    <w:p w14:paraId="6ED01443">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③ 在投诉有效期限内提起投诉；</w:t>
      </w:r>
    </w:p>
    <w:p w14:paraId="6D27C4CD">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④ 同一投诉事项未经财政部门投诉处理；</w:t>
      </w:r>
    </w:p>
    <w:p w14:paraId="69578D76">
      <w:pPr>
        <w:spacing w:line="360" w:lineRule="auto"/>
        <w:ind w:firstLine="48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⑤ 财政部规定的其他条件。</w:t>
      </w:r>
    </w:p>
    <w:p w14:paraId="43133F6D">
      <w:pPr>
        <w:spacing w:line="360" w:lineRule="auto"/>
        <w:ind w:firstLine="48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（5）供应商投诉的事项不得超出已质疑事项的范围，但基于质疑答复内容提出的投诉事项除外。</w:t>
      </w:r>
      <w:bookmarkEnd w:id="22"/>
      <w:bookmarkEnd w:id="23"/>
    </w:p>
    <w:p w14:paraId="43A80422">
      <w:pPr>
        <w:spacing w:line="360" w:lineRule="auto"/>
        <w:ind w:firstLine="480"/>
        <w:jc w:val="center"/>
        <w:rPr>
          <w:rFonts w:hint="eastAsia"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八、政采贷业务</w:t>
      </w:r>
    </w:p>
    <w:p w14:paraId="28B23C00">
      <w:pPr>
        <w:spacing w:line="360" w:lineRule="auto"/>
        <w:jc w:val="both"/>
        <w:rPr>
          <w:rFonts w:hint="eastAsia" w:asciiTheme="majorEastAsia" w:hAnsiTheme="majorEastAsia" w:eastAsiaTheme="majorEastAsia" w:cstheme="majorEastAsia"/>
          <w:b/>
          <w:bCs/>
          <w:color w:val="auto"/>
          <w:sz w:val="24"/>
          <w:highlight w:val="none"/>
          <w:lang w:val="en-US" w:eastAsia="zh-CN"/>
        </w:rPr>
      </w:pPr>
    </w:p>
    <w:p w14:paraId="42396185">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平台（https://www.crcrfsp.com）在线申请，依法参加政府采购信用融资活动。</w:t>
      </w:r>
    </w:p>
    <w:p w14:paraId="4CCEFA6D">
      <w:pPr>
        <w:spacing w:line="360" w:lineRule="auto"/>
        <w:rPr>
          <w:rFonts w:hint="eastAsia" w:ascii="宋体" w:hAnsi="宋体" w:cs="宋体"/>
          <w:color w:val="auto"/>
          <w:sz w:val="24"/>
          <w:highlight w:val="none"/>
        </w:rPr>
      </w:pPr>
    </w:p>
    <w:tbl>
      <w:tblPr>
        <w:tblStyle w:val="25"/>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09A8E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41E4569E">
            <w:pPr>
              <w:spacing w:line="360" w:lineRule="auto"/>
              <w:jc w:val="both"/>
              <w:rPr>
                <w:rFonts w:hint="eastAsia" w:ascii="宋体" w:hAnsi="宋体" w:cs="宋体"/>
                <w:color w:val="auto"/>
                <w:kern w:val="0"/>
                <w:szCs w:val="21"/>
                <w:highlight w:val="none"/>
                <w:lang w:val="en-US" w:eastAsia="zh-CN" w:bidi="ar"/>
              </w:rPr>
            </w:pPr>
          </w:p>
        </w:tc>
        <w:tc>
          <w:tcPr>
            <w:tcW w:w="8892" w:type="dxa"/>
            <w:gridSpan w:val="7"/>
            <w:tcBorders>
              <w:top w:val="nil"/>
              <w:left w:val="nil"/>
              <w:bottom w:val="nil"/>
              <w:right w:val="nil"/>
            </w:tcBorders>
            <w:noWrap/>
            <w:vAlign w:val="center"/>
          </w:tcPr>
          <w:p w14:paraId="46C4F403">
            <w:pPr>
              <w:spacing w:line="360" w:lineRule="auto"/>
              <w:jc w:val="center"/>
              <w:rPr>
                <w:rFonts w:hint="eastAsia" w:ascii="宋体" w:hAnsi="宋体" w:cs="宋体"/>
                <w:color w:val="auto"/>
                <w:kern w:val="0"/>
                <w:szCs w:val="21"/>
                <w:highlight w:val="none"/>
                <w:lang w:bidi="ar"/>
              </w:rPr>
            </w:pPr>
            <w:r>
              <w:rPr>
                <w:rFonts w:hint="eastAsia" w:ascii="宋体" w:hAnsi="宋体" w:cs="宋体"/>
                <w:b/>
                <w:bCs/>
                <w:color w:val="auto"/>
                <w:kern w:val="0"/>
                <w:szCs w:val="21"/>
                <w:highlight w:val="none"/>
                <w:lang w:val="en-US" w:eastAsia="zh-CN" w:bidi="ar"/>
              </w:rPr>
              <w:t>榆林市“政采贷”业务办理银行联系表</w:t>
            </w:r>
          </w:p>
        </w:tc>
      </w:tr>
      <w:tr w14:paraId="6B10E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23B482B">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9D924E4">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9353A23">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AC9F3BB">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6231311">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C8D9885">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4090CC">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A354BB9">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联系人</w:t>
            </w:r>
          </w:p>
        </w:tc>
      </w:tr>
      <w:tr w14:paraId="3CA0C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F7A5C7F">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B1D965F">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2A7FB14">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65783C6">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9BCF6F4">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8763908">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1DDBD89">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438FEEB3">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魏  众15109123951</w:t>
            </w:r>
          </w:p>
        </w:tc>
      </w:tr>
      <w:tr w14:paraId="0662A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7CDD0D0">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FBC6528">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0EC48F8">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868CA77">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2F0F4D4">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5C69156">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DFB3472">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DF7F013">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高  明18992218795</w:t>
            </w:r>
          </w:p>
        </w:tc>
      </w:tr>
      <w:tr w14:paraId="0FF10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AE16781">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6730385">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129C168">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D56A589">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BC0D543">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CD0ACA9">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9C78E64">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5CA3A94">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尹皓永18791214448</w:t>
            </w:r>
          </w:p>
        </w:tc>
      </w:tr>
      <w:tr w14:paraId="6AA54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F9E6EA2">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80FFA51">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262BB3B">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5ABF601">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DA7D242">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AC524A5">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81D2232">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4E5E56E6">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李  浩18691230007</w:t>
            </w:r>
          </w:p>
        </w:tc>
      </w:tr>
      <w:tr w14:paraId="1D854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CE02567">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04EC150">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92F2FC0">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13F35CE">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9C80946">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8AE1E9F">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ADA9B56">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B030DF3">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马  烨15596100007</w:t>
            </w:r>
          </w:p>
        </w:tc>
      </w:tr>
      <w:tr w14:paraId="3F0AD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940D6FB">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F651A30">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560E7D7">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003B22F">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733EF4B">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DB3A632">
            <w:pPr>
              <w:spacing w:line="360" w:lineRule="auto"/>
              <w:jc w:val="both"/>
              <w:rPr>
                <w:rFonts w:hint="eastAsia" w:ascii="宋体" w:hAnsi="宋体" w:cs="宋体"/>
                <w:color w:val="auto"/>
                <w:kern w:val="0"/>
                <w:szCs w:val="21"/>
                <w:highlight w:val="none"/>
                <w:lang w:val="en-US" w:bidi="ar"/>
              </w:rPr>
            </w:pPr>
            <w:r>
              <w:rPr>
                <w:rFonts w:hint="eastAsia" w:ascii="宋体" w:hAnsi="宋体" w:cs="宋体"/>
                <w:color w:val="auto"/>
                <w:kern w:val="0"/>
                <w:szCs w:val="21"/>
                <w:highlight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7979BE0">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CAFF3ED">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朱  君15629169158</w:t>
            </w:r>
          </w:p>
        </w:tc>
      </w:tr>
      <w:tr w14:paraId="53C3E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A29112B">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352E3E7">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D911D74">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2E1AF74">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E169F3B">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811227B">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11DD813">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EFB2DF5">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王  璐15529875056</w:t>
            </w:r>
          </w:p>
        </w:tc>
      </w:tr>
      <w:tr w14:paraId="4044E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9D32CCF">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79811D5">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66009F6">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E22BE5">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496E61">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FD9A736">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D9BE008">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B70B03B">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王  真15009226862</w:t>
            </w:r>
          </w:p>
        </w:tc>
      </w:tr>
      <w:tr w14:paraId="63F13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D974D06">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B47C4BE">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2095F24">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BC0E137">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5A50278">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0A66B53">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A13CBAE">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E07261E">
            <w:pPr>
              <w:spacing w:line="360" w:lineRule="auto"/>
              <w:jc w:val="both"/>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郝双双15991225850</w:t>
            </w:r>
          </w:p>
        </w:tc>
      </w:tr>
      <w:tr w14:paraId="117DD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21204F2">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E9A3656">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9B455A9">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A336643">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0543F05">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29ECC34">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5B6FC0A">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6FC40A1">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薛万隆18709258523</w:t>
            </w:r>
          </w:p>
        </w:tc>
      </w:tr>
      <w:tr w14:paraId="654F8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66D06F7">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2EAF5AA">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299751D">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92C796">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3E71056">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68B7CC1">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F872EB3">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508F9F5">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李思嘉15191820101</w:t>
            </w:r>
          </w:p>
        </w:tc>
      </w:tr>
      <w:tr w14:paraId="4CA41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61B4331">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FC9CC8D">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83C9210">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AF4FF81">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A9FDAF3">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09DE7A5">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61646FC">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B40C2A1">
            <w:pPr>
              <w:spacing w:line="360" w:lineRule="auto"/>
              <w:jc w:val="both"/>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张 宇 15929397838</w:t>
            </w:r>
          </w:p>
        </w:tc>
      </w:tr>
    </w:tbl>
    <w:p w14:paraId="5D23296C">
      <w:pPr>
        <w:spacing w:line="360" w:lineRule="auto"/>
        <w:jc w:val="both"/>
        <w:rPr>
          <w:rFonts w:hint="eastAsia" w:ascii="宋体" w:hAnsi="宋体" w:cs="宋体"/>
          <w:color w:val="auto"/>
          <w:kern w:val="0"/>
          <w:szCs w:val="21"/>
          <w:highlight w:val="none"/>
          <w:lang w:bidi="ar"/>
        </w:rPr>
        <w:sectPr>
          <w:pgSz w:w="11900" w:h="16838"/>
          <w:pgMar w:top="1429" w:right="1417" w:bottom="1417" w:left="1417" w:header="850" w:footer="850" w:gutter="0"/>
          <w:pgNumType w:fmt="decimal"/>
          <w:cols w:space="720" w:num="1"/>
          <w:docGrid w:linePitch="326" w:charSpace="0"/>
        </w:sectPr>
      </w:pPr>
      <w:r>
        <w:rPr>
          <w:rFonts w:hint="eastAsia" w:ascii="宋体" w:hAnsi="宋体" w:cs="宋体"/>
          <w:color w:val="auto"/>
          <w:kern w:val="0"/>
          <w:szCs w:val="21"/>
          <w:highlight w:val="none"/>
          <w:lang w:val="en-US" w:eastAsia="zh-CN" w:bidi="ar"/>
        </w:rPr>
        <w:t>备注：银行排名不分先后。如产品额度、期限、利率等内容发生改变，以银行解释为准</w:t>
      </w:r>
      <w:r>
        <w:rPr>
          <w:rFonts w:hint="eastAsia" w:ascii="宋体" w:hAnsi="宋体" w:cs="宋体"/>
          <w:color w:val="auto"/>
          <w:kern w:val="0"/>
          <w:szCs w:val="21"/>
          <w:highlight w:val="none"/>
          <w:lang w:bidi="ar"/>
        </w:rPr>
        <w:t>。</w:t>
      </w:r>
    </w:p>
    <w:p w14:paraId="50AE6155">
      <w:pPr>
        <w:pStyle w:val="2"/>
        <w:bidi w:val="0"/>
        <w:jc w:val="center"/>
        <w:rPr>
          <w:rFonts w:hint="eastAsia"/>
          <w:color w:val="auto"/>
          <w:sz w:val="32"/>
          <w:szCs w:val="32"/>
          <w:highlight w:val="none"/>
        </w:rPr>
      </w:pPr>
      <w:bookmarkStart w:id="138" w:name="_Toc6243"/>
      <w:bookmarkStart w:id="139" w:name="_Toc19783"/>
      <w:r>
        <w:rPr>
          <w:rFonts w:hint="eastAsia"/>
          <w:color w:val="auto"/>
          <w:sz w:val="32"/>
          <w:szCs w:val="32"/>
          <w:highlight w:val="none"/>
        </w:rPr>
        <w:t>第四章  采购内容及技术要求</w:t>
      </w:r>
      <w:bookmarkEnd w:id="138"/>
      <w:bookmarkEnd w:id="139"/>
    </w:p>
    <w:p w14:paraId="5F631172">
      <w:pPr>
        <w:bidi w:val="0"/>
        <w:spacing w:line="360" w:lineRule="auto"/>
        <w:ind w:firstLine="560" w:firstLineChars="200"/>
        <w:rPr>
          <w:rFonts w:hint="eastAsia" w:ascii="宋体" w:hAnsi="宋体" w:eastAsia="宋体" w:cs="宋体"/>
          <w:color w:val="auto"/>
          <w:sz w:val="28"/>
          <w:szCs w:val="28"/>
          <w:highlight w:val="none"/>
        </w:rPr>
      </w:pPr>
      <w:bookmarkStart w:id="140" w:name="_Toc20973"/>
      <w:bookmarkStart w:id="141" w:name="_Toc21881"/>
      <w:r>
        <w:rPr>
          <w:rFonts w:hint="eastAsia" w:ascii="宋体" w:hAnsi="宋体" w:eastAsia="宋体" w:cs="宋体"/>
          <w:color w:val="auto"/>
          <w:sz w:val="28"/>
          <w:szCs w:val="28"/>
          <w:highlight w:val="none"/>
          <w:lang w:val="en-US" w:eastAsia="zh-CN"/>
        </w:rPr>
        <w:t>本项目为清涧县高杰村镇、李家塔镇地质灾害风险调查评价专项服务项目，采购服务内容涵盖项目全域地质灾害隐患排查、野外精细化调查、数据采集与整理、成果图件与报告编制、标准化数据库建设、资料归档、成果验收交付及服务期内配套技术保障、应急支撑等全流程工作，具体采购内容及服务实施要求如下。</w:t>
      </w:r>
    </w:p>
    <w:p w14:paraId="7A20BEF4">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一、项目总体服务要求</w:t>
      </w:r>
    </w:p>
    <w:p w14:paraId="4744802B">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中标单位须严格遵守国家、陕西省地质灾害调查评价相关技术规范及本项目招标文件要求，围绕清涧县高杰村镇、李家塔镇地质灾害防控工作需求，全面完成全域地质灾害风险调查、隐患勘查、风险评价、成果编制、数据入库及后期技术服务等工作，确保项目成果真实准确、规范合规、可用可落地，顺利通过各级主管部门评审验收，切实提升属地地质灾害防灾减灾、风险管控能力。</w:t>
      </w:r>
    </w:p>
    <w:p w14:paraId="3A7211E3">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二、项目实施内容及技术要求</w:t>
      </w:r>
    </w:p>
    <w:p w14:paraId="21C4A617">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（一）服务范围与主要工作内容</w:t>
      </w:r>
    </w:p>
    <w:p w14:paraId="408FAEB4">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1、在清涧县高杰村镇、李家塔镇全域范围内开展1:10000比例尺地质灾害风险调查工作，实现辖区调查全覆盖、隐患无遗漏。</w:t>
      </w:r>
    </w:p>
    <w:p w14:paraId="1DE2D952">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2、针对调查区域内不稳定斜坡、重点区域及重大地质灾害隐患点开展专项精细化勘查，查明灾害发育特征、孕灾条件及威胁范围。</w:t>
      </w:r>
    </w:p>
    <w:p w14:paraId="221A16C6">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3、系统开展单体地质灾害风险评价及区域整体地质灾害风险评价，结合属地灾害特点，科学提出针对性、可落地的风险管控措施建议。</w:t>
      </w:r>
    </w:p>
    <w:p w14:paraId="4B199D32">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4、依据单体隐患及区域风险评价成果，严格落实地质灾害“隐患点+风险区”双控管理工作要求，梳理完善隐患点、风险区防控对策，编制乡镇地质灾害风险管控图册。</w:t>
      </w:r>
    </w:p>
    <w:p w14:paraId="7C1E6545">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5、按照省级技术标准规范，编制完整的地质灾害风险调查评价成果报告，同步完成配套附表、附图及各类附件的编制、校核、完善工作。</w:t>
      </w:r>
    </w:p>
    <w:p w14:paraId="46BC6DA2">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搭建乡镇标准化地质灾害风险调查评价专项数据库，规范整理各类调查数据、成果资料，确保数据库成果可顺利导入陕西省地质灾害“隐患点+风险区”日常管理系统，实现数据标准化入库、对接、常态化应用。</w:t>
      </w:r>
    </w:p>
    <w:p w14:paraId="0E4F2105">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（二）具体技术实施标准</w:t>
      </w:r>
    </w:p>
    <w:p w14:paraId="62E7B3E4">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1、调查范围须全面覆盖乡镇城镇建成区、城镇规划区，外延至城镇所处斜坡一级分水岭，同步包含对城镇安全存在威胁的流域沟谷，确保调查范围完整、无盲区、无遗漏。</w:t>
      </w:r>
    </w:p>
    <w:p w14:paraId="7E0CC685">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2、乡镇全域基础性地质灾害调查严格采用1:10000比例尺开展地质测绘，野外作业底图精度不低于1:10000，符合省级地灾调查技术规范要求。</w:t>
      </w:r>
    </w:p>
    <w:p w14:paraId="4C8CD534">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3、城镇区域不稳定斜坡专项勘查，采用1:1000—1:2000比例尺地形图开展精细化地质测绘，精准掌握斜坡结构、变形特征及风险隐患。</w:t>
      </w:r>
    </w:p>
    <w:p w14:paraId="467A8491">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4、除泥石流灾害外的各类重大地质灾害隐患点勘查，采用1:500—1:2000比例尺地形图开展专项地质测绘，保障重大隐患勘查精度与成果可靠性。</w:t>
      </w:r>
    </w:p>
    <w:p w14:paraId="02E2FE41">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5、乡镇地质灾害评价与区划工作包含地质灾害易发性评价与区划、危险性评价与区划、风险评价与区划三大核心内容，全面完成全域地质灾害分级、分区管控研判。</w:t>
      </w:r>
    </w:p>
    <w:p w14:paraId="14D7AABD">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6、地质灾害风险评价分为单体地质灾害（隐患）风险评价、区域整体地质灾害风险评价两类，全面摸清单点灾害风险及全域整体防灾风险底数。</w:t>
      </w:r>
    </w:p>
    <w:p w14:paraId="0B0330B1">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三、项目实施方案要求</w:t>
      </w:r>
    </w:p>
    <w:p w14:paraId="0793F3EF">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（一）总体工作思路</w:t>
      </w:r>
    </w:p>
    <w:p w14:paraId="03EE1846">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中标单位须在充分收集、梳理区域已有地质资料、地灾治理成果、历史隐患数据的基础上，综合运用高精度遥感影像解译、无人机航测、工程地质测绘、隐患点专项勘查、物探及山地工程等技术手段，完成清涧县高杰村镇、李家塔镇1:10000全域调查及重点区域1:2000高精度地质灾害风险调查评价工作。项目整体分三个阶段有序实施，各阶段工序合理衔接、交叉并行、高效推进。</w:t>
      </w:r>
    </w:p>
    <w:p w14:paraId="4C92C4C8">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一阶段：调查准备阶段。系统收集梳理区域基础地质、水文地质、工程地质、地质灾害隐患及防治相关资料，依托高精度遥感影像开展前期隐患解译，识别隐蔽性地质灾害隐患，研判区域地质环境条件；结合野外踏勘及属地地质灾害易发性分区成果，划定重点工作区域，编制科学合规、贴合项目实际的实施方案与工作设计书。</w:t>
      </w:r>
    </w:p>
    <w:p w14:paraId="33FAA776">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二阶段：野外调查阶段。全面开展辖区地质灾害隐患点、孕灾地质条件、承灾体精细化调查，细化划分斜坡、沟谷调查单元，精准摸排受威胁人员、房屋及工程设施情况；严格落实“坡坡必到、户户必到”工作标准，实现“村不漏坡、坡不漏户、户不漏人”。通过钻探、物探、山地工程、精细化地质测绘等手段，完成典型隐患点、不稳定斜坡专项勘查，查明斜坡结构、变形特征、灾害发育规律，建立属地地质灾害早期识别标识，为灾害防治、风险管控提供坚实技术支撑。</w:t>
      </w:r>
    </w:p>
    <w:p w14:paraId="48C86F82">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三阶段：综合研究与成果编制阶段。系统分析辖区地质灾害空间分布、发育规律、孕灾机理及成灾模式，全面梳理各类承灾体特征；精准判定单体隐患点风险等级，完成区域地质灾害易发性、危险性、风险性评价与区划，提出科学可行、贴合属地实际的风险管理与防控对策；最终完成标准化数据库搭建、成果报告、图件、附件全套成果编制、校核与完善工作。</w:t>
      </w:r>
    </w:p>
    <w:p w14:paraId="1F1AFE00">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（二）项目实施部署原则</w:t>
      </w:r>
    </w:p>
    <w:p w14:paraId="19DEE5A6">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人民至上、生命至上原则。始终以保障群众生命财产安全为核心，将人口密集区、零散住户、工程设施等受威胁区域全部纳入调查范围，分级分类开展精细化调查评价，最大限度防范化解地质灾害风险，减少灾害损失。</w:t>
      </w:r>
    </w:p>
    <w:p w14:paraId="15F1B41A">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突出重点、兼顾一般原则。将村镇建成区、居民集中点、工矿企业、交通干线、重要公共设施等区域列为重点调查区域，实施高精度精细化勘查；对零散居民点、偏远区域等一般区域，依托遥感解译+实地核查模式全面排查，实现全域无死角覆盖。</w:t>
      </w:r>
    </w:p>
    <w:p w14:paraId="07EB175F">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科技赋能、综合研究原则。全面应用高精度遥感影像、无人机航测、数字化野外采集系统等新技术、新设备开展作业，提升调查精度与工作效率；依托GIS平台搭建标准化空间数据库，系统研究区域地质灾害形成机理与发育规律，科学开展风险评价，提升成果专业性与实用性。</w:t>
      </w:r>
    </w:p>
    <w:p w14:paraId="7023F155">
      <w:pPr>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点面结合、专群结合原则。采用点、线、面一体化调查模式，紧密对接属地自然资源主管部门、乡镇政府，贴合地方监管需求开展工作；及时移交隐患台账，配合落实监测、避让、治理等管控措施；联动基层群测群防体系，开展防灾知识宣讲，提升群众防灾避险意识和自救能力。</w:t>
      </w:r>
    </w:p>
    <w:p w14:paraId="1A2BFCCC">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（三）进度实施要求</w:t>
      </w:r>
    </w:p>
    <w:p w14:paraId="7B4CC46A">
      <w:pPr>
        <w:bidi w:val="0"/>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本项目整体服务周期1年，中标单位须科学统筹人员、设备、技术资源，细化工作节点、优化工序衔接、压实工作责任，采用交叉平行作业模式，高效推进全流程工作，确保按期、保质、合规完成全部工作及交付任务。具体实施进度要求如下：</w:t>
      </w:r>
    </w:p>
    <w:p w14:paraId="2989896E">
      <w:pPr>
        <w:bidi w:val="0"/>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1、资料收集与分析：全面搜集研究区各类基础地质、生态地质、地质灾害防治相关资料，系统梳理、研判已有成果，为项目实施提供基础数据支撑。</w:t>
      </w:r>
    </w:p>
    <w:p w14:paraId="4BC3E734">
      <w:pPr>
        <w:bidi w:val="0"/>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2、工作设计书编制：完成项目实施方案、工作设计书的编制、内审、修改完善；制作标准化数字化地形底图；对接属地主管部门建立工作联动机制，完成项目人员技术培训、野外设备调试配备。</w:t>
      </w:r>
    </w:p>
    <w:p w14:paraId="744E6B7E">
      <w:pPr>
        <w:bidi w:val="0"/>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3、野外实地调查：严格按照省级技术规范及项目要求，完成全域野外地质灾害排查、隐患勘查、数据采集、现场核查等全部外业工作。</w:t>
      </w:r>
    </w:p>
    <w:p w14:paraId="147EE456">
      <w:pPr>
        <w:bidi w:val="0"/>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4、成果编制完善：外业中后期同步开展室内数据整理、综合分析、资料校核工作，完成野外自检、自查及整改完善，严格按照《陕西省乡镇(街道)地质灾害风险调查评价技术要求(1:10000)》编制成果报告、配套图件及附件。</w:t>
      </w:r>
    </w:p>
    <w:p w14:paraId="5E669DFF">
      <w:pPr>
        <w:bidi w:val="0"/>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5、成果评审与数据库汇交：完成成果内审、整改、评审，搭建标准化地质灾害专项数据库，按要求完成数据汇交、资料归档，配合主管部门完成验收备案工作。</w:t>
      </w:r>
    </w:p>
    <w:p w14:paraId="4FEADD42">
      <w:pPr>
        <w:bidi w:val="0"/>
        <w:spacing w:line="360" w:lineRule="auto"/>
        <w:ind w:firstLine="562" w:firstLineChars="20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四</w:t>
      </w: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服务期</w:t>
      </w:r>
    </w:p>
    <w:p w14:paraId="3E00CBA5">
      <w:pPr>
        <w:bidi w:val="0"/>
        <w:spacing w:line="360" w:lineRule="auto"/>
        <w:ind w:firstLine="560" w:firstLineChars="200"/>
        <w:rPr>
          <w:rFonts w:hint="default" w:ascii="宋体" w:hAnsi="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自合同签订生效之日起 1 年（为计划服务周期），因降雨、汛期、现场作业条件不具备等客观因素无法按期完成全部工作，服务期顺延至项目成果全部通过审查验收为止，顺延不增加合同价款；因乙方自身人员配置、技术能力、组织管理等原因造成工期滞后的，不得顺延，并按合同承担相应违约责任。发生需要顺延情形，乙方应及时向采购人提交工期顺延申请，经采购人确认后方可顺延。</w:t>
      </w:r>
    </w:p>
    <w:p w14:paraId="434C06A7">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）付款方式</w:t>
      </w:r>
    </w:p>
    <w:p w14:paraId="65166573">
      <w:pPr>
        <w:bidi w:val="0"/>
        <w:spacing w:line="360" w:lineRule="auto"/>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val="0"/>
          <w:bCs w:val="0"/>
          <w:color w:val="auto"/>
          <w:sz w:val="28"/>
          <w:szCs w:val="28"/>
          <w:highlight w:val="none"/>
          <w:lang w:val="en-US" w:eastAsia="zh-CN"/>
        </w:rPr>
        <w:t>合同签订后支付合同总价的40%；项目全部野外调查工作完成、野外成果经采购人核查合格后支付合同总价的40%；项目全部成果报告、数据库等资料完整移交，成果通过主管部门技术审查验收合格后，付清剩余20%款项。</w:t>
      </w:r>
    </w:p>
    <w:p w14:paraId="76F8FE12">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）验收标准</w:t>
      </w:r>
    </w:p>
    <w:p w14:paraId="5FD6BB3A">
      <w:pPr>
        <w:bidi w:val="0"/>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中标单位须严格按照国家、省市地质灾害调查评价相关技术规范及本项目招标文件要求，完整、规范提交成果报告、全套附图附表、附件及标准化数据库成果，所有成果须真实准确、资料齐全、格式合规、数据可对接入库，最终顺利通过省、市自然资源主管部门评审验收。</w:t>
      </w:r>
    </w:p>
    <w:p w14:paraId="1BF2AE87">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）项目预期效益</w:t>
      </w:r>
    </w:p>
    <w:p w14:paraId="0462CF55">
      <w:pPr>
        <w:bidi w:val="0"/>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通过本项目实施，全面摸清清涧县高杰村镇、李家塔镇地质灾害隐患底数与区域风险特征，完善属地地质灾害风险区划成果，有效支撑国土空间规划、地质灾害防治规划编制；健全基层地质灾害“隐患点+风险区”双控管理体系，提升属地地质灾害隐患识别、风险研判、应急处置、防灾减灾能力，切实保障辖区群众生命财产安全和各类工程设施安全稳定运行。</w:t>
      </w:r>
    </w:p>
    <w:p w14:paraId="7E41EC29">
      <w:pPr>
        <w:bidi w:val="0"/>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四、履约服务总体要求</w:t>
      </w:r>
    </w:p>
    <w:p w14:paraId="68FFF1A8">
      <w:pPr>
        <w:bidi w:val="0"/>
        <w:spacing w:line="360" w:lineRule="auto"/>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中标单位须全面响应本项目计划 1 年服务周期履约要求，自合同签订生效起至项目成果全部通过主管部门审查验收为止，全程保障项目人员、设备稳定在岗，严格落实质量管控、安全生产、资料保密、属地服务、应急保障等工作要求，无条件配合业主单位及主管部门开展核查、整改、验收、应急排查等相关工作，免费提供技术答疑、成果整改、数据更新、售后保障等配套服务，确保项目成果长期有效、合规可用。</w:t>
      </w:r>
    </w:p>
    <w:p w14:paraId="06F0D9E2">
      <w:pPr>
        <w:bidi w:val="0"/>
        <w:spacing w:line="360" w:lineRule="auto"/>
        <w:ind w:firstLine="560" w:firstLineChars="200"/>
        <w:rPr>
          <w:rFonts w:hint="eastAsia" w:ascii="宋体" w:hAnsi="宋体" w:eastAsia="宋体" w:cs="宋体"/>
          <w:b w:val="0"/>
          <w:bCs w:val="0"/>
          <w:color w:val="auto"/>
          <w:sz w:val="28"/>
          <w:szCs w:val="28"/>
          <w:highlight w:val="none"/>
        </w:rPr>
      </w:pPr>
    </w:p>
    <w:p w14:paraId="21B2E3B3">
      <w:pPr>
        <w:pStyle w:val="2"/>
        <w:bidi w:val="0"/>
        <w:jc w:val="center"/>
        <w:rPr>
          <w:rFonts w:hint="eastAsia"/>
          <w:color w:val="auto"/>
          <w:sz w:val="32"/>
          <w:szCs w:val="32"/>
          <w:highlight w:val="none"/>
        </w:rPr>
      </w:pPr>
      <w:bookmarkStart w:id="142" w:name="_Toc3465"/>
    </w:p>
    <w:p w14:paraId="103269CD">
      <w:pPr>
        <w:pStyle w:val="2"/>
        <w:bidi w:val="0"/>
        <w:jc w:val="center"/>
        <w:rPr>
          <w:rFonts w:hint="eastAsia"/>
          <w:color w:val="auto"/>
          <w:sz w:val="32"/>
          <w:szCs w:val="32"/>
          <w:highlight w:val="none"/>
        </w:rPr>
      </w:pPr>
    </w:p>
    <w:p w14:paraId="0B8BB955">
      <w:pPr>
        <w:pStyle w:val="2"/>
        <w:bidi w:val="0"/>
        <w:jc w:val="center"/>
        <w:rPr>
          <w:rFonts w:hint="eastAsia"/>
          <w:color w:val="auto"/>
          <w:sz w:val="32"/>
          <w:szCs w:val="32"/>
          <w:highlight w:val="none"/>
        </w:rPr>
      </w:pPr>
    </w:p>
    <w:p w14:paraId="52787D43">
      <w:pPr>
        <w:pStyle w:val="2"/>
        <w:bidi w:val="0"/>
        <w:jc w:val="center"/>
        <w:rPr>
          <w:rFonts w:hint="eastAsia"/>
          <w:color w:val="auto"/>
          <w:sz w:val="32"/>
          <w:szCs w:val="32"/>
          <w:highlight w:val="none"/>
        </w:rPr>
      </w:pPr>
    </w:p>
    <w:p w14:paraId="6499482E">
      <w:pPr>
        <w:bidi w:val="0"/>
        <w:rPr>
          <w:rFonts w:hint="eastAsia"/>
        </w:rPr>
      </w:pPr>
    </w:p>
    <w:p w14:paraId="7EDB3F55">
      <w:pPr>
        <w:bidi w:val="0"/>
        <w:rPr>
          <w:rFonts w:hint="eastAsia"/>
        </w:rPr>
      </w:pPr>
    </w:p>
    <w:p w14:paraId="38181FB6">
      <w:pPr>
        <w:bidi w:val="0"/>
        <w:rPr>
          <w:rFonts w:hint="eastAsia"/>
        </w:rPr>
      </w:pPr>
    </w:p>
    <w:p w14:paraId="37A2281E">
      <w:pPr>
        <w:bidi w:val="0"/>
        <w:rPr>
          <w:rFonts w:hint="eastAsia"/>
        </w:rPr>
      </w:pPr>
    </w:p>
    <w:p w14:paraId="4A398C56">
      <w:pPr>
        <w:bidi w:val="0"/>
        <w:rPr>
          <w:rFonts w:hint="eastAsia"/>
        </w:rPr>
      </w:pPr>
    </w:p>
    <w:p w14:paraId="6E0BDC91">
      <w:pPr>
        <w:bidi w:val="0"/>
        <w:rPr>
          <w:rFonts w:hint="eastAsia"/>
        </w:rPr>
      </w:pPr>
    </w:p>
    <w:p w14:paraId="57A27308">
      <w:pPr>
        <w:bidi w:val="0"/>
        <w:rPr>
          <w:rFonts w:hint="eastAsia"/>
        </w:rPr>
      </w:pPr>
    </w:p>
    <w:p w14:paraId="3B760B53">
      <w:pPr>
        <w:bidi w:val="0"/>
        <w:rPr>
          <w:rFonts w:hint="eastAsia"/>
        </w:rPr>
      </w:pPr>
    </w:p>
    <w:p w14:paraId="56F996AB">
      <w:pPr>
        <w:bidi w:val="0"/>
        <w:rPr>
          <w:rFonts w:hint="eastAsia"/>
        </w:rPr>
      </w:pPr>
    </w:p>
    <w:p w14:paraId="247F31BD">
      <w:pPr>
        <w:bidi w:val="0"/>
        <w:rPr>
          <w:rFonts w:hint="eastAsia"/>
        </w:rPr>
      </w:pPr>
    </w:p>
    <w:p w14:paraId="4451B743">
      <w:pPr>
        <w:bidi w:val="0"/>
        <w:rPr>
          <w:rFonts w:hint="eastAsia"/>
        </w:rPr>
      </w:pPr>
    </w:p>
    <w:p w14:paraId="791C8D1C">
      <w:pPr>
        <w:bidi w:val="0"/>
        <w:rPr>
          <w:rFonts w:hint="eastAsia"/>
        </w:rPr>
      </w:pPr>
    </w:p>
    <w:p w14:paraId="62E2C54D">
      <w:pPr>
        <w:bidi w:val="0"/>
        <w:rPr>
          <w:rFonts w:hint="eastAsia"/>
        </w:rPr>
      </w:pPr>
    </w:p>
    <w:p w14:paraId="376E6D48">
      <w:pPr>
        <w:bidi w:val="0"/>
        <w:rPr>
          <w:rFonts w:hint="eastAsia"/>
        </w:rPr>
      </w:pPr>
    </w:p>
    <w:p w14:paraId="454E68DB">
      <w:pPr>
        <w:bidi w:val="0"/>
        <w:rPr>
          <w:rFonts w:hint="eastAsia"/>
        </w:rPr>
      </w:pPr>
    </w:p>
    <w:p w14:paraId="295DF3B2">
      <w:pPr>
        <w:bidi w:val="0"/>
        <w:rPr>
          <w:rFonts w:hint="eastAsia"/>
        </w:rPr>
      </w:pPr>
    </w:p>
    <w:p w14:paraId="0288C696">
      <w:pPr>
        <w:bidi w:val="0"/>
        <w:rPr>
          <w:rFonts w:hint="eastAsia"/>
        </w:rPr>
      </w:pPr>
    </w:p>
    <w:p w14:paraId="77E2552A">
      <w:pPr>
        <w:bidi w:val="0"/>
        <w:rPr>
          <w:rFonts w:hint="eastAsia"/>
        </w:rPr>
      </w:pPr>
    </w:p>
    <w:p w14:paraId="3280906D">
      <w:pPr>
        <w:bidi w:val="0"/>
        <w:rPr>
          <w:rFonts w:hint="eastAsia"/>
        </w:rPr>
      </w:pPr>
    </w:p>
    <w:p w14:paraId="02378C4C">
      <w:pPr>
        <w:bidi w:val="0"/>
        <w:rPr>
          <w:rFonts w:hint="eastAsia"/>
        </w:rPr>
      </w:pPr>
    </w:p>
    <w:p w14:paraId="1D7FBBC7">
      <w:pPr>
        <w:pStyle w:val="2"/>
        <w:bidi w:val="0"/>
        <w:jc w:val="center"/>
        <w:rPr>
          <w:color w:val="auto"/>
          <w:sz w:val="32"/>
          <w:szCs w:val="32"/>
          <w:highlight w:val="none"/>
          <w:lang w:val="zh-CN"/>
        </w:rPr>
      </w:pPr>
      <w:r>
        <w:rPr>
          <w:rFonts w:hint="eastAsia"/>
          <w:color w:val="auto"/>
          <w:sz w:val="32"/>
          <w:szCs w:val="32"/>
          <w:highlight w:val="none"/>
        </w:rPr>
        <w:t xml:space="preserve">第五章  </w:t>
      </w:r>
      <w:r>
        <w:rPr>
          <w:rFonts w:hint="eastAsia"/>
          <w:color w:val="auto"/>
          <w:sz w:val="32"/>
          <w:szCs w:val="32"/>
          <w:highlight w:val="none"/>
          <w:lang w:val="zh-CN"/>
        </w:rPr>
        <w:t>商务条款</w:t>
      </w:r>
      <w:bookmarkEnd w:id="140"/>
      <w:bookmarkEnd w:id="141"/>
      <w:bookmarkEnd w:id="142"/>
    </w:p>
    <w:p w14:paraId="29064530">
      <w:pPr>
        <w:spacing w:line="360" w:lineRule="auto"/>
        <w:rPr>
          <w:rFonts w:hint="default" w:asciiTheme="majorEastAsia" w:hAnsiTheme="majorEastAsia" w:eastAsiaTheme="majorEastAsia" w:cstheme="majorEastAsia"/>
          <w:b/>
          <w:bCs/>
          <w:color w:val="auto"/>
          <w:sz w:val="24"/>
          <w:szCs w:val="32"/>
          <w:highlight w:val="none"/>
          <w:lang w:val="en-US" w:eastAsia="zh-CN"/>
        </w:rPr>
      </w:pPr>
      <w:r>
        <w:rPr>
          <w:rFonts w:hint="eastAsia" w:asciiTheme="majorEastAsia" w:hAnsiTheme="majorEastAsia" w:eastAsiaTheme="majorEastAsia" w:cstheme="majorEastAsia"/>
          <w:b/>
          <w:bCs/>
          <w:color w:val="auto"/>
          <w:sz w:val="24"/>
          <w:szCs w:val="32"/>
          <w:highlight w:val="none"/>
        </w:rPr>
        <w:t>一、</w:t>
      </w:r>
      <w:r>
        <w:rPr>
          <w:rFonts w:hint="eastAsia" w:asciiTheme="majorEastAsia" w:hAnsiTheme="majorEastAsia" w:eastAsiaTheme="majorEastAsia" w:cstheme="majorEastAsia"/>
          <w:b/>
          <w:bCs/>
          <w:color w:val="auto"/>
          <w:sz w:val="24"/>
          <w:szCs w:val="32"/>
          <w:highlight w:val="none"/>
          <w:lang w:val="en-US" w:eastAsia="zh-CN"/>
        </w:rPr>
        <w:t>服务期及服务地点</w:t>
      </w:r>
    </w:p>
    <w:p w14:paraId="046093F9">
      <w:pPr>
        <w:spacing w:line="360" w:lineRule="auto"/>
        <w:ind w:firstLine="480" w:firstLineChars="200"/>
        <w:rPr>
          <w:rFonts w:ascii="宋体" w:hAnsi="宋体" w:eastAsia="宋体" w:cs="宋体"/>
          <w:color w:val="0000FF"/>
          <w:sz w:val="24"/>
          <w:szCs w:val="24"/>
        </w:rPr>
      </w:pPr>
      <w:r>
        <w:rPr>
          <w:rFonts w:hint="eastAsia" w:asciiTheme="majorEastAsia" w:hAnsiTheme="majorEastAsia" w:eastAsiaTheme="majorEastAsia" w:cstheme="majorEastAsia"/>
          <w:color w:val="auto"/>
          <w:sz w:val="24"/>
          <w:szCs w:val="32"/>
          <w:highlight w:val="none"/>
        </w:rPr>
        <w:t>1、</w:t>
      </w:r>
      <w:r>
        <w:rPr>
          <w:rFonts w:hint="eastAsia" w:asciiTheme="majorEastAsia" w:hAnsiTheme="majorEastAsia" w:eastAsiaTheme="majorEastAsia" w:cstheme="majorEastAsia"/>
          <w:color w:val="auto"/>
          <w:sz w:val="24"/>
          <w:szCs w:val="32"/>
          <w:highlight w:val="none"/>
          <w:lang w:val="en-US" w:eastAsia="zh-CN"/>
        </w:rPr>
        <w:t>服务期</w:t>
      </w:r>
      <w:r>
        <w:rPr>
          <w:rFonts w:hint="eastAsia" w:asciiTheme="majorEastAsia" w:hAnsiTheme="majorEastAsia" w:eastAsiaTheme="majorEastAsia" w:cstheme="majorEastAsia"/>
          <w:color w:val="auto"/>
          <w:sz w:val="24"/>
          <w:szCs w:val="32"/>
          <w:highlight w:val="none"/>
        </w:rPr>
        <w:t>：</w:t>
      </w:r>
      <w:r>
        <w:rPr>
          <w:rFonts w:hint="eastAsia"/>
          <w:color w:val="auto"/>
          <w:sz w:val="24"/>
          <w:szCs w:val="24"/>
          <w:lang w:val="en-US" w:eastAsia="zh-CN"/>
        </w:rPr>
        <w:t>自合</w:t>
      </w:r>
      <w:r>
        <w:rPr>
          <w:rFonts w:hint="eastAsia"/>
          <w:sz w:val="24"/>
          <w:szCs w:val="24"/>
          <w:lang w:val="en-US" w:eastAsia="zh-CN"/>
        </w:rPr>
        <w:t>同签订生效之日起 1 年（为计划服务周期），因降雨、汛期、现场作业条件不具备等客观因素无法按期完成全部工作，服务期顺延至项目成果全部通过审查验收为止，顺延不增加合同价款；因乙方自身人员配置、技术能力、组织管理等原因造成工期滞后的，不得顺延，并按合同承担相应违约责任。发生需要顺延情形，乙方应及时向采购人提交工期顺延申请，经采购人确认后方可顺延。</w:t>
      </w:r>
    </w:p>
    <w:p w14:paraId="4052C467">
      <w:pPr>
        <w:spacing w:line="360" w:lineRule="auto"/>
        <w:ind w:firstLine="480" w:firstLineChars="200"/>
        <w:rPr>
          <w:rFonts w:asciiTheme="majorEastAsia" w:hAnsiTheme="majorEastAsia" w:eastAsiaTheme="majorEastAsia" w:cstheme="majorEastAsia"/>
          <w:color w:val="auto"/>
          <w:sz w:val="24"/>
          <w:szCs w:val="32"/>
          <w:highlight w:val="none"/>
        </w:rPr>
      </w:pPr>
      <w:r>
        <w:rPr>
          <w:rFonts w:hint="eastAsia" w:asciiTheme="majorEastAsia" w:hAnsiTheme="majorEastAsia" w:eastAsiaTheme="majorEastAsia" w:cstheme="majorEastAsia"/>
          <w:color w:val="auto"/>
          <w:sz w:val="24"/>
          <w:szCs w:val="32"/>
          <w:highlight w:val="none"/>
        </w:rPr>
        <w:t>2、</w:t>
      </w:r>
      <w:r>
        <w:rPr>
          <w:rFonts w:hint="eastAsia" w:asciiTheme="majorEastAsia" w:hAnsiTheme="majorEastAsia" w:eastAsiaTheme="majorEastAsia" w:cstheme="majorEastAsia"/>
          <w:color w:val="auto"/>
          <w:sz w:val="24"/>
          <w:szCs w:val="32"/>
          <w:highlight w:val="none"/>
          <w:lang w:eastAsia="zh-CN"/>
        </w:rPr>
        <w:t>服务</w:t>
      </w:r>
      <w:r>
        <w:rPr>
          <w:rFonts w:hint="eastAsia" w:asciiTheme="majorEastAsia" w:hAnsiTheme="majorEastAsia" w:eastAsiaTheme="majorEastAsia" w:cstheme="majorEastAsia"/>
          <w:color w:val="auto"/>
          <w:sz w:val="24"/>
          <w:szCs w:val="32"/>
          <w:highlight w:val="none"/>
        </w:rPr>
        <w:t>地点：</w:t>
      </w:r>
      <w:r>
        <w:rPr>
          <w:rFonts w:hint="eastAsia" w:asciiTheme="majorEastAsia" w:hAnsiTheme="majorEastAsia" w:eastAsiaTheme="majorEastAsia" w:cstheme="majorEastAsia"/>
          <w:color w:val="auto"/>
          <w:sz w:val="24"/>
          <w:szCs w:val="32"/>
          <w:highlight w:val="none"/>
          <w:lang w:eastAsia="zh-CN"/>
        </w:rPr>
        <w:t>清涧县地质环境监测站</w:t>
      </w:r>
      <w:r>
        <w:rPr>
          <w:rFonts w:hint="eastAsia" w:asciiTheme="majorEastAsia" w:hAnsiTheme="majorEastAsia" w:eastAsiaTheme="majorEastAsia" w:cstheme="majorEastAsia"/>
          <w:color w:val="auto"/>
          <w:sz w:val="24"/>
          <w:szCs w:val="32"/>
          <w:highlight w:val="none"/>
        </w:rPr>
        <w:t>指定地点。</w:t>
      </w:r>
    </w:p>
    <w:p w14:paraId="1D27D7CF">
      <w:pPr>
        <w:spacing w:line="360" w:lineRule="auto"/>
        <w:rPr>
          <w:rFonts w:asciiTheme="majorEastAsia" w:hAnsiTheme="majorEastAsia" w:eastAsiaTheme="majorEastAsia" w:cstheme="majorEastAsia"/>
          <w:b/>
          <w:bCs/>
          <w:color w:val="auto"/>
          <w:sz w:val="24"/>
          <w:szCs w:val="32"/>
          <w:highlight w:val="none"/>
        </w:rPr>
      </w:pPr>
      <w:bookmarkStart w:id="143" w:name="_Toc167712840"/>
      <w:bookmarkStart w:id="144" w:name="_Toc167714038"/>
      <w:bookmarkStart w:id="145" w:name="_Toc167715235"/>
      <w:r>
        <w:rPr>
          <w:rFonts w:hint="eastAsia" w:asciiTheme="majorEastAsia" w:hAnsiTheme="majorEastAsia" w:eastAsiaTheme="majorEastAsia" w:cstheme="majorEastAsia"/>
          <w:b/>
          <w:bCs/>
          <w:color w:val="auto"/>
          <w:sz w:val="24"/>
          <w:szCs w:val="32"/>
          <w:highlight w:val="none"/>
        </w:rPr>
        <w:t>二、合同价款</w:t>
      </w:r>
    </w:p>
    <w:p w14:paraId="28F65D3C">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1、投标报价为投标人响应本采购项目全部工作内容的价格体现，包括完成本项目服务所需的直接费、间接费、管理费、利润、税金、差旅、现场踏勘、资料收集、后续技术服务及其他所有一切相关费用。</w:t>
      </w:r>
    </w:p>
    <w:p w14:paraId="4A9B853B">
      <w:pPr>
        <w:spacing w:line="360" w:lineRule="auto"/>
        <w:ind w:firstLine="480" w:firstLineChars="200"/>
        <w:rPr>
          <w:color w:val="auto"/>
          <w:highlight w:val="none"/>
        </w:rPr>
      </w:pPr>
      <w:r>
        <w:rPr>
          <w:rFonts w:hint="eastAsia" w:asciiTheme="majorEastAsia" w:hAnsiTheme="majorEastAsia" w:eastAsiaTheme="majorEastAsia" w:cstheme="majorEastAsia"/>
          <w:color w:val="auto"/>
          <w:sz w:val="24"/>
          <w:highlight w:val="none"/>
        </w:rPr>
        <w:t>2、合同总价一次包死，不受市场价变化的影响。</w:t>
      </w:r>
    </w:p>
    <w:bookmarkEnd w:id="143"/>
    <w:bookmarkEnd w:id="144"/>
    <w:bookmarkEnd w:id="145"/>
    <w:p w14:paraId="7396CF60">
      <w:pPr>
        <w:spacing w:line="360" w:lineRule="auto"/>
        <w:rPr>
          <w:rFonts w:asciiTheme="majorEastAsia" w:hAnsiTheme="majorEastAsia" w:eastAsiaTheme="majorEastAsia" w:cstheme="majorEastAsia"/>
          <w:b/>
          <w:bCs/>
          <w:color w:val="auto"/>
          <w:sz w:val="24"/>
          <w:szCs w:val="32"/>
          <w:highlight w:val="none"/>
        </w:rPr>
      </w:pPr>
      <w:bookmarkStart w:id="146" w:name="_Toc167714044"/>
      <w:bookmarkStart w:id="147" w:name="_Toc167715241"/>
      <w:bookmarkStart w:id="148" w:name="_Toc167712846"/>
      <w:r>
        <w:rPr>
          <w:rFonts w:hint="eastAsia" w:asciiTheme="majorEastAsia" w:hAnsiTheme="majorEastAsia" w:eastAsiaTheme="majorEastAsia" w:cstheme="majorEastAsia"/>
          <w:b/>
          <w:bCs/>
          <w:color w:val="auto"/>
          <w:sz w:val="24"/>
          <w:szCs w:val="32"/>
          <w:highlight w:val="none"/>
        </w:rPr>
        <w:t>三、款项结算</w:t>
      </w:r>
    </w:p>
    <w:p w14:paraId="252A0E20">
      <w:pPr>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1、付款方式：</w:t>
      </w:r>
      <w:r>
        <w:rPr>
          <w:rFonts w:hint="eastAsia" w:asciiTheme="majorEastAsia" w:hAnsiTheme="majorEastAsia" w:eastAsiaTheme="majorEastAsia" w:cstheme="majorEastAsia"/>
          <w:color w:val="auto"/>
          <w:sz w:val="24"/>
          <w:highlight w:val="none"/>
          <w:lang w:val="en-US" w:eastAsia="zh-CN"/>
        </w:rPr>
        <w:t>合同签订后支付合同总价的40%；项目全部野外调查工作完成、野外成果经采购人核查合格后支付合同总价的40%；项目全部成果报告、数据库等资料完整移交，成果通过主管部门技术审查验收合格后，付清剩余20%款项。</w:t>
      </w:r>
    </w:p>
    <w:p w14:paraId="6B0A7FF5">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szCs w:val="22"/>
          <w:highlight w:val="none"/>
        </w:rPr>
        <w:t>2、结算方式：按照国库集中支付有关规定执</w:t>
      </w:r>
      <w:r>
        <w:rPr>
          <w:rFonts w:hint="eastAsia" w:asciiTheme="majorEastAsia" w:hAnsiTheme="majorEastAsia" w:eastAsiaTheme="majorEastAsia" w:cstheme="majorEastAsia"/>
          <w:color w:val="auto"/>
          <w:sz w:val="24"/>
          <w:highlight w:val="none"/>
        </w:rPr>
        <w:t>行，发票开采购人。</w:t>
      </w:r>
    </w:p>
    <w:p w14:paraId="0066C158">
      <w:pPr>
        <w:spacing w:line="360" w:lineRule="auto"/>
        <w:rPr>
          <w:rFonts w:asciiTheme="majorEastAsia" w:hAnsiTheme="majorEastAsia" w:eastAsiaTheme="majorEastAsia" w:cstheme="majorEastAsia"/>
          <w:b/>
          <w:bCs/>
          <w:color w:val="auto"/>
          <w:sz w:val="24"/>
          <w:szCs w:val="32"/>
          <w:highlight w:val="none"/>
        </w:rPr>
      </w:pPr>
      <w:r>
        <w:rPr>
          <w:rFonts w:hint="eastAsia" w:asciiTheme="majorEastAsia" w:hAnsiTheme="majorEastAsia" w:eastAsiaTheme="majorEastAsia" w:cstheme="majorEastAsia"/>
          <w:b/>
          <w:bCs/>
          <w:color w:val="auto"/>
          <w:sz w:val="24"/>
          <w:szCs w:val="32"/>
          <w:highlight w:val="none"/>
        </w:rPr>
        <w:t>四、验收</w:t>
      </w:r>
    </w:p>
    <w:bookmarkEnd w:id="146"/>
    <w:bookmarkEnd w:id="147"/>
    <w:bookmarkEnd w:id="148"/>
    <w:p w14:paraId="6824BA41">
      <w:pPr>
        <w:spacing w:line="360" w:lineRule="auto"/>
        <w:ind w:firstLine="480" w:firstLineChars="200"/>
        <w:rPr>
          <w:rFonts w:asciiTheme="majorEastAsia" w:hAnsiTheme="majorEastAsia" w:eastAsiaTheme="majorEastAsia" w:cstheme="majorEastAsia"/>
          <w:color w:val="auto"/>
          <w:sz w:val="24"/>
          <w:highlight w:val="none"/>
        </w:rPr>
      </w:pPr>
      <w:bookmarkStart w:id="149" w:name="_Toc167715244"/>
      <w:bookmarkStart w:id="150" w:name="_Toc167712849"/>
      <w:bookmarkStart w:id="151" w:name="_Toc167714047"/>
      <w:r>
        <w:rPr>
          <w:rFonts w:hint="eastAsia" w:asciiTheme="majorEastAsia" w:hAnsiTheme="majorEastAsia" w:eastAsiaTheme="majorEastAsia" w:cstheme="majorEastAsia"/>
          <w:color w:val="auto"/>
          <w:sz w:val="24"/>
          <w:highlight w:val="none"/>
        </w:rPr>
        <w:t xml:space="preserve">按照采购合同的约定和现行国家标准、行业标准以及企业标准对每一项技术、服务、安全标准的履约情况进行确认。项目由采购方组织，验收合格后由出具验收证明。验收所产生的费用由中标人承担。                             </w:t>
      </w:r>
    </w:p>
    <w:p w14:paraId="678D7133">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验收依据：</w:t>
      </w:r>
    </w:p>
    <w:p w14:paraId="3E03AABD">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1、招标文件、投标文件、经济合同；</w:t>
      </w:r>
    </w:p>
    <w:p w14:paraId="34F2C52B">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2、国内相应的国家标准、行业标准及规范。</w:t>
      </w:r>
    </w:p>
    <w:bookmarkEnd w:id="149"/>
    <w:bookmarkEnd w:id="150"/>
    <w:bookmarkEnd w:id="151"/>
    <w:p w14:paraId="68C1E0F4">
      <w:pPr>
        <w:spacing w:line="360" w:lineRule="auto"/>
        <w:rPr>
          <w:rFonts w:asciiTheme="majorEastAsia" w:hAnsiTheme="majorEastAsia" w:eastAsiaTheme="majorEastAsia" w:cstheme="majorEastAsia"/>
          <w:b/>
          <w:bCs/>
          <w:color w:val="auto"/>
          <w:sz w:val="24"/>
          <w:szCs w:val="32"/>
          <w:highlight w:val="none"/>
        </w:rPr>
      </w:pPr>
      <w:r>
        <w:rPr>
          <w:rFonts w:hint="eastAsia" w:asciiTheme="majorEastAsia" w:hAnsiTheme="majorEastAsia" w:eastAsiaTheme="majorEastAsia" w:cstheme="majorEastAsia"/>
          <w:b/>
          <w:bCs/>
          <w:color w:val="auto"/>
          <w:sz w:val="24"/>
          <w:szCs w:val="32"/>
          <w:highlight w:val="none"/>
        </w:rPr>
        <w:t>五、违约责任：</w:t>
      </w:r>
    </w:p>
    <w:p w14:paraId="68E3ECE1">
      <w:pPr>
        <w:spacing w:line="360" w:lineRule="auto"/>
        <w:ind w:firstLine="480" w:firstLineChars="200"/>
        <w:rPr>
          <w:rFonts w:asciiTheme="majorEastAsia" w:hAnsiTheme="majorEastAsia" w:eastAsiaTheme="majorEastAsia" w:cstheme="majorEastAsia"/>
          <w:color w:val="auto"/>
          <w:sz w:val="24"/>
          <w:szCs w:val="32"/>
          <w:highlight w:val="none"/>
        </w:rPr>
      </w:pPr>
      <w:r>
        <w:rPr>
          <w:rFonts w:hint="eastAsia" w:asciiTheme="majorEastAsia" w:hAnsiTheme="majorEastAsia" w:eastAsiaTheme="majorEastAsia" w:cstheme="majorEastAsia"/>
          <w:color w:val="auto"/>
          <w:sz w:val="24"/>
          <w:szCs w:val="32"/>
          <w:highlight w:val="none"/>
        </w:rPr>
        <w:t>1、按《中华人民共和国民法典》中的相关条款执行。</w:t>
      </w:r>
    </w:p>
    <w:p w14:paraId="5CF916CF">
      <w:pPr>
        <w:spacing w:line="360" w:lineRule="auto"/>
        <w:ind w:firstLine="480" w:firstLineChars="200"/>
        <w:rPr>
          <w:rFonts w:asciiTheme="majorEastAsia" w:hAnsiTheme="majorEastAsia" w:eastAsiaTheme="majorEastAsia" w:cstheme="majorEastAsia"/>
          <w:color w:val="auto"/>
          <w:sz w:val="24"/>
          <w:szCs w:val="32"/>
          <w:highlight w:val="none"/>
        </w:rPr>
        <w:sectPr>
          <w:pgSz w:w="11900" w:h="16838"/>
          <w:pgMar w:top="1429" w:right="1417" w:bottom="1417" w:left="1417" w:header="850" w:footer="850" w:gutter="0"/>
          <w:pgNumType w:fmt="decimal"/>
          <w:cols w:space="0" w:num="1"/>
          <w:rtlGutter w:val="0"/>
          <w:docGrid w:linePitch="326" w:charSpace="0"/>
        </w:sectPr>
      </w:pPr>
      <w:r>
        <w:rPr>
          <w:rFonts w:hint="eastAsia" w:asciiTheme="majorEastAsia" w:hAnsiTheme="majorEastAsia" w:eastAsiaTheme="majorEastAsia" w:cstheme="majorEastAsia"/>
          <w:color w:val="auto"/>
          <w:sz w:val="24"/>
          <w:szCs w:val="32"/>
          <w:highlight w:val="none"/>
        </w:rPr>
        <w:t>2、未按合同要求提供产品质量不能满足技术要求，招标人有权终止合同，并对供方违约行为进行追究，同时按《中华人民共和国政府采购法》的有关规定进行处罚。</w:t>
      </w:r>
    </w:p>
    <w:p w14:paraId="489FC3D1">
      <w:pPr>
        <w:pStyle w:val="2"/>
        <w:bidi w:val="0"/>
        <w:jc w:val="center"/>
        <w:rPr>
          <w:rFonts w:hint="eastAsia" w:eastAsia="宋体"/>
          <w:color w:val="auto"/>
          <w:sz w:val="32"/>
          <w:szCs w:val="32"/>
          <w:highlight w:val="none"/>
          <w:lang w:eastAsia="zh-CN"/>
        </w:rPr>
      </w:pPr>
      <w:bookmarkStart w:id="152" w:name="_Toc8998"/>
      <w:bookmarkStart w:id="153" w:name="_Toc2899"/>
      <w:r>
        <w:rPr>
          <w:rFonts w:hint="eastAsia"/>
          <w:color w:val="auto"/>
          <w:sz w:val="32"/>
          <w:szCs w:val="32"/>
          <w:highlight w:val="none"/>
        </w:rPr>
        <w:t>第六章</w:t>
      </w:r>
      <w:r>
        <w:rPr>
          <w:rFonts w:hint="eastAsia"/>
          <w:color w:val="auto"/>
          <w:sz w:val="32"/>
          <w:szCs w:val="32"/>
          <w:highlight w:val="none"/>
          <w:lang w:val="en-US" w:eastAsia="zh-CN"/>
        </w:rPr>
        <w:t xml:space="preserve">  </w:t>
      </w:r>
      <w:bookmarkEnd w:id="152"/>
      <w:bookmarkEnd w:id="153"/>
      <w:r>
        <w:rPr>
          <w:rFonts w:hint="eastAsia"/>
          <w:color w:val="auto"/>
          <w:sz w:val="32"/>
          <w:szCs w:val="32"/>
          <w:highlight w:val="none"/>
          <w:lang w:eastAsia="zh-CN"/>
        </w:rPr>
        <w:t>政府采购合同</w:t>
      </w:r>
    </w:p>
    <w:p w14:paraId="0E9AD2C5">
      <w:pPr>
        <w:keepNext w:val="0"/>
        <w:keepLines w:val="0"/>
        <w:pageBreakBefore w:val="0"/>
        <w:widowControl w:val="0"/>
        <w:tabs>
          <w:tab w:val="left" w:pos="1050"/>
        </w:tabs>
        <w:kinsoku/>
        <w:wordWrap/>
        <w:overflowPunct/>
        <w:autoSpaceDE/>
        <w:autoSpaceDN/>
        <w:bidi w:val="0"/>
        <w:adjustRightInd w:val="0"/>
        <w:snapToGrid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lang w:val="en-US" w:eastAsia="zh-CN"/>
        </w:rPr>
        <w:t xml:space="preserve">                           </w:t>
      </w:r>
    </w:p>
    <w:p w14:paraId="038609BF">
      <w:pPr>
        <w:keepNext w:val="0"/>
        <w:keepLines w:val="0"/>
        <w:pageBreakBefore w:val="0"/>
        <w:widowControl w:val="0"/>
        <w:tabs>
          <w:tab w:val="left" w:pos="1050"/>
        </w:tabs>
        <w:kinsoku/>
        <w:wordWrap/>
        <w:overflowPunct/>
        <w:autoSpaceDE/>
        <w:autoSpaceDN/>
        <w:bidi w:val="0"/>
        <w:adjustRightInd w:val="0"/>
        <w:snapToGrid w:val="0"/>
        <w:spacing w:line="360" w:lineRule="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设计人：</w:t>
      </w:r>
      <w:r>
        <w:rPr>
          <w:rFonts w:hint="eastAsia" w:ascii="宋体" w:hAnsi="宋体" w:eastAsia="宋体" w:cs="宋体"/>
          <w:b/>
          <w:bCs/>
          <w:color w:val="auto"/>
          <w:sz w:val="24"/>
          <w:szCs w:val="24"/>
          <w:highlight w:val="none"/>
          <w:u w:val="single"/>
          <w:lang w:val="en-US" w:eastAsia="zh-CN"/>
        </w:rPr>
        <w:t xml:space="preserve">                           </w:t>
      </w:r>
    </w:p>
    <w:p w14:paraId="4D08AE78">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发包人委托设计人承担</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设计工作</w:t>
      </w:r>
      <w:r>
        <w:rPr>
          <w:rFonts w:hint="eastAsia" w:ascii="宋体" w:hAnsi="宋体" w:eastAsia="宋体" w:cs="宋体"/>
          <w:color w:val="auto"/>
          <w:sz w:val="24"/>
          <w:szCs w:val="24"/>
          <w:highlight w:val="none"/>
        </w:rPr>
        <w:t>，工程地点为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，经双方协商一致签订本合同共同执行。 </w:t>
      </w:r>
    </w:p>
    <w:p w14:paraId="566F413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 xml:space="preserve">第一条 </w:t>
      </w:r>
      <w:r>
        <w:rPr>
          <w:rFonts w:hint="eastAsia" w:ascii="宋体" w:hAnsi="宋体" w:eastAsia="宋体" w:cs="宋体"/>
          <w:b/>
          <w:bCs/>
          <w:color w:val="auto"/>
          <w:w w:val="100"/>
          <w:sz w:val="24"/>
          <w:szCs w:val="24"/>
          <w:highlight w:val="none"/>
          <w:lang w:val="en-US" w:eastAsia="zh-CN"/>
        </w:rPr>
        <w:t xml:space="preserve"> </w:t>
      </w:r>
      <w:r>
        <w:rPr>
          <w:rFonts w:hint="eastAsia" w:ascii="宋体" w:hAnsi="宋体" w:eastAsia="宋体" w:cs="宋体"/>
          <w:b/>
          <w:bCs/>
          <w:color w:val="auto"/>
          <w:w w:val="100"/>
          <w:sz w:val="24"/>
          <w:szCs w:val="24"/>
          <w:highlight w:val="none"/>
        </w:rPr>
        <w:t>本合同签订依据</w:t>
      </w:r>
    </w:p>
    <w:p w14:paraId="529428D9">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1.1《中华人民共和国民法典》、《中华人民共和国建筑法》和《建设工程勘察设计管理条例》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281F6B4">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1.2国家及地方有关建设工程勘察设计管理法规和规章</w:t>
      </w:r>
      <w:r>
        <w:rPr>
          <w:rFonts w:hint="eastAsia" w:ascii="宋体" w:hAnsi="宋体" w:eastAsia="宋体" w:cs="宋体"/>
          <w:color w:val="auto"/>
          <w:sz w:val="24"/>
          <w:szCs w:val="24"/>
          <w:highlight w:val="none"/>
          <w:lang w:eastAsia="zh-CN"/>
        </w:rPr>
        <w:t>；</w:t>
      </w:r>
    </w:p>
    <w:p w14:paraId="18B59218">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1.3建设工程批准文件。 </w:t>
      </w:r>
    </w:p>
    <w:p w14:paraId="2A57735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 xml:space="preserve">第二条 </w:t>
      </w:r>
      <w:r>
        <w:rPr>
          <w:rFonts w:hint="eastAsia" w:ascii="宋体" w:hAnsi="宋体" w:eastAsia="宋体" w:cs="宋体"/>
          <w:b/>
          <w:bCs/>
          <w:color w:val="auto"/>
          <w:w w:val="100"/>
          <w:sz w:val="24"/>
          <w:szCs w:val="24"/>
          <w:highlight w:val="none"/>
          <w:lang w:val="en-US" w:eastAsia="zh-CN"/>
        </w:rPr>
        <w:t xml:space="preserve"> </w:t>
      </w:r>
      <w:r>
        <w:rPr>
          <w:rFonts w:hint="eastAsia" w:ascii="宋体" w:hAnsi="宋体" w:eastAsia="宋体" w:cs="宋体"/>
          <w:b/>
          <w:bCs/>
          <w:color w:val="auto"/>
          <w:w w:val="100"/>
          <w:sz w:val="24"/>
          <w:szCs w:val="24"/>
          <w:highlight w:val="none"/>
        </w:rPr>
        <w:t xml:space="preserve">设计依据 </w:t>
      </w:r>
      <w:r>
        <w:rPr>
          <w:rFonts w:hint="eastAsia" w:ascii="宋体" w:hAnsi="宋体" w:eastAsia="宋体" w:cs="宋体"/>
          <w:b/>
          <w:bCs/>
          <w:color w:val="auto"/>
          <w:w w:val="100"/>
          <w:sz w:val="24"/>
          <w:szCs w:val="24"/>
          <w:highlight w:val="none"/>
        </w:rPr>
        <w:tab/>
      </w:r>
    </w:p>
    <w:p w14:paraId="554D2083">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2.1发包人给设计人的中标文件</w:t>
      </w:r>
      <w:r>
        <w:rPr>
          <w:rFonts w:hint="eastAsia" w:ascii="宋体" w:hAnsi="宋体" w:eastAsia="宋体" w:cs="宋体"/>
          <w:color w:val="auto"/>
          <w:sz w:val="24"/>
          <w:szCs w:val="24"/>
          <w:highlight w:val="none"/>
          <w:lang w:eastAsia="zh-CN"/>
        </w:rPr>
        <w:t>；</w:t>
      </w:r>
    </w:p>
    <w:p w14:paraId="2390D6C0">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2.2发包人提交的基础资料</w:t>
      </w:r>
      <w:r>
        <w:rPr>
          <w:rFonts w:hint="eastAsia" w:ascii="宋体" w:hAnsi="宋体" w:eastAsia="宋体" w:cs="宋体"/>
          <w:color w:val="auto"/>
          <w:sz w:val="24"/>
          <w:szCs w:val="24"/>
          <w:highlight w:val="none"/>
          <w:lang w:eastAsia="zh-CN"/>
        </w:rPr>
        <w:t>；</w:t>
      </w:r>
    </w:p>
    <w:p w14:paraId="696195DE">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2.3设计人采用的主要技术标准是：</w:t>
      </w:r>
      <w:r>
        <w:rPr>
          <w:rFonts w:hint="eastAsia" w:ascii="宋体" w:hAnsi="宋体" w:eastAsia="宋体" w:cs="宋体"/>
          <w:b/>
          <w:bCs/>
          <w:color w:val="auto"/>
          <w:sz w:val="24"/>
          <w:szCs w:val="24"/>
          <w:highlight w:val="none"/>
          <w:u w:val="single"/>
        </w:rPr>
        <w:t>国家和行业现行相关标准及规范</w:t>
      </w:r>
      <w:r>
        <w:rPr>
          <w:rFonts w:hint="eastAsia" w:ascii="宋体" w:hAnsi="宋体" w:eastAsia="宋体" w:cs="宋体"/>
          <w:b/>
          <w:bCs/>
          <w:color w:val="auto"/>
          <w:sz w:val="24"/>
          <w:szCs w:val="24"/>
          <w:highlight w:val="none"/>
          <w:u w:val="single"/>
          <w:lang w:eastAsia="zh-CN"/>
        </w:rPr>
        <w:t>。</w:t>
      </w:r>
    </w:p>
    <w:p w14:paraId="6D146DA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 xml:space="preserve">第三条 </w:t>
      </w:r>
      <w:r>
        <w:rPr>
          <w:rFonts w:hint="eastAsia" w:ascii="宋体" w:hAnsi="宋体" w:eastAsia="宋体" w:cs="宋体"/>
          <w:b/>
          <w:bCs/>
          <w:color w:val="auto"/>
          <w:w w:val="100"/>
          <w:sz w:val="24"/>
          <w:szCs w:val="24"/>
          <w:highlight w:val="none"/>
          <w:lang w:val="en-US" w:eastAsia="zh-CN"/>
        </w:rPr>
        <w:t xml:space="preserve"> </w:t>
      </w:r>
      <w:r>
        <w:rPr>
          <w:rFonts w:hint="eastAsia" w:ascii="宋体" w:hAnsi="宋体" w:eastAsia="宋体" w:cs="宋体"/>
          <w:b/>
          <w:bCs/>
          <w:color w:val="auto"/>
          <w:w w:val="100"/>
          <w:sz w:val="24"/>
          <w:szCs w:val="24"/>
          <w:highlight w:val="none"/>
        </w:rPr>
        <w:t>合同文件的优先次序</w:t>
      </w:r>
    </w:p>
    <w:p w14:paraId="18FD97FF">
      <w:pPr>
        <w:keepNext w:val="0"/>
        <w:keepLines w:val="0"/>
        <w:pageBreakBefore w:val="0"/>
        <w:widowControl w:val="0"/>
        <w:tabs>
          <w:tab w:val="left" w:pos="105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构成本合同的文件互相补充和解释，但如有含义不清或相互矛盾处，以下列文件顺序在前者为准。</w:t>
      </w:r>
    </w:p>
    <w:p w14:paraId="21B63E8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eastAsia="zh-CN"/>
        </w:rPr>
        <w:t>中标通知书</w:t>
      </w:r>
    </w:p>
    <w:p w14:paraId="358856C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合同书</w:t>
      </w:r>
    </w:p>
    <w:p w14:paraId="12E937A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发包人要求及委托书</w:t>
      </w:r>
    </w:p>
    <w:p w14:paraId="355803B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第四条</w:t>
      </w:r>
      <w:r>
        <w:rPr>
          <w:rFonts w:hint="eastAsia" w:ascii="宋体" w:hAnsi="宋体" w:eastAsia="宋体" w:cs="宋体"/>
          <w:b/>
          <w:bCs/>
          <w:color w:val="auto"/>
          <w:w w:val="100"/>
          <w:sz w:val="24"/>
          <w:szCs w:val="24"/>
          <w:highlight w:val="none"/>
          <w:lang w:val="en-US" w:eastAsia="zh-CN"/>
        </w:rPr>
        <w:t xml:space="preserve"> </w:t>
      </w:r>
      <w:r>
        <w:rPr>
          <w:rFonts w:hint="eastAsia" w:ascii="宋体" w:hAnsi="宋体" w:eastAsia="宋体" w:cs="宋体"/>
          <w:b/>
          <w:bCs/>
          <w:color w:val="auto"/>
          <w:w w:val="100"/>
          <w:sz w:val="24"/>
          <w:szCs w:val="24"/>
          <w:highlight w:val="none"/>
        </w:rPr>
        <w:t xml:space="preserve"> 本合同项目的名称</w:t>
      </w:r>
      <w:r>
        <w:rPr>
          <w:rFonts w:hint="eastAsia" w:ascii="宋体" w:hAnsi="宋体" w:eastAsia="宋体" w:cs="宋体"/>
          <w:b/>
          <w:bCs/>
          <w:color w:val="auto"/>
          <w:w w:val="100"/>
          <w:sz w:val="24"/>
          <w:szCs w:val="24"/>
          <w:highlight w:val="none"/>
          <w:lang w:eastAsia="zh-CN"/>
        </w:rPr>
        <w:t>、</w:t>
      </w:r>
      <w:r>
        <w:rPr>
          <w:rFonts w:hint="eastAsia" w:ascii="宋体" w:hAnsi="宋体" w:eastAsia="宋体" w:cs="宋体"/>
          <w:b/>
          <w:bCs/>
          <w:color w:val="auto"/>
          <w:w w:val="100"/>
          <w:sz w:val="24"/>
          <w:szCs w:val="24"/>
          <w:highlight w:val="none"/>
        </w:rPr>
        <w:t>阶段、</w:t>
      </w:r>
      <w:r>
        <w:rPr>
          <w:rFonts w:hint="eastAsia" w:ascii="宋体" w:hAnsi="宋体" w:eastAsia="宋体" w:cs="宋体"/>
          <w:b/>
          <w:bCs/>
          <w:color w:val="auto"/>
          <w:w w:val="100"/>
          <w:sz w:val="24"/>
          <w:szCs w:val="24"/>
          <w:highlight w:val="none"/>
          <w:lang w:val="en-US" w:eastAsia="zh-CN"/>
        </w:rPr>
        <w:t>建设</w:t>
      </w:r>
      <w:r>
        <w:rPr>
          <w:rFonts w:hint="eastAsia" w:ascii="宋体" w:hAnsi="宋体" w:eastAsia="宋体" w:cs="宋体"/>
          <w:b/>
          <w:bCs/>
          <w:color w:val="auto"/>
          <w:w w:val="100"/>
          <w:sz w:val="24"/>
          <w:szCs w:val="24"/>
          <w:highlight w:val="none"/>
        </w:rPr>
        <w:t>内容</w:t>
      </w:r>
      <w:r>
        <w:rPr>
          <w:rFonts w:hint="eastAsia" w:ascii="宋体" w:hAnsi="宋体" w:eastAsia="宋体" w:cs="宋体"/>
          <w:b/>
          <w:bCs/>
          <w:color w:val="auto"/>
          <w:w w:val="100"/>
          <w:sz w:val="24"/>
          <w:szCs w:val="24"/>
          <w:highlight w:val="none"/>
          <w:lang w:val="en-US" w:eastAsia="zh-CN"/>
        </w:rPr>
        <w:t>及规模</w:t>
      </w:r>
      <w:r>
        <w:rPr>
          <w:rFonts w:hint="eastAsia" w:ascii="宋体" w:hAnsi="宋体" w:eastAsia="宋体" w:cs="宋体"/>
          <w:b/>
          <w:bCs/>
          <w:color w:val="auto"/>
          <w:w w:val="100"/>
          <w:sz w:val="24"/>
          <w:szCs w:val="24"/>
          <w:highlight w:val="none"/>
        </w:rPr>
        <w:t>（根据行业特点填写）</w:t>
      </w:r>
    </w:p>
    <w:p w14:paraId="5596EC50">
      <w:pPr>
        <w:keepNext w:val="0"/>
        <w:keepLines w:val="0"/>
        <w:pageBreakBefore w:val="0"/>
        <w:widowControl w:val="0"/>
        <w:tabs>
          <w:tab w:val="left" w:pos="105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项目名称：</w:t>
      </w:r>
      <w:r>
        <w:rPr>
          <w:rFonts w:hint="eastAsia" w:ascii="宋体" w:hAnsi="宋体" w:eastAsia="宋体" w:cs="宋体"/>
          <w:b/>
          <w:bCs/>
          <w:color w:val="auto"/>
          <w:sz w:val="24"/>
          <w:szCs w:val="24"/>
          <w:highlight w:val="none"/>
          <w:u w:val="single"/>
          <w:lang w:val="en-US" w:eastAsia="zh-CN"/>
        </w:rPr>
        <w:t xml:space="preserve">                                 </w:t>
      </w:r>
    </w:p>
    <w:p w14:paraId="31CB4467">
      <w:pPr>
        <w:keepNext w:val="0"/>
        <w:keepLines w:val="0"/>
        <w:pageBreakBefore w:val="0"/>
        <w:widowControl w:val="0"/>
        <w:tabs>
          <w:tab w:val="left" w:pos="105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阶段：</w:t>
      </w:r>
      <w:r>
        <w:rPr>
          <w:rFonts w:hint="eastAsia" w:ascii="宋体" w:hAnsi="宋体" w:eastAsia="宋体" w:cs="宋体"/>
          <w:b w:val="0"/>
          <w:bCs w:val="0"/>
          <w:color w:val="auto"/>
          <w:w w:val="100"/>
          <w:sz w:val="24"/>
          <w:szCs w:val="24"/>
          <w:highlight w:val="none"/>
          <w:u w:val="single"/>
          <w:lang w:val="en-US" w:eastAsia="zh-CN"/>
        </w:rPr>
        <w:t xml:space="preserve">                                     </w:t>
      </w:r>
    </w:p>
    <w:p w14:paraId="5F1746A8">
      <w:pPr>
        <w:keepNext w:val="0"/>
        <w:keepLines w:val="0"/>
        <w:pageBreakBefore w:val="0"/>
        <w:widowControl w:val="0"/>
        <w:tabs>
          <w:tab w:val="left" w:pos="105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bCs/>
          <w:color w:val="auto"/>
          <w:w w:val="100"/>
          <w:sz w:val="24"/>
          <w:szCs w:val="24"/>
          <w:highlight w:val="none"/>
          <w:u w:val="single"/>
          <w:lang w:val="en-US" w:eastAsia="zh-CN"/>
        </w:rPr>
      </w:pPr>
      <w:r>
        <w:rPr>
          <w:rFonts w:hint="eastAsia" w:ascii="宋体" w:hAnsi="宋体" w:eastAsia="宋体" w:cs="宋体"/>
          <w:b w:val="0"/>
          <w:bCs w:val="0"/>
          <w:color w:val="auto"/>
          <w:w w:val="100"/>
          <w:sz w:val="24"/>
          <w:szCs w:val="24"/>
          <w:highlight w:val="none"/>
          <w:lang w:val="en-US" w:eastAsia="zh-CN"/>
        </w:rPr>
        <w:t>建设内容、</w:t>
      </w:r>
      <w:r>
        <w:rPr>
          <w:rFonts w:hint="eastAsia" w:ascii="宋体" w:hAnsi="宋体" w:eastAsia="宋体" w:cs="宋体"/>
          <w:b w:val="0"/>
          <w:bCs w:val="0"/>
          <w:color w:val="auto"/>
          <w:w w:val="100"/>
          <w:sz w:val="24"/>
          <w:szCs w:val="24"/>
          <w:highlight w:val="none"/>
          <w:u w:val="none"/>
          <w:lang w:val="en-US" w:eastAsia="zh-CN"/>
        </w:rPr>
        <w:t>规模：</w:t>
      </w:r>
      <w:r>
        <w:rPr>
          <w:rFonts w:hint="eastAsia" w:ascii="宋体" w:hAnsi="宋体" w:eastAsia="宋体" w:cs="宋体"/>
          <w:b/>
          <w:bCs/>
          <w:color w:val="auto"/>
          <w:w w:val="100"/>
          <w:sz w:val="24"/>
          <w:szCs w:val="24"/>
          <w:highlight w:val="none"/>
          <w:u w:val="single"/>
          <w:lang w:val="en-US" w:eastAsia="zh-CN"/>
        </w:rPr>
        <w:t xml:space="preserve">                                             </w:t>
      </w:r>
    </w:p>
    <w:p w14:paraId="0131A019">
      <w:pPr>
        <w:keepNext w:val="0"/>
        <w:keepLines w:val="0"/>
        <w:pageBreakBefore w:val="0"/>
        <w:widowControl w:val="0"/>
        <w:tabs>
          <w:tab w:val="left" w:pos="1050"/>
        </w:tabs>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bCs/>
          <w:color w:val="auto"/>
          <w:w w:val="100"/>
          <w:sz w:val="24"/>
          <w:szCs w:val="24"/>
          <w:highlight w:val="none"/>
          <w:u w:val="single"/>
          <w:lang w:val="en-US" w:eastAsia="zh-CN"/>
        </w:rPr>
        <w:t xml:space="preserve">                                                             </w:t>
      </w:r>
    </w:p>
    <w:p w14:paraId="0A5ABCE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第五条</w:t>
      </w:r>
      <w:r>
        <w:rPr>
          <w:rFonts w:hint="eastAsia" w:ascii="宋体" w:hAnsi="宋体" w:eastAsia="宋体" w:cs="宋体"/>
          <w:b/>
          <w:bCs/>
          <w:color w:val="auto"/>
          <w:w w:val="100"/>
          <w:sz w:val="24"/>
          <w:szCs w:val="24"/>
          <w:highlight w:val="none"/>
          <w:lang w:val="en-US" w:eastAsia="zh-CN"/>
        </w:rPr>
        <w:t xml:space="preserve"> </w:t>
      </w:r>
      <w:r>
        <w:rPr>
          <w:rFonts w:hint="eastAsia" w:ascii="宋体" w:hAnsi="宋体" w:eastAsia="宋体" w:cs="宋体"/>
          <w:b/>
          <w:bCs/>
          <w:color w:val="auto"/>
          <w:w w:val="100"/>
          <w:sz w:val="24"/>
          <w:szCs w:val="24"/>
          <w:highlight w:val="none"/>
        </w:rPr>
        <w:t xml:space="preserve"> 发包人向设计人提交有关资料、文件及时间 </w:t>
      </w:r>
    </w:p>
    <w:p w14:paraId="0FE6A265">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1、本工程所需的相关社会、经济、材料价等相关资料。</w:t>
      </w:r>
    </w:p>
    <w:p w14:paraId="77790B32">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2、设计需要的其他资料。</w:t>
      </w:r>
    </w:p>
    <w:p w14:paraId="2C6104C7">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以上资料签订合同之日</w:t>
      </w:r>
      <w:r>
        <w:rPr>
          <w:rFonts w:hint="eastAsia" w:ascii="宋体" w:hAnsi="宋体" w:eastAsia="宋体" w:cs="宋体"/>
          <w:b w:val="0"/>
          <w:bCs w:val="0"/>
          <w:color w:val="auto"/>
          <w:w w:val="100"/>
          <w:sz w:val="24"/>
          <w:szCs w:val="24"/>
          <w:highlight w:val="none"/>
          <w:u w:val="single"/>
          <w:lang w:val="en-US" w:eastAsia="zh-CN"/>
        </w:rPr>
        <w:t xml:space="preserve">      </w:t>
      </w:r>
      <w:r>
        <w:rPr>
          <w:rFonts w:hint="eastAsia" w:ascii="宋体" w:hAnsi="宋体" w:eastAsia="宋体" w:cs="宋体"/>
          <w:b w:val="0"/>
          <w:bCs w:val="0"/>
          <w:color w:val="auto"/>
          <w:w w:val="100"/>
          <w:sz w:val="24"/>
          <w:szCs w:val="24"/>
          <w:highlight w:val="none"/>
          <w:lang w:val="en-US" w:eastAsia="zh-CN"/>
        </w:rPr>
        <w:t>日内提交。</w:t>
      </w:r>
    </w:p>
    <w:p w14:paraId="3C53E8E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 xml:space="preserve">第六条 </w:t>
      </w:r>
      <w:r>
        <w:rPr>
          <w:rFonts w:hint="eastAsia" w:ascii="宋体" w:hAnsi="宋体" w:eastAsia="宋体" w:cs="宋体"/>
          <w:b/>
          <w:bCs/>
          <w:color w:val="auto"/>
          <w:w w:val="100"/>
          <w:sz w:val="24"/>
          <w:szCs w:val="24"/>
          <w:highlight w:val="none"/>
          <w:lang w:val="en-US" w:eastAsia="zh-CN"/>
        </w:rPr>
        <w:t xml:space="preserve"> </w:t>
      </w:r>
      <w:r>
        <w:rPr>
          <w:rFonts w:hint="eastAsia" w:ascii="宋体" w:hAnsi="宋体" w:eastAsia="宋体" w:cs="宋体"/>
          <w:b/>
          <w:bCs/>
          <w:color w:val="auto"/>
          <w:w w:val="100"/>
          <w:sz w:val="24"/>
          <w:szCs w:val="24"/>
          <w:highlight w:val="none"/>
        </w:rPr>
        <w:t>设计人向发包人交付的设计文件、份数、地点及时间</w:t>
      </w:r>
    </w:p>
    <w:p w14:paraId="394260BC">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设计人按照发包人的相关要求按时提交</w:t>
      </w:r>
      <w:r>
        <w:rPr>
          <w:rFonts w:hint="eastAsia" w:ascii="宋体" w:hAnsi="宋体" w:eastAsia="宋体" w:cs="宋体"/>
          <w:b w:val="0"/>
          <w:bCs w:val="0"/>
          <w:color w:val="auto"/>
          <w:w w:val="100"/>
          <w:sz w:val="24"/>
          <w:szCs w:val="24"/>
          <w:highlight w:val="none"/>
          <w:u w:val="single"/>
          <w:lang w:val="en-US" w:eastAsia="zh-CN"/>
        </w:rPr>
        <w:t xml:space="preserve">                         </w:t>
      </w:r>
      <w:r>
        <w:rPr>
          <w:rFonts w:hint="eastAsia" w:ascii="宋体" w:hAnsi="宋体" w:eastAsia="宋体" w:cs="宋体"/>
          <w:b w:val="0"/>
          <w:bCs w:val="0"/>
          <w:color w:val="auto"/>
          <w:w w:val="100"/>
          <w:sz w:val="24"/>
          <w:szCs w:val="24"/>
          <w:highlight w:val="none"/>
          <w:lang w:val="en-US" w:eastAsia="zh-CN"/>
        </w:rPr>
        <w:t>。</w:t>
      </w:r>
    </w:p>
    <w:p w14:paraId="72F71A8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 xml:space="preserve">第七条 费用 </w:t>
      </w:r>
    </w:p>
    <w:p w14:paraId="0651764A">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sz w:val="24"/>
          <w:szCs w:val="24"/>
          <w:highlight w:val="none"/>
          <w:u w:val="single"/>
          <w:lang w:val="en-US"/>
        </w:rPr>
      </w:pPr>
      <w:r>
        <w:rPr>
          <w:rFonts w:hint="eastAsia" w:ascii="宋体" w:hAnsi="宋体" w:eastAsia="宋体" w:cs="宋体"/>
          <w:b w:val="0"/>
          <w:bCs w:val="0"/>
          <w:color w:val="auto"/>
          <w:w w:val="100"/>
          <w:sz w:val="24"/>
          <w:szCs w:val="24"/>
          <w:highlight w:val="none"/>
          <w:lang w:val="en-US" w:eastAsia="zh-CN"/>
        </w:rPr>
        <w:t>根据中标通知书，本项目设计成果勘察设计费用为</w:t>
      </w:r>
      <w:r>
        <w:rPr>
          <w:rFonts w:hint="eastAsia" w:ascii="宋体" w:hAnsi="宋体" w:eastAsia="宋体" w:cs="宋体"/>
          <w:b w:val="0"/>
          <w:bCs w:val="0"/>
          <w:color w:val="auto"/>
          <w:w w:val="100"/>
          <w:sz w:val="24"/>
          <w:szCs w:val="24"/>
          <w:highlight w:val="none"/>
          <w:u w:val="single"/>
          <w:lang w:val="en-US" w:eastAsia="zh-CN"/>
        </w:rPr>
        <w:t xml:space="preserve">            </w:t>
      </w:r>
    </w:p>
    <w:p w14:paraId="0709C70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 xml:space="preserve">第八条 </w:t>
      </w:r>
      <w:r>
        <w:rPr>
          <w:rFonts w:hint="eastAsia" w:ascii="宋体" w:hAnsi="宋体" w:eastAsia="宋体" w:cs="宋体"/>
          <w:b/>
          <w:bCs/>
          <w:color w:val="auto"/>
          <w:w w:val="100"/>
          <w:sz w:val="24"/>
          <w:szCs w:val="24"/>
          <w:highlight w:val="none"/>
          <w:lang w:val="en-US" w:eastAsia="zh-CN"/>
        </w:rPr>
        <w:t xml:space="preserve"> </w:t>
      </w:r>
      <w:r>
        <w:rPr>
          <w:rFonts w:hint="eastAsia" w:ascii="宋体" w:hAnsi="宋体" w:eastAsia="宋体" w:cs="宋体"/>
          <w:b/>
          <w:bCs/>
          <w:color w:val="auto"/>
          <w:w w:val="100"/>
          <w:sz w:val="24"/>
          <w:szCs w:val="24"/>
          <w:highlight w:val="none"/>
        </w:rPr>
        <w:t>支付方式</w:t>
      </w:r>
    </w:p>
    <w:p w14:paraId="00ABA80A">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lang w:val="en-US" w:eastAsia="zh-CN"/>
        </w:rPr>
      </w:pPr>
      <w:r>
        <w:rPr>
          <w:rFonts w:hint="eastAsia" w:eastAsiaTheme="majorEastAsia"/>
          <w:color w:val="auto"/>
          <w:sz w:val="24"/>
          <w:highlight w:val="none"/>
          <w:lang w:val="en-US" w:eastAsia="zh-CN"/>
        </w:rPr>
        <w:t>8.1</w:t>
      </w:r>
      <w:r>
        <w:rPr>
          <w:rFonts w:hint="eastAsia" w:eastAsiaTheme="majorEastAsia"/>
          <w:color w:val="auto"/>
          <w:sz w:val="24"/>
          <w:highlight w:val="none"/>
          <w:lang w:eastAsia="zh-CN"/>
        </w:rPr>
        <w:t>合同签订后支付合同总额的</w:t>
      </w:r>
      <w:r>
        <w:rPr>
          <w:rFonts w:hint="eastAsia" w:eastAsiaTheme="majorEastAsia"/>
          <w:color w:val="auto"/>
          <w:sz w:val="24"/>
          <w:highlight w:val="none"/>
          <w:lang w:val="en-US" w:eastAsia="zh-CN"/>
        </w:rPr>
        <w:t>4</w:t>
      </w:r>
      <w:r>
        <w:rPr>
          <w:rFonts w:hint="eastAsia" w:eastAsiaTheme="majorEastAsia"/>
          <w:color w:val="auto"/>
          <w:sz w:val="24"/>
          <w:highlight w:val="none"/>
          <w:lang w:eastAsia="zh-CN"/>
        </w:rPr>
        <w:t>0%；</w:t>
      </w:r>
      <w:r>
        <w:rPr>
          <w:rFonts w:hint="eastAsia" w:eastAsiaTheme="majorEastAsia"/>
          <w:color w:val="auto"/>
          <w:sz w:val="24"/>
          <w:highlight w:val="none"/>
          <w:lang w:val="en-US" w:eastAsia="zh-CN"/>
        </w:rPr>
        <w:t>施工图完成</w:t>
      </w:r>
      <w:r>
        <w:rPr>
          <w:rFonts w:hint="eastAsia" w:eastAsiaTheme="majorEastAsia"/>
          <w:color w:val="auto"/>
          <w:sz w:val="24"/>
          <w:highlight w:val="none"/>
          <w:lang w:eastAsia="zh-CN"/>
        </w:rPr>
        <w:t>，支付合同总额的</w:t>
      </w:r>
      <w:r>
        <w:rPr>
          <w:rFonts w:hint="eastAsia" w:eastAsiaTheme="majorEastAsia"/>
          <w:color w:val="auto"/>
          <w:sz w:val="24"/>
          <w:highlight w:val="none"/>
          <w:lang w:val="en-US" w:eastAsia="zh-CN"/>
        </w:rPr>
        <w:t>5</w:t>
      </w:r>
      <w:r>
        <w:rPr>
          <w:rFonts w:hint="eastAsia" w:eastAsiaTheme="majorEastAsia"/>
          <w:color w:val="auto"/>
          <w:sz w:val="24"/>
          <w:highlight w:val="none"/>
          <w:lang w:eastAsia="zh-CN"/>
        </w:rPr>
        <w:t>0%。工程竣工验收合格并完成审计后，支付合同总额的</w:t>
      </w:r>
      <w:r>
        <w:rPr>
          <w:rFonts w:hint="eastAsia" w:eastAsiaTheme="majorEastAsia"/>
          <w:color w:val="auto"/>
          <w:sz w:val="24"/>
          <w:highlight w:val="none"/>
          <w:lang w:val="en-US" w:eastAsia="zh-CN"/>
        </w:rPr>
        <w:t>10</w:t>
      </w:r>
      <w:r>
        <w:rPr>
          <w:rFonts w:hint="eastAsia" w:eastAsiaTheme="majorEastAsia"/>
          <w:color w:val="auto"/>
          <w:sz w:val="24"/>
          <w:highlight w:val="none"/>
          <w:lang w:eastAsia="zh-CN"/>
        </w:rPr>
        <w:t>%</w:t>
      </w:r>
      <w:r>
        <w:rPr>
          <w:rFonts w:hint="eastAsia" w:ascii="宋体" w:hAnsi="宋体" w:eastAsia="宋体" w:cs="宋体"/>
          <w:b w:val="0"/>
          <w:bCs w:val="0"/>
          <w:color w:val="auto"/>
          <w:w w:val="100"/>
          <w:sz w:val="24"/>
          <w:szCs w:val="24"/>
          <w:highlight w:val="none"/>
          <w:lang w:val="en-US" w:eastAsia="zh-CN"/>
        </w:rPr>
        <w:t>。</w:t>
      </w:r>
    </w:p>
    <w:p w14:paraId="4C0E131B">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8.2双方委托银行代付代收有关费用。</w:t>
      </w:r>
    </w:p>
    <w:p w14:paraId="604E3034">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乙方单位名称、开户银行名称和帐号为：</w:t>
      </w:r>
      <w:r>
        <w:rPr>
          <w:rFonts w:hint="eastAsia" w:ascii="宋体" w:hAnsi="宋体" w:eastAsia="宋体" w:cs="宋体"/>
          <w:b w:val="0"/>
          <w:bCs w:val="0"/>
          <w:color w:val="auto"/>
          <w:w w:val="100"/>
          <w:sz w:val="24"/>
          <w:szCs w:val="24"/>
          <w:highlight w:val="none"/>
          <w:lang w:val="en-US" w:eastAsia="zh-CN"/>
        </w:rPr>
        <w:cr/>
      </w:r>
      <w:r>
        <w:rPr>
          <w:rFonts w:hint="eastAsia" w:ascii="宋体" w:hAnsi="宋体" w:eastAsia="宋体" w:cs="宋体"/>
          <w:b w:val="0"/>
          <w:bCs w:val="0"/>
          <w:color w:val="auto"/>
          <w:w w:val="100"/>
          <w:sz w:val="24"/>
          <w:szCs w:val="24"/>
          <w:highlight w:val="none"/>
          <w:lang w:val="en-US" w:eastAsia="zh-CN"/>
        </w:rPr>
        <w:t xml:space="preserve">    乙方单位：</w:t>
      </w:r>
      <w:r>
        <w:rPr>
          <w:rFonts w:hint="eastAsia" w:ascii="宋体" w:hAnsi="宋体" w:eastAsia="宋体" w:cs="宋体"/>
          <w:b w:val="0"/>
          <w:bCs w:val="0"/>
          <w:color w:val="auto"/>
          <w:w w:val="100"/>
          <w:sz w:val="24"/>
          <w:szCs w:val="24"/>
          <w:highlight w:val="none"/>
          <w:u w:val="single"/>
          <w:lang w:val="en-US" w:eastAsia="zh-CN"/>
        </w:rPr>
        <w:t xml:space="preserve">                      </w:t>
      </w:r>
      <w:r>
        <w:rPr>
          <w:rFonts w:hint="eastAsia" w:ascii="宋体" w:hAnsi="宋体" w:eastAsia="宋体" w:cs="宋体"/>
          <w:b w:val="0"/>
          <w:bCs w:val="0"/>
          <w:color w:val="auto"/>
          <w:w w:val="100"/>
          <w:sz w:val="24"/>
          <w:szCs w:val="24"/>
          <w:highlight w:val="none"/>
          <w:lang w:val="en-US" w:eastAsia="zh-CN"/>
        </w:rPr>
        <w:t xml:space="preserve"> </w:t>
      </w:r>
    </w:p>
    <w:p w14:paraId="1E2F1CC9">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lang w:val="en-US" w:eastAsia="zh-CN"/>
        </w:rPr>
      </w:pPr>
      <w:r>
        <w:rPr>
          <w:rFonts w:hint="eastAsia" w:ascii="宋体" w:hAnsi="宋体" w:eastAsia="宋体" w:cs="宋体"/>
          <w:b w:val="0"/>
          <w:bCs w:val="0"/>
          <w:color w:val="auto"/>
          <w:w w:val="100"/>
          <w:sz w:val="24"/>
          <w:szCs w:val="24"/>
          <w:highlight w:val="none"/>
          <w:lang w:val="en-US" w:eastAsia="zh-CN"/>
        </w:rPr>
        <w:t>开户银行：</w:t>
      </w:r>
      <w:r>
        <w:rPr>
          <w:rFonts w:hint="eastAsia" w:ascii="宋体" w:hAnsi="宋体" w:eastAsia="宋体" w:cs="宋体"/>
          <w:b w:val="0"/>
          <w:bCs w:val="0"/>
          <w:color w:val="auto"/>
          <w:w w:val="100"/>
          <w:sz w:val="24"/>
          <w:szCs w:val="24"/>
          <w:highlight w:val="none"/>
          <w:u w:val="single"/>
          <w:lang w:val="en-US" w:eastAsia="zh-CN"/>
        </w:rPr>
        <w:t xml:space="preserve">                      </w:t>
      </w:r>
      <w:r>
        <w:rPr>
          <w:rFonts w:hint="eastAsia" w:ascii="宋体" w:hAnsi="宋体" w:eastAsia="宋体" w:cs="宋体"/>
          <w:b w:val="0"/>
          <w:bCs w:val="0"/>
          <w:color w:val="auto"/>
          <w:w w:val="100"/>
          <w:sz w:val="24"/>
          <w:szCs w:val="24"/>
          <w:highlight w:val="none"/>
          <w:lang w:val="en-US" w:eastAsia="zh-CN"/>
        </w:rPr>
        <w:t xml:space="preserve"> </w:t>
      </w:r>
    </w:p>
    <w:p w14:paraId="2AFD0970">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b w:val="0"/>
          <w:bCs w:val="0"/>
          <w:color w:val="auto"/>
          <w:w w:val="100"/>
          <w:sz w:val="24"/>
          <w:szCs w:val="24"/>
          <w:highlight w:val="none"/>
          <w:u w:val="single"/>
          <w:lang w:val="en-US" w:eastAsia="zh-CN"/>
        </w:rPr>
      </w:pPr>
      <w:r>
        <w:rPr>
          <w:rFonts w:hint="eastAsia" w:ascii="宋体" w:hAnsi="宋体" w:eastAsia="宋体" w:cs="宋体"/>
          <w:b w:val="0"/>
          <w:bCs w:val="0"/>
          <w:color w:val="auto"/>
          <w:w w:val="100"/>
          <w:sz w:val="24"/>
          <w:szCs w:val="24"/>
          <w:highlight w:val="none"/>
          <w:lang w:val="en-US" w:eastAsia="zh-CN"/>
        </w:rPr>
        <w:t>帐    号：</w:t>
      </w:r>
      <w:r>
        <w:rPr>
          <w:rFonts w:hint="eastAsia" w:ascii="宋体" w:hAnsi="宋体" w:eastAsia="宋体" w:cs="宋体"/>
          <w:b w:val="0"/>
          <w:bCs w:val="0"/>
          <w:color w:val="auto"/>
          <w:w w:val="100"/>
          <w:sz w:val="24"/>
          <w:szCs w:val="24"/>
          <w:highlight w:val="none"/>
          <w:u w:val="single"/>
          <w:lang w:val="en-US" w:eastAsia="zh-CN"/>
        </w:rPr>
        <w:t xml:space="preserve">                      </w:t>
      </w:r>
      <w:r>
        <w:rPr>
          <w:rFonts w:hint="eastAsia" w:ascii="宋体" w:hAnsi="宋体" w:eastAsia="宋体" w:cs="宋体"/>
          <w:b w:val="0"/>
          <w:bCs w:val="0"/>
          <w:color w:val="auto"/>
          <w:w w:val="100"/>
          <w:sz w:val="24"/>
          <w:szCs w:val="24"/>
          <w:highlight w:val="none"/>
          <w:u w:val="none"/>
          <w:lang w:val="en-US" w:eastAsia="zh-CN"/>
        </w:rPr>
        <w:t xml:space="preserve">  </w:t>
      </w:r>
    </w:p>
    <w:p w14:paraId="2938FB1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第九条　双方责任</w:t>
      </w:r>
    </w:p>
    <w:p w14:paraId="0A2A717B">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9.1发包人责任</w:t>
      </w:r>
    </w:p>
    <w:p w14:paraId="6C122AB4">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9.1.1发包人提交上述资料及文件超过规定期限</w:t>
      </w:r>
      <w:r>
        <w:rPr>
          <w:rFonts w:hint="eastAsia" w:ascii="宋体" w:hAnsi="宋体" w:eastAsia="宋体" w:cs="宋体"/>
          <w:color w:val="auto"/>
          <w:w w:val="100"/>
          <w:sz w:val="24"/>
          <w:szCs w:val="24"/>
          <w:highlight w:val="none"/>
          <w:u w:val="single"/>
          <w:lang w:val="en-US" w:eastAsia="zh-CN"/>
        </w:rPr>
        <w:t xml:space="preserve">    </w:t>
      </w:r>
      <w:r>
        <w:rPr>
          <w:rFonts w:hint="eastAsia" w:ascii="宋体" w:hAnsi="宋体" w:eastAsia="宋体" w:cs="宋体"/>
          <w:color w:val="auto"/>
          <w:w w:val="100"/>
          <w:sz w:val="24"/>
          <w:szCs w:val="24"/>
          <w:highlight w:val="none"/>
        </w:rPr>
        <w:t>天以内，设计人按本合同第六条规定的交付设计文件时间顺延；发包人交付上述资料及文件超过规定期限</w:t>
      </w:r>
      <w:r>
        <w:rPr>
          <w:rFonts w:hint="eastAsia" w:ascii="宋体" w:hAnsi="宋体" w:eastAsia="宋体" w:cs="宋体"/>
          <w:color w:val="auto"/>
          <w:w w:val="100"/>
          <w:sz w:val="24"/>
          <w:szCs w:val="24"/>
          <w:highlight w:val="none"/>
          <w:u w:val="single"/>
          <w:lang w:val="en-US" w:eastAsia="zh-CN"/>
        </w:rPr>
        <w:t xml:space="preserve">   </w:t>
      </w:r>
      <w:r>
        <w:rPr>
          <w:rFonts w:hint="eastAsia" w:ascii="宋体" w:hAnsi="宋体" w:eastAsia="宋体" w:cs="宋体"/>
          <w:color w:val="auto"/>
          <w:w w:val="100"/>
          <w:sz w:val="24"/>
          <w:szCs w:val="24"/>
          <w:highlight w:val="none"/>
        </w:rPr>
        <w:t>天以上时，设计人有权重新确定提交设计文件的时间。</w:t>
      </w:r>
    </w:p>
    <w:p w14:paraId="253264E1">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9.1.2发包人变更委托设计项目、规模、条件或因提交的资料错误，或所提交资料作较大修改，以致造成设计人设计返工时，双方除另行协商签订补充协议（或另订合同）、重新明确有关条款外，发包人应按设计人所耗工作量向设计人支付返工费。</w:t>
      </w:r>
    </w:p>
    <w:p w14:paraId="04787984">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9.1.3在合同履行期间，发包人要求终止或解除合同，设计人未开始设计工作的，不退还发包人已付的</w:t>
      </w:r>
      <w:r>
        <w:rPr>
          <w:rFonts w:hint="eastAsia" w:ascii="宋体" w:hAnsi="宋体" w:eastAsia="宋体" w:cs="宋体"/>
          <w:color w:val="auto"/>
          <w:w w:val="100"/>
          <w:sz w:val="24"/>
          <w:szCs w:val="24"/>
          <w:highlight w:val="none"/>
          <w:lang w:eastAsia="zh-CN"/>
        </w:rPr>
        <w:t>设计费</w:t>
      </w:r>
      <w:r>
        <w:rPr>
          <w:rFonts w:hint="eastAsia" w:ascii="宋体" w:hAnsi="宋体" w:eastAsia="宋体" w:cs="宋体"/>
          <w:color w:val="auto"/>
          <w:w w:val="100"/>
          <w:sz w:val="24"/>
          <w:szCs w:val="24"/>
          <w:highlight w:val="none"/>
        </w:rPr>
        <w:t>；已开始设计工作的，发包人应根据设计人已进行的实际工作量，不足一半时，按该阶段设计费的一半支付；超过一半时，按该阶段设计费的全部支付。</w:t>
      </w:r>
    </w:p>
    <w:p w14:paraId="7467035E">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9.1.4发包人必须按合同规定支付</w:t>
      </w:r>
      <w:r>
        <w:rPr>
          <w:rFonts w:hint="eastAsia" w:ascii="宋体" w:hAnsi="宋体" w:eastAsia="宋体" w:cs="宋体"/>
          <w:color w:val="auto"/>
          <w:w w:val="100"/>
          <w:sz w:val="24"/>
          <w:szCs w:val="24"/>
          <w:highlight w:val="none"/>
          <w:lang w:eastAsia="zh-CN"/>
        </w:rPr>
        <w:t>设计费</w:t>
      </w:r>
      <w:r>
        <w:rPr>
          <w:rFonts w:hint="eastAsia" w:ascii="宋体" w:hAnsi="宋体" w:eastAsia="宋体" w:cs="宋体"/>
          <w:color w:val="auto"/>
          <w:w w:val="100"/>
          <w:sz w:val="24"/>
          <w:szCs w:val="24"/>
          <w:highlight w:val="none"/>
        </w:rPr>
        <w:t>，收到</w:t>
      </w:r>
      <w:r>
        <w:rPr>
          <w:rFonts w:hint="eastAsia" w:ascii="宋体" w:hAnsi="宋体" w:eastAsia="宋体" w:cs="宋体"/>
          <w:color w:val="auto"/>
          <w:w w:val="100"/>
          <w:sz w:val="24"/>
          <w:szCs w:val="24"/>
          <w:highlight w:val="none"/>
          <w:lang w:eastAsia="zh-CN"/>
        </w:rPr>
        <w:t>设计费</w:t>
      </w:r>
      <w:r>
        <w:rPr>
          <w:rFonts w:hint="eastAsia" w:ascii="宋体" w:hAnsi="宋体" w:eastAsia="宋体" w:cs="宋体"/>
          <w:color w:val="auto"/>
          <w:w w:val="100"/>
          <w:sz w:val="24"/>
          <w:szCs w:val="24"/>
          <w:highlight w:val="none"/>
        </w:rPr>
        <w:t>作为设计人设计开工的标志。未收到</w:t>
      </w:r>
      <w:r>
        <w:rPr>
          <w:rFonts w:hint="eastAsia" w:ascii="宋体" w:hAnsi="宋体" w:eastAsia="宋体" w:cs="宋体"/>
          <w:color w:val="auto"/>
          <w:w w:val="100"/>
          <w:sz w:val="24"/>
          <w:szCs w:val="24"/>
          <w:highlight w:val="none"/>
          <w:lang w:eastAsia="zh-CN"/>
        </w:rPr>
        <w:t>设计费</w:t>
      </w:r>
      <w:r>
        <w:rPr>
          <w:rFonts w:hint="eastAsia" w:ascii="宋体" w:hAnsi="宋体" w:eastAsia="宋体" w:cs="宋体"/>
          <w:color w:val="auto"/>
          <w:w w:val="100"/>
          <w:sz w:val="24"/>
          <w:szCs w:val="24"/>
          <w:highlight w:val="none"/>
        </w:rPr>
        <w:t>，设计人有权推迟设计工作的开工时间，且交付文件的时间顺延。</w:t>
      </w:r>
    </w:p>
    <w:p w14:paraId="76AA3B3D">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sectPr>
          <w:footerReference r:id="rId10" w:type="first"/>
          <w:footerReference r:id="rId9" w:type="default"/>
          <w:pgSz w:w="11906" w:h="16838"/>
          <w:pgMar w:top="1701" w:right="1134" w:bottom="1701" w:left="1701" w:header="851" w:footer="992" w:gutter="0"/>
          <w:pgNumType w:fmt="decimal"/>
          <w:cols w:space="720" w:num="1"/>
          <w:docGrid w:type="lines" w:linePitch="312" w:charSpace="0"/>
        </w:sectPr>
      </w:pPr>
      <w:r>
        <w:rPr>
          <w:rFonts w:hint="eastAsia" w:ascii="宋体" w:hAnsi="宋体" w:eastAsia="宋体" w:cs="宋体"/>
          <w:color w:val="auto"/>
          <w:w w:val="100"/>
          <w:sz w:val="24"/>
          <w:szCs w:val="24"/>
          <w:highlight w:val="none"/>
        </w:rPr>
        <w:t>9.1.5发包人应按本合同规定的金额和日期向设计人支付设计费，每逾期支付一天，应承担应支付金额千分之二的逾期违约金，且设计人提交设计文件的时间顺延。逾期超</w:t>
      </w:r>
    </w:p>
    <w:p w14:paraId="5CA0AA27">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过</w:t>
      </w:r>
      <w:r>
        <w:rPr>
          <w:rFonts w:hint="eastAsia" w:ascii="宋体" w:hAnsi="宋体" w:eastAsia="宋体" w:cs="宋体"/>
          <w:color w:val="auto"/>
          <w:w w:val="100"/>
          <w:sz w:val="24"/>
          <w:szCs w:val="24"/>
          <w:highlight w:val="none"/>
          <w:u w:val="single"/>
          <w:lang w:val="en-US" w:eastAsia="zh-CN"/>
        </w:rPr>
        <w:t xml:space="preserve">    </w:t>
      </w:r>
      <w:r>
        <w:rPr>
          <w:rFonts w:hint="eastAsia" w:ascii="宋体" w:hAnsi="宋体" w:eastAsia="宋体" w:cs="宋体"/>
          <w:color w:val="auto"/>
          <w:w w:val="100"/>
          <w:sz w:val="24"/>
          <w:szCs w:val="24"/>
          <w:highlight w:val="none"/>
        </w:rPr>
        <w:t>天以上时，设计人有权暂停履行下阶段工作，并书面通知发包人。发包人的上级或设计审批部门对设计文件不审批或本合同项目停缓建，发包人均应支付已经完成的施工图阶段图纸设计费用。</w:t>
      </w:r>
    </w:p>
    <w:p w14:paraId="69C8D065">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9.1.6发包人要求设计人比合同规定时间提前交付设计文件时，须征得设计人同意，不得严重背离合理设计周期，且发包人应支付赶工费。</w:t>
      </w:r>
    </w:p>
    <w:p w14:paraId="14DF3167">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9.2设计人责任</w:t>
      </w:r>
    </w:p>
    <w:p w14:paraId="6541E787">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9.2.1设计人应按国家规定和合同约定的技术规范、标准进行设计，按本合同第六条规定的内容、时间及份数向发包人交付设计文件（出现9.1.1、9.1.2、9.1.4、9.1.5规定有关交付设计文件顺延的情况除外）。并对提交的设计文件的质量负责。</w:t>
      </w:r>
    </w:p>
    <w:p w14:paraId="14C9EB82">
      <w:pPr>
        <w:keepNext w:val="0"/>
        <w:keepLines w:val="0"/>
        <w:pageBreakBefore w:val="0"/>
        <w:widowControl w:val="0"/>
        <w:kinsoku/>
        <w:wordWrap/>
        <w:overflowPunct/>
        <w:autoSpaceDE/>
        <w:autoSpaceDN/>
        <w:bidi w:val="0"/>
        <w:adjustRightInd w:val="0"/>
        <w:snapToGrid w:val="0"/>
        <w:spacing w:line="360" w:lineRule="auto"/>
        <w:ind w:firstLine="480" w:firstLineChars="200"/>
        <w:jc w:val="left"/>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9.2.2设计人对设计文件出现的遗漏或错误负责修改或补充。</w:t>
      </w:r>
    </w:p>
    <w:p w14:paraId="6E64D19F">
      <w:pPr>
        <w:keepNext w:val="0"/>
        <w:keepLines w:val="0"/>
        <w:pageBreakBefore w:val="0"/>
        <w:widowControl w:val="0"/>
        <w:kinsoku/>
        <w:wordWrap/>
        <w:overflowPunct/>
        <w:autoSpaceDE/>
        <w:autoSpaceDN/>
        <w:bidi w:val="0"/>
        <w:adjustRightInd w:val="0"/>
        <w:snapToGrid w:val="0"/>
        <w:spacing w:line="360" w:lineRule="auto"/>
        <w:ind w:firstLine="480" w:firstLineChars="200"/>
        <w:jc w:val="left"/>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9.2.3由于设计人原因，延误了设计文件交付时间，每延误一天，应减收该项目应收设计费的千分之二。</w:t>
      </w:r>
    </w:p>
    <w:p w14:paraId="17D0B984">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9.2.4合同生效后，设计人要求终止或解除合同，设计人应双倍返还发包人已支付的</w:t>
      </w:r>
      <w:r>
        <w:rPr>
          <w:rFonts w:hint="eastAsia" w:ascii="宋体" w:hAnsi="宋体" w:eastAsia="宋体" w:cs="宋体"/>
          <w:color w:val="auto"/>
          <w:w w:val="100"/>
          <w:sz w:val="24"/>
          <w:szCs w:val="24"/>
          <w:highlight w:val="none"/>
          <w:lang w:eastAsia="zh-CN"/>
        </w:rPr>
        <w:t>设计费</w:t>
      </w:r>
      <w:r>
        <w:rPr>
          <w:rFonts w:hint="eastAsia" w:ascii="宋体" w:hAnsi="宋体" w:eastAsia="宋体" w:cs="宋体"/>
          <w:color w:val="auto"/>
          <w:w w:val="100"/>
          <w:sz w:val="24"/>
          <w:szCs w:val="24"/>
          <w:highlight w:val="none"/>
        </w:rPr>
        <w:t>。</w:t>
      </w:r>
    </w:p>
    <w:p w14:paraId="61F7CD5F">
      <w:pPr>
        <w:keepNext w:val="0"/>
        <w:keepLines w:val="0"/>
        <w:pageBreakBefore w:val="0"/>
        <w:widowControl w:val="0"/>
        <w:tabs>
          <w:tab w:val="left" w:pos="1050"/>
        </w:tabs>
        <w:kinsoku/>
        <w:wordWrap/>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w w:val="100"/>
          <w:sz w:val="24"/>
          <w:szCs w:val="24"/>
          <w:highlight w:val="none"/>
        </w:rPr>
        <w:t>9.2.5设计人交付设计文件后，按规定参加有关上级的设计审查，并根据审查结论负责不超出原定范围的内容做必要调整补充。设计人按合同规定时限交付设计文件一年内项目开始施工，负责向发包人及施工单位进行设计交底、处理有关设计问题和参加</w:t>
      </w:r>
      <w:r>
        <w:rPr>
          <w:rFonts w:hint="eastAsia" w:ascii="宋体" w:hAnsi="宋体" w:eastAsia="宋体" w:cs="宋体"/>
          <w:color w:val="auto"/>
          <w:w w:val="100"/>
          <w:sz w:val="24"/>
          <w:szCs w:val="24"/>
          <w:highlight w:val="none"/>
          <w:lang w:val="en-US" w:eastAsia="zh-CN"/>
        </w:rPr>
        <w:t>完工</w:t>
      </w:r>
      <w:r>
        <w:rPr>
          <w:rFonts w:hint="eastAsia" w:ascii="宋体" w:hAnsi="宋体" w:eastAsia="宋体" w:cs="宋体"/>
          <w:color w:val="auto"/>
          <w:w w:val="100"/>
          <w:sz w:val="24"/>
          <w:szCs w:val="24"/>
          <w:highlight w:val="none"/>
        </w:rPr>
        <w:t>验收。在一年内项目尚未开始施工，设计人仍负责上述工作，可按所需工作量向发包人适当收取咨询服务费，收费额由双方商定。</w:t>
      </w:r>
      <w:r>
        <w:rPr>
          <w:rFonts w:hint="eastAsia" w:ascii="宋体" w:hAnsi="宋体" w:eastAsia="宋体" w:cs="宋体"/>
          <w:color w:val="auto"/>
          <w:sz w:val="24"/>
          <w:szCs w:val="24"/>
          <w:highlight w:val="none"/>
        </w:rPr>
        <w:t xml:space="preserve"> </w:t>
      </w:r>
    </w:p>
    <w:p w14:paraId="73F321C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第十条  保密</w:t>
      </w:r>
    </w:p>
    <w:p w14:paraId="77D72330">
      <w:pPr>
        <w:pStyle w:val="118"/>
        <w:keepNext w:val="0"/>
        <w:keepLines w:val="0"/>
        <w:pageBreakBefore w:val="0"/>
        <w:widowControl w:val="0"/>
        <w:kinsoku/>
        <w:wordWrap/>
        <w:overflowPunct/>
        <w:autoSpaceDE/>
        <w:autoSpaceDN/>
        <w:bidi w:val="0"/>
        <w:adjustRightInd w:val="0"/>
        <w:snapToGrid w:val="0"/>
        <w:spacing w:line="360" w:lineRule="auto"/>
        <w:ind w:firstLine="477" w:firstLineChars="199"/>
        <w:outlineLvl w:val="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双方均应保护对方的知识产权，未经对方同意，任何一方均不得对对方的资料及文件擅自修改、复制或向第三人转让或用于本合同项目外的项目。如发生以上情况，泄密方承担一切由此引起的后果并承担赔偿责任。</w:t>
      </w:r>
    </w:p>
    <w:p w14:paraId="0890E29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 xml:space="preserve">第十一条 </w:t>
      </w:r>
      <w:r>
        <w:rPr>
          <w:rFonts w:hint="eastAsia" w:ascii="宋体" w:hAnsi="宋体" w:eastAsia="宋体" w:cs="宋体"/>
          <w:b/>
          <w:bCs/>
          <w:color w:val="auto"/>
          <w:w w:val="100"/>
          <w:sz w:val="24"/>
          <w:szCs w:val="24"/>
          <w:highlight w:val="none"/>
          <w:lang w:val="en-US" w:eastAsia="zh-CN"/>
        </w:rPr>
        <w:t xml:space="preserve"> </w:t>
      </w:r>
      <w:r>
        <w:rPr>
          <w:rFonts w:hint="eastAsia" w:ascii="宋体" w:hAnsi="宋体" w:eastAsia="宋体" w:cs="宋体"/>
          <w:b/>
          <w:bCs/>
          <w:color w:val="auto"/>
          <w:w w:val="100"/>
          <w:sz w:val="24"/>
          <w:szCs w:val="24"/>
          <w:highlight w:val="none"/>
        </w:rPr>
        <w:t xml:space="preserve">仲裁 </w:t>
      </w:r>
    </w:p>
    <w:p w14:paraId="1772DDE0">
      <w:pPr>
        <w:keepNext w:val="0"/>
        <w:keepLines w:val="0"/>
        <w:pageBreakBefore w:val="0"/>
        <w:widowControl w:val="0"/>
        <w:tabs>
          <w:tab w:val="left" w:pos="1050"/>
        </w:tabs>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kern w:val="2"/>
          <w:sz w:val="24"/>
          <w:szCs w:val="24"/>
          <w:highlight w:val="none"/>
          <w:u w:val="none" w:color="000000"/>
          <w:vertAlign w:val="baseline"/>
          <w:lang w:val="en-US" w:eastAsia="zh-CN" w:bidi="ar-SA"/>
        </w:rPr>
      </w:pPr>
      <w:r>
        <w:rPr>
          <w:rFonts w:hint="eastAsia" w:ascii="宋体" w:hAnsi="宋体" w:eastAsia="宋体" w:cs="宋体"/>
          <w:color w:val="auto"/>
          <w:w w:val="100"/>
          <w:kern w:val="2"/>
          <w:sz w:val="24"/>
          <w:szCs w:val="24"/>
          <w:highlight w:val="none"/>
          <w:u w:val="none" w:color="000000"/>
          <w:vertAlign w:val="baseline"/>
          <w:lang w:val="en-US" w:eastAsia="zh-CN" w:bidi="ar-SA"/>
        </w:rPr>
        <w:t>本合同在履行过程中发生的争议，由双方当事人协商解决，也可由当地水利行政主管部门调解，调解不成时双方当事人同意由</w:t>
      </w:r>
      <w:r>
        <w:rPr>
          <w:rFonts w:hint="eastAsia" w:ascii="宋体" w:hAnsi="宋体" w:eastAsia="宋体" w:cs="宋体"/>
          <w:b w:val="0"/>
          <w:bCs w:val="0"/>
          <w:color w:val="auto"/>
          <w:w w:val="100"/>
          <w:kern w:val="2"/>
          <w:sz w:val="24"/>
          <w:szCs w:val="24"/>
          <w:highlight w:val="none"/>
          <w:u w:val="single" w:color="auto"/>
          <w:vertAlign w:val="baseline"/>
          <w:lang w:val="en-US" w:eastAsia="zh-CN" w:bidi="ar-SA"/>
        </w:rPr>
        <w:t xml:space="preserve"> </w:t>
      </w:r>
      <w:r>
        <w:rPr>
          <w:rFonts w:hint="eastAsia" w:ascii="宋体" w:hAnsi="宋体" w:eastAsia="宋体" w:cs="宋体"/>
          <w:b/>
          <w:bCs/>
          <w:color w:val="auto"/>
          <w:w w:val="100"/>
          <w:kern w:val="2"/>
          <w:sz w:val="24"/>
          <w:szCs w:val="24"/>
          <w:highlight w:val="none"/>
          <w:u w:val="single" w:color="auto"/>
          <w:vertAlign w:val="baseline"/>
          <w:lang w:val="en-US" w:eastAsia="zh-CN" w:bidi="ar-SA"/>
        </w:rPr>
        <w:t>当地</w:t>
      </w:r>
      <w:r>
        <w:rPr>
          <w:rFonts w:hint="eastAsia" w:ascii="宋体" w:hAnsi="宋体" w:eastAsia="宋体" w:cs="宋体"/>
          <w:b w:val="0"/>
          <w:bCs w:val="0"/>
          <w:color w:val="auto"/>
          <w:w w:val="100"/>
          <w:kern w:val="2"/>
          <w:sz w:val="24"/>
          <w:szCs w:val="24"/>
          <w:highlight w:val="none"/>
          <w:u w:val="single" w:color="auto"/>
          <w:vertAlign w:val="baseline"/>
          <w:lang w:val="en-US" w:eastAsia="zh-CN" w:bidi="ar-SA"/>
        </w:rPr>
        <w:t xml:space="preserve"> </w:t>
      </w:r>
      <w:r>
        <w:rPr>
          <w:rFonts w:hint="eastAsia" w:ascii="宋体" w:hAnsi="宋体" w:eastAsia="宋体" w:cs="宋体"/>
          <w:color w:val="auto"/>
          <w:w w:val="100"/>
          <w:kern w:val="2"/>
          <w:sz w:val="24"/>
          <w:szCs w:val="24"/>
          <w:highlight w:val="none"/>
          <w:u w:val="none" w:color="000000"/>
          <w:vertAlign w:val="baseline"/>
          <w:lang w:val="en-US" w:eastAsia="zh-CN" w:bidi="ar-SA"/>
        </w:rPr>
        <w:t>仲裁委员会仲裁。双方当事人未达成仲裁书面协议的可向</w:t>
      </w:r>
      <w:r>
        <w:rPr>
          <w:rFonts w:hint="eastAsia" w:ascii="宋体" w:hAnsi="宋体" w:eastAsia="宋体" w:cs="宋体"/>
          <w:b w:val="0"/>
          <w:bCs w:val="0"/>
          <w:color w:val="auto"/>
          <w:w w:val="100"/>
          <w:kern w:val="2"/>
          <w:sz w:val="24"/>
          <w:szCs w:val="24"/>
          <w:highlight w:val="none"/>
          <w:u w:val="single" w:color="auto"/>
          <w:vertAlign w:val="baseline"/>
          <w:lang w:val="en-US" w:eastAsia="zh-CN" w:bidi="ar-SA"/>
        </w:rPr>
        <w:t xml:space="preserve"> </w:t>
      </w:r>
      <w:r>
        <w:rPr>
          <w:rFonts w:hint="eastAsia" w:ascii="宋体" w:hAnsi="宋体" w:eastAsia="宋体" w:cs="宋体"/>
          <w:b/>
          <w:bCs/>
          <w:color w:val="auto"/>
          <w:w w:val="100"/>
          <w:kern w:val="2"/>
          <w:sz w:val="24"/>
          <w:szCs w:val="24"/>
          <w:highlight w:val="none"/>
          <w:u w:val="single" w:color="auto"/>
          <w:vertAlign w:val="baseline"/>
          <w:lang w:val="en-US" w:eastAsia="zh-CN" w:bidi="ar-SA"/>
        </w:rPr>
        <w:t>当地</w:t>
      </w:r>
      <w:r>
        <w:rPr>
          <w:rFonts w:hint="eastAsia" w:ascii="宋体" w:hAnsi="宋体" w:eastAsia="宋体" w:cs="宋体"/>
          <w:b w:val="0"/>
          <w:bCs w:val="0"/>
          <w:color w:val="auto"/>
          <w:w w:val="100"/>
          <w:kern w:val="2"/>
          <w:sz w:val="24"/>
          <w:szCs w:val="24"/>
          <w:highlight w:val="none"/>
          <w:u w:val="single" w:color="auto"/>
          <w:vertAlign w:val="baseline"/>
          <w:lang w:val="en-US" w:eastAsia="zh-CN" w:bidi="ar-SA"/>
        </w:rPr>
        <w:t xml:space="preserve"> </w:t>
      </w:r>
      <w:r>
        <w:rPr>
          <w:rFonts w:hint="eastAsia" w:ascii="宋体" w:hAnsi="宋体" w:eastAsia="宋体" w:cs="宋体"/>
          <w:color w:val="auto"/>
          <w:w w:val="100"/>
          <w:kern w:val="2"/>
          <w:sz w:val="24"/>
          <w:szCs w:val="24"/>
          <w:highlight w:val="none"/>
          <w:u w:val="none" w:color="000000"/>
          <w:vertAlign w:val="baseline"/>
          <w:lang w:val="en-US" w:eastAsia="zh-CN" w:bidi="ar-SA"/>
        </w:rPr>
        <w:t xml:space="preserve">人民法院起诉。 </w:t>
      </w:r>
    </w:p>
    <w:p w14:paraId="002653D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w w:val="100"/>
          <w:sz w:val="24"/>
          <w:szCs w:val="24"/>
          <w:highlight w:val="none"/>
        </w:rPr>
      </w:pPr>
      <w:r>
        <w:rPr>
          <w:rFonts w:hint="eastAsia" w:ascii="宋体" w:hAnsi="宋体" w:eastAsia="宋体" w:cs="宋体"/>
          <w:b/>
          <w:bCs/>
          <w:color w:val="auto"/>
          <w:w w:val="100"/>
          <w:sz w:val="24"/>
          <w:szCs w:val="24"/>
          <w:highlight w:val="none"/>
        </w:rPr>
        <w:t>第十二条  合同生效及其他</w:t>
      </w:r>
    </w:p>
    <w:p w14:paraId="099140B9">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12.1设计人为本合同项目的服务至</w:t>
      </w:r>
      <w:r>
        <w:rPr>
          <w:rFonts w:hint="eastAsia" w:ascii="宋体" w:hAnsi="宋体" w:eastAsia="宋体" w:cs="宋体"/>
          <w:b w:val="0"/>
          <w:bCs w:val="0"/>
          <w:color w:val="auto"/>
          <w:w w:val="100"/>
          <w:sz w:val="24"/>
          <w:szCs w:val="24"/>
          <w:highlight w:val="none"/>
          <w:lang w:val="en-US" w:eastAsia="zh-CN"/>
        </w:rPr>
        <w:t>通过评审后</w:t>
      </w:r>
      <w:r>
        <w:rPr>
          <w:rFonts w:hint="eastAsia" w:ascii="宋体" w:hAnsi="宋体" w:eastAsia="宋体" w:cs="宋体"/>
          <w:color w:val="auto"/>
          <w:w w:val="100"/>
          <w:sz w:val="24"/>
          <w:szCs w:val="24"/>
          <w:highlight w:val="none"/>
        </w:rPr>
        <w:t>。</w:t>
      </w:r>
    </w:p>
    <w:p w14:paraId="398DC5E2">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sectPr>
          <w:footerReference r:id="rId12" w:type="first"/>
          <w:footerReference r:id="rId11" w:type="default"/>
          <w:pgSz w:w="11906" w:h="16838"/>
          <w:pgMar w:top="1701" w:right="1134" w:bottom="1701" w:left="1701" w:header="851" w:footer="992" w:gutter="0"/>
          <w:pgNumType w:fmt="decimal"/>
          <w:cols w:space="720" w:num="1"/>
          <w:docGrid w:type="lines" w:linePitch="312" w:charSpace="0"/>
        </w:sectPr>
      </w:pPr>
    </w:p>
    <w:p w14:paraId="67DA1300">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12.2合同有效期为自合同签订之日起生效，至双方按照合同约定权利义务履行完毕为止。</w:t>
      </w:r>
    </w:p>
    <w:p w14:paraId="4F6B1285">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12.3发包人委托设计人承担本合同内容以外的工作服务，另行签订协议并付费用。</w:t>
      </w:r>
    </w:p>
    <w:p w14:paraId="00836106">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12.4由于不可抗力因素致使合同无法履行时，双方及时协商解决。</w:t>
      </w:r>
    </w:p>
    <w:p w14:paraId="425FF923">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12.5本合同双方签字盖章即生效，一式 六 份，每份 5 页。发包人 三  份，设计人 三 份。</w:t>
      </w:r>
    </w:p>
    <w:p w14:paraId="2DD367A6">
      <w:pPr>
        <w:keepNext w:val="0"/>
        <w:keepLines w:val="0"/>
        <w:pageBreakBefore w:val="0"/>
        <w:widowControl w:val="0"/>
        <w:kinsoku/>
        <w:wordWrap/>
        <w:overflowPunct/>
        <w:autoSpaceDE/>
        <w:autoSpaceDN/>
        <w:bidi w:val="0"/>
        <w:adjustRightInd w:val="0"/>
        <w:snapToGrid w:val="0"/>
        <w:spacing w:line="360" w:lineRule="auto"/>
        <w:ind w:firstLine="480" w:firstLineChars="200"/>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12.6未尽事宜，经双方协商一致，签订补充协议。</w:t>
      </w:r>
    </w:p>
    <w:p w14:paraId="0A942EEE">
      <w:pPr>
        <w:bidi w:val="0"/>
        <w:rPr>
          <w:rFonts w:hint="eastAsia"/>
          <w:color w:val="auto"/>
          <w:highlight w:val="none"/>
        </w:rPr>
      </w:pPr>
    </w:p>
    <w:p w14:paraId="3384BB42">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b/>
          <w:bCs/>
          <w:color w:val="auto"/>
          <w:w w:val="100"/>
          <w:sz w:val="24"/>
          <w:szCs w:val="24"/>
          <w:highlight w:val="none"/>
        </w:rPr>
        <w:t>发包人</w:t>
      </w:r>
      <w:r>
        <w:rPr>
          <w:rFonts w:hint="eastAsia" w:ascii="宋体" w:hAnsi="宋体" w:eastAsia="宋体" w:cs="宋体"/>
          <w:b/>
          <w:bCs/>
          <w:color w:val="auto"/>
          <w:w w:val="100"/>
          <w:sz w:val="24"/>
          <w:szCs w:val="24"/>
          <w:highlight w:val="none"/>
          <w:lang w:eastAsia="zh-CN"/>
        </w:rPr>
        <w:t>（盖章）</w:t>
      </w:r>
      <w:r>
        <w:rPr>
          <w:rFonts w:hint="eastAsia" w:ascii="宋体" w:hAnsi="宋体" w:eastAsia="宋体" w:cs="宋体"/>
          <w:b/>
          <w:bCs/>
          <w:color w:val="auto"/>
          <w:w w:val="100"/>
          <w:sz w:val="24"/>
          <w:szCs w:val="24"/>
          <w:highlight w:val="none"/>
        </w:rPr>
        <w:t>：</w:t>
      </w:r>
    </w:p>
    <w:p w14:paraId="2D1E5F5C">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法定代表人</w:t>
      </w:r>
    </w:p>
    <w:p w14:paraId="13D6A140">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w:t>
      </w:r>
      <w:r>
        <w:rPr>
          <w:rFonts w:hint="eastAsia" w:ascii="宋体" w:hAnsi="宋体" w:eastAsia="宋体" w:cs="宋体"/>
          <w:color w:val="auto"/>
          <w:w w:val="100"/>
          <w:sz w:val="24"/>
          <w:szCs w:val="24"/>
          <w:highlight w:val="none"/>
          <w:lang w:val="en-US" w:eastAsia="zh-CN"/>
        </w:rPr>
        <w:t>或</w:t>
      </w:r>
      <w:r>
        <w:rPr>
          <w:rFonts w:hint="eastAsia" w:ascii="宋体" w:hAnsi="宋体" w:eastAsia="宋体" w:cs="宋体"/>
          <w:color w:val="auto"/>
          <w:w w:val="100"/>
          <w:sz w:val="24"/>
          <w:szCs w:val="24"/>
          <w:highlight w:val="none"/>
        </w:rPr>
        <w:t>委托代理人）：</w:t>
      </w:r>
    </w:p>
    <w:p w14:paraId="2A24E7D6">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住</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 xml:space="preserve">所： </w:t>
      </w:r>
    </w:p>
    <w:p w14:paraId="398422EF">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spacing w:val="20"/>
          <w:w w:val="100"/>
          <w:sz w:val="24"/>
          <w:szCs w:val="24"/>
          <w:highlight w:val="none"/>
        </w:rPr>
        <w:t>邮</w:t>
      </w:r>
      <w:r>
        <w:rPr>
          <w:rFonts w:hint="eastAsia" w:ascii="宋体" w:hAnsi="宋体" w:eastAsia="宋体" w:cs="宋体"/>
          <w:color w:val="auto"/>
          <w:spacing w:val="20"/>
          <w:w w:val="100"/>
          <w:sz w:val="24"/>
          <w:szCs w:val="24"/>
          <w:highlight w:val="none"/>
          <w:lang w:val="en-US" w:eastAsia="zh-CN"/>
        </w:rPr>
        <w:t xml:space="preserve"> </w:t>
      </w:r>
      <w:r>
        <w:rPr>
          <w:rFonts w:hint="eastAsia" w:ascii="宋体" w:hAnsi="宋体" w:eastAsia="宋体" w:cs="宋体"/>
          <w:color w:val="auto"/>
          <w:spacing w:val="20"/>
          <w:w w:val="100"/>
          <w:sz w:val="24"/>
          <w:szCs w:val="24"/>
          <w:highlight w:val="none"/>
        </w:rPr>
        <w:t>编</w:t>
      </w:r>
      <w:r>
        <w:rPr>
          <w:rFonts w:hint="eastAsia" w:ascii="宋体" w:hAnsi="宋体" w:eastAsia="宋体" w:cs="宋体"/>
          <w:color w:val="auto"/>
          <w:w w:val="100"/>
          <w:sz w:val="24"/>
          <w:szCs w:val="24"/>
          <w:highlight w:val="none"/>
        </w:rPr>
        <w:t>：</w:t>
      </w:r>
    </w:p>
    <w:p w14:paraId="54684503">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电</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话：</w:t>
      </w:r>
    </w:p>
    <w:p w14:paraId="193928C4">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传</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真：</w:t>
      </w:r>
    </w:p>
    <w:p w14:paraId="56780476">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开户行：</w:t>
      </w:r>
    </w:p>
    <w:p w14:paraId="60CC13E7">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账</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 xml:space="preserve">号：                     </w:t>
      </w:r>
    </w:p>
    <w:p w14:paraId="433EF9A1">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日</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期：</w:t>
      </w:r>
      <w:r>
        <w:rPr>
          <w:rFonts w:hint="eastAsia" w:ascii="宋体" w:hAnsi="宋体" w:eastAsia="宋体" w:cs="宋体"/>
          <w:color w:val="auto"/>
          <w:w w:val="100"/>
          <w:sz w:val="24"/>
          <w:szCs w:val="24"/>
          <w:highlight w:val="none"/>
          <w:lang w:val="en-US" w:eastAsia="zh-CN"/>
        </w:rPr>
        <w:t xml:space="preserve">   年  月  日</w:t>
      </w:r>
    </w:p>
    <w:p w14:paraId="5EC77527">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w w:val="100"/>
          <w:sz w:val="24"/>
          <w:szCs w:val="24"/>
          <w:highlight w:val="none"/>
        </w:rPr>
      </w:pPr>
    </w:p>
    <w:p w14:paraId="79B95369">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b/>
          <w:bCs/>
          <w:color w:val="auto"/>
          <w:w w:val="100"/>
          <w:sz w:val="24"/>
          <w:szCs w:val="24"/>
          <w:highlight w:val="none"/>
          <w:lang w:eastAsia="zh-CN"/>
        </w:rPr>
      </w:pPr>
      <w:r>
        <w:rPr>
          <w:rFonts w:hint="eastAsia" w:ascii="宋体" w:hAnsi="宋体" w:eastAsia="宋体" w:cs="宋体"/>
          <w:b/>
          <w:bCs/>
          <w:color w:val="auto"/>
          <w:w w:val="100"/>
          <w:sz w:val="24"/>
          <w:szCs w:val="24"/>
          <w:highlight w:val="none"/>
        </w:rPr>
        <w:t>设计人</w:t>
      </w:r>
      <w:r>
        <w:rPr>
          <w:rFonts w:hint="eastAsia" w:ascii="宋体" w:hAnsi="宋体" w:eastAsia="宋体" w:cs="宋体"/>
          <w:b/>
          <w:bCs/>
          <w:color w:val="auto"/>
          <w:w w:val="100"/>
          <w:sz w:val="24"/>
          <w:szCs w:val="24"/>
          <w:highlight w:val="none"/>
          <w:lang w:eastAsia="zh-CN"/>
        </w:rPr>
        <w:t>（盖章）：</w:t>
      </w:r>
    </w:p>
    <w:p w14:paraId="281209D4">
      <w:pPr>
        <w:keepNext w:val="0"/>
        <w:keepLines w:val="0"/>
        <w:pageBreakBefore w:val="0"/>
        <w:widowControl w:val="0"/>
        <w:tabs>
          <w:tab w:val="left" w:pos="1547"/>
        </w:tabs>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 xml:space="preserve">法定代表人 </w:t>
      </w:r>
      <w:r>
        <w:rPr>
          <w:rFonts w:hint="eastAsia" w:ascii="宋体" w:hAnsi="宋体" w:eastAsia="宋体" w:cs="宋体"/>
          <w:color w:val="auto"/>
          <w:w w:val="100"/>
          <w:sz w:val="24"/>
          <w:szCs w:val="24"/>
          <w:highlight w:val="none"/>
        </w:rPr>
        <w:tab/>
      </w:r>
    </w:p>
    <w:p w14:paraId="5CFE4329">
      <w:pPr>
        <w:keepNext w:val="0"/>
        <w:keepLines w:val="0"/>
        <w:pageBreakBefore w:val="0"/>
        <w:widowControl w:val="0"/>
        <w:tabs>
          <w:tab w:val="left" w:pos="1547"/>
        </w:tabs>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w:t>
      </w:r>
      <w:r>
        <w:rPr>
          <w:rFonts w:hint="eastAsia" w:ascii="宋体" w:hAnsi="宋体" w:eastAsia="宋体" w:cs="宋体"/>
          <w:color w:val="auto"/>
          <w:w w:val="100"/>
          <w:sz w:val="24"/>
          <w:szCs w:val="24"/>
          <w:highlight w:val="none"/>
          <w:lang w:val="en-US" w:eastAsia="zh-CN"/>
        </w:rPr>
        <w:t>或</w:t>
      </w:r>
      <w:r>
        <w:rPr>
          <w:rFonts w:hint="eastAsia" w:ascii="宋体" w:hAnsi="宋体" w:eastAsia="宋体" w:cs="宋体"/>
          <w:color w:val="auto"/>
          <w:w w:val="100"/>
          <w:sz w:val="24"/>
          <w:szCs w:val="24"/>
          <w:highlight w:val="none"/>
        </w:rPr>
        <w:t>委托代理人）：</w:t>
      </w:r>
    </w:p>
    <w:p w14:paraId="078CF84F">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住</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所：</w:t>
      </w:r>
    </w:p>
    <w:p w14:paraId="56D12BF2">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spacing w:val="20"/>
          <w:w w:val="100"/>
          <w:sz w:val="24"/>
          <w:szCs w:val="24"/>
          <w:highlight w:val="none"/>
        </w:rPr>
        <w:t>邮</w:t>
      </w:r>
      <w:r>
        <w:rPr>
          <w:rFonts w:hint="eastAsia" w:ascii="宋体" w:hAnsi="宋体" w:eastAsia="宋体" w:cs="宋体"/>
          <w:color w:val="auto"/>
          <w:spacing w:val="20"/>
          <w:w w:val="100"/>
          <w:sz w:val="24"/>
          <w:szCs w:val="24"/>
          <w:highlight w:val="none"/>
          <w:lang w:val="en-US" w:eastAsia="zh-CN"/>
        </w:rPr>
        <w:t xml:space="preserve"> </w:t>
      </w:r>
      <w:r>
        <w:rPr>
          <w:rFonts w:hint="eastAsia" w:ascii="宋体" w:hAnsi="宋体" w:eastAsia="宋体" w:cs="宋体"/>
          <w:color w:val="auto"/>
          <w:spacing w:val="20"/>
          <w:w w:val="100"/>
          <w:sz w:val="24"/>
          <w:szCs w:val="24"/>
          <w:highlight w:val="none"/>
        </w:rPr>
        <w:t>编</w:t>
      </w:r>
      <w:r>
        <w:rPr>
          <w:rFonts w:hint="eastAsia" w:ascii="宋体" w:hAnsi="宋体" w:eastAsia="宋体" w:cs="宋体"/>
          <w:color w:val="auto"/>
          <w:w w:val="100"/>
          <w:sz w:val="24"/>
          <w:szCs w:val="24"/>
          <w:highlight w:val="none"/>
        </w:rPr>
        <w:t>：</w:t>
      </w:r>
    </w:p>
    <w:p w14:paraId="33D1FCFA">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电</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话：</w:t>
      </w:r>
    </w:p>
    <w:p w14:paraId="06879E90">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传</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 xml:space="preserve">真：             </w:t>
      </w:r>
    </w:p>
    <w:p w14:paraId="5469D344">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开户行：</w:t>
      </w:r>
    </w:p>
    <w:p w14:paraId="59E08ADE">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left"/>
        <w:textAlignment w:val="auto"/>
        <w:rPr>
          <w:rFonts w:hint="eastAsia" w:ascii="宋体" w:hAnsi="宋体" w:eastAsia="宋体" w:cs="宋体"/>
          <w:color w:val="auto"/>
          <w:w w:val="100"/>
          <w:sz w:val="24"/>
          <w:szCs w:val="24"/>
          <w:highlight w:val="none"/>
        </w:rPr>
      </w:pPr>
      <w:r>
        <w:rPr>
          <w:rFonts w:hint="eastAsia" w:ascii="宋体" w:hAnsi="宋体" w:eastAsia="宋体" w:cs="宋体"/>
          <w:color w:val="auto"/>
          <w:w w:val="100"/>
          <w:sz w:val="24"/>
          <w:szCs w:val="24"/>
          <w:highlight w:val="none"/>
        </w:rPr>
        <w:t>账</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号：</w:t>
      </w:r>
    </w:p>
    <w:p w14:paraId="3940D3A9">
      <w:pPr>
        <w:bidi w:val="0"/>
        <w:rPr>
          <w:rFonts w:hint="eastAsia"/>
          <w:color w:val="auto"/>
          <w:highlight w:val="none"/>
          <w:lang w:eastAsia="zh-CN"/>
        </w:rPr>
      </w:pPr>
      <w:r>
        <w:rPr>
          <w:rFonts w:hint="eastAsia" w:ascii="宋体" w:hAnsi="宋体" w:eastAsia="宋体" w:cs="宋体"/>
          <w:color w:val="auto"/>
          <w:w w:val="100"/>
          <w:sz w:val="24"/>
          <w:szCs w:val="24"/>
          <w:highlight w:val="none"/>
        </w:rPr>
        <w:t>日</w:t>
      </w:r>
      <w:r>
        <w:rPr>
          <w:rFonts w:hint="eastAsia" w:ascii="宋体" w:hAnsi="宋体" w:eastAsia="宋体" w:cs="宋体"/>
          <w:color w:val="auto"/>
          <w:w w:val="100"/>
          <w:sz w:val="24"/>
          <w:szCs w:val="24"/>
          <w:highlight w:val="none"/>
          <w:lang w:val="en-US" w:eastAsia="zh-CN"/>
        </w:rPr>
        <w:t xml:space="preserve">  </w:t>
      </w:r>
      <w:r>
        <w:rPr>
          <w:rFonts w:hint="eastAsia" w:ascii="宋体" w:hAnsi="宋体" w:eastAsia="宋体" w:cs="宋体"/>
          <w:color w:val="auto"/>
          <w:w w:val="100"/>
          <w:sz w:val="24"/>
          <w:szCs w:val="24"/>
          <w:highlight w:val="none"/>
        </w:rPr>
        <w:t>期：</w:t>
      </w:r>
      <w:r>
        <w:rPr>
          <w:rFonts w:hint="eastAsia" w:ascii="宋体" w:hAnsi="宋体" w:eastAsia="宋体" w:cs="宋体"/>
          <w:color w:val="auto"/>
          <w:w w:val="100"/>
          <w:sz w:val="24"/>
          <w:szCs w:val="24"/>
          <w:highlight w:val="none"/>
          <w:lang w:val="en-US" w:eastAsia="zh-CN"/>
        </w:rPr>
        <w:t xml:space="preserve">   年  月  日</w:t>
      </w:r>
    </w:p>
    <w:p w14:paraId="49400977">
      <w:pPr>
        <w:bidi w:val="0"/>
        <w:rPr>
          <w:rFonts w:hint="eastAsia"/>
          <w:color w:val="auto"/>
          <w:highlight w:val="none"/>
          <w:lang w:eastAsia="zh-CN"/>
        </w:rPr>
        <w:sectPr>
          <w:footerReference r:id="rId14" w:type="first"/>
          <w:footerReference r:id="rId13" w:type="default"/>
          <w:pgSz w:w="11906" w:h="16838"/>
          <w:pgMar w:top="1701" w:right="1134" w:bottom="1701" w:left="1701" w:header="851" w:footer="992" w:gutter="0"/>
          <w:pgNumType w:fmt="decimal"/>
          <w:cols w:space="720" w:num="1"/>
          <w:docGrid w:type="lines" w:linePitch="312" w:charSpace="0"/>
        </w:sectPr>
      </w:pPr>
    </w:p>
    <w:p w14:paraId="520A9E5E">
      <w:pPr>
        <w:pStyle w:val="2"/>
        <w:bidi w:val="0"/>
        <w:jc w:val="center"/>
        <w:rPr>
          <w:color w:val="auto"/>
          <w:sz w:val="32"/>
          <w:szCs w:val="32"/>
          <w:highlight w:val="none"/>
          <w:lang w:val="zh-CN"/>
        </w:rPr>
      </w:pPr>
      <w:bookmarkStart w:id="154" w:name="_Toc27765"/>
      <w:bookmarkStart w:id="155" w:name="_Toc21443"/>
      <w:r>
        <w:rPr>
          <w:rFonts w:hint="eastAsia"/>
          <w:color w:val="auto"/>
          <w:sz w:val="32"/>
          <w:szCs w:val="32"/>
          <w:highlight w:val="none"/>
          <w:lang w:val="zh-CN"/>
        </w:rPr>
        <w:t>第</w:t>
      </w:r>
      <w:r>
        <w:rPr>
          <w:rFonts w:hint="eastAsia"/>
          <w:color w:val="auto"/>
          <w:sz w:val="32"/>
          <w:szCs w:val="32"/>
          <w:highlight w:val="none"/>
        </w:rPr>
        <w:t>七</w:t>
      </w:r>
      <w:r>
        <w:rPr>
          <w:rFonts w:hint="eastAsia"/>
          <w:color w:val="auto"/>
          <w:sz w:val="32"/>
          <w:szCs w:val="32"/>
          <w:highlight w:val="none"/>
          <w:lang w:val="zh-CN"/>
        </w:rPr>
        <w:t>章</w:t>
      </w:r>
      <w:r>
        <w:rPr>
          <w:rFonts w:hint="eastAsia"/>
          <w:color w:val="auto"/>
          <w:sz w:val="32"/>
          <w:szCs w:val="32"/>
          <w:highlight w:val="none"/>
          <w:lang w:val="en-US" w:eastAsia="zh-CN"/>
        </w:rPr>
        <w:t xml:space="preserve">  </w:t>
      </w:r>
      <w:r>
        <w:rPr>
          <w:rFonts w:hint="eastAsia"/>
          <w:color w:val="auto"/>
          <w:sz w:val="32"/>
          <w:szCs w:val="32"/>
          <w:highlight w:val="none"/>
          <w:lang w:val="zh-CN"/>
        </w:rPr>
        <w:t>投标文件基本格式</w:t>
      </w:r>
      <w:bookmarkEnd w:id="154"/>
      <w:bookmarkEnd w:id="155"/>
    </w:p>
    <w:p w14:paraId="4FA72C40">
      <w:pPr>
        <w:pStyle w:val="45"/>
        <w:snapToGrid w:val="0"/>
        <w:spacing w:line="360" w:lineRule="auto"/>
        <w:ind w:left="0" w:firstLine="0"/>
        <w:outlineLvl w:val="9"/>
        <w:rPr>
          <w:rFonts w:asciiTheme="majorEastAsia" w:hAnsiTheme="majorEastAsia" w:eastAsiaTheme="majorEastAsia" w:cstheme="majorEastAsia"/>
          <w:color w:val="auto"/>
          <w:sz w:val="24"/>
          <w:highlight w:val="none"/>
        </w:rPr>
      </w:pPr>
      <w:bookmarkStart w:id="156" w:name="_Toc86202633"/>
      <w:bookmarkStart w:id="157" w:name="_Toc174185202"/>
      <w:r>
        <w:rPr>
          <w:rFonts w:hint="eastAsia" w:asciiTheme="majorEastAsia" w:hAnsiTheme="majorEastAsia" w:eastAsiaTheme="majorEastAsia" w:cstheme="majorEastAsia"/>
          <w:color w:val="auto"/>
          <w:sz w:val="24"/>
          <w:highlight w:val="none"/>
        </w:rPr>
        <w:t>投标人提交文件须知</w:t>
      </w:r>
      <w:bookmarkEnd w:id="156"/>
      <w:bookmarkEnd w:id="157"/>
    </w:p>
    <w:p w14:paraId="17BF735A">
      <w:pPr>
        <w:numPr>
          <w:ilvl w:val="0"/>
          <w:numId w:val="2"/>
        </w:numPr>
        <w:tabs>
          <w:tab w:val="left" w:pos="0"/>
          <w:tab w:val="left" w:pos="806"/>
        </w:tabs>
        <w:snapToGrid w:val="0"/>
        <w:spacing w:line="360" w:lineRule="auto"/>
        <w:ind w:left="824" w:hanging="368"/>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投标人应严格按照招标文件填写和提交下述规定的全部格式文件以及其他有关资料，混乱的编排导致投标文件被误读或查找不到，后果由投标人承担。</w:t>
      </w:r>
    </w:p>
    <w:p w14:paraId="497EB01B">
      <w:pPr>
        <w:numPr>
          <w:ilvl w:val="0"/>
          <w:numId w:val="2"/>
        </w:numPr>
        <w:tabs>
          <w:tab w:val="left" w:pos="0"/>
          <w:tab w:val="left" w:pos="806"/>
        </w:tabs>
        <w:snapToGrid w:val="0"/>
        <w:spacing w:line="360" w:lineRule="auto"/>
        <w:ind w:left="824" w:hanging="368"/>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所附表格中要求回答的全部问题和信息都必须正面回答。</w:t>
      </w:r>
    </w:p>
    <w:p w14:paraId="1872BEC6">
      <w:pPr>
        <w:numPr>
          <w:ilvl w:val="0"/>
          <w:numId w:val="2"/>
        </w:numPr>
        <w:tabs>
          <w:tab w:val="left" w:pos="0"/>
          <w:tab w:val="left" w:pos="806"/>
        </w:tabs>
        <w:snapToGrid w:val="0"/>
        <w:spacing w:line="360" w:lineRule="auto"/>
        <w:ind w:left="824" w:hanging="368"/>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评标委员会将应用投标人提交的资料并根据自己的判断，决定投标人履行合同的合格性及能力。</w:t>
      </w:r>
    </w:p>
    <w:p w14:paraId="7EC8D23E">
      <w:pPr>
        <w:numPr>
          <w:ilvl w:val="0"/>
          <w:numId w:val="2"/>
        </w:numPr>
        <w:tabs>
          <w:tab w:val="left" w:pos="0"/>
          <w:tab w:val="left" w:pos="806"/>
        </w:tabs>
        <w:snapToGrid w:val="0"/>
        <w:spacing w:line="360" w:lineRule="auto"/>
        <w:ind w:left="824" w:hanging="368"/>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投标人提交的材料将被妥善保存，但不退还。</w:t>
      </w:r>
    </w:p>
    <w:p w14:paraId="4EC894E3">
      <w:pPr>
        <w:numPr>
          <w:ilvl w:val="0"/>
          <w:numId w:val="2"/>
        </w:numPr>
        <w:tabs>
          <w:tab w:val="left" w:pos="0"/>
          <w:tab w:val="left" w:pos="806"/>
        </w:tabs>
        <w:snapToGrid w:val="0"/>
        <w:spacing w:line="360" w:lineRule="auto"/>
        <w:ind w:left="824" w:hanging="368"/>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全部文件应按投标人须知中规定的语言和份数提交。</w:t>
      </w:r>
    </w:p>
    <w:p w14:paraId="096E6061">
      <w:pPr>
        <w:autoSpaceDE w:val="0"/>
        <w:autoSpaceDN w:val="0"/>
        <w:snapToGrid w:val="0"/>
        <w:spacing w:line="360" w:lineRule="auto"/>
        <w:jc w:val="right"/>
        <w:rPr>
          <w:rFonts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4"/>
          <w:highlight w:val="none"/>
        </w:rPr>
        <w:br w:type="page"/>
      </w:r>
    </w:p>
    <w:p w14:paraId="7D2988A7">
      <w:pP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项目编号：</w:t>
      </w:r>
    </w:p>
    <w:p w14:paraId="78CCAE15">
      <w:pPr>
        <w:pStyle w:val="43"/>
        <w:rPr>
          <w:rFonts w:asciiTheme="majorEastAsia" w:hAnsiTheme="majorEastAsia" w:eastAsiaTheme="majorEastAsia" w:cstheme="majorEastAsia"/>
          <w:color w:val="auto"/>
          <w:highlight w:val="none"/>
        </w:rPr>
      </w:pPr>
    </w:p>
    <w:p w14:paraId="01CA94FC">
      <w:pPr>
        <w:autoSpaceDE w:val="0"/>
        <w:autoSpaceDN w:val="0"/>
        <w:snapToGrid w:val="0"/>
        <w:spacing w:line="360" w:lineRule="auto"/>
        <w:jc w:val="center"/>
        <w:rPr>
          <w:rFonts w:asciiTheme="majorEastAsia" w:hAnsiTheme="majorEastAsia" w:eastAsiaTheme="majorEastAsia" w:cstheme="majorEastAsia"/>
          <w:b/>
          <w:color w:val="auto"/>
          <w:sz w:val="44"/>
          <w:szCs w:val="44"/>
          <w:highlight w:val="none"/>
        </w:rPr>
      </w:pPr>
      <w:r>
        <w:rPr>
          <w:rFonts w:hint="eastAsia" w:asciiTheme="majorEastAsia" w:hAnsiTheme="majorEastAsia" w:eastAsiaTheme="majorEastAsia" w:cstheme="majorEastAsia"/>
          <w:b/>
          <w:color w:val="auto"/>
          <w:sz w:val="44"/>
          <w:szCs w:val="44"/>
          <w:highlight w:val="none"/>
        </w:rPr>
        <w:t xml:space="preserve">                       正（副）本</w:t>
      </w:r>
    </w:p>
    <w:p w14:paraId="1D37AB2E">
      <w:pPr>
        <w:pStyle w:val="10"/>
        <w:rPr>
          <w:rFonts w:asciiTheme="majorEastAsia" w:hAnsiTheme="majorEastAsia" w:eastAsiaTheme="majorEastAsia" w:cstheme="majorEastAsia"/>
          <w:color w:val="auto"/>
          <w:highlight w:val="none"/>
        </w:rPr>
      </w:pPr>
    </w:p>
    <w:p w14:paraId="2DAF2537">
      <w:pPr>
        <w:pStyle w:val="10"/>
        <w:rPr>
          <w:rFonts w:asciiTheme="majorEastAsia" w:hAnsiTheme="majorEastAsia" w:eastAsiaTheme="majorEastAsia" w:cstheme="majorEastAsia"/>
          <w:color w:val="auto"/>
          <w:highlight w:val="none"/>
        </w:rPr>
      </w:pPr>
    </w:p>
    <w:p w14:paraId="1574B9CA">
      <w:pPr>
        <w:pStyle w:val="7"/>
        <w:ind w:firstLine="400"/>
        <w:rPr>
          <w:rFonts w:asciiTheme="majorEastAsia" w:hAnsiTheme="majorEastAsia" w:eastAsiaTheme="majorEastAsia" w:cstheme="majorEastAsia"/>
          <w:color w:val="auto"/>
          <w:highlight w:val="none"/>
        </w:rPr>
      </w:pPr>
    </w:p>
    <w:p w14:paraId="292901F2">
      <w:pPr>
        <w:spacing w:line="20" w:lineRule="atLeast"/>
        <w:jc w:val="both"/>
        <w:rPr>
          <w:rFonts w:hint="eastAsia" w:asciiTheme="majorEastAsia" w:hAnsiTheme="majorEastAsia" w:eastAsiaTheme="majorEastAsia" w:cstheme="majorEastAsia"/>
          <w:b/>
          <w:bCs/>
          <w:color w:val="auto"/>
          <w:sz w:val="36"/>
          <w:szCs w:val="36"/>
          <w:highlight w:val="none"/>
          <w:lang w:eastAsia="zh-CN"/>
        </w:rPr>
      </w:pPr>
      <w:r>
        <w:rPr>
          <w:rFonts w:hint="eastAsia" w:ascii="宋体" w:hAnsi="宋体" w:cs="宋体"/>
          <w:b/>
          <w:bCs/>
          <w:color w:val="auto"/>
          <w:spacing w:val="15"/>
          <w:sz w:val="48"/>
          <w:szCs w:val="48"/>
          <w:highlight w:val="none"/>
          <w:u w:val="single"/>
          <w:lang w:val="en-US" w:eastAsia="zh-CN"/>
        </w:rPr>
        <w:t xml:space="preserve">      （项目名称）             </w:t>
      </w:r>
    </w:p>
    <w:p w14:paraId="77566E0A">
      <w:pPr>
        <w:rPr>
          <w:rFonts w:asciiTheme="majorEastAsia" w:hAnsiTheme="majorEastAsia" w:eastAsiaTheme="majorEastAsia" w:cstheme="majorEastAsia"/>
          <w:color w:val="auto"/>
          <w:highlight w:val="none"/>
        </w:rPr>
      </w:pPr>
    </w:p>
    <w:p w14:paraId="2D9752B4">
      <w:pPr>
        <w:pStyle w:val="43"/>
        <w:ind w:firstLine="1440"/>
        <w:rPr>
          <w:rFonts w:asciiTheme="majorEastAsia" w:hAnsiTheme="majorEastAsia" w:eastAsiaTheme="majorEastAsia" w:cstheme="majorEastAsia"/>
          <w:color w:val="auto"/>
          <w:sz w:val="72"/>
          <w:szCs w:val="72"/>
          <w:highlight w:val="none"/>
        </w:rPr>
      </w:pPr>
    </w:p>
    <w:p w14:paraId="699BF0D8">
      <w:pPr>
        <w:pStyle w:val="43"/>
        <w:ind w:firstLine="1440"/>
        <w:rPr>
          <w:rFonts w:asciiTheme="majorEastAsia" w:hAnsiTheme="majorEastAsia" w:eastAsiaTheme="majorEastAsia" w:cstheme="majorEastAsia"/>
          <w:color w:val="auto"/>
          <w:sz w:val="72"/>
          <w:szCs w:val="72"/>
          <w:highlight w:val="none"/>
        </w:rPr>
      </w:pPr>
    </w:p>
    <w:p w14:paraId="0A31A24B">
      <w:pPr>
        <w:pStyle w:val="7"/>
        <w:ind w:firstLine="400"/>
        <w:rPr>
          <w:rFonts w:asciiTheme="majorEastAsia" w:hAnsiTheme="majorEastAsia" w:eastAsiaTheme="majorEastAsia" w:cstheme="majorEastAsia"/>
          <w:color w:val="auto"/>
          <w:highlight w:val="none"/>
        </w:rPr>
      </w:pPr>
    </w:p>
    <w:p w14:paraId="46116411">
      <w:pPr>
        <w:spacing w:line="20" w:lineRule="atLeast"/>
        <w:jc w:val="center"/>
        <w:rPr>
          <w:rFonts w:asciiTheme="majorEastAsia" w:hAnsiTheme="majorEastAsia" w:eastAsiaTheme="majorEastAsia" w:cstheme="majorEastAsia"/>
          <w:bCs/>
          <w:color w:val="auto"/>
          <w:sz w:val="72"/>
          <w:szCs w:val="72"/>
          <w:highlight w:val="none"/>
        </w:rPr>
      </w:pPr>
      <w:r>
        <w:rPr>
          <w:rFonts w:hint="eastAsia" w:asciiTheme="majorEastAsia" w:hAnsiTheme="majorEastAsia" w:eastAsiaTheme="majorEastAsia" w:cstheme="majorEastAsia"/>
          <w:color w:val="auto"/>
          <w:sz w:val="72"/>
          <w:szCs w:val="72"/>
          <w:highlight w:val="none"/>
        </w:rPr>
        <w:t>投 标 文 件</w:t>
      </w:r>
    </w:p>
    <w:p w14:paraId="726767C1">
      <w:pPr>
        <w:spacing w:line="20" w:lineRule="atLeast"/>
        <w:jc w:val="center"/>
        <w:rPr>
          <w:rFonts w:asciiTheme="majorEastAsia" w:hAnsiTheme="majorEastAsia" w:eastAsiaTheme="majorEastAsia" w:cstheme="majorEastAsia"/>
          <w:b/>
          <w:color w:val="auto"/>
          <w:sz w:val="36"/>
          <w:highlight w:val="none"/>
        </w:rPr>
      </w:pPr>
    </w:p>
    <w:p w14:paraId="3706BB9D">
      <w:pPr>
        <w:spacing w:line="20" w:lineRule="atLeast"/>
        <w:jc w:val="center"/>
        <w:rPr>
          <w:rFonts w:asciiTheme="majorEastAsia" w:hAnsiTheme="majorEastAsia" w:eastAsiaTheme="majorEastAsia" w:cstheme="majorEastAsia"/>
          <w:b/>
          <w:color w:val="auto"/>
          <w:sz w:val="36"/>
          <w:highlight w:val="none"/>
        </w:rPr>
      </w:pPr>
    </w:p>
    <w:p w14:paraId="4E562C78">
      <w:pPr>
        <w:spacing w:line="20" w:lineRule="atLeast"/>
        <w:rPr>
          <w:rFonts w:asciiTheme="majorEastAsia" w:hAnsiTheme="majorEastAsia" w:eastAsiaTheme="majorEastAsia" w:cstheme="majorEastAsia"/>
          <w:b/>
          <w:color w:val="auto"/>
          <w:sz w:val="36"/>
          <w:highlight w:val="none"/>
        </w:rPr>
      </w:pPr>
    </w:p>
    <w:p w14:paraId="0EA0AA80">
      <w:pPr>
        <w:adjustRightInd w:val="0"/>
        <w:snapToGrid w:val="0"/>
        <w:spacing w:line="1000" w:lineRule="exact"/>
        <w:ind w:firstLine="1576"/>
        <w:rPr>
          <w:rFonts w:asciiTheme="majorEastAsia" w:hAnsiTheme="majorEastAsia" w:eastAsiaTheme="majorEastAsia" w:cstheme="majorEastAsia"/>
          <w:color w:val="auto"/>
          <w:sz w:val="32"/>
          <w:szCs w:val="32"/>
          <w:highlight w:val="none"/>
          <w:u w:val="single"/>
        </w:rPr>
      </w:pPr>
      <w:r>
        <w:rPr>
          <w:rFonts w:hint="eastAsia" w:asciiTheme="majorEastAsia" w:hAnsiTheme="majorEastAsia" w:eastAsiaTheme="majorEastAsia" w:cstheme="majorEastAsia"/>
          <w:b/>
          <w:bCs/>
          <w:color w:val="auto"/>
          <w:sz w:val="32"/>
          <w:szCs w:val="32"/>
          <w:highlight w:val="none"/>
        </w:rPr>
        <w:t>投 标 人（盖章）</w:t>
      </w:r>
      <w:r>
        <w:rPr>
          <w:rFonts w:hint="eastAsia" w:asciiTheme="majorEastAsia" w:hAnsiTheme="majorEastAsia" w:eastAsiaTheme="majorEastAsia" w:cstheme="majorEastAsia"/>
          <w:b/>
          <w:color w:val="auto"/>
          <w:sz w:val="32"/>
          <w:szCs w:val="32"/>
          <w:highlight w:val="none"/>
        </w:rPr>
        <w:t>：</w:t>
      </w:r>
    </w:p>
    <w:p w14:paraId="0B13BEB9">
      <w:pPr>
        <w:adjustRightInd w:val="0"/>
        <w:snapToGrid w:val="0"/>
        <w:spacing w:line="1000" w:lineRule="exact"/>
        <w:ind w:firstLine="1576"/>
        <w:rPr>
          <w:rFonts w:asciiTheme="majorEastAsia" w:hAnsiTheme="majorEastAsia" w:eastAsiaTheme="majorEastAsia" w:cstheme="majorEastAsia"/>
          <w:color w:val="auto"/>
          <w:sz w:val="32"/>
          <w:szCs w:val="32"/>
          <w:highlight w:val="none"/>
          <w:u w:val="single"/>
        </w:rPr>
      </w:pPr>
      <w:r>
        <w:rPr>
          <w:rFonts w:hint="eastAsia" w:asciiTheme="majorEastAsia" w:hAnsiTheme="majorEastAsia" w:eastAsiaTheme="majorEastAsia" w:cstheme="majorEastAsia"/>
          <w:b/>
          <w:bCs/>
          <w:color w:val="auto"/>
          <w:sz w:val="32"/>
          <w:szCs w:val="32"/>
          <w:highlight w:val="none"/>
        </w:rPr>
        <w:t>法人或委托人（签字或盖章）：</w:t>
      </w:r>
    </w:p>
    <w:p w14:paraId="25E575B8">
      <w:pPr>
        <w:adjustRightInd w:val="0"/>
        <w:snapToGrid w:val="0"/>
        <w:spacing w:line="1000" w:lineRule="exact"/>
        <w:ind w:firstLine="1576"/>
        <w:rPr>
          <w:rFonts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b/>
          <w:color w:val="auto"/>
          <w:sz w:val="32"/>
          <w:szCs w:val="32"/>
          <w:highlight w:val="none"/>
        </w:rPr>
        <w:t>日    期</w:t>
      </w:r>
      <w:r>
        <w:rPr>
          <w:rFonts w:hint="eastAsia" w:asciiTheme="majorEastAsia" w:hAnsiTheme="majorEastAsia" w:eastAsiaTheme="majorEastAsia" w:cstheme="majorEastAsia"/>
          <w:color w:val="auto"/>
          <w:sz w:val="32"/>
          <w:szCs w:val="32"/>
          <w:highlight w:val="none"/>
        </w:rPr>
        <w:t>：</w:t>
      </w:r>
    </w:p>
    <w:p w14:paraId="5AD5F3A5">
      <w:pPr>
        <w:rPr>
          <w:rFonts w:asciiTheme="majorEastAsia" w:hAnsiTheme="majorEastAsia" w:eastAsiaTheme="majorEastAsia" w:cstheme="majorEastAsia"/>
          <w:b/>
          <w:color w:val="auto"/>
          <w:sz w:val="48"/>
          <w:szCs w:val="48"/>
          <w:highlight w:val="none"/>
        </w:rPr>
      </w:pPr>
    </w:p>
    <w:p w14:paraId="30C9035C">
      <w:pPr>
        <w:jc w:val="center"/>
        <w:rPr>
          <w:rFonts w:asciiTheme="majorEastAsia" w:hAnsiTheme="majorEastAsia" w:eastAsiaTheme="majorEastAsia" w:cstheme="majorEastAsia"/>
          <w:b/>
          <w:color w:val="auto"/>
          <w:sz w:val="48"/>
          <w:szCs w:val="48"/>
          <w:highlight w:val="none"/>
        </w:rPr>
      </w:pPr>
    </w:p>
    <w:p w14:paraId="76811A2E">
      <w:pPr>
        <w:rPr>
          <w:rFonts w:asciiTheme="majorEastAsia" w:hAnsiTheme="majorEastAsia" w:eastAsiaTheme="majorEastAsia" w:cstheme="majorEastAsia"/>
          <w:b/>
          <w:color w:val="auto"/>
          <w:sz w:val="48"/>
          <w:szCs w:val="48"/>
          <w:highlight w:val="none"/>
        </w:rPr>
      </w:pPr>
      <w:r>
        <w:rPr>
          <w:rFonts w:hint="eastAsia" w:asciiTheme="majorEastAsia" w:hAnsiTheme="majorEastAsia" w:eastAsiaTheme="majorEastAsia" w:cstheme="majorEastAsia"/>
          <w:b/>
          <w:color w:val="auto"/>
          <w:sz w:val="48"/>
          <w:szCs w:val="48"/>
          <w:highlight w:val="none"/>
        </w:rPr>
        <w:br w:type="page"/>
      </w:r>
    </w:p>
    <w:p w14:paraId="552365CF">
      <w:pPr>
        <w:jc w:val="center"/>
        <w:rPr>
          <w:rFonts w:asciiTheme="majorEastAsia" w:hAnsiTheme="majorEastAsia" w:eastAsiaTheme="majorEastAsia" w:cstheme="majorEastAsia"/>
          <w:b/>
          <w:color w:val="auto"/>
          <w:sz w:val="48"/>
          <w:szCs w:val="48"/>
          <w:highlight w:val="none"/>
        </w:rPr>
      </w:pPr>
      <w:r>
        <w:rPr>
          <w:rFonts w:hint="eastAsia" w:asciiTheme="majorEastAsia" w:hAnsiTheme="majorEastAsia" w:eastAsiaTheme="majorEastAsia" w:cstheme="majorEastAsia"/>
          <w:b/>
          <w:color w:val="auto"/>
          <w:sz w:val="48"/>
          <w:szCs w:val="48"/>
          <w:highlight w:val="none"/>
        </w:rPr>
        <w:t>目  录</w:t>
      </w:r>
    </w:p>
    <w:p w14:paraId="64174CBA">
      <w:pPr>
        <w:adjustRightInd w:val="0"/>
        <w:spacing w:line="480" w:lineRule="exact"/>
        <w:ind w:firstLine="1606" w:firstLineChars="500"/>
        <w:textAlignment w:val="baseline"/>
        <w:rPr>
          <w:rFonts w:asciiTheme="majorEastAsia" w:hAnsiTheme="majorEastAsia" w:eastAsiaTheme="majorEastAsia" w:cstheme="majorEastAsia"/>
          <w:b/>
          <w:color w:val="auto"/>
          <w:sz w:val="32"/>
          <w:szCs w:val="32"/>
          <w:highlight w:val="none"/>
        </w:rPr>
      </w:pPr>
    </w:p>
    <w:p w14:paraId="05CDB4A1">
      <w:pPr>
        <w:pStyle w:val="43"/>
        <w:ind w:firstLine="4080" w:firstLineChars="17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（自拟）</w:t>
      </w:r>
    </w:p>
    <w:p w14:paraId="488F80DB">
      <w:pPr>
        <w:pStyle w:val="17"/>
        <w:rPr>
          <w:rFonts w:asciiTheme="majorEastAsia" w:hAnsiTheme="majorEastAsia" w:eastAsiaTheme="majorEastAsia" w:cstheme="majorEastAsia"/>
          <w:b/>
          <w:bCs/>
          <w:color w:val="auto"/>
          <w:kern w:val="2"/>
          <w:sz w:val="24"/>
          <w:szCs w:val="24"/>
          <w:highlight w:val="none"/>
        </w:rPr>
      </w:pPr>
    </w:p>
    <w:p w14:paraId="49D8AC7B">
      <w:pPr>
        <w:autoSpaceDE w:val="0"/>
        <w:autoSpaceDN w:val="0"/>
        <w:adjustRightInd w:val="0"/>
        <w:snapToGrid w:val="0"/>
        <w:spacing w:beforeLines="100" w:afterLines="50" w:line="480" w:lineRule="exact"/>
        <w:textAlignment w:val="baseline"/>
        <w:rPr>
          <w:rFonts w:asciiTheme="majorEastAsia" w:hAnsiTheme="majorEastAsia" w:eastAsiaTheme="majorEastAsia" w:cstheme="majorEastAsia"/>
          <w:b/>
          <w:bCs/>
          <w:color w:val="auto"/>
          <w:sz w:val="32"/>
          <w:szCs w:val="32"/>
          <w:highlight w:val="none"/>
        </w:rPr>
      </w:pPr>
    </w:p>
    <w:p w14:paraId="58A06E55">
      <w:pPr>
        <w:autoSpaceDE w:val="0"/>
        <w:autoSpaceDN w:val="0"/>
        <w:snapToGrid w:val="0"/>
        <w:spacing w:beforeLines="100" w:afterLines="50" w:line="600" w:lineRule="exact"/>
        <w:rPr>
          <w:rFonts w:asciiTheme="majorEastAsia" w:hAnsiTheme="majorEastAsia" w:eastAsiaTheme="majorEastAsia" w:cstheme="majorEastAsia"/>
          <w:b/>
          <w:color w:val="auto"/>
          <w:sz w:val="32"/>
          <w:szCs w:val="32"/>
          <w:highlight w:val="none"/>
        </w:rPr>
      </w:pPr>
    </w:p>
    <w:p w14:paraId="146291BE">
      <w:pPr>
        <w:autoSpaceDE w:val="0"/>
        <w:autoSpaceDN w:val="0"/>
        <w:snapToGrid w:val="0"/>
        <w:spacing w:beforeLines="100" w:afterLines="50" w:line="600" w:lineRule="exact"/>
        <w:rPr>
          <w:rFonts w:asciiTheme="majorEastAsia" w:hAnsiTheme="majorEastAsia" w:eastAsiaTheme="majorEastAsia" w:cstheme="majorEastAsia"/>
          <w:b/>
          <w:color w:val="auto"/>
          <w:sz w:val="32"/>
          <w:szCs w:val="32"/>
          <w:highlight w:val="none"/>
        </w:rPr>
      </w:pPr>
    </w:p>
    <w:p w14:paraId="7E124971">
      <w:pPr>
        <w:autoSpaceDE w:val="0"/>
        <w:autoSpaceDN w:val="0"/>
        <w:snapToGrid w:val="0"/>
        <w:spacing w:beforeLines="100" w:afterLines="50" w:line="600" w:lineRule="exact"/>
        <w:rPr>
          <w:rFonts w:asciiTheme="majorEastAsia" w:hAnsiTheme="majorEastAsia" w:eastAsiaTheme="majorEastAsia" w:cstheme="majorEastAsia"/>
          <w:b/>
          <w:color w:val="auto"/>
          <w:sz w:val="32"/>
          <w:szCs w:val="32"/>
          <w:highlight w:val="none"/>
        </w:rPr>
      </w:pPr>
    </w:p>
    <w:p w14:paraId="6FB3B3E3">
      <w:pPr>
        <w:autoSpaceDE w:val="0"/>
        <w:autoSpaceDN w:val="0"/>
        <w:snapToGrid w:val="0"/>
        <w:spacing w:beforeLines="100" w:afterLines="50" w:line="600" w:lineRule="exact"/>
        <w:rPr>
          <w:rFonts w:asciiTheme="majorEastAsia" w:hAnsiTheme="majorEastAsia" w:eastAsiaTheme="majorEastAsia" w:cstheme="majorEastAsia"/>
          <w:b/>
          <w:color w:val="auto"/>
          <w:sz w:val="32"/>
          <w:szCs w:val="32"/>
          <w:highlight w:val="none"/>
        </w:rPr>
      </w:pPr>
    </w:p>
    <w:p w14:paraId="4FB2D9D0">
      <w:pPr>
        <w:autoSpaceDE w:val="0"/>
        <w:autoSpaceDN w:val="0"/>
        <w:snapToGrid w:val="0"/>
        <w:spacing w:beforeLines="100" w:afterLines="50" w:line="600" w:lineRule="exact"/>
        <w:jc w:val="center"/>
        <w:rPr>
          <w:rFonts w:asciiTheme="majorEastAsia" w:hAnsiTheme="majorEastAsia" w:eastAsiaTheme="majorEastAsia" w:cstheme="majorEastAsia"/>
          <w:b/>
          <w:color w:val="auto"/>
          <w:sz w:val="32"/>
          <w:szCs w:val="32"/>
          <w:highlight w:val="none"/>
        </w:rPr>
      </w:pPr>
    </w:p>
    <w:p w14:paraId="5822ECEB">
      <w:pPr>
        <w:autoSpaceDE w:val="0"/>
        <w:autoSpaceDN w:val="0"/>
        <w:snapToGrid w:val="0"/>
        <w:spacing w:beforeLines="100" w:afterLines="50" w:line="600" w:lineRule="exact"/>
        <w:jc w:val="center"/>
        <w:rPr>
          <w:rFonts w:asciiTheme="majorEastAsia" w:hAnsiTheme="majorEastAsia" w:eastAsiaTheme="majorEastAsia" w:cstheme="majorEastAsia"/>
          <w:b/>
          <w:color w:val="auto"/>
          <w:sz w:val="32"/>
          <w:szCs w:val="32"/>
          <w:highlight w:val="none"/>
        </w:rPr>
      </w:pPr>
    </w:p>
    <w:p w14:paraId="6D2729E7">
      <w:pPr>
        <w:autoSpaceDE w:val="0"/>
        <w:autoSpaceDN w:val="0"/>
        <w:snapToGrid w:val="0"/>
        <w:spacing w:beforeLines="100" w:afterLines="50" w:line="600" w:lineRule="exact"/>
        <w:jc w:val="center"/>
        <w:rPr>
          <w:rFonts w:asciiTheme="majorEastAsia" w:hAnsiTheme="majorEastAsia" w:eastAsiaTheme="majorEastAsia" w:cstheme="majorEastAsia"/>
          <w:b/>
          <w:color w:val="auto"/>
          <w:sz w:val="32"/>
          <w:szCs w:val="32"/>
          <w:highlight w:val="none"/>
        </w:rPr>
        <w:sectPr>
          <w:footerReference r:id="rId15" w:type="default"/>
          <w:pgSz w:w="11900" w:h="16838"/>
          <w:pgMar w:top="1429" w:right="1417" w:bottom="1417" w:left="1417" w:header="850" w:footer="850" w:gutter="0"/>
          <w:pgNumType w:fmt="decimal"/>
          <w:cols w:space="0" w:num="1"/>
          <w:rtlGutter w:val="0"/>
          <w:docGrid w:linePitch="312" w:charSpace="0"/>
        </w:sectPr>
      </w:pPr>
    </w:p>
    <w:p w14:paraId="1BA3142C">
      <w:pPr>
        <w:autoSpaceDE w:val="0"/>
        <w:autoSpaceDN w:val="0"/>
        <w:snapToGrid w:val="0"/>
        <w:spacing w:beforeLines="100" w:afterLines="50" w:line="600" w:lineRule="exac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一、投标函</w:t>
      </w:r>
    </w:p>
    <w:p w14:paraId="5F4C5277">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eastAsia="zh-CN"/>
        </w:rPr>
        <w:t>陕安项目管理有限公司</w:t>
      </w:r>
      <w:r>
        <w:rPr>
          <w:rFonts w:hint="eastAsia" w:asciiTheme="majorEastAsia" w:hAnsiTheme="majorEastAsia" w:eastAsiaTheme="majorEastAsia" w:cstheme="majorEastAsia"/>
          <w:color w:val="auto"/>
          <w:sz w:val="24"/>
          <w:highlight w:val="none"/>
        </w:rPr>
        <w:t>：</w:t>
      </w:r>
    </w:p>
    <w:p w14:paraId="3B4471EB">
      <w:pPr>
        <w:spacing w:line="360" w:lineRule="auto"/>
        <w:ind w:firstLine="496" w:firstLineChars="20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我们收到编号</w:t>
      </w:r>
      <w:r>
        <w:rPr>
          <w:rFonts w:hint="eastAsia" w:asciiTheme="majorEastAsia" w:hAnsiTheme="majorEastAsia" w:eastAsiaTheme="majorEastAsia" w:cstheme="majorEastAsia"/>
          <w:color w:val="auto"/>
          <w:spacing w:val="4"/>
          <w:sz w:val="24"/>
          <w:highlight w:val="none"/>
          <w:lang w:val="en-US" w:eastAsia="zh-CN"/>
        </w:rPr>
        <w:t>为</w:t>
      </w:r>
      <w:r>
        <w:rPr>
          <w:rFonts w:hint="eastAsia" w:asciiTheme="majorEastAsia" w:hAnsiTheme="majorEastAsia" w:eastAsiaTheme="majorEastAsia" w:cstheme="majorEastAsia"/>
          <w:color w:val="auto"/>
          <w:spacing w:val="4"/>
          <w:sz w:val="24"/>
          <w:highlight w:val="none"/>
          <w:u w:val="single"/>
          <w:lang w:val="en-US" w:eastAsia="zh-CN"/>
        </w:rPr>
        <w:t xml:space="preserve">          （项目编号） </w:t>
      </w:r>
      <w:r>
        <w:rPr>
          <w:rFonts w:hint="eastAsia" w:asciiTheme="majorEastAsia" w:hAnsiTheme="majorEastAsia" w:eastAsiaTheme="majorEastAsia" w:cstheme="majorEastAsia"/>
          <w:color w:val="auto"/>
          <w:spacing w:val="4"/>
          <w:sz w:val="24"/>
          <w:highlight w:val="none"/>
        </w:rPr>
        <w:t>的招标文件，</w:t>
      </w:r>
      <w:r>
        <w:rPr>
          <w:rFonts w:hint="eastAsia" w:asciiTheme="majorEastAsia" w:hAnsiTheme="majorEastAsia" w:eastAsiaTheme="majorEastAsia" w:cstheme="majorEastAsia"/>
          <w:color w:val="auto"/>
          <w:sz w:val="24"/>
          <w:highlight w:val="none"/>
        </w:rPr>
        <w:t>经过对施工现场的踏勘及澄清疑问，已充分理解并掌握了本项目招标的全部有关情况，我们同意接受招标文件的全部内容和条件，并按此确定本项目投标的要约内容，以本投标文件向你方发包</w:t>
      </w:r>
      <w:r>
        <w:rPr>
          <w:rFonts w:hint="eastAsia" w:asciiTheme="majorEastAsia" w:hAnsiTheme="majorEastAsia" w:eastAsiaTheme="majorEastAsia" w:cstheme="majorEastAsia"/>
          <w:color w:val="auto"/>
          <w:spacing w:val="4"/>
          <w:sz w:val="24"/>
          <w:highlight w:val="none"/>
        </w:rPr>
        <w:t>的</w:t>
      </w:r>
      <w:r>
        <w:rPr>
          <w:rFonts w:hint="eastAsia" w:asciiTheme="majorEastAsia" w:hAnsiTheme="majorEastAsia" w:eastAsiaTheme="majorEastAsia" w:cstheme="majorEastAsia"/>
          <w:color w:val="auto"/>
          <w:spacing w:val="4"/>
          <w:sz w:val="24"/>
          <w:highlight w:val="none"/>
          <w:u w:val="single"/>
          <w:lang w:val="en-US" w:eastAsia="zh-CN"/>
        </w:rPr>
        <w:t xml:space="preserve">         （项目名称）</w:t>
      </w:r>
      <w:r>
        <w:rPr>
          <w:rFonts w:hint="eastAsia" w:asciiTheme="majorEastAsia" w:hAnsiTheme="majorEastAsia" w:eastAsiaTheme="majorEastAsia" w:cstheme="majorEastAsia"/>
          <w:color w:val="auto"/>
          <w:spacing w:val="4"/>
          <w:sz w:val="24"/>
          <w:highlight w:val="none"/>
        </w:rPr>
        <w:t>公开招标的全</w:t>
      </w:r>
      <w:r>
        <w:rPr>
          <w:rFonts w:hint="eastAsia" w:asciiTheme="majorEastAsia" w:hAnsiTheme="majorEastAsia" w:eastAsiaTheme="majorEastAsia" w:cstheme="majorEastAsia"/>
          <w:color w:val="auto"/>
          <w:sz w:val="24"/>
          <w:highlight w:val="none"/>
        </w:rPr>
        <w:t>部内容进行投标。</w:t>
      </w:r>
    </w:p>
    <w:p w14:paraId="0169AD5C">
      <w:pPr>
        <w:spacing w:line="360" w:lineRule="auto"/>
        <w:ind w:firstLine="496" w:firstLineChars="20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1、本文件的所有内容，组成了我们的投标文件，并且该文件内的所有内容都是真实的。</w:t>
      </w:r>
    </w:p>
    <w:p w14:paraId="17CFECA0">
      <w:pPr>
        <w:spacing w:line="360" w:lineRule="auto"/>
        <w:ind w:firstLine="496" w:firstLineChars="20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2、我们与招标人不存在可能影响招标公正性的利害关系。我们单位负责人与其它投标人不是同一人，也不存在控股</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pacing w:val="4"/>
          <w:sz w:val="24"/>
          <w:highlight w:val="none"/>
        </w:rPr>
        <w:t>管理关系。</w:t>
      </w:r>
    </w:p>
    <w:p w14:paraId="18B508A8">
      <w:pPr>
        <w:spacing w:line="360" w:lineRule="auto"/>
        <w:ind w:firstLine="496" w:firstLineChars="20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3、我们完全同意招标文件规定的招标程序及评标方法，我们完全接受并认同招标文件（包括合同条款）的全部内容，愿意遵守招标文件中的各项规定。</w:t>
      </w:r>
    </w:p>
    <w:p w14:paraId="71024069">
      <w:pPr>
        <w:spacing w:line="360" w:lineRule="auto"/>
        <w:ind w:firstLine="496" w:firstLineChars="20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4、我方将严格按照有关政府采购法规及招标文件的规定参加投标。如我方中标，我方保证在接到你方发出的中标通知书起</w:t>
      </w:r>
      <w:r>
        <w:rPr>
          <w:rFonts w:hint="eastAsia" w:asciiTheme="majorEastAsia" w:hAnsiTheme="majorEastAsia" w:eastAsiaTheme="majorEastAsia" w:cstheme="majorEastAsia"/>
          <w:color w:val="auto"/>
          <w:spacing w:val="4"/>
          <w:sz w:val="24"/>
          <w:highlight w:val="none"/>
          <w:u w:val="single"/>
          <w:lang w:val="en-US" w:eastAsia="zh-CN"/>
        </w:rPr>
        <w:t>25</w:t>
      </w:r>
      <w:r>
        <w:rPr>
          <w:rFonts w:hint="eastAsia" w:asciiTheme="majorEastAsia" w:hAnsiTheme="majorEastAsia" w:eastAsiaTheme="majorEastAsia" w:cstheme="majorEastAsia"/>
          <w:color w:val="auto"/>
          <w:spacing w:val="4"/>
          <w:sz w:val="24"/>
          <w:highlight w:val="none"/>
        </w:rPr>
        <w:t>日内，按中标通知书、招标文件和本投标书的约定与招标人签订合同。</w:t>
      </w:r>
    </w:p>
    <w:p w14:paraId="4C011B7F">
      <w:pPr>
        <w:spacing w:line="360" w:lineRule="auto"/>
        <w:ind w:firstLine="496" w:firstLineChars="20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5、 经认真考虑和详细计算，我们在此报出最优惠的价格参与竞争(详见《投标报价表》)。</w:t>
      </w:r>
    </w:p>
    <w:p w14:paraId="0D01935D">
      <w:pPr>
        <w:spacing w:line="360" w:lineRule="auto"/>
        <w:ind w:firstLine="496" w:firstLineChars="20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6、对于招标人要求进一步提供的其它资料，我们愿意尽快提供或答复。</w:t>
      </w:r>
    </w:p>
    <w:p w14:paraId="5092D8D9">
      <w:pPr>
        <w:spacing w:line="360" w:lineRule="auto"/>
        <w:ind w:firstLine="496" w:firstLineChars="200"/>
        <w:rPr>
          <w:rFonts w:asciiTheme="majorEastAsia" w:hAnsiTheme="majorEastAsia" w:eastAsiaTheme="majorEastAsia" w:cstheme="majorEastAsia"/>
          <w:color w:val="auto"/>
          <w:spacing w:val="4"/>
          <w:sz w:val="24"/>
          <w:highlight w:val="none"/>
          <w:u w:val="single"/>
        </w:rPr>
      </w:pPr>
      <w:r>
        <w:rPr>
          <w:rFonts w:hint="eastAsia" w:asciiTheme="majorEastAsia" w:hAnsiTheme="majorEastAsia" w:eastAsiaTheme="majorEastAsia" w:cstheme="majorEastAsia"/>
          <w:color w:val="auto"/>
          <w:spacing w:val="4"/>
          <w:sz w:val="24"/>
          <w:highlight w:val="none"/>
        </w:rPr>
        <w:t>7、投标有效期为：</w:t>
      </w:r>
      <w:r>
        <w:rPr>
          <w:rFonts w:hint="eastAsia" w:asciiTheme="majorEastAsia" w:hAnsiTheme="majorEastAsia" w:eastAsiaTheme="majorEastAsia" w:cstheme="majorEastAsia"/>
          <w:color w:val="auto"/>
          <w:spacing w:val="4"/>
          <w:sz w:val="24"/>
          <w:highlight w:val="none"/>
          <w:u w:val="single"/>
          <w:lang w:val="en-US" w:eastAsia="zh-CN"/>
        </w:rPr>
        <w:t xml:space="preserve">              </w:t>
      </w:r>
      <w:r>
        <w:rPr>
          <w:rFonts w:hint="eastAsia" w:asciiTheme="majorEastAsia" w:hAnsiTheme="majorEastAsia" w:eastAsiaTheme="majorEastAsia" w:cstheme="majorEastAsia"/>
          <w:color w:val="auto"/>
          <w:spacing w:val="4"/>
          <w:sz w:val="24"/>
          <w:highlight w:val="none"/>
        </w:rPr>
        <w:t>天。</w:t>
      </w:r>
    </w:p>
    <w:p w14:paraId="6CCA6504">
      <w:pPr>
        <w:spacing w:line="360" w:lineRule="auto"/>
        <w:ind w:firstLine="496" w:firstLineChars="20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8、所有关于本次投标的函电联系，请寄到下列地址：</w:t>
      </w:r>
    </w:p>
    <w:p w14:paraId="226EE257">
      <w:pPr>
        <w:pStyle w:val="17"/>
        <w:rPr>
          <w:rFonts w:asciiTheme="majorEastAsia" w:hAnsiTheme="majorEastAsia" w:eastAsiaTheme="majorEastAsia" w:cstheme="majorEastAsia"/>
          <w:color w:val="auto"/>
          <w:highlight w:val="none"/>
        </w:rPr>
      </w:pPr>
    </w:p>
    <w:p w14:paraId="3FE8CDCE">
      <w:pPr>
        <w:spacing w:line="400" w:lineRule="exact"/>
        <w:ind w:firstLine="620" w:firstLineChars="250"/>
        <w:rPr>
          <w:rFonts w:asciiTheme="majorEastAsia" w:hAnsiTheme="majorEastAsia" w:eastAsiaTheme="majorEastAsia" w:cstheme="majorEastAsia"/>
          <w:color w:val="auto"/>
          <w:spacing w:val="4"/>
          <w:sz w:val="24"/>
          <w:highlight w:val="none"/>
          <w:u w:val="single"/>
        </w:rPr>
      </w:pPr>
      <w:r>
        <w:rPr>
          <w:rFonts w:hint="eastAsia" w:asciiTheme="majorEastAsia" w:hAnsiTheme="majorEastAsia" w:eastAsiaTheme="majorEastAsia" w:cstheme="majorEastAsia"/>
          <w:color w:val="auto"/>
          <w:spacing w:val="4"/>
          <w:sz w:val="24"/>
          <w:highlight w:val="none"/>
        </w:rPr>
        <w:t>投 标 人 （公章）：</w:t>
      </w:r>
      <w:r>
        <w:rPr>
          <w:rFonts w:hint="eastAsia" w:asciiTheme="majorEastAsia" w:hAnsiTheme="majorEastAsia" w:eastAsiaTheme="majorEastAsia" w:cstheme="majorEastAsia"/>
          <w:color w:val="auto"/>
          <w:spacing w:val="4"/>
          <w:sz w:val="24"/>
          <w:highlight w:val="none"/>
          <w:u w:val="single"/>
          <w:lang w:val="en-US" w:eastAsia="zh-CN"/>
        </w:rPr>
        <w:t xml:space="preserve">                             </w:t>
      </w:r>
    </w:p>
    <w:p w14:paraId="06C5DE8D">
      <w:pPr>
        <w:spacing w:line="400" w:lineRule="exact"/>
        <w:ind w:firstLine="620" w:firstLineChars="25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地   址 / 邮   编：</w:t>
      </w:r>
      <w:r>
        <w:rPr>
          <w:rFonts w:hint="eastAsia" w:asciiTheme="majorEastAsia" w:hAnsiTheme="majorEastAsia" w:eastAsiaTheme="majorEastAsia" w:cstheme="majorEastAsia"/>
          <w:color w:val="auto"/>
          <w:spacing w:val="4"/>
          <w:sz w:val="24"/>
          <w:highlight w:val="none"/>
          <w:u w:val="single"/>
          <w:lang w:val="en-US" w:eastAsia="zh-CN"/>
        </w:rPr>
        <w:t xml:space="preserve">                             </w:t>
      </w:r>
    </w:p>
    <w:p w14:paraId="77EBB6E0">
      <w:pPr>
        <w:spacing w:line="400" w:lineRule="exact"/>
        <w:ind w:firstLine="620" w:firstLineChars="25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电             话：</w:t>
      </w:r>
      <w:r>
        <w:rPr>
          <w:rFonts w:hint="eastAsia" w:asciiTheme="majorEastAsia" w:hAnsiTheme="majorEastAsia" w:eastAsiaTheme="majorEastAsia" w:cstheme="majorEastAsia"/>
          <w:color w:val="auto"/>
          <w:spacing w:val="4"/>
          <w:sz w:val="24"/>
          <w:highlight w:val="none"/>
          <w:u w:val="single"/>
          <w:lang w:val="en-US" w:eastAsia="zh-CN"/>
        </w:rPr>
        <w:t xml:space="preserve">                             </w:t>
      </w:r>
    </w:p>
    <w:p w14:paraId="048CAAE7">
      <w:pPr>
        <w:spacing w:line="400" w:lineRule="exact"/>
        <w:ind w:firstLine="620" w:firstLineChars="25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传             真：</w:t>
      </w:r>
      <w:r>
        <w:rPr>
          <w:rFonts w:hint="eastAsia" w:asciiTheme="majorEastAsia" w:hAnsiTheme="majorEastAsia" w:eastAsiaTheme="majorEastAsia" w:cstheme="majorEastAsia"/>
          <w:color w:val="auto"/>
          <w:spacing w:val="4"/>
          <w:sz w:val="24"/>
          <w:highlight w:val="none"/>
          <w:u w:val="single"/>
          <w:lang w:val="en-US" w:eastAsia="zh-CN"/>
        </w:rPr>
        <w:t xml:space="preserve">                             </w:t>
      </w:r>
    </w:p>
    <w:p w14:paraId="452BAFA9">
      <w:pPr>
        <w:spacing w:line="400" w:lineRule="exact"/>
        <w:ind w:firstLine="620" w:firstLineChars="25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开   户   银   行：</w:t>
      </w:r>
      <w:r>
        <w:rPr>
          <w:rFonts w:hint="eastAsia" w:asciiTheme="majorEastAsia" w:hAnsiTheme="majorEastAsia" w:eastAsiaTheme="majorEastAsia" w:cstheme="majorEastAsia"/>
          <w:color w:val="auto"/>
          <w:spacing w:val="4"/>
          <w:sz w:val="24"/>
          <w:highlight w:val="none"/>
          <w:u w:val="single"/>
          <w:lang w:val="en-US" w:eastAsia="zh-CN"/>
        </w:rPr>
        <w:t xml:space="preserve">                             </w:t>
      </w:r>
    </w:p>
    <w:p w14:paraId="5CF9C2F0">
      <w:pPr>
        <w:spacing w:line="400" w:lineRule="exact"/>
        <w:ind w:firstLine="620" w:firstLineChars="25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帐             号：</w:t>
      </w:r>
      <w:r>
        <w:rPr>
          <w:rFonts w:hint="eastAsia" w:asciiTheme="majorEastAsia" w:hAnsiTheme="majorEastAsia" w:eastAsiaTheme="majorEastAsia" w:cstheme="majorEastAsia"/>
          <w:color w:val="auto"/>
          <w:spacing w:val="4"/>
          <w:sz w:val="24"/>
          <w:highlight w:val="none"/>
          <w:u w:val="single"/>
          <w:lang w:val="en-US" w:eastAsia="zh-CN"/>
        </w:rPr>
        <w:t xml:space="preserve">                             </w:t>
      </w:r>
    </w:p>
    <w:p w14:paraId="08B51474">
      <w:pPr>
        <w:spacing w:line="400" w:lineRule="exact"/>
        <w:ind w:firstLine="620" w:firstLineChars="25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法定代表人或委托代理人（签名或盖章）：</w:t>
      </w:r>
      <w:r>
        <w:rPr>
          <w:rFonts w:hint="eastAsia" w:asciiTheme="majorEastAsia" w:hAnsiTheme="majorEastAsia" w:eastAsiaTheme="majorEastAsia" w:cstheme="majorEastAsia"/>
          <w:color w:val="auto"/>
          <w:spacing w:val="4"/>
          <w:sz w:val="24"/>
          <w:highlight w:val="none"/>
          <w:u w:val="single"/>
          <w:lang w:val="en-US" w:eastAsia="zh-CN"/>
        </w:rPr>
        <w:t xml:space="preserve">           </w:t>
      </w:r>
    </w:p>
    <w:p w14:paraId="12284BCD">
      <w:pPr>
        <w:spacing w:line="400" w:lineRule="exact"/>
        <w:ind w:firstLine="620" w:firstLineChars="250"/>
        <w:rPr>
          <w:rFonts w:asciiTheme="majorEastAsia" w:hAnsiTheme="majorEastAsia" w:eastAsiaTheme="majorEastAsia" w:cstheme="majorEastAsia"/>
          <w:color w:val="auto"/>
          <w:spacing w:val="4"/>
          <w:sz w:val="24"/>
          <w:highlight w:val="none"/>
        </w:rPr>
      </w:pPr>
      <w:r>
        <w:rPr>
          <w:rFonts w:hint="eastAsia" w:asciiTheme="majorEastAsia" w:hAnsiTheme="majorEastAsia" w:eastAsiaTheme="majorEastAsia" w:cstheme="majorEastAsia"/>
          <w:color w:val="auto"/>
          <w:spacing w:val="4"/>
          <w:sz w:val="24"/>
          <w:highlight w:val="none"/>
        </w:rPr>
        <w:t>日            期：</w:t>
      </w:r>
      <w:r>
        <w:rPr>
          <w:rFonts w:hint="eastAsia" w:asciiTheme="majorEastAsia" w:hAnsiTheme="majorEastAsia" w:eastAsiaTheme="majorEastAsia" w:cstheme="majorEastAsia"/>
          <w:color w:val="auto"/>
          <w:spacing w:val="4"/>
          <w:sz w:val="24"/>
          <w:highlight w:val="none"/>
          <w:u w:val="single"/>
          <w:lang w:val="en-US" w:eastAsia="zh-CN"/>
        </w:rPr>
        <w:t xml:space="preserve">                              </w:t>
      </w:r>
    </w:p>
    <w:p w14:paraId="432EAB1A">
      <w:pPr>
        <w:wordWrap w:val="0"/>
        <w:autoSpaceDE w:val="0"/>
        <w:autoSpaceDN w:val="0"/>
        <w:spacing w:line="400" w:lineRule="exact"/>
        <w:ind w:right="480" w:firstLine="480" w:firstLineChars="200"/>
        <w:jc w:val="right"/>
        <w:rPr>
          <w:rFonts w:asciiTheme="majorEastAsia" w:hAnsiTheme="majorEastAsia" w:eastAsiaTheme="majorEastAsia" w:cstheme="majorEastAsia"/>
          <w:color w:val="auto"/>
          <w:sz w:val="24"/>
          <w:highlight w:val="none"/>
        </w:rPr>
        <w:sectPr>
          <w:pgSz w:w="11900" w:h="16838"/>
          <w:pgMar w:top="1429" w:right="1417" w:bottom="1417" w:left="1417" w:header="850" w:footer="850" w:gutter="0"/>
          <w:pgNumType w:fmt="decimal"/>
          <w:cols w:space="0" w:num="1"/>
          <w:rtlGutter w:val="0"/>
          <w:docGrid w:linePitch="312" w:charSpace="0"/>
        </w:sectPr>
      </w:pPr>
    </w:p>
    <w:p w14:paraId="48B53D2E">
      <w:pPr>
        <w:autoSpaceDE w:val="0"/>
        <w:autoSpaceDN w:val="0"/>
        <w:snapToGrid w:val="0"/>
        <w:spacing w:line="360" w:lineRule="auto"/>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二、开标一览表</w:t>
      </w:r>
    </w:p>
    <w:p w14:paraId="4A904CF8">
      <w:pPr>
        <w:spacing w:line="360" w:lineRule="auto"/>
        <w:ind w:firstLine="281" w:firstLineChars="100"/>
        <w:rPr>
          <w:rFonts w:asciiTheme="majorEastAsia" w:hAnsiTheme="majorEastAsia" w:eastAsiaTheme="majorEastAsia" w:cstheme="majorEastAsia"/>
          <w:color w:val="auto"/>
          <w:sz w:val="24"/>
          <w:highlight w:val="none"/>
        </w:rPr>
      </w:pPr>
      <w:r>
        <w:rPr>
          <w:rFonts w:hint="eastAsia" w:ascii="宋体" w:hAnsi="宋体" w:eastAsia="宋体" w:cs="宋体"/>
          <w:b/>
          <w:bCs/>
          <w:color w:val="auto"/>
          <w:sz w:val="28"/>
          <w:szCs w:val="28"/>
          <w:highlight w:val="none"/>
        </w:rPr>
        <w:t>项目名称：</w:t>
      </w:r>
    </w:p>
    <w:p w14:paraId="34D5EFD6">
      <w:pPr>
        <w:spacing w:line="360" w:lineRule="auto"/>
        <w:ind w:firstLine="281" w:firstLineChars="100"/>
        <w:rPr>
          <w:rFonts w:asciiTheme="majorEastAsia" w:hAnsiTheme="majorEastAsia" w:eastAsiaTheme="majorEastAsia" w:cstheme="majorEastAsia"/>
          <w:color w:val="auto"/>
          <w:sz w:val="24"/>
          <w:highlight w:val="none"/>
        </w:rPr>
      </w:pPr>
      <w:r>
        <w:rPr>
          <w:rFonts w:hint="eastAsia" w:ascii="宋体" w:hAnsi="宋体" w:cs="宋体"/>
          <w:b/>
          <w:bCs/>
          <w:color w:val="auto"/>
          <w:sz w:val="28"/>
          <w:szCs w:val="28"/>
          <w:highlight w:val="none"/>
        </w:rPr>
        <w:t>项目编号：</w:t>
      </w:r>
    </w:p>
    <w:p w14:paraId="58B67119">
      <w:pPr>
        <w:ind w:firstLine="240" w:firstLineChars="100"/>
        <w:rPr>
          <w:rFonts w:asciiTheme="majorEastAsia" w:hAnsiTheme="majorEastAsia" w:eastAsiaTheme="majorEastAsia" w:cstheme="majorEastAsia"/>
          <w:color w:val="auto"/>
          <w:sz w:val="24"/>
          <w:highlight w:val="none"/>
        </w:rPr>
      </w:pPr>
    </w:p>
    <w:tbl>
      <w:tblPr>
        <w:tblStyle w:val="25"/>
        <w:tblpPr w:leftFromText="180" w:rightFromText="180" w:vertAnchor="text" w:horzAnchor="page" w:tblpX="1617" w:tblpY="185"/>
        <w:tblOverlap w:val="never"/>
        <w:tblW w:w="0" w:type="auto"/>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69"/>
        <w:gridCol w:w="7030"/>
      </w:tblGrid>
      <w:tr w14:paraId="4EDC747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400" w:hRule="atLeast"/>
        </w:trPr>
        <w:tc>
          <w:tcPr>
            <w:tcW w:w="1969" w:type="dxa"/>
            <w:shd w:val="clear" w:color="auto" w:fill="auto"/>
            <w:noWrap/>
            <w:vAlign w:val="center"/>
          </w:tcPr>
          <w:p w14:paraId="428FB76B">
            <w:pPr>
              <w:spacing w:line="360" w:lineRule="auto"/>
              <w:jc w:val="center"/>
              <w:rPr>
                <w:rFonts w:hint="eastAsia" w:ascii="宋体" w:hAnsi="宋体" w:eastAsia="宋体" w:cs="宋体"/>
                <w:b/>
                <w:bCs/>
                <w:color w:val="auto"/>
                <w:kern w:val="2"/>
                <w:sz w:val="24"/>
                <w:szCs w:val="24"/>
                <w:highlight w:val="none"/>
                <w:lang w:val="en-US" w:eastAsia="zh-CN" w:bidi="ar-SA"/>
              </w:rPr>
            </w:pPr>
            <w:bookmarkStart w:id="158" w:name="_Toc2598"/>
            <w:r>
              <w:rPr>
                <w:rFonts w:hint="eastAsia" w:ascii="宋体" w:hAnsi="宋体" w:cs="宋体"/>
                <w:b/>
                <w:bCs/>
                <w:color w:val="auto"/>
                <w:sz w:val="24"/>
                <w:highlight w:val="none"/>
              </w:rPr>
              <w:t>标题</w:t>
            </w:r>
          </w:p>
        </w:tc>
        <w:tc>
          <w:tcPr>
            <w:tcW w:w="7030" w:type="dxa"/>
            <w:shd w:val="clear" w:color="auto" w:fill="auto"/>
            <w:noWrap/>
            <w:vAlign w:val="center"/>
          </w:tcPr>
          <w:p w14:paraId="612D0816">
            <w:pPr>
              <w:pStyle w:val="2"/>
              <w:spacing w:line="360" w:lineRule="auto"/>
              <w:jc w:val="center"/>
              <w:rPr>
                <w:rFonts w:hint="eastAsia" w:ascii="Calibri" w:hAnsi="Calibri" w:eastAsia="宋体" w:cs="宋体"/>
                <w:b w:val="0"/>
                <w:bCs w:val="0"/>
                <w:color w:val="auto"/>
                <w:kern w:val="2"/>
                <w:sz w:val="24"/>
                <w:szCs w:val="24"/>
                <w:highlight w:val="none"/>
                <w:lang w:val="en-US" w:eastAsia="zh-CN" w:bidi="ar-SA"/>
              </w:rPr>
            </w:pPr>
            <w:r>
              <w:rPr>
                <w:rFonts w:cs="宋体"/>
                <w:bCs w:val="0"/>
                <w:color w:val="auto"/>
                <w:kern w:val="2"/>
                <w:sz w:val="24"/>
                <w:highlight w:val="none"/>
              </w:rPr>
              <w:t>内容</w:t>
            </w:r>
          </w:p>
        </w:tc>
      </w:tr>
      <w:tr w14:paraId="5155D5F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157" w:hRule="atLeast"/>
        </w:trPr>
        <w:tc>
          <w:tcPr>
            <w:tcW w:w="1969" w:type="dxa"/>
            <w:noWrap/>
            <w:vAlign w:val="center"/>
          </w:tcPr>
          <w:p w14:paraId="385DFA6D">
            <w:pPr>
              <w:spacing w:line="360" w:lineRule="auto"/>
              <w:jc w:val="center"/>
              <w:rPr>
                <w:rFonts w:asciiTheme="majorEastAsia" w:hAnsiTheme="majorEastAsia" w:eastAsiaTheme="majorEastAsia" w:cstheme="majorEastAsia"/>
                <w:b/>
                <w:bCs/>
                <w:color w:val="auto"/>
                <w:sz w:val="24"/>
                <w:highlight w:val="none"/>
              </w:rPr>
            </w:pPr>
            <w:r>
              <w:rPr>
                <w:rFonts w:hint="eastAsia" w:ascii="宋体" w:hAnsi="宋体" w:cs="宋体"/>
                <w:b/>
                <w:bCs/>
                <w:color w:val="auto"/>
                <w:sz w:val="24"/>
                <w:highlight w:val="none"/>
              </w:rPr>
              <w:t>投标总价（合计）</w:t>
            </w:r>
          </w:p>
        </w:tc>
        <w:tc>
          <w:tcPr>
            <w:tcW w:w="7030" w:type="dxa"/>
            <w:noWrap/>
          </w:tcPr>
          <w:p w14:paraId="0334CB8A">
            <w:pPr>
              <w:spacing w:line="360" w:lineRule="auto"/>
              <w:jc w:val="center"/>
              <w:rPr>
                <w:rFonts w:asciiTheme="majorEastAsia" w:hAnsiTheme="majorEastAsia" w:eastAsiaTheme="majorEastAsia" w:cstheme="majorEastAsia"/>
                <w:b/>
                <w:bCs/>
                <w:color w:val="auto"/>
                <w:sz w:val="11"/>
                <w:szCs w:val="11"/>
                <w:highlight w:val="none"/>
              </w:rPr>
            </w:pPr>
          </w:p>
          <w:p w14:paraId="383CF413">
            <w:pPr>
              <w:spacing w:line="360" w:lineRule="auto"/>
              <w:jc w:val="both"/>
              <w:rPr>
                <w:rFonts w:hint="default" w:asciiTheme="majorEastAsia" w:hAnsiTheme="majorEastAsia" w:eastAsiaTheme="majorEastAsia" w:cstheme="majorEastAsia"/>
                <w:b/>
                <w:bCs/>
                <w:color w:val="auto"/>
                <w:sz w:val="24"/>
                <w:highlight w:val="none"/>
                <w:u w:val="single"/>
                <w:lang w:val="en-US" w:eastAsia="zh-CN"/>
              </w:rPr>
            </w:pPr>
            <w:r>
              <w:rPr>
                <w:rFonts w:hint="eastAsia" w:asciiTheme="majorEastAsia" w:hAnsiTheme="majorEastAsia" w:eastAsiaTheme="majorEastAsia" w:cstheme="majorEastAsia"/>
                <w:b/>
                <w:bCs/>
                <w:color w:val="auto"/>
                <w:sz w:val="24"/>
                <w:highlight w:val="none"/>
              </w:rPr>
              <w:t xml:space="preserve">人 民 币（大写）： </w:t>
            </w:r>
            <w:r>
              <w:rPr>
                <w:rFonts w:hint="eastAsia" w:asciiTheme="majorEastAsia" w:hAnsiTheme="majorEastAsia" w:eastAsiaTheme="majorEastAsia" w:cstheme="majorEastAsia"/>
                <w:b/>
                <w:bCs/>
                <w:color w:val="auto"/>
                <w:sz w:val="24"/>
                <w:highlight w:val="none"/>
                <w:u w:val="single"/>
                <w:lang w:val="en-US" w:eastAsia="zh-CN"/>
              </w:rPr>
              <w:t xml:space="preserve">               </w:t>
            </w:r>
          </w:p>
          <w:p w14:paraId="4D6DCB31">
            <w:pPr>
              <w:spacing w:line="360" w:lineRule="auto"/>
              <w:jc w:val="center"/>
              <w:rPr>
                <w:rFonts w:hint="eastAsia"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 xml:space="preserve"> </w:t>
            </w:r>
          </w:p>
          <w:p w14:paraId="2E5CD1E9">
            <w:pPr>
              <w:spacing w:line="360" w:lineRule="auto"/>
              <w:jc w:val="both"/>
              <w:rPr>
                <w:rFonts w:hint="default" w:asciiTheme="majorEastAsia" w:hAnsiTheme="majorEastAsia" w:eastAsiaTheme="majorEastAsia" w:cstheme="majorEastAsia"/>
                <w:b/>
                <w:bCs/>
                <w:color w:val="auto"/>
                <w:sz w:val="24"/>
                <w:highlight w:val="none"/>
                <w:u w:val="single"/>
                <w:lang w:val="en-US" w:eastAsia="zh-CN"/>
              </w:rPr>
            </w:pPr>
            <w:r>
              <w:rPr>
                <w:rFonts w:hint="eastAsia" w:asciiTheme="majorEastAsia" w:hAnsiTheme="majorEastAsia" w:eastAsiaTheme="majorEastAsia" w:cstheme="majorEastAsia"/>
                <w:b/>
                <w:bCs/>
                <w:color w:val="auto"/>
                <w:sz w:val="24"/>
                <w:highlight w:val="none"/>
              </w:rPr>
              <w:t>人 民 币（小写）：</w:t>
            </w:r>
            <w:r>
              <w:rPr>
                <w:rFonts w:hint="eastAsia" w:asciiTheme="majorEastAsia" w:hAnsiTheme="majorEastAsia" w:eastAsiaTheme="majorEastAsia" w:cstheme="majorEastAsia"/>
                <w:b/>
                <w:bCs/>
                <w:color w:val="auto"/>
                <w:sz w:val="24"/>
                <w:highlight w:val="none"/>
                <w:u w:val="single"/>
                <w:lang w:val="en-US" w:eastAsia="zh-CN"/>
              </w:rPr>
              <w:t xml:space="preserve">                </w:t>
            </w:r>
          </w:p>
        </w:tc>
      </w:tr>
      <w:tr w14:paraId="32992A0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01" w:hRule="atLeast"/>
        </w:trPr>
        <w:tc>
          <w:tcPr>
            <w:tcW w:w="1969" w:type="dxa"/>
            <w:noWrap/>
            <w:vAlign w:val="center"/>
          </w:tcPr>
          <w:p w14:paraId="20EA5D79">
            <w:pPr>
              <w:spacing w:line="360" w:lineRule="auto"/>
              <w:jc w:val="center"/>
              <w:rPr>
                <w:rFonts w:hint="eastAsia" w:asciiTheme="majorEastAsia" w:hAnsiTheme="majorEastAsia" w:eastAsiaTheme="majorEastAsia" w:cstheme="majorEastAsia"/>
                <w:b/>
                <w:bCs/>
                <w:color w:val="auto"/>
                <w:sz w:val="24"/>
                <w:highlight w:val="none"/>
                <w:lang w:eastAsia="zh-CN"/>
              </w:rPr>
            </w:pPr>
            <w:r>
              <w:rPr>
                <w:rFonts w:hint="eastAsia" w:asciiTheme="majorEastAsia" w:hAnsiTheme="majorEastAsia" w:eastAsiaTheme="majorEastAsia" w:cstheme="majorEastAsia"/>
                <w:b/>
                <w:bCs/>
                <w:color w:val="auto"/>
                <w:sz w:val="24"/>
                <w:highlight w:val="none"/>
                <w:lang w:val="en-US" w:eastAsia="zh-CN"/>
              </w:rPr>
              <w:t>服务期</w:t>
            </w:r>
          </w:p>
        </w:tc>
        <w:tc>
          <w:tcPr>
            <w:tcW w:w="7030" w:type="dxa"/>
            <w:noWrap/>
          </w:tcPr>
          <w:p w14:paraId="242CC24E">
            <w:pPr>
              <w:spacing w:line="360" w:lineRule="auto"/>
              <w:rPr>
                <w:rFonts w:asciiTheme="majorEastAsia" w:hAnsiTheme="majorEastAsia" w:eastAsiaTheme="majorEastAsia" w:cstheme="majorEastAsia"/>
                <w:b/>
                <w:bCs/>
                <w:color w:val="auto"/>
                <w:sz w:val="24"/>
                <w:highlight w:val="none"/>
              </w:rPr>
            </w:pPr>
          </w:p>
        </w:tc>
      </w:tr>
    </w:tbl>
    <w:p w14:paraId="47363BDF">
      <w:pPr>
        <w:spacing w:line="480" w:lineRule="auto"/>
        <w:ind w:right="-161" w:firstLine="3120" w:firstLineChars="1300"/>
        <w:rPr>
          <w:rFonts w:hint="eastAsia" w:asciiTheme="majorEastAsia" w:hAnsiTheme="majorEastAsia" w:eastAsiaTheme="majorEastAsia" w:cstheme="majorEastAsia"/>
          <w:color w:val="auto"/>
          <w:sz w:val="24"/>
          <w:highlight w:val="none"/>
        </w:rPr>
      </w:pPr>
    </w:p>
    <w:p w14:paraId="0C9A98DF">
      <w:pPr>
        <w:spacing w:line="480" w:lineRule="auto"/>
        <w:ind w:right="-161" w:firstLine="3120" w:firstLineChars="1300"/>
        <w:rPr>
          <w:rFonts w:hint="eastAsia" w:asciiTheme="majorEastAsia" w:hAnsiTheme="majorEastAsia" w:eastAsiaTheme="majorEastAsia" w:cstheme="majorEastAsia"/>
          <w:color w:val="auto"/>
          <w:sz w:val="24"/>
          <w:highlight w:val="none"/>
        </w:rPr>
      </w:pPr>
    </w:p>
    <w:p w14:paraId="14D7C139">
      <w:pPr>
        <w:spacing w:line="480" w:lineRule="auto"/>
        <w:ind w:right="-161" w:firstLine="3120" w:firstLineChars="1300"/>
        <w:rPr>
          <w:rFonts w:hint="eastAsia" w:asciiTheme="majorEastAsia" w:hAnsiTheme="majorEastAsia" w:eastAsiaTheme="majorEastAsia" w:cstheme="majorEastAsia"/>
          <w:color w:val="auto"/>
          <w:sz w:val="24"/>
          <w:highlight w:val="none"/>
        </w:rPr>
      </w:pPr>
    </w:p>
    <w:p w14:paraId="6679E9D8">
      <w:pPr>
        <w:spacing w:line="480" w:lineRule="auto"/>
        <w:ind w:right="-161" w:firstLine="3120" w:firstLineChars="13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法人代表或被授权代表签字：</w:t>
      </w:r>
    </w:p>
    <w:p w14:paraId="35E37CEB">
      <w:pPr>
        <w:spacing w:line="480" w:lineRule="auto"/>
        <w:ind w:right="-161" w:firstLine="3120" w:firstLineChars="13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投   标   单  位  公  章：</w:t>
      </w:r>
    </w:p>
    <w:p w14:paraId="56AD1C0C">
      <w:pPr>
        <w:jc w:val="center"/>
        <w:rPr>
          <w:rFonts w:asciiTheme="majorEastAsia" w:hAnsiTheme="majorEastAsia" w:eastAsiaTheme="majorEastAsia" w:cstheme="majorEastAsia"/>
          <w:b/>
          <w:color w:val="auto"/>
          <w:sz w:val="36"/>
          <w:highlight w:val="none"/>
        </w:rPr>
      </w:pP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日                    期：</w:t>
      </w:r>
    </w:p>
    <w:p w14:paraId="55EDF17B">
      <w:pPr>
        <w:ind w:firstLine="562" w:firstLineChars="175"/>
        <w:jc w:val="center"/>
        <w:rPr>
          <w:rFonts w:asciiTheme="majorEastAsia" w:hAnsiTheme="majorEastAsia" w:eastAsiaTheme="majorEastAsia" w:cstheme="majorEastAsia"/>
          <w:b/>
          <w:color w:val="auto"/>
          <w:sz w:val="32"/>
          <w:szCs w:val="32"/>
          <w:highlight w:val="none"/>
        </w:rPr>
        <w:sectPr>
          <w:pgSz w:w="11900" w:h="16838"/>
          <w:pgMar w:top="1429" w:right="1417" w:bottom="1417" w:left="1417" w:header="850" w:footer="850" w:gutter="0"/>
          <w:pgNumType w:fmt="decimal"/>
          <w:cols w:space="0" w:num="1"/>
          <w:rtlGutter w:val="0"/>
          <w:docGrid w:linePitch="312" w:charSpace="0"/>
        </w:sectPr>
      </w:pPr>
    </w:p>
    <w:p w14:paraId="28AB9332">
      <w:pPr>
        <w:ind w:firstLine="562" w:firstLineChars="175"/>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分项报价表</w:t>
      </w:r>
      <w:bookmarkEnd w:id="158"/>
    </w:p>
    <w:p w14:paraId="01BC73CF">
      <w:pPr>
        <w:rPr>
          <w:rFonts w:asciiTheme="majorEastAsia" w:hAnsiTheme="majorEastAsia" w:eastAsiaTheme="majorEastAsia" w:cstheme="majorEastAsia"/>
          <w:color w:val="auto"/>
          <w:highlight w:val="none"/>
        </w:rPr>
      </w:pPr>
    </w:p>
    <w:p w14:paraId="21F53208">
      <w:pPr>
        <w:rPr>
          <w:rFonts w:asciiTheme="majorEastAsia" w:hAnsiTheme="majorEastAsia" w:eastAsiaTheme="majorEastAsia" w:cstheme="majorEastAsia"/>
          <w:color w:val="auto"/>
          <w:highlight w:val="none"/>
        </w:rPr>
      </w:pPr>
    </w:p>
    <w:p w14:paraId="4D9F2096">
      <w:pPr>
        <w:spacing w:line="246" w:lineRule="auto"/>
        <w:rPr>
          <w:rFonts w:asciiTheme="majorEastAsia" w:hAnsiTheme="majorEastAsia" w:eastAsiaTheme="majorEastAsia" w:cstheme="majorEastAsia"/>
          <w:color w:val="auto"/>
          <w:highlight w:val="none"/>
        </w:rPr>
      </w:pPr>
    </w:p>
    <w:p w14:paraId="66748913">
      <w:pPr>
        <w:spacing w:line="247" w:lineRule="auto"/>
        <w:rPr>
          <w:rFonts w:asciiTheme="majorEastAsia" w:hAnsiTheme="majorEastAsia" w:eastAsiaTheme="majorEastAsia" w:cstheme="majorEastAsia"/>
          <w:color w:val="auto"/>
          <w:highlight w:val="none"/>
        </w:rPr>
      </w:pPr>
    </w:p>
    <w:p w14:paraId="045A674F">
      <w:pPr>
        <w:rPr>
          <w:rFonts w:asciiTheme="majorEastAsia" w:hAnsiTheme="majorEastAsia" w:eastAsiaTheme="majorEastAsia" w:cstheme="majorEastAsia"/>
          <w:color w:val="auto"/>
          <w:sz w:val="24"/>
          <w:szCs w:val="21"/>
          <w:highlight w:val="none"/>
        </w:rPr>
      </w:pPr>
    </w:p>
    <w:p w14:paraId="1F2B3969">
      <w:pPr>
        <w:jc w:val="center"/>
        <w:rPr>
          <w:rFonts w:asciiTheme="majorEastAsia" w:hAnsiTheme="majorEastAsia" w:eastAsiaTheme="majorEastAsia" w:cstheme="majorEastAsia"/>
          <w:color w:val="auto"/>
          <w:sz w:val="24"/>
          <w:szCs w:val="21"/>
          <w:highlight w:val="none"/>
        </w:rPr>
      </w:pPr>
      <w:r>
        <w:rPr>
          <w:rFonts w:hint="eastAsia" w:asciiTheme="majorEastAsia" w:hAnsiTheme="majorEastAsia" w:eastAsiaTheme="majorEastAsia" w:cstheme="majorEastAsia"/>
          <w:color w:val="auto"/>
          <w:sz w:val="24"/>
          <w:szCs w:val="21"/>
          <w:highlight w:val="none"/>
        </w:rPr>
        <w:t>（格式自拟）</w:t>
      </w:r>
    </w:p>
    <w:p w14:paraId="0AF1D4FD">
      <w:pPr>
        <w:pStyle w:val="17"/>
        <w:rPr>
          <w:rFonts w:asciiTheme="majorEastAsia" w:hAnsiTheme="majorEastAsia" w:eastAsiaTheme="majorEastAsia" w:cstheme="majorEastAsia"/>
          <w:color w:val="auto"/>
          <w:sz w:val="24"/>
          <w:szCs w:val="21"/>
          <w:highlight w:val="none"/>
        </w:rPr>
      </w:pPr>
    </w:p>
    <w:p w14:paraId="33E7A6C9">
      <w:pPr>
        <w:rPr>
          <w:rFonts w:asciiTheme="majorEastAsia" w:hAnsiTheme="majorEastAsia" w:eastAsiaTheme="majorEastAsia" w:cstheme="majorEastAsia"/>
          <w:color w:val="auto"/>
          <w:sz w:val="24"/>
          <w:szCs w:val="21"/>
          <w:highlight w:val="none"/>
        </w:rPr>
      </w:pPr>
    </w:p>
    <w:p w14:paraId="1103E705">
      <w:pPr>
        <w:pStyle w:val="17"/>
        <w:rPr>
          <w:rFonts w:asciiTheme="majorEastAsia" w:hAnsiTheme="majorEastAsia" w:eastAsiaTheme="majorEastAsia" w:cstheme="majorEastAsia"/>
          <w:color w:val="auto"/>
          <w:sz w:val="24"/>
          <w:szCs w:val="21"/>
          <w:highlight w:val="none"/>
        </w:rPr>
      </w:pPr>
    </w:p>
    <w:p w14:paraId="75C297B8">
      <w:pPr>
        <w:rPr>
          <w:rFonts w:asciiTheme="majorEastAsia" w:hAnsiTheme="majorEastAsia" w:eastAsiaTheme="majorEastAsia" w:cstheme="majorEastAsia"/>
          <w:color w:val="auto"/>
          <w:sz w:val="24"/>
          <w:szCs w:val="21"/>
          <w:highlight w:val="none"/>
        </w:rPr>
      </w:pPr>
    </w:p>
    <w:p w14:paraId="63EDD4B5">
      <w:pPr>
        <w:pStyle w:val="17"/>
        <w:rPr>
          <w:rFonts w:asciiTheme="majorEastAsia" w:hAnsiTheme="majorEastAsia" w:eastAsiaTheme="majorEastAsia" w:cstheme="majorEastAsia"/>
          <w:color w:val="auto"/>
          <w:sz w:val="24"/>
          <w:szCs w:val="21"/>
          <w:highlight w:val="none"/>
        </w:rPr>
      </w:pPr>
    </w:p>
    <w:p w14:paraId="1CBEB538">
      <w:pPr>
        <w:rPr>
          <w:rFonts w:asciiTheme="majorEastAsia" w:hAnsiTheme="majorEastAsia" w:eastAsiaTheme="majorEastAsia" w:cstheme="majorEastAsia"/>
          <w:color w:val="auto"/>
          <w:sz w:val="24"/>
          <w:szCs w:val="21"/>
          <w:highlight w:val="none"/>
        </w:rPr>
      </w:pPr>
    </w:p>
    <w:p w14:paraId="53FF9539">
      <w:pPr>
        <w:pStyle w:val="17"/>
        <w:rPr>
          <w:rFonts w:asciiTheme="majorEastAsia" w:hAnsiTheme="majorEastAsia" w:eastAsiaTheme="majorEastAsia" w:cstheme="majorEastAsia"/>
          <w:color w:val="auto"/>
          <w:sz w:val="24"/>
          <w:szCs w:val="21"/>
          <w:highlight w:val="none"/>
        </w:rPr>
      </w:pPr>
    </w:p>
    <w:p w14:paraId="345EF3E0">
      <w:pPr>
        <w:rPr>
          <w:rFonts w:asciiTheme="majorEastAsia" w:hAnsiTheme="majorEastAsia" w:eastAsiaTheme="majorEastAsia" w:cstheme="majorEastAsia"/>
          <w:color w:val="auto"/>
          <w:sz w:val="24"/>
          <w:szCs w:val="21"/>
          <w:highlight w:val="none"/>
        </w:rPr>
      </w:pPr>
    </w:p>
    <w:p w14:paraId="2A7A8E1A">
      <w:pPr>
        <w:pStyle w:val="17"/>
        <w:rPr>
          <w:rFonts w:asciiTheme="majorEastAsia" w:hAnsiTheme="majorEastAsia" w:eastAsiaTheme="majorEastAsia" w:cstheme="majorEastAsia"/>
          <w:color w:val="auto"/>
          <w:sz w:val="24"/>
          <w:szCs w:val="21"/>
          <w:highlight w:val="none"/>
        </w:rPr>
      </w:pPr>
    </w:p>
    <w:p w14:paraId="4FCD2B72">
      <w:pPr>
        <w:rPr>
          <w:rFonts w:asciiTheme="majorEastAsia" w:hAnsiTheme="majorEastAsia" w:eastAsiaTheme="majorEastAsia" w:cstheme="majorEastAsia"/>
          <w:color w:val="auto"/>
          <w:sz w:val="24"/>
          <w:szCs w:val="21"/>
          <w:highlight w:val="none"/>
        </w:rPr>
      </w:pPr>
    </w:p>
    <w:p w14:paraId="06BD33B7">
      <w:pPr>
        <w:pStyle w:val="17"/>
        <w:rPr>
          <w:rFonts w:asciiTheme="majorEastAsia" w:hAnsiTheme="majorEastAsia" w:eastAsiaTheme="majorEastAsia" w:cstheme="majorEastAsia"/>
          <w:color w:val="auto"/>
          <w:sz w:val="24"/>
          <w:szCs w:val="21"/>
          <w:highlight w:val="none"/>
        </w:rPr>
      </w:pPr>
    </w:p>
    <w:p w14:paraId="10E349D5">
      <w:pPr>
        <w:rPr>
          <w:rFonts w:asciiTheme="majorEastAsia" w:hAnsiTheme="majorEastAsia" w:eastAsiaTheme="majorEastAsia" w:cstheme="majorEastAsia"/>
          <w:color w:val="auto"/>
          <w:sz w:val="24"/>
          <w:szCs w:val="21"/>
          <w:highlight w:val="none"/>
        </w:rPr>
      </w:pPr>
    </w:p>
    <w:p w14:paraId="5EB20A09">
      <w:pPr>
        <w:pStyle w:val="17"/>
        <w:rPr>
          <w:rFonts w:asciiTheme="majorEastAsia" w:hAnsiTheme="majorEastAsia" w:eastAsiaTheme="majorEastAsia" w:cstheme="majorEastAsia"/>
          <w:color w:val="auto"/>
          <w:sz w:val="24"/>
          <w:szCs w:val="21"/>
          <w:highlight w:val="none"/>
        </w:rPr>
      </w:pPr>
    </w:p>
    <w:p w14:paraId="4FD04143">
      <w:pPr>
        <w:rPr>
          <w:rFonts w:asciiTheme="majorEastAsia" w:hAnsiTheme="majorEastAsia" w:eastAsiaTheme="majorEastAsia" w:cstheme="majorEastAsia"/>
          <w:color w:val="auto"/>
          <w:sz w:val="24"/>
          <w:szCs w:val="21"/>
          <w:highlight w:val="none"/>
        </w:rPr>
      </w:pPr>
    </w:p>
    <w:p w14:paraId="3F60BDB3">
      <w:pPr>
        <w:pStyle w:val="17"/>
        <w:rPr>
          <w:rFonts w:asciiTheme="majorEastAsia" w:hAnsiTheme="majorEastAsia" w:eastAsiaTheme="majorEastAsia" w:cstheme="majorEastAsia"/>
          <w:color w:val="auto"/>
          <w:highlight w:val="none"/>
        </w:rPr>
      </w:pPr>
    </w:p>
    <w:p w14:paraId="598F1B53">
      <w:pPr>
        <w:adjustRightInd w:val="0"/>
        <w:snapToGrid w:val="0"/>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注：1. 供应商须按照招标文件“采购内容及要求”进行报价。</w:t>
      </w:r>
    </w:p>
    <w:p w14:paraId="1D2D9121">
      <w:pPr>
        <w:adjustRightInd w:val="0"/>
        <w:snapToGrid w:val="0"/>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2.</w:t>
      </w:r>
      <w:r>
        <w:rPr>
          <w:rFonts w:hint="eastAsia" w:asciiTheme="majorEastAsia" w:hAnsiTheme="majorEastAsia" w:eastAsiaTheme="majorEastAsia" w:cstheme="majorEastAsia"/>
          <w:color w:val="auto"/>
          <w:sz w:val="24"/>
          <w:highlight w:val="none"/>
        </w:rPr>
        <w:t>如果按单价计算的结果与总价不一致，以单价为准修正总价。</w:t>
      </w:r>
    </w:p>
    <w:p w14:paraId="273F0602">
      <w:pPr>
        <w:adjustRightInd w:val="0"/>
        <w:snapToGrid w:val="0"/>
        <w:spacing w:line="360" w:lineRule="auto"/>
        <w:ind w:left="792" w:leftChars="225" w:hanging="319" w:hangingChars="133"/>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3</w:t>
      </w:r>
      <w:r>
        <w:rPr>
          <w:rFonts w:hint="eastAsia" w:asciiTheme="majorEastAsia" w:hAnsiTheme="majorEastAsia" w:eastAsiaTheme="majorEastAsia" w:cstheme="majorEastAsia"/>
          <w:color w:val="auto"/>
          <w:sz w:val="24"/>
          <w:highlight w:val="none"/>
        </w:rPr>
        <w:t>. 上述投标总报价包含了供应商为此项目所支付的的一切费用，在整个合</w:t>
      </w:r>
    </w:p>
    <w:p w14:paraId="75549F06">
      <w:pPr>
        <w:adjustRightInd w:val="0"/>
        <w:snapToGrid w:val="0"/>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highlight w:val="none"/>
        </w:rPr>
        <w:t>同期内不做调整。</w:t>
      </w:r>
    </w:p>
    <w:p w14:paraId="073A2F24">
      <w:pPr>
        <w:spacing w:line="480" w:lineRule="auto"/>
        <w:ind w:right="-161" w:firstLine="3120" w:firstLineChars="1300"/>
        <w:rPr>
          <w:rFonts w:asciiTheme="majorEastAsia" w:hAnsiTheme="majorEastAsia" w:eastAsiaTheme="majorEastAsia" w:cstheme="majorEastAsia"/>
          <w:color w:val="auto"/>
          <w:sz w:val="24"/>
          <w:highlight w:val="none"/>
        </w:rPr>
      </w:pPr>
    </w:p>
    <w:p w14:paraId="28C30FB3">
      <w:pPr>
        <w:spacing w:line="480" w:lineRule="auto"/>
        <w:ind w:right="-161" w:firstLine="3120" w:firstLineChars="13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法人代表或被授权代表签字：</w:t>
      </w:r>
    </w:p>
    <w:p w14:paraId="7399C3FC">
      <w:pPr>
        <w:spacing w:line="480" w:lineRule="auto"/>
        <w:ind w:right="-161" w:firstLine="3120" w:firstLineChars="13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投   标   单  位  公  章：</w:t>
      </w:r>
    </w:p>
    <w:p w14:paraId="450C1627">
      <w:pPr>
        <w:jc w:val="center"/>
        <w:rPr>
          <w:rFonts w:asciiTheme="majorEastAsia" w:hAnsiTheme="majorEastAsia" w:eastAsiaTheme="majorEastAsia" w:cstheme="majorEastAsia"/>
          <w:b/>
          <w:color w:val="auto"/>
          <w:sz w:val="36"/>
          <w:highlight w:val="none"/>
        </w:rPr>
      </w:pP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日                    期：</w:t>
      </w:r>
    </w:p>
    <w:p w14:paraId="410412C2">
      <w:pPr>
        <w:jc w:val="center"/>
        <w:rPr>
          <w:rFonts w:asciiTheme="majorEastAsia" w:hAnsiTheme="majorEastAsia" w:eastAsiaTheme="majorEastAsia" w:cstheme="majorEastAsia"/>
          <w:b/>
          <w:color w:val="auto"/>
          <w:sz w:val="36"/>
          <w:highlight w:val="none"/>
        </w:rPr>
        <w:sectPr>
          <w:headerReference r:id="rId17" w:type="first"/>
          <w:footerReference r:id="rId19" w:type="first"/>
          <w:headerReference r:id="rId16" w:type="default"/>
          <w:footerReference r:id="rId18" w:type="default"/>
          <w:pgSz w:w="11900" w:h="16838"/>
          <w:pgMar w:top="1429" w:right="1417" w:bottom="1417" w:left="1417" w:header="850" w:footer="850" w:gutter="0"/>
          <w:pgNumType w:fmt="decimal"/>
          <w:cols w:space="0" w:num="1"/>
          <w:rtlGutter w:val="0"/>
          <w:docGrid w:linePitch="312" w:charSpace="0"/>
        </w:sectPr>
      </w:pPr>
    </w:p>
    <w:p w14:paraId="05847006">
      <w:pPr>
        <w:numPr>
          <w:ilvl w:val="0"/>
          <w:numId w:val="3"/>
        </w:numPr>
        <w:jc w:val="center"/>
        <w:rPr>
          <w:rFonts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t>商务偏离表</w:t>
      </w:r>
    </w:p>
    <w:p w14:paraId="77E8BB90">
      <w:pPr>
        <w:pStyle w:val="10"/>
        <w:rPr>
          <w:rFonts w:asciiTheme="majorEastAsia" w:hAnsiTheme="majorEastAsia" w:eastAsiaTheme="majorEastAsia" w:cstheme="majorEastAsia"/>
          <w:color w:val="auto"/>
          <w:highlight w:val="none"/>
        </w:rPr>
      </w:pPr>
    </w:p>
    <w:tbl>
      <w:tblPr>
        <w:tblStyle w:val="25"/>
        <w:tblW w:w="98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36"/>
        <w:gridCol w:w="3266"/>
        <w:gridCol w:w="3599"/>
        <w:gridCol w:w="1062"/>
        <w:gridCol w:w="1087"/>
      </w:tblGrid>
      <w:tr w14:paraId="2E32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7" w:hRule="atLeast"/>
          <w:jc w:val="center"/>
        </w:trPr>
        <w:tc>
          <w:tcPr>
            <w:tcW w:w="836" w:type="dxa"/>
            <w:noWrap/>
            <w:vAlign w:val="center"/>
          </w:tcPr>
          <w:p w14:paraId="76C0AD16">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序号</w:t>
            </w:r>
          </w:p>
        </w:tc>
        <w:tc>
          <w:tcPr>
            <w:tcW w:w="3266" w:type="dxa"/>
            <w:noWrap/>
            <w:vAlign w:val="center"/>
          </w:tcPr>
          <w:p w14:paraId="4C47AC66">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招标文件商务要求</w:t>
            </w:r>
          </w:p>
        </w:tc>
        <w:tc>
          <w:tcPr>
            <w:tcW w:w="3599" w:type="dxa"/>
            <w:noWrap/>
            <w:vAlign w:val="center"/>
          </w:tcPr>
          <w:p w14:paraId="3593D868">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投标文件商务响应</w:t>
            </w:r>
          </w:p>
        </w:tc>
        <w:tc>
          <w:tcPr>
            <w:tcW w:w="1062" w:type="dxa"/>
            <w:noWrap/>
            <w:vAlign w:val="center"/>
          </w:tcPr>
          <w:p w14:paraId="0B4E7519">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偏离情况</w:t>
            </w:r>
          </w:p>
        </w:tc>
        <w:tc>
          <w:tcPr>
            <w:tcW w:w="1087" w:type="dxa"/>
            <w:noWrap/>
            <w:vAlign w:val="center"/>
          </w:tcPr>
          <w:p w14:paraId="5F172A63">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备注</w:t>
            </w:r>
          </w:p>
        </w:tc>
      </w:tr>
      <w:tr w14:paraId="6527E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136564AD">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7F6C1309">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785A9917">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119717FF">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0F62D9B2">
            <w:pPr>
              <w:spacing w:line="360" w:lineRule="auto"/>
              <w:jc w:val="center"/>
              <w:rPr>
                <w:rFonts w:asciiTheme="majorEastAsia" w:hAnsiTheme="majorEastAsia" w:eastAsiaTheme="majorEastAsia" w:cstheme="majorEastAsia"/>
                <w:color w:val="auto"/>
                <w:sz w:val="24"/>
                <w:highlight w:val="none"/>
              </w:rPr>
            </w:pPr>
          </w:p>
        </w:tc>
      </w:tr>
      <w:tr w14:paraId="3233F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0BCA3B58">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7E71F872">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172FA730">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178A84B3">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6010D333">
            <w:pPr>
              <w:spacing w:line="360" w:lineRule="auto"/>
              <w:jc w:val="center"/>
              <w:rPr>
                <w:rFonts w:asciiTheme="majorEastAsia" w:hAnsiTheme="majorEastAsia" w:eastAsiaTheme="majorEastAsia" w:cstheme="majorEastAsia"/>
                <w:color w:val="auto"/>
                <w:sz w:val="24"/>
                <w:highlight w:val="none"/>
              </w:rPr>
            </w:pPr>
          </w:p>
        </w:tc>
      </w:tr>
      <w:tr w14:paraId="505C1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1F545594">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0D46E311">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0DBE6252">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10BC0277">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56020389">
            <w:pPr>
              <w:spacing w:line="360" w:lineRule="auto"/>
              <w:jc w:val="center"/>
              <w:rPr>
                <w:rFonts w:asciiTheme="majorEastAsia" w:hAnsiTheme="majorEastAsia" w:eastAsiaTheme="majorEastAsia" w:cstheme="majorEastAsia"/>
                <w:color w:val="auto"/>
                <w:sz w:val="24"/>
                <w:highlight w:val="none"/>
              </w:rPr>
            </w:pPr>
          </w:p>
        </w:tc>
      </w:tr>
      <w:tr w14:paraId="46053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04E260B3">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30ABC195">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28E422D8">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50E5217B">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5A131334">
            <w:pPr>
              <w:spacing w:line="360" w:lineRule="auto"/>
              <w:jc w:val="center"/>
              <w:rPr>
                <w:rFonts w:asciiTheme="majorEastAsia" w:hAnsiTheme="majorEastAsia" w:eastAsiaTheme="majorEastAsia" w:cstheme="majorEastAsia"/>
                <w:color w:val="auto"/>
                <w:sz w:val="24"/>
                <w:highlight w:val="none"/>
              </w:rPr>
            </w:pPr>
          </w:p>
        </w:tc>
      </w:tr>
      <w:tr w14:paraId="07A6F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082A95D5">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2B66BDE8">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60E428A2">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78AA9B9F">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177FFA58">
            <w:pPr>
              <w:spacing w:line="360" w:lineRule="auto"/>
              <w:jc w:val="center"/>
              <w:rPr>
                <w:rFonts w:asciiTheme="majorEastAsia" w:hAnsiTheme="majorEastAsia" w:eastAsiaTheme="majorEastAsia" w:cstheme="majorEastAsia"/>
                <w:color w:val="auto"/>
                <w:sz w:val="24"/>
                <w:highlight w:val="none"/>
              </w:rPr>
            </w:pPr>
          </w:p>
        </w:tc>
      </w:tr>
      <w:tr w14:paraId="4AA77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04C21F47">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69445781">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4B5B79E5">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013C5371">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6784384E">
            <w:pPr>
              <w:spacing w:line="360" w:lineRule="auto"/>
              <w:jc w:val="center"/>
              <w:rPr>
                <w:rFonts w:asciiTheme="majorEastAsia" w:hAnsiTheme="majorEastAsia" w:eastAsiaTheme="majorEastAsia" w:cstheme="majorEastAsia"/>
                <w:color w:val="auto"/>
                <w:sz w:val="24"/>
                <w:highlight w:val="none"/>
              </w:rPr>
            </w:pPr>
          </w:p>
        </w:tc>
      </w:tr>
      <w:tr w14:paraId="69052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1AF48A88">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42454616">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0916F778">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46ACDB75">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62B12F0B">
            <w:pPr>
              <w:spacing w:line="360" w:lineRule="auto"/>
              <w:jc w:val="center"/>
              <w:rPr>
                <w:rFonts w:asciiTheme="majorEastAsia" w:hAnsiTheme="majorEastAsia" w:eastAsiaTheme="majorEastAsia" w:cstheme="majorEastAsia"/>
                <w:color w:val="auto"/>
                <w:sz w:val="24"/>
                <w:highlight w:val="none"/>
              </w:rPr>
            </w:pPr>
          </w:p>
        </w:tc>
      </w:tr>
      <w:tr w14:paraId="0B6F8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4D5B70D5">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0375F107">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60B3DBF1">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699E78C0">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56908C75">
            <w:pPr>
              <w:spacing w:line="360" w:lineRule="auto"/>
              <w:jc w:val="center"/>
              <w:rPr>
                <w:rFonts w:asciiTheme="majorEastAsia" w:hAnsiTheme="majorEastAsia" w:eastAsiaTheme="majorEastAsia" w:cstheme="majorEastAsia"/>
                <w:color w:val="auto"/>
                <w:sz w:val="24"/>
                <w:highlight w:val="none"/>
              </w:rPr>
            </w:pPr>
          </w:p>
        </w:tc>
      </w:tr>
      <w:tr w14:paraId="3185A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1077E822">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3AF41589">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691F73E6">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06A76FAC">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65C44F3C">
            <w:pPr>
              <w:spacing w:line="360" w:lineRule="auto"/>
              <w:jc w:val="center"/>
              <w:rPr>
                <w:rFonts w:asciiTheme="majorEastAsia" w:hAnsiTheme="majorEastAsia" w:eastAsiaTheme="majorEastAsia" w:cstheme="majorEastAsia"/>
                <w:color w:val="auto"/>
                <w:sz w:val="24"/>
                <w:highlight w:val="none"/>
              </w:rPr>
            </w:pPr>
          </w:p>
        </w:tc>
      </w:tr>
      <w:tr w14:paraId="1DB07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7EBD4D52">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6817300B">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221E3908">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40159F08">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2E262986">
            <w:pPr>
              <w:spacing w:line="360" w:lineRule="auto"/>
              <w:jc w:val="center"/>
              <w:rPr>
                <w:rFonts w:asciiTheme="majorEastAsia" w:hAnsiTheme="majorEastAsia" w:eastAsiaTheme="majorEastAsia" w:cstheme="majorEastAsia"/>
                <w:color w:val="auto"/>
                <w:sz w:val="24"/>
                <w:highlight w:val="none"/>
              </w:rPr>
            </w:pPr>
          </w:p>
        </w:tc>
      </w:tr>
      <w:tr w14:paraId="013AC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ign w:val="center"/>
          </w:tcPr>
          <w:p w14:paraId="339AE9E2">
            <w:pPr>
              <w:spacing w:line="360" w:lineRule="auto"/>
              <w:jc w:val="center"/>
              <w:rPr>
                <w:rFonts w:asciiTheme="majorEastAsia" w:hAnsiTheme="majorEastAsia" w:eastAsiaTheme="majorEastAsia" w:cstheme="majorEastAsia"/>
                <w:color w:val="auto"/>
                <w:sz w:val="24"/>
                <w:highlight w:val="none"/>
              </w:rPr>
            </w:pPr>
          </w:p>
        </w:tc>
        <w:tc>
          <w:tcPr>
            <w:tcW w:w="3266" w:type="dxa"/>
            <w:noWrap/>
            <w:vAlign w:val="center"/>
          </w:tcPr>
          <w:p w14:paraId="63DBA8C5">
            <w:pPr>
              <w:spacing w:line="360" w:lineRule="auto"/>
              <w:jc w:val="center"/>
              <w:rPr>
                <w:rFonts w:asciiTheme="majorEastAsia" w:hAnsiTheme="majorEastAsia" w:eastAsiaTheme="majorEastAsia" w:cstheme="majorEastAsia"/>
                <w:color w:val="auto"/>
                <w:sz w:val="24"/>
                <w:highlight w:val="none"/>
              </w:rPr>
            </w:pPr>
          </w:p>
        </w:tc>
        <w:tc>
          <w:tcPr>
            <w:tcW w:w="3599" w:type="dxa"/>
            <w:noWrap/>
            <w:vAlign w:val="center"/>
          </w:tcPr>
          <w:p w14:paraId="3DCF588B">
            <w:pPr>
              <w:spacing w:line="360" w:lineRule="auto"/>
              <w:jc w:val="center"/>
              <w:rPr>
                <w:rFonts w:asciiTheme="majorEastAsia" w:hAnsiTheme="majorEastAsia" w:eastAsiaTheme="majorEastAsia" w:cstheme="majorEastAsia"/>
                <w:color w:val="auto"/>
                <w:sz w:val="24"/>
                <w:highlight w:val="none"/>
              </w:rPr>
            </w:pPr>
          </w:p>
        </w:tc>
        <w:tc>
          <w:tcPr>
            <w:tcW w:w="1062" w:type="dxa"/>
            <w:noWrap/>
            <w:vAlign w:val="center"/>
          </w:tcPr>
          <w:p w14:paraId="66D455C2">
            <w:pPr>
              <w:spacing w:line="360" w:lineRule="auto"/>
              <w:jc w:val="center"/>
              <w:rPr>
                <w:rFonts w:asciiTheme="majorEastAsia" w:hAnsiTheme="majorEastAsia" w:eastAsiaTheme="majorEastAsia" w:cstheme="majorEastAsia"/>
                <w:color w:val="auto"/>
                <w:sz w:val="24"/>
                <w:highlight w:val="none"/>
              </w:rPr>
            </w:pPr>
          </w:p>
        </w:tc>
        <w:tc>
          <w:tcPr>
            <w:tcW w:w="1087" w:type="dxa"/>
            <w:noWrap/>
            <w:vAlign w:val="center"/>
          </w:tcPr>
          <w:p w14:paraId="46E66450">
            <w:pPr>
              <w:spacing w:line="360" w:lineRule="auto"/>
              <w:jc w:val="center"/>
              <w:rPr>
                <w:rFonts w:asciiTheme="majorEastAsia" w:hAnsiTheme="majorEastAsia" w:eastAsiaTheme="majorEastAsia" w:cstheme="majorEastAsia"/>
                <w:color w:val="auto"/>
                <w:sz w:val="24"/>
                <w:highlight w:val="none"/>
              </w:rPr>
            </w:pPr>
          </w:p>
        </w:tc>
      </w:tr>
    </w:tbl>
    <w:p w14:paraId="425B0375">
      <w:pPr>
        <w:autoSpaceDE w:val="0"/>
        <w:autoSpaceDN w:val="0"/>
        <w:adjustRightInd w:val="0"/>
        <w:spacing w:line="360" w:lineRule="auto"/>
        <w:rPr>
          <w:rFonts w:asciiTheme="majorEastAsia" w:hAnsiTheme="majorEastAsia" w:eastAsiaTheme="majorEastAsia" w:cstheme="majorEastAsia"/>
          <w:color w:val="auto"/>
          <w:sz w:val="24"/>
          <w:highlight w:val="none"/>
        </w:rPr>
      </w:pPr>
    </w:p>
    <w:p w14:paraId="781250EF">
      <w:pPr>
        <w:adjustRightInd w:val="0"/>
        <w:snapToGrid w:val="0"/>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说明：</w:t>
      </w:r>
    </w:p>
    <w:p w14:paraId="39920C2C">
      <w:pPr>
        <w:numPr>
          <w:ilvl w:val="0"/>
          <w:numId w:val="4"/>
        </w:numPr>
        <w:spacing w:line="360" w:lineRule="auto"/>
        <w:ind w:firstLine="720" w:firstLineChars="3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投标文件根据招标文件商务要求填写。</w:t>
      </w:r>
    </w:p>
    <w:p w14:paraId="7384C354">
      <w:pPr>
        <w:spacing w:line="360" w:lineRule="auto"/>
        <w:ind w:firstLine="720" w:firstLineChars="3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2、偏离情况填写：正偏离、无偏离、负偏离。响应说明填写：对偏离情况做出详细说明。</w:t>
      </w:r>
    </w:p>
    <w:p w14:paraId="57C5B193">
      <w:pPr>
        <w:spacing w:line="360" w:lineRule="auto"/>
        <w:ind w:firstLine="720" w:firstLineChars="300"/>
        <w:rPr>
          <w:rFonts w:asciiTheme="majorEastAsia" w:hAnsiTheme="majorEastAsia" w:eastAsiaTheme="majorEastAsia" w:cstheme="majorEastAsia"/>
          <w:color w:val="auto"/>
          <w:sz w:val="24"/>
          <w:highlight w:val="none"/>
        </w:rPr>
      </w:pPr>
    </w:p>
    <w:p w14:paraId="56433F62">
      <w:pPr>
        <w:spacing w:line="480" w:lineRule="auto"/>
        <w:ind w:right="-161" w:firstLine="3120" w:firstLineChars="13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法人代表或被授权代表签字：</w:t>
      </w:r>
    </w:p>
    <w:p w14:paraId="58731147">
      <w:pPr>
        <w:spacing w:line="480" w:lineRule="auto"/>
        <w:ind w:right="-161" w:firstLine="3120" w:firstLineChars="1300"/>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投   标   单  位  公  章：</w:t>
      </w:r>
    </w:p>
    <w:p w14:paraId="271F2476">
      <w:pPr>
        <w:jc w:val="center"/>
        <w:rPr>
          <w:rFonts w:asciiTheme="majorEastAsia" w:hAnsiTheme="majorEastAsia" w:eastAsiaTheme="majorEastAsia" w:cstheme="majorEastAsia"/>
          <w:b/>
          <w:color w:val="auto"/>
          <w:sz w:val="36"/>
          <w:highlight w:val="none"/>
        </w:rPr>
      </w:pP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日                    期：</w:t>
      </w:r>
    </w:p>
    <w:p w14:paraId="47E4B747">
      <w:pPr>
        <w:spacing w:afterLines="200"/>
        <w:jc w:val="center"/>
        <w:rPr>
          <w:rFonts w:asciiTheme="majorEastAsia" w:hAnsiTheme="majorEastAsia" w:eastAsiaTheme="majorEastAsia" w:cstheme="majorEastAsia"/>
          <w:b/>
          <w:bCs/>
          <w:color w:val="auto"/>
          <w:sz w:val="24"/>
          <w:highlight w:val="none"/>
        </w:rPr>
      </w:pPr>
    </w:p>
    <w:p w14:paraId="64518C2B">
      <w:pPr>
        <w:spacing w:line="480" w:lineRule="exact"/>
        <w:ind w:left="210" w:leftChars="100"/>
        <w:jc w:val="center"/>
        <w:rPr>
          <w:rFonts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b/>
          <w:color w:val="auto"/>
          <w:sz w:val="32"/>
          <w:szCs w:val="32"/>
          <w:highlight w:val="none"/>
        </w:rPr>
        <w:t>四、</w:t>
      </w:r>
      <w:bookmarkStart w:id="159" w:name="_Toc308451529"/>
      <w:r>
        <w:rPr>
          <w:rFonts w:hint="eastAsia" w:asciiTheme="majorEastAsia" w:hAnsiTheme="majorEastAsia" w:eastAsiaTheme="majorEastAsia" w:cstheme="majorEastAsia"/>
          <w:b/>
          <w:bCs/>
          <w:color w:val="auto"/>
          <w:sz w:val="32"/>
          <w:szCs w:val="32"/>
          <w:highlight w:val="none"/>
        </w:rPr>
        <w:t>法定代表人证明书及法定代表人授权书</w:t>
      </w:r>
    </w:p>
    <w:p w14:paraId="11D4EFF3">
      <w:pPr>
        <w:spacing w:line="480" w:lineRule="exact"/>
        <w:ind w:left="210" w:leftChars="100"/>
        <w:jc w:val="center"/>
        <w:rPr>
          <w:rFonts w:asciiTheme="majorEastAsia" w:hAnsiTheme="majorEastAsia" w:eastAsiaTheme="majorEastAsia" w:cstheme="majorEastAsia"/>
          <w:b/>
          <w:bCs/>
          <w:color w:val="auto"/>
          <w:sz w:val="24"/>
          <w:highlight w:val="none"/>
        </w:rPr>
      </w:pPr>
      <w:bookmarkStart w:id="160" w:name="_Toc26087"/>
      <w:r>
        <w:rPr>
          <w:rFonts w:hint="eastAsia" w:asciiTheme="majorEastAsia" w:hAnsiTheme="majorEastAsia" w:eastAsiaTheme="majorEastAsia" w:cstheme="majorEastAsia"/>
          <w:b/>
          <w:bCs/>
          <w:color w:val="auto"/>
          <w:sz w:val="24"/>
          <w:highlight w:val="none"/>
        </w:rPr>
        <w:t>4-1、法定代表人证明书</w:t>
      </w:r>
      <w:bookmarkEnd w:id="160"/>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281"/>
        <w:gridCol w:w="975"/>
        <w:gridCol w:w="839"/>
        <w:gridCol w:w="1234"/>
        <w:gridCol w:w="2554"/>
      </w:tblGrid>
      <w:tr w14:paraId="2A61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380" w:type="dxa"/>
            <w:gridSpan w:val="6"/>
            <w:noWrap/>
          </w:tcPr>
          <w:p w14:paraId="0C10BE02">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 xml:space="preserve">致：    （采购人）     </w:t>
            </w:r>
          </w:p>
        </w:tc>
      </w:tr>
      <w:tr w14:paraId="3337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noWrap/>
            <w:vAlign w:val="center"/>
          </w:tcPr>
          <w:p w14:paraId="3004FF46">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项目名称</w:t>
            </w:r>
          </w:p>
        </w:tc>
        <w:tc>
          <w:tcPr>
            <w:tcW w:w="7883" w:type="dxa"/>
            <w:gridSpan w:val="5"/>
            <w:noWrap/>
          </w:tcPr>
          <w:p w14:paraId="07C439D0">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02B0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noWrap/>
            <w:vAlign w:val="center"/>
          </w:tcPr>
          <w:p w14:paraId="6BC981FB">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文件编号</w:t>
            </w:r>
          </w:p>
        </w:tc>
        <w:tc>
          <w:tcPr>
            <w:tcW w:w="7883" w:type="dxa"/>
            <w:gridSpan w:val="5"/>
            <w:noWrap/>
          </w:tcPr>
          <w:p w14:paraId="678E86A9">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6F962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97" w:type="dxa"/>
            <w:noWrap/>
            <w:vAlign w:val="center"/>
          </w:tcPr>
          <w:p w14:paraId="0496418F">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权   限</w:t>
            </w:r>
          </w:p>
        </w:tc>
        <w:tc>
          <w:tcPr>
            <w:tcW w:w="7883" w:type="dxa"/>
            <w:gridSpan w:val="5"/>
            <w:noWrap/>
            <w:vAlign w:val="center"/>
          </w:tcPr>
          <w:p w14:paraId="7F51E05B">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办理本次采购项目的投标、联系、洽谈、签约、执行等具体事务，签署全部有关文件、文书、协议及合同。</w:t>
            </w:r>
          </w:p>
        </w:tc>
      </w:tr>
      <w:tr w14:paraId="7814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noWrap/>
            <w:vAlign w:val="center"/>
          </w:tcPr>
          <w:p w14:paraId="2A987012">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企业</w:t>
            </w:r>
          </w:p>
          <w:p w14:paraId="1B03F4AF">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信息</w:t>
            </w:r>
          </w:p>
        </w:tc>
        <w:tc>
          <w:tcPr>
            <w:tcW w:w="2281" w:type="dxa"/>
            <w:noWrap/>
          </w:tcPr>
          <w:p w14:paraId="26C218BE">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 xml:space="preserve">企 业 名 称 </w:t>
            </w:r>
          </w:p>
        </w:tc>
        <w:tc>
          <w:tcPr>
            <w:tcW w:w="5602" w:type="dxa"/>
            <w:gridSpan w:val="4"/>
            <w:noWrap/>
          </w:tcPr>
          <w:p w14:paraId="562B8146">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0C132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ign w:val="center"/>
          </w:tcPr>
          <w:p w14:paraId="7D431A64">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2281" w:type="dxa"/>
            <w:noWrap/>
          </w:tcPr>
          <w:p w14:paraId="54974BC1">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法 定 地 址</w:t>
            </w:r>
          </w:p>
        </w:tc>
        <w:tc>
          <w:tcPr>
            <w:tcW w:w="5602" w:type="dxa"/>
            <w:gridSpan w:val="4"/>
            <w:noWrap/>
          </w:tcPr>
          <w:p w14:paraId="7AEDC918">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4245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ign w:val="center"/>
          </w:tcPr>
          <w:p w14:paraId="4CD93880">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2281" w:type="dxa"/>
            <w:noWrap/>
          </w:tcPr>
          <w:p w14:paraId="2A4579D0">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统一社会信用代码</w:t>
            </w:r>
          </w:p>
        </w:tc>
        <w:tc>
          <w:tcPr>
            <w:tcW w:w="5602" w:type="dxa"/>
            <w:gridSpan w:val="4"/>
            <w:noWrap/>
          </w:tcPr>
          <w:p w14:paraId="2963E260">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7953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ign w:val="center"/>
          </w:tcPr>
          <w:p w14:paraId="55E91B4B">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2281" w:type="dxa"/>
            <w:noWrap/>
          </w:tcPr>
          <w:p w14:paraId="583147F4">
            <w:pPr>
              <w:tabs>
                <w:tab w:val="right" w:leader="dot" w:pos="9022"/>
              </w:tabs>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工商登记机关</w:t>
            </w:r>
          </w:p>
        </w:tc>
        <w:tc>
          <w:tcPr>
            <w:tcW w:w="5602" w:type="dxa"/>
            <w:gridSpan w:val="4"/>
            <w:noWrap/>
          </w:tcPr>
          <w:p w14:paraId="63E655F3">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0DEE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ign w:val="center"/>
          </w:tcPr>
          <w:p w14:paraId="4731F817">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2281" w:type="dxa"/>
            <w:noWrap/>
          </w:tcPr>
          <w:p w14:paraId="6EEAC771">
            <w:pPr>
              <w:tabs>
                <w:tab w:val="right" w:leader="dot" w:pos="9022"/>
              </w:tabs>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网    址</w:t>
            </w:r>
          </w:p>
        </w:tc>
        <w:tc>
          <w:tcPr>
            <w:tcW w:w="5602" w:type="dxa"/>
            <w:gridSpan w:val="4"/>
            <w:noWrap/>
          </w:tcPr>
          <w:p w14:paraId="43A47788">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22DF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noWrap/>
            <w:vAlign w:val="center"/>
          </w:tcPr>
          <w:p w14:paraId="2883D43F">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法定代</w:t>
            </w:r>
          </w:p>
          <w:p w14:paraId="6F5F2BB0">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表人</w:t>
            </w:r>
          </w:p>
        </w:tc>
        <w:tc>
          <w:tcPr>
            <w:tcW w:w="2281" w:type="dxa"/>
            <w:noWrap/>
          </w:tcPr>
          <w:p w14:paraId="3216401F">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姓    名</w:t>
            </w:r>
          </w:p>
        </w:tc>
        <w:tc>
          <w:tcPr>
            <w:tcW w:w="1814" w:type="dxa"/>
            <w:gridSpan w:val="2"/>
            <w:noWrap/>
          </w:tcPr>
          <w:p w14:paraId="18C1F5F4">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1234" w:type="dxa"/>
            <w:noWrap/>
          </w:tcPr>
          <w:p w14:paraId="2E91D195">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性    别</w:t>
            </w:r>
          </w:p>
        </w:tc>
        <w:tc>
          <w:tcPr>
            <w:tcW w:w="2554" w:type="dxa"/>
            <w:noWrap/>
          </w:tcPr>
          <w:p w14:paraId="16A91B84">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1C1A4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ign w:val="center"/>
          </w:tcPr>
          <w:p w14:paraId="5998B7D0">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2281" w:type="dxa"/>
            <w:noWrap/>
          </w:tcPr>
          <w:p w14:paraId="2E430C48">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职    务</w:t>
            </w:r>
          </w:p>
        </w:tc>
        <w:tc>
          <w:tcPr>
            <w:tcW w:w="1814" w:type="dxa"/>
            <w:gridSpan w:val="2"/>
            <w:noWrap/>
          </w:tcPr>
          <w:p w14:paraId="102B7725">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1234" w:type="dxa"/>
            <w:noWrap/>
          </w:tcPr>
          <w:p w14:paraId="1EACAAE9">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联系电话</w:t>
            </w:r>
          </w:p>
        </w:tc>
        <w:tc>
          <w:tcPr>
            <w:tcW w:w="2554" w:type="dxa"/>
            <w:noWrap/>
          </w:tcPr>
          <w:p w14:paraId="7C8FDB40">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2AD08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ign w:val="center"/>
          </w:tcPr>
          <w:p w14:paraId="0404FBDD">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2281" w:type="dxa"/>
            <w:noWrap/>
          </w:tcPr>
          <w:p w14:paraId="23AA0CE0">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传    真</w:t>
            </w:r>
          </w:p>
        </w:tc>
        <w:tc>
          <w:tcPr>
            <w:tcW w:w="5602" w:type="dxa"/>
            <w:gridSpan w:val="4"/>
            <w:noWrap/>
          </w:tcPr>
          <w:p w14:paraId="0D469433">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194C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ign w:val="center"/>
          </w:tcPr>
          <w:p w14:paraId="66571E70">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2281" w:type="dxa"/>
            <w:noWrap/>
          </w:tcPr>
          <w:p w14:paraId="178514D9">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通讯地址</w:t>
            </w:r>
          </w:p>
        </w:tc>
        <w:tc>
          <w:tcPr>
            <w:tcW w:w="5602" w:type="dxa"/>
            <w:gridSpan w:val="4"/>
            <w:noWrap/>
          </w:tcPr>
          <w:p w14:paraId="2F984B52">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5CC3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6" w:hRule="atLeast"/>
          <w:jc w:val="center"/>
        </w:trPr>
        <w:tc>
          <w:tcPr>
            <w:tcW w:w="4753" w:type="dxa"/>
            <w:gridSpan w:val="3"/>
            <w:noWrap/>
          </w:tcPr>
          <w:p w14:paraId="2FD7D7ED">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p w14:paraId="658545A2">
            <w:pPr>
              <w:tabs>
                <w:tab w:val="right" w:leader="dot" w:pos="9022"/>
              </w:tabs>
              <w:autoSpaceDE w:val="0"/>
              <w:autoSpaceDN w:val="0"/>
              <w:adjustRightInd w:val="0"/>
              <w:spacing w:line="360" w:lineRule="auto"/>
              <w:jc w:val="center"/>
              <w:rPr>
                <w:rFonts w:asciiTheme="majorEastAsia" w:hAnsiTheme="majorEastAsia" w:eastAsiaTheme="majorEastAsia" w:cstheme="majorEastAsia"/>
                <w:color w:val="auto"/>
                <w:spacing w:val="-4"/>
                <w:sz w:val="24"/>
                <w:highlight w:val="none"/>
              </w:rPr>
            </w:pPr>
          </w:p>
          <w:p w14:paraId="4F2937DF">
            <w:pPr>
              <w:tabs>
                <w:tab w:val="right" w:leader="dot" w:pos="9022"/>
              </w:tabs>
              <w:autoSpaceDE w:val="0"/>
              <w:autoSpaceDN w:val="0"/>
              <w:adjustRightInd w:val="0"/>
              <w:spacing w:line="360" w:lineRule="auto"/>
              <w:jc w:val="center"/>
              <w:rPr>
                <w:rFonts w:asciiTheme="majorEastAsia" w:hAnsiTheme="majorEastAsia" w:eastAsiaTheme="majorEastAsia" w:cstheme="majorEastAsia"/>
                <w:color w:val="auto"/>
                <w:spacing w:val="-4"/>
                <w:sz w:val="24"/>
                <w:highlight w:val="none"/>
              </w:rPr>
            </w:pPr>
          </w:p>
          <w:p w14:paraId="56AD3E6E">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color w:val="auto"/>
                <w:spacing w:val="-4"/>
                <w:sz w:val="24"/>
                <w:highlight w:val="none"/>
              </w:rPr>
              <w:t>法定代表人二代身份证正面复印件或扫描件</w:t>
            </w:r>
          </w:p>
          <w:p w14:paraId="02743504">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p w14:paraId="4365283C">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4627" w:type="dxa"/>
            <w:gridSpan w:val="3"/>
            <w:noWrap/>
          </w:tcPr>
          <w:p w14:paraId="7B469DF0">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p w14:paraId="58403EE6">
            <w:pPr>
              <w:tabs>
                <w:tab w:val="right" w:leader="dot" w:pos="9022"/>
              </w:tabs>
              <w:autoSpaceDE w:val="0"/>
              <w:autoSpaceDN w:val="0"/>
              <w:adjustRightInd w:val="0"/>
              <w:spacing w:line="360" w:lineRule="auto"/>
              <w:jc w:val="center"/>
              <w:rPr>
                <w:rFonts w:asciiTheme="majorEastAsia" w:hAnsiTheme="majorEastAsia" w:eastAsiaTheme="majorEastAsia" w:cstheme="majorEastAsia"/>
                <w:color w:val="auto"/>
                <w:spacing w:val="-4"/>
                <w:sz w:val="24"/>
                <w:highlight w:val="none"/>
              </w:rPr>
            </w:pPr>
          </w:p>
          <w:p w14:paraId="5E94588C">
            <w:pPr>
              <w:tabs>
                <w:tab w:val="right" w:leader="dot" w:pos="9022"/>
              </w:tabs>
              <w:autoSpaceDE w:val="0"/>
              <w:autoSpaceDN w:val="0"/>
              <w:adjustRightInd w:val="0"/>
              <w:spacing w:line="360" w:lineRule="auto"/>
              <w:jc w:val="center"/>
              <w:rPr>
                <w:rFonts w:asciiTheme="majorEastAsia" w:hAnsiTheme="majorEastAsia" w:eastAsiaTheme="majorEastAsia" w:cstheme="majorEastAsia"/>
                <w:color w:val="auto"/>
                <w:spacing w:val="-4"/>
                <w:sz w:val="24"/>
                <w:highlight w:val="none"/>
              </w:rPr>
            </w:pPr>
          </w:p>
          <w:p w14:paraId="6162DB09">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color w:val="auto"/>
                <w:spacing w:val="-4"/>
                <w:sz w:val="24"/>
                <w:highlight w:val="none"/>
              </w:rPr>
              <w:t>法定代表人二代身份证反面复印件或扫描件</w:t>
            </w:r>
          </w:p>
          <w:p w14:paraId="18B8ECCD">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r>
      <w:tr w14:paraId="6ADF4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380" w:type="dxa"/>
            <w:gridSpan w:val="6"/>
            <w:noWrap/>
          </w:tcPr>
          <w:p w14:paraId="412C0B20">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法定代表人签字</w:t>
            </w:r>
            <w:r>
              <w:rPr>
                <w:rFonts w:hint="eastAsia" w:asciiTheme="majorEastAsia" w:hAnsiTheme="majorEastAsia" w:eastAsiaTheme="majorEastAsia" w:cstheme="majorEastAsia"/>
                <w:bCs/>
                <w:caps/>
                <w:color w:val="auto"/>
                <w:sz w:val="24"/>
                <w:highlight w:val="none"/>
                <w:lang w:val="en-US" w:eastAsia="zh-CN"/>
              </w:rPr>
              <w:t>或</w:t>
            </w:r>
            <w:r>
              <w:rPr>
                <w:rFonts w:hint="eastAsia" w:asciiTheme="majorEastAsia" w:hAnsiTheme="majorEastAsia" w:eastAsiaTheme="majorEastAsia" w:cstheme="majorEastAsia"/>
                <w:bCs/>
                <w:caps/>
                <w:color w:val="auto"/>
                <w:sz w:val="24"/>
                <w:highlight w:val="none"/>
              </w:rPr>
              <w:t>盖章：</w:t>
            </w:r>
          </w:p>
        </w:tc>
      </w:tr>
    </w:tbl>
    <w:p w14:paraId="7CB40F5C">
      <w:pPr>
        <w:spacing w:line="360" w:lineRule="auto"/>
        <w:ind w:right="-161" w:firstLine="2880" w:firstLineChars="1200"/>
        <w:rPr>
          <w:rFonts w:asciiTheme="majorEastAsia" w:hAnsiTheme="majorEastAsia" w:eastAsiaTheme="majorEastAsia" w:cstheme="majorEastAsia"/>
          <w:color w:val="auto"/>
          <w:sz w:val="24"/>
          <w:highlight w:val="none"/>
        </w:rPr>
      </w:pPr>
    </w:p>
    <w:p w14:paraId="1145F109">
      <w:pPr>
        <w:ind w:firstLine="5280" w:firstLineChars="2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投标人（盖章）：</w:t>
      </w:r>
    </w:p>
    <w:p w14:paraId="0417501D">
      <w:pPr>
        <w:ind w:firstLine="3360" w:firstLineChars="1400"/>
        <w:jc w:val="center"/>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color w:val="auto"/>
          <w:sz w:val="24"/>
          <w:highlight w:val="none"/>
        </w:rPr>
        <w:t>日    期：</w:t>
      </w:r>
      <w:r>
        <w:rPr>
          <w:rFonts w:hint="eastAsia" w:asciiTheme="majorEastAsia" w:hAnsiTheme="majorEastAsia" w:eastAsiaTheme="majorEastAsia" w:cstheme="majorEastAsia"/>
          <w:color w:val="auto"/>
          <w:highlight w:val="none"/>
        </w:rPr>
        <w:br w:type="page"/>
      </w:r>
      <w:bookmarkStart w:id="161" w:name="_Toc20979"/>
      <w:r>
        <w:rPr>
          <w:rFonts w:hint="eastAsia" w:asciiTheme="majorEastAsia" w:hAnsiTheme="majorEastAsia" w:eastAsiaTheme="majorEastAsia" w:cstheme="majorEastAsia"/>
          <w:b/>
          <w:bCs/>
          <w:color w:val="auto"/>
          <w:sz w:val="24"/>
          <w:highlight w:val="none"/>
        </w:rPr>
        <w:t>4-2、法定代表人授权书</w:t>
      </w:r>
      <w:bookmarkEnd w:id="161"/>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244"/>
        <w:gridCol w:w="1041"/>
        <w:gridCol w:w="800"/>
        <w:gridCol w:w="631"/>
        <w:gridCol w:w="1432"/>
        <w:gridCol w:w="2649"/>
      </w:tblGrid>
      <w:tr w14:paraId="4D4DB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360" w:type="dxa"/>
            <w:gridSpan w:val="7"/>
            <w:noWrap/>
          </w:tcPr>
          <w:p w14:paraId="7730CA34">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 xml:space="preserve">致：     （采购人）     </w:t>
            </w:r>
          </w:p>
        </w:tc>
      </w:tr>
      <w:tr w14:paraId="51CF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noWrap/>
            <w:vAlign w:val="center"/>
          </w:tcPr>
          <w:p w14:paraId="6D667CB9">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被授</w:t>
            </w:r>
          </w:p>
          <w:p w14:paraId="66BDAFAB">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权项</w:t>
            </w:r>
          </w:p>
          <w:p w14:paraId="38EEA4CA">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目与</w:t>
            </w:r>
          </w:p>
          <w:p w14:paraId="72477ED2">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内容</w:t>
            </w:r>
          </w:p>
        </w:tc>
        <w:tc>
          <w:tcPr>
            <w:tcW w:w="1244" w:type="dxa"/>
            <w:noWrap/>
          </w:tcPr>
          <w:p w14:paraId="20AEDD43">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项目名称</w:t>
            </w:r>
          </w:p>
        </w:tc>
        <w:tc>
          <w:tcPr>
            <w:tcW w:w="6553" w:type="dxa"/>
            <w:gridSpan w:val="5"/>
            <w:noWrap/>
          </w:tcPr>
          <w:p w14:paraId="3B023AEB">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57AA7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tcPr>
          <w:p w14:paraId="628EE26E">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1244" w:type="dxa"/>
            <w:noWrap/>
          </w:tcPr>
          <w:p w14:paraId="38CD278D">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文件编号</w:t>
            </w:r>
          </w:p>
        </w:tc>
        <w:tc>
          <w:tcPr>
            <w:tcW w:w="6553" w:type="dxa"/>
            <w:gridSpan w:val="5"/>
            <w:noWrap/>
          </w:tcPr>
          <w:p w14:paraId="5177430F">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2029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1563" w:type="dxa"/>
            <w:vMerge w:val="continue"/>
            <w:noWrap/>
          </w:tcPr>
          <w:p w14:paraId="7F8B8BCD">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1244" w:type="dxa"/>
            <w:noWrap/>
            <w:vAlign w:val="center"/>
          </w:tcPr>
          <w:p w14:paraId="0BCB5C35">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授权范围</w:t>
            </w:r>
          </w:p>
        </w:tc>
        <w:tc>
          <w:tcPr>
            <w:tcW w:w="6553" w:type="dxa"/>
            <w:gridSpan w:val="5"/>
            <w:noWrap/>
          </w:tcPr>
          <w:p w14:paraId="1005ECC1">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全权办理本次采购项目的投标、联系、洽谈、签约、执行等具体事务，签署全部有关文件、文书、协议及合同。</w:t>
            </w:r>
          </w:p>
        </w:tc>
      </w:tr>
      <w:tr w14:paraId="0C0F5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tcPr>
          <w:p w14:paraId="1760DD5E">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1244" w:type="dxa"/>
            <w:noWrap/>
          </w:tcPr>
          <w:p w14:paraId="1E5A8AFB">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法律责任</w:t>
            </w:r>
          </w:p>
        </w:tc>
        <w:tc>
          <w:tcPr>
            <w:tcW w:w="6553" w:type="dxa"/>
            <w:gridSpan w:val="5"/>
            <w:noWrap/>
          </w:tcPr>
          <w:p w14:paraId="4D0158E2">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本公司对被授权人在本项目中的签名承担全部法律责任。</w:t>
            </w:r>
          </w:p>
        </w:tc>
      </w:tr>
      <w:tr w14:paraId="59F1C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tcPr>
          <w:p w14:paraId="4D6FD64C">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1244" w:type="dxa"/>
            <w:noWrap/>
            <w:vAlign w:val="center"/>
          </w:tcPr>
          <w:p w14:paraId="5FE4AE7C">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授权期限</w:t>
            </w:r>
          </w:p>
        </w:tc>
        <w:tc>
          <w:tcPr>
            <w:tcW w:w="6553" w:type="dxa"/>
            <w:gridSpan w:val="5"/>
            <w:noWrap/>
            <w:vAlign w:val="center"/>
          </w:tcPr>
          <w:p w14:paraId="75F85780">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本授权书自提交投标文件的截止之日起</w:t>
            </w:r>
            <w:r>
              <w:rPr>
                <w:rFonts w:hint="eastAsia" w:asciiTheme="majorEastAsia" w:hAnsiTheme="majorEastAsia" w:eastAsiaTheme="majorEastAsia" w:cstheme="majorEastAsia"/>
                <w:bCs/>
                <w:caps/>
                <w:color w:val="auto"/>
                <w:sz w:val="24"/>
                <w:highlight w:val="none"/>
                <w:u w:val="single"/>
                <w:lang w:val="en-US" w:eastAsia="zh-CN"/>
              </w:rPr>
              <w:t xml:space="preserve"> </w:t>
            </w:r>
            <w:r>
              <w:rPr>
                <w:rFonts w:hint="eastAsia" w:asciiTheme="majorEastAsia" w:hAnsiTheme="majorEastAsia" w:eastAsiaTheme="majorEastAsia" w:cstheme="majorEastAsia"/>
                <w:bCs/>
                <w:caps/>
                <w:color w:val="auto"/>
                <w:sz w:val="24"/>
                <w:highlight w:val="none"/>
              </w:rPr>
              <w:t>个日历日</w:t>
            </w:r>
          </w:p>
        </w:tc>
      </w:tr>
      <w:tr w14:paraId="5CF1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noWrap/>
            <w:vAlign w:val="center"/>
          </w:tcPr>
          <w:p w14:paraId="44CB1165">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企业信息</w:t>
            </w:r>
          </w:p>
        </w:tc>
        <w:tc>
          <w:tcPr>
            <w:tcW w:w="2285" w:type="dxa"/>
            <w:gridSpan w:val="2"/>
            <w:noWrap/>
          </w:tcPr>
          <w:p w14:paraId="66E51E40">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 xml:space="preserve">企 业 名 称 </w:t>
            </w:r>
          </w:p>
        </w:tc>
        <w:tc>
          <w:tcPr>
            <w:tcW w:w="5512" w:type="dxa"/>
            <w:gridSpan w:val="4"/>
            <w:noWrap/>
            <w:vAlign w:val="center"/>
          </w:tcPr>
          <w:p w14:paraId="0A02EBA8">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p>
        </w:tc>
      </w:tr>
      <w:tr w14:paraId="13889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tcPr>
          <w:p w14:paraId="29D2831C">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2285" w:type="dxa"/>
            <w:gridSpan w:val="2"/>
            <w:noWrap/>
          </w:tcPr>
          <w:p w14:paraId="68292C7D">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法 定 地 址</w:t>
            </w:r>
          </w:p>
        </w:tc>
        <w:tc>
          <w:tcPr>
            <w:tcW w:w="5512" w:type="dxa"/>
            <w:gridSpan w:val="4"/>
            <w:noWrap/>
            <w:vAlign w:val="center"/>
          </w:tcPr>
          <w:p w14:paraId="4E7CC407">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p>
        </w:tc>
      </w:tr>
      <w:tr w14:paraId="2DA8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tcPr>
          <w:p w14:paraId="3973CB2E">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2285" w:type="dxa"/>
            <w:gridSpan w:val="2"/>
            <w:noWrap/>
          </w:tcPr>
          <w:p w14:paraId="71149720">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统一社会信用代码</w:t>
            </w:r>
          </w:p>
        </w:tc>
        <w:tc>
          <w:tcPr>
            <w:tcW w:w="5512" w:type="dxa"/>
            <w:gridSpan w:val="4"/>
            <w:noWrap/>
            <w:vAlign w:val="center"/>
          </w:tcPr>
          <w:p w14:paraId="2EEF2931">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p>
        </w:tc>
      </w:tr>
      <w:tr w14:paraId="0494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noWrap/>
            <w:vAlign w:val="center"/>
          </w:tcPr>
          <w:p w14:paraId="03673D5B">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法定代表人</w:t>
            </w:r>
          </w:p>
        </w:tc>
        <w:tc>
          <w:tcPr>
            <w:tcW w:w="1244" w:type="dxa"/>
            <w:noWrap/>
            <w:vAlign w:val="center"/>
          </w:tcPr>
          <w:p w14:paraId="4A7E5973">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姓名</w:t>
            </w:r>
          </w:p>
        </w:tc>
        <w:tc>
          <w:tcPr>
            <w:tcW w:w="2472" w:type="dxa"/>
            <w:gridSpan w:val="3"/>
            <w:noWrap/>
            <w:vAlign w:val="center"/>
          </w:tcPr>
          <w:p w14:paraId="56A0E1AC">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1432" w:type="dxa"/>
            <w:noWrap/>
            <w:vAlign w:val="center"/>
          </w:tcPr>
          <w:p w14:paraId="508AC1FD">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性    别</w:t>
            </w:r>
          </w:p>
        </w:tc>
        <w:tc>
          <w:tcPr>
            <w:tcW w:w="2649" w:type="dxa"/>
            <w:noWrap/>
            <w:vAlign w:val="center"/>
          </w:tcPr>
          <w:p w14:paraId="239FFF4E">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r>
      <w:tr w14:paraId="04A81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vAlign w:val="center"/>
          </w:tcPr>
          <w:p w14:paraId="6B6F3AB5">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1244" w:type="dxa"/>
            <w:noWrap/>
            <w:vAlign w:val="center"/>
          </w:tcPr>
          <w:p w14:paraId="3F2F2B82">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职务</w:t>
            </w:r>
          </w:p>
        </w:tc>
        <w:tc>
          <w:tcPr>
            <w:tcW w:w="2472" w:type="dxa"/>
            <w:gridSpan w:val="3"/>
            <w:noWrap/>
            <w:vAlign w:val="center"/>
          </w:tcPr>
          <w:p w14:paraId="56F71938">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1432" w:type="dxa"/>
            <w:noWrap/>
            <w:vAlign w:val="center"/>
          </w:tcPr>
          <w:p w14:paraId="30AEDF19">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手机号码</w:t>
            </w:r>
          </w:p>
        </w:tc>
        <w:tc>
          <w:tcPr>
            <w:tcW w:w="2649" w:type="dxa"/>
            <w:noWrap/>
            <w:vAlign w:val="center"/>
          </w:tcPr>
          <w:p w14:paraId="3F456DB4">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p>
        </w:tc>
      </w:tr>
      <w:tr w14:paraId="5CD69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noWrap/>
            <w:vAlign w:val="center"/>
          </w:tcPr>
          <w:p w14:paraId="193D93C2">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被授权人</w:t>
            </w:r>
          </w:p>
        </w:tc>
        <w:tc>
          <w:tcPr>
            <w:tcW w:w="1244" w:type="dxa"/>
            <w:noWrap/>
            <w:vAlign w:val="center"/>
          </w:tcPr>
          <w:p w14:paraId="582A42BB">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姓名</w:t>
            </w:r>
          </w:p>
        </w:tc>
        <w:tc>
          <w:tcPr>
            <w:tcW w:w="2472" w:type="dxa"/>
            <w:gridSpan w:val="3"/>
            <w:noWrap/>
            <w:vAlign w:val="center"/>
          </w:tcPr>
          <w:p w14:paraId="33F7C1AD">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1432" w:type="dxa"/>
            <w:noWrap/>
            <w:vAlign w:val="center"/>
          </w:tcPr>
          <w:p w14:paraId="697E40DD">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性    别</w:t>
            </w:r>
          </w:p>
        </w:tc>
        <w:tc>
          <w:tcPr>
            <w:tcW w:w="2649" w:type="dxa"/>
            <w:noWrap/>
            <w:vAlign w:val="center"/>
          </w:tcPr>
          <w:p w14:paraId="168891C0">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r>
      <w:tr w14:paraId="4463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noWrap/>
          </w:tcPr>
          <w:p w14:paraId="2DB7FD22">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1244" w:type="dxa"/>
            <w:noWrap/>
            <w:vAlign w:val="center"/>
          </w:tcPr>
          <w:p w14:paraId="79192E56">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职务</w:t>
            </w:r>
          </w:p>
        </w:tc>
        <w:tc>
          <w:tcPr>
            <w:tcW w:w="2472" w:type="dxa"/>
            <w:gridSpan w:val="3"/>
            <w:noWrap/>
            <w:vAlign w:val="center"/>
          </w:tcPr>
          <w:p w14:paraId="7F0EE691">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1432" w:type="dxa"/>
            <w:noWrap/>
            <w:vAlign w:val="center"/>
          </w:tcPr>
          <w:p w14:paraId="2C19DE87">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手机号码</w:t>
            </w:r>
          </w:p>
        </w:tc>
        <w:tc>
          <w:tcPr>
            <w:tcW w:w="2649" w:type="dxa"/>
            <w:noWrap/>
          </w:tcPr>
          <w:p w14:paraId="42416361">
            <w:pPr>
              <w:tabs>
                <w:tab w:val="right" w:leader="dot" w:pos="9022"/>
              </w:tabs>
              <w:autoSpaceDE w:val="0"/>
              <w:autoSpaceDN w:val="0"/>
              <w:adjustRightInd w:val="0"/>
              <w:spacing w:line="360" w:lineRule="auto"/>
              <w:rPr>
                <w:rFonts w:asciiTheme="majorEastAsia" w:hAnsiTheme="majorEastAsia" w:eastAsiaTheme="majorEastAsia" w:cstheme="majorEastAsia"/>
                <w:bCs/>
                <w:caps/>
                <w:color w:val="auto"/>
                <w:sz w:val="24"/>
                <w:highlight w:val="none"/>
              </w:rPr>
            </w:pPr>
          </w:p>
        </w:tc>
      </w:tr>
      <w:tr w14:paraId="080F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noWrap/>
          </w:tcPr>
          <w:p w14:paraId="70E4D2D7">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通讯地址</w:t>
            </w:r>
          </w:p>
        </w:tc>
        <w:tc>
          <w:tcPr>
            <w:tcW w:w="7797" w:type="dxa"/>
            <w:gridSpan w:val="6"/>
            <w:noWrap/>
          </w:tcPr>
          <w:p w14:paraId="783274B0">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11C7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48" w:type="dxa"/>
            <w:gridSpan w:val="4"/>
            <w:noWrap/>
          </w:tcPr>
          <w:p w14:paraId="5C79ADAD">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p w14:paraId="2AFC5CFB">
            <w:pPr>
              <w:tabs>
                <w:tab w:val="right" w:leader="dot" w:pos="9022"/>
              </w:tabs>
              <w:autoSpaceDE w:val="0"/>
              <w:autoSpaceDN w:val="0"/>
              <w:adjustRightInd w:val="0"/>
              <w:spacing w:line="360" w:lineRule="auto"/>
              <w:jc w:val="center"/>
              <w:rPr>
                <w:rFonts w:asciiTheme="majorEastAsia" w:hAnsiTheme="majorEastAsia" w:eastAsiaTheme="majorEastAsia" w:cstheme="majorEastAsia"/>
                <w:color w:val="auto"/>
                <w:spacing w:val="-4"/>
                <w:sz w:val="24"/>
                <w:highlight w:val="none"/>
              </w:rPr>
            </w:pPr>
          </w:p>
          <w:p w14:paraId="01E67FDA">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color w:val="auto"/>
                <w:spacing w:val="-4"/>
                <w:sz w:val="24"/>
                <w:highlight w:val="none"/>
              </w:rPr>
              <w:t>法定代表人二代身份证正面复印件或扫描件</w:t>
            </w:r>
          </w:p>
          <w:p w14:paraId="3632AAC2">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p w14:paraId="36902492">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c>
          <w:tcPr>
            <w:tcW w:w="4712" w:type="dxa"/>
            <w:gridSpan w:val="3"/>
            <w:noWrap/>
          </w:tcPr>
          <w:p w14:paraId="56A46FA5">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p w14:paraId="62A5F7CD">
            <w:pPr>
              <w:tabs>
                <w:tab w:val="right" w:leader="dot" w:pos="9022"/>
              </w:tabs>
              <w:autoSpaceDE w:val="0"/>
              <w:autoSpaceDN w:val="0"/>
              <w:adjustRightInd w:val="0"/>
              <w:spacing w:line="360" w:lineRule="auto"/>
              <w:jc w:val="center"/>
              <w:rPr>
                <w:rFonts w:asciiTheme="majorEastAsia" w:hAnsiTheme="majorEastAsia" w:eastAsiaTheme="majorEastAsia" w:cstheme="majorEastAsia"/>
                <w:color w:val="auto"/>
                <w:spacing w:val="-4"/>
                <w:sz w:val="24"/>
                <w:highlight w:val="none"/>
              </w:rPr>
            </w:pPr>
          </w:p>
          <w:p w14:paraId="7551A37B">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color w:val="auto"/>
                <w:spacing w:val="-4"/>
                <w:sz w:val="24"/>
                <w:highlight w:val="none"/>
              </w:rPr>
              <w:t>法定代表人二代身份证反面复印件或扫描件</w:t>
            </w:r>
          </w:p>
          <w:p w14:paraId="24534AA4">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p>
        </w:tc>
      </w:tr>
      <w:tr w14:paraId="0B6B8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jc w:val="center"/>
        </w:trPr>
        <w:tc>
          <w:tcPr>
            <w:tcW w:w="4648" w:type="dxa"/>
            <w:gridSpan w:val="4"/>
            <w:noWrap/>
            <w:vAlign w:val="center"/>
          </w:tcPr>
          <w:p w14:paraId="1B776B2A">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color w:val="auto"/>
                <w:spacing w:val="-4"/>
                <w:sz w:val="24"/>
                <w:highlight w:val="none"/>
              </w:rPr>
              <w:t>被授权人二代身份证正面复印件或扫描件</w:t>
            </w:r>
          </w:p>
          <w:p w14:paraId="0FCCFAF8">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c>
          <w:tcPr>
            <w:tcW w:w="4712" w:type="dxa"/>
            <w:gridSpan w:val="3"/>
            <w:noWrap/>
            <w:vAlign w:val="center"/>
          </w:tcPr>
          <w:p w14:paraId="305BBF84">
            <w:pPr>
              <w:tabs>
                <w:tab w:val="right" w:leader="dot" w:pos="9022"/>
              </w:tabs>
              <w:autoSpaceDE w:val="0"/>
              <w:autoSpaceDN w:val="0"/>
              <w:adjustRightInd w:val="0"/>
              <w:spacing w:line="360" w:lineRule="auto"/>
              <w:jc w:val="center"/>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color w:val="auto"/>
                <w:spacing w:val="-4"/>
                <w:sz w:val="24"/>
                <w:highlight w:val="none"/>
              </w:rPr>
              <w:t>被授权人二代身份证反面复印件或扫描件</w:t>
            </w:r>
          </w:p>
          <w:p w14:paraId="366E41AD">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p>
        </w:tc>
      </w:tr>
      <w:tr w14:paraId="4635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360" w:type="dxa"/>
            <w:gridSpan w:val="7"/>
            <w:tcBorders>
              <w:bottom w:val="single" w:color="auto" w:sz="4" w:space="0"/>
            </w:tcBorders>
            <w:noWrap/>
            <w:vAlign w:val="center"/>
          </w:tcPr>
          <w:p w14:paraId="1F980495">
            <w:pPr>
              <w:tabs>
                <w:tab w:val="right" w:leader="dot" w:pos="9022"/>
              </w:tabs>
              <w:autoSpaceDE w:val="0"/>
              <w:autoSpaceDN w:val="0"/>
              <w:adjustRightInd w:val="0"/>
              <w:spacing w:line="360" w:lineRule="auto"/>
              <w:jc w:val="left"/>
              <w:rPr>
                <w:rFonts w:asciiTheme="majorEastAsia" w:hAnsiTheme="majorEastAsia" w:eastAsiaTheme="majorEastAsia" w:cstheme="majorEastAsia"/>
                <w:bCs/>
                <w:caps/>
                <w:color w:val="auto"/>
                <w:sz w:val="24"/>
                <w:highlight w:val="none"/>
              </w:rPr>
            </w:pPr>
            <w:r>
              <w:rPr>
                <w:rFonts w:hint="eastAsia" w:asciiTheme="majorEastAsia" w:hAnsiTheme="majorEastAsia" w:eastAsiaTheme="majorEastAsia" w:cstheme="majorEastAsia"/>
                <w:bCs/>
                <w:caps/>
                <w:color w:val="auto"/>
                <w:sz w:val="24"/>
                <w:highlight w:val="none"/>
              </w:rPr>
              <w:t>法定代表人及被授权人签字：</w:t>
            </w:r>
          </w:p>
        </w:tc>
      </w:tr>
      <w:bookmarkEnd w:id="159"/>
    </w:tbl>
    <w:p w14:paraId="39BABFE1">
      <w:pPr>
        <w:rPr>
          <w:rFonts w:asciiTheme="majorEastAsia" w:hAnsiTheme="majorEastAsia" w:eastAsiaTheme="majorEastAsia" w:cstheme="majorEastAsia"/>
          <w:color w:val="auto"/>
          <w:highlight w:val="none"/>
        </w:rPr>
      </w:pPr>
    </w:p>
    <w:p w14:paraId="098B3D6F">
      <w:pPr>
        <w:ind w:firstLine="3360" w:firstLineChars="14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投标人（盖章）：</w:t>
      </w:r>
    </w:p>
    <w:p w14:paraId="3AF28A55">
      <w:pPr>
        <w:ind w:firstLine="3360" w:firstLineChars="1400"/>
        <w:jc w:val="left"/>
        <w:rPr>
          <w:rFonts w:asciiTheme="majorEastAsia" w:hAnsiTheme="majorEastAsia" w:eastAsiaTheme="majorEastAsia" w:cstheme="majorEastAsia"/>
          <w:bCs/>
          <w:color w:val="auto"/>
          <w:szCs w:val="21"/>
          <w:highlight w:val="none"/>
        </w:rPr>
      </w:pPr>
      <w:r>
        <w:rPr>
          <w:rFonts w:hint="eastAsia" w:asciiTheme="majorEastAsia" w:hAnsiTheme="majorEastAsia" w:eastAsiaTheme="majorEastAsia" w:cstheme="majorEastAsia"/>
          <w:color w:val="auto"/>
          <w:sz w:val="24"/>
          <w:highlight w:val="none"/>
        </w:rPr>
        <w:t>日    期：</w:t>
      </w:r>
      <w:r>
        <w:rPr>
          <w:rFonts w:hint="eastAsia" w:asciiTheme="majorEastAsia" w:hAnsiTheme="majorEastAsia" w:eastAsiaTheme="majorEastAsia" w:cstheme="majorEastAsia"/>
          <w:b/>
          <w:color w:val="auto"/>
          <w:highlight w:val="none"/>
        </w:rPr>
        <w:br w:type="page"/>
      </w:r>
    </w:p>
    <w:p w14:paraId="0F5ED09F">
      <w:pPr>
        <w:pStyle w:val="3"/>
        <w:numPr>
          <w:ilvl w:val="1"/>
          <w:numId w:val="0"/>
        </w:numPr>
        <w:adjustRightInd w:val="0"/>
        <w:spacing w:line="360" w:lineRule="auto"/>
        <w:ind w:left="575" w:leftChars="0"/>
        <w:jc w:val="center"/>
        <w:textAlignment w:val="baseline"/>
        <w:rPr>
          <w:rFonts w:hint="eastAsia" w:ascii="宋体" w:hAnsi="宋体" w:eastAsia="宋体" w:cs="宋体"/>
          <w:color w:val="auto"/>
          <w:highlight w:val="none"/>
        </w:rPr>
      </w:pPr>
      <w:r>
        <w:rPr>
          <w:rFonts w:hint="eastAsia" w:ascii="宋体" w:hAnsi="宋体" w:cs="宋体"/>
          <w:color w:val="auto"/>
          <w:szCs w:val="22"/>
          <w:highlight w:val="none"/>
          <w:lang w:eastAsia="zh-CN"/>
        </w:rPr>
        <w:t>五</w:t>
      </w:r>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rPr>
        <w:t>拟投入本项目的人员一览表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367"/>
        <w:gridCol w:w="1687"/>
        <w:gridCol w:w="1538"/>
        <w:gridCol w:w="1762"/>
        <w:gridCol w:w="2000"/>
      </w:tblGrid>
      <w:tr w14:paraId="112F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100A8F94">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1367" w:type="dxa"/>
            <w:noWrap w:val="0"/>
            <w:vAlign w:val="center"/>
          </w:tcPr>
          <w:p w14:paraId="12FD1C8B">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姓名</w:t>
            </w:r>
          </w:p>
        </w:tc>
        <w:tc>
          <w:tcPr>
            <w:tcW w:w="1687" w:type="dxa"/>
            <w:noWrap w:val="0"/>
            <w:vAlign w:val="center"/>
          </w:tcPr>
          <w:p w14:paraId="08E804AF">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职称</w:t>
            </w:r>
          </w:p>
        </w:tc>
        <w:tc>
          <w:tcPr>
            <w:tcW w:w="1538" w:type="dxa"/>
            <w:noWrap w:val="0"/>
            <w:vAlign w:val="center"/>
          </w:tcPr>
          <w:p w14:paraId="3758283E">
            <w:pPr>
              <w:spacing w:line="360" w:lineRule="auto"/>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专业</w:t>
            </w:r>
          </w:p>
        </w:tc>
        <w:tc>
          <w:tcPr>
            <w:tcW w:w="1762" w:type="dxa"/>
            <w:noWrap w:val="0"/>
            <w:vAlign w:val="center"/>
          </w:tcPr>
          <w:p w14:paraId="441C1F73">
            <w:pPr>
              <w:spacing w:line="360" w:lineRule="auto"/>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分工安排</w:t>
            </w:r>
          </w:p>
        </w:tc>
        <w:tc>
          <w:tcPr>
            <w:tcW w:w="2000" w:type="dxa"/>
            <w:noWrap w:val="0"/>
            <w:vAlign w:val="center"/>
          </w:tcPr>
          <w:p w14:paraId="67587C43">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备注</w:t>
            </w:r>
          </w:p>
        </w:tc>
      </w:tr>
      <w:tr w14:paraId="0537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3E3D79EE">
            <w:pPr>
              <w:spacing w:line="360" w:lineRule="auto"/>
              <w:jc w:val="center"/>
              <w:rPr>
                <w:rFonts w:hint="eastAsia" w:ascii="宋体" w:hAnsi="宋体" w:cs="宋体"/>
                <w:color w:val="auto"/>
                <w:highlight w:val="none"/>
              </w:rPr>
            </w:pPr>
          </w:p>
        </w:tc>
        <w:tc>
          <w:tcPr>
            <w:tcW w:w="1367" w:type="dxa"/>
            <w:noWrap w:val="0"/>
            <w:vAlign w:val="center"/>
          </w:tcPr>
          <w:p w14:paraId="083D2F51">
            <w:pPr>
              <w:spacing w:line="360" w:lineRule="auto"/>
              <w:jc w:val="center"/>
              <w:rPr>
                <w:rFonts w:hint="eastAsia" w:ascii="宋体" w:hAnsi="宋体" w:cs="宋体"/>
                <w:color w:val="auto"/>
                <w:highlight w:val="none"/>
              </w:rPr>
            </w:pPr>
          </w:p>
        </w:tc>
        <w:tc>
          <w:tcPr>
            <w:tcW w:w="1687" w:type="dxa"/>
            <w:noWrap w:val="0"/>
            <w:vAlign w:val="center"/>
          </w:tcPr>
          <w:p w14:paraId="504C399B">
            <w:pPr>
              <w:spacing w:line="360" w:lineRule="auto"/>
              <w:jc w:val="center"/>
              <w:rPr>
                <w:rFonts w:hint="eastAsia" w:ascii="宋体" w:hAnsi="宋体" w:cs="宋体"/>
                <w:color w:val="auto"/>
                <w:highlight w:val="none"/>
              </w:rPr>
            </w:pPr>
          </w:p>
        </w:tc>
        <w:tc>
          <w:tcPr>
            <w:tcW w:w="1538" w:type="dxa"/>
            <w:noWrap w:val="0"/>
            <w:vAlign w:val="center"/>
          </w:tcPr>
          <w:p w14:paraId="766857A5">
            <w:pPr>
              <w:spacing w:line="360" w:lineRule="auto"/>
              <w:jc w:val="center"/>
              <w:rPr>
                <w:rFonts w:hint="eastAsia" w:ascii="宋体" w:hAnsi="宋体" w:cs="宋体"/>
                <w:color w:val="auto"/>
                <w:highlight w:val="none"/>
              </w:rPr>
            </w:pPr>
          </w:p>
        </w:tc>
        <w:tc>
          <w:tcPr>
            <w:tcW w:w="1762" w:type="dxa"/>
            <w:noWrap w:val="0"/>
            <w:vAlign w:val="center"/>
          </w:tcPr>
          <w:p w14:paraId="24885FAA">
            <w:pPr>
              <w:spacing w:line="360" w:lineRule="auto"/>
              <w:jc w:val="center"/>
              <w:rPr>
                <w:rFonts w:hint="eastAsia" w:ascii="宋体" w:hAnsi="宋体" w:cs="宋体"/>
                <w:color w:val="auto"/>
                <w:highlight w:val="none"/>
              </w:rPr>
            </w:pPr>
          </w:p>
        </w:tc>
        <w:tc>
          <w:tcPr>
            <w:tcW w:w="2000" w:type="dxa"/>
            <w:noWrap w:val="0"/>
            <w:vAlign w:val="center"/>
          </w:tcPr>
          <w:p w14:paraId="10F14D8A">
            <w:pPr>
              <w:spacing w:line="360" w:lineRule="auto"/>
              <w:jc w:val="center"/>
              <w:rPr>
                <w:rFonts w:hint="eastAsia" w:ascii="宋体" w:hAnsi="宋体" w:cs="宋体"/>
                <w:color w:val="auto"/>
                <w:highlight w:val="none"/>
              </w:rPr>
            </w:pPr>
          </w:p>
        </w:tc>
      </w:tr>
      <w:tr w14:paraId="7642F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64674B40">
            <w:pPr>
              <w:spacing w:line="360" w:lineRule="auto"/>
              <w:jc w:val="center"/>
              <w:rPr>
                <w:rFonts w:hint="eastAsia" w:ascii="宋体" w:hAnsi="宋体" w:cs="宋体"/>
                <w:color w:val="auto"/>
                <w:highlight w:val="none"/>
              </w:rPr>
            </w:pPr>
          </w:p>
        </w:tc>
        <w:tc>
          <w:tcPr>
            <w:tcW w:w="1367" w:type="dxa"/>
            <w:noWrap w:val="0"/>
            <w:vAlign w:val="center"/>
          </w:tcPr>
          <w:p w14:paraId="0DBA8838">
            <w:pPr>
              <w:spacing w:line="360" w:lineRule="auto"/>
              <w:jc w:val="center"/>
              <w:rPr>
                <w:rFonts w:hint="eastAsia" w:ascii="宋体" w:hAnsi="宋体" w:cs="宋体"/>
                <w:color w:val="auto"/>
                <w:highlight w:val="none"/>
              </w:rPr>
            </w:pPr>
          </w:p>
        </w:tc>
        <w:tc>
          <w:tcPr>
            <w:tcW w:w="1687" w:type="dxa"/>
            <w:noWrap w:val="0"/>
            <w:vAlign w:val="center"/>
          </w:tcPr>
          <w:p w14:paraId="630DE276">
            <w:pPr>
              <w:spacing w:line="360" w:lineRule="auto"/>
              <w:jc w:val="center"/>
              <w:rPr>
                <w:rFonts w:hint="eastAsia" w:ascii="宋体" w:hAnsi="宋体" w:cs="宋体"/>
                <w:color w:val="auto"/>
                <w:highlight w:val="none"/>
              </w:rPr>
            </w:pPr>
          </w:p>
        </w:tc>
        <w:tc>
          <w:tcPr>
            <w:tcW w:w="1538" w:type="dxa"/>
            <w:noWrap w:val="0"/>
            <w:vAlign w:val="center"/>
          </w:tcPr>
          <w:p w14:paraId="3EE2D141">
            <w:pPr>
              <w:spacing w:line="360" w:lineRule="auto"/>
              <w:jc w:val="center"/>
              <w:rPr>
                <w:rFonts w:hint="eastAsia" w:ascii="宋体" w:hAnsi="宋体" w:cs="宋体"/>
                <w:color w:val="auto"/>
                <w:highlight w:val="none"/>
              </w:rPr>
            </w:pPr>
          </w:p>
        </w:tc>
        <w:tc>
          <w:tcPr>
            <w:tcW w:w="1762" w:type="dxa"/>
            <w:noWrap w:val="0"/>
            <w:vAlign w:val="center"/>
          </w:tcPr>
          <w:p w14:paraId="5899F004">
            <w:pPr>
              <w:spacing w:line="360" w:lineRule="auto"/>
              <w:jc w:val="center"/>
              <w:rPr>
                <w:rFonts w:hint="eastAsia" w:ascii="宋体" w:hAnsi="宋体" w:cs="宋体"/>
                <w:color w:val="auto"/>
                <w:highlight w:val="none"/>
              </w:rPr>
            </w:pPr>
          </w:p>
        </w:tc>
        <w:tc>
          <w:tcPr>
            <w:tcW w:w="2000" w:type="dxa"/>
            <w:noWrap w:val="0"/>
            <w:vAlign w:val="center"/>
          </w:tcPr>
          <w:p w14:paraId="00D2F3A8">
            <w:pPr>
              <w:spacing w:line="360" w:lineRule="auto"/>
              <w:jc w:val="center"/>
              <w:rPr>
                <w:rFonts w:hint="eastAsia" w:ascii="宋体" w:hAnsi="宋体" w:cs="宋体"/>
                <w:color w:val="auto"/>
                <w:highlight w:val="none"/>
              </w:rPr>
            </w:pPr>
          </w:p>
        </w:tc>
      </w:tr>
      <w:tr w14:paraId="6E24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0A0DDF67">
            <w:pPr>
              <w:spacing w:line="360" w:lineRule="auto"/>
              <w:jc w:val="center"/>
              <w:rPr>
                <w:rFonts w:hint="eastAsia" w:ascii="宋体" w:hAnsi="宋体" w:cs="宋体"/>
                <w:color w:val="auto"/>
                <w:highlight w:val="none"/>
              </w:rPr>
            </w:pPr>
          </w:p>
        </w:tc>
        <w:tc>
          <w:tcPr>
            <w:tcW w:w="1367" w:type="dxa"/>
            <w:noWrap w:val="0"/>
            <w:vAlign w:val="center"/>
          </w:tcPr>
          <w:p w14:paraId="619959F9">
            <w:pPr>
              <w:spacing w:line="360" w:lineRule="auto"/>
              <w:jc w:val="center"/>
              <w:rPr>
                <w:rFonts w:hint="eastAsia" w:ascii="宋体" w:hAnsi="宋体" w:cs="宋体"/>
                <w:color w:val="auto"/>
                <w:highlight w:val="none"/>
              </w:rPr>
            </w:pPr>
          </w:p>
        </w:tc>
        <w:tc>
          <w:tcPr>
            <w:tcW w:w="1687" w:type="dxa"/>
            <w:noWrap w:val="0"/>
            <w:vAlign w:val="center"/>
          </w:tcPr>
          <w:p w14:paraId="4AA489D7">
            <w:pPr>
              <w:spacing w:line="360" w:lineRule="auto"/>
              <w:jc w:val="center"/>
              <w:rPr>
                <w:rFonts w:hint="eastAsia" w:ascii="宋体" w:hAnsi="宋体" w:cs="宋体"/>
                <w:color w:val="auto"/>
                <w:highlight w:val="none"/>
              </w:rPr>
            </w:pPr>
          </w:p>
        </w:tc>
        <w:tc>
          <w:tcPr>
            <w:tcW w:w="1538" w:type="dxa"/>
            <w:noWrap w:val="0"/>
            <w:vAlign w:val="center"/>
          </w:tcPr>
          <w:p w14:paraId="79027D56">
            <w:pPr>
              <w:spacing w:line="360" w:lineRule="auto"/>
              <w:jc w:val="center"/>
              <w:rPr>
                <w:rFonts w:hint="eastAsia" w:ascii="宋体" w:hAnsi="宋体" w:cs="宋体"/>
                <w:color w:val="auto"/>
                <w:highlight w:val="none"/>
              </w:rPr>
            </w:pPr>
          </w:p>
        </w:tc>
        <w:tc>
          <w:tcPr>
            <w:tcW w:w="1762" w:type="dxa"/>
            <w:noWrap w:val="0"/>
            <w:vAlign w:val="center"/>
          </w:tcPr>
          <w:p w14:paraId="097F65AA">
            <w:pPr>
              <w:spacing w:line="360" w:lineRule="auto"/>
              <w:jc w:val="center"/>
              <w:rPr>
                <w:rFonts w:hint="eastAsia" w:ascii="宋体" w:hAnsi="宋体" w:cs="宋体"/>
                <w:color w:val="auto"/>
                <w:highlight w:val="none"/>
              </w:rPr>
            </w:pPr>
          </w:p>
        </w:tc>
        <w:tc>
          <w:tcPr>
            <w:tcW w:w="2000" w:type="dxa"/>
            <w:noWrap w:val="0"/>
            <w:vAlign w:val="center"/>
          </w:tcPr>
          <w:p w14:paraId="7DBE7502">
            <w:pPr>
              <w:spacing w:line="360" w:lineRule="auto"/>
              <w:jc w:val="center"/>
              <w:rPr>
                <w:rFonts w:hint="eastAsia" w:ascii="宋体" w:hAnsi="宋体" w:cs="宋体"/>
                <w:color w:val="auto"/>
                <w:highlight w:val="none"/>
              </w:rPr>
            </w:pPr>
          </w:p>
        </w:tc>
      </w:tr>
      <w:tr w14:paraId="225A1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284EFCE5">
            <w:pPr>
              <w:spacing w:line="360" w:lineRule="auto"/>
              <w:jc w:val="center"/>
              <w:rPr>
                <w:rFonts w:hint="eastAsia" w:ascii="宋体" w:hAnsi="宋体" w:cs="宋体"/>
                <w:color w:val="auto"/>
                <w:highlight w:val="none"/>
              </w:rPr>
            </w:pPr>
          </w:p>
        </w:tc>
        <w:tc>
          <w:tcPr>
            <w:tcW w:w="1367" w:type="dxa"/>
            <w:noWrap w:val="0"/>
            <w:vAlign w:val="center"/>
          </w:tcPr>
          <w:p w14:paraId="329DA05D">
            <w:pPr>
              <w:spacing w:line="360" w:lineRule="auto"/>
              <w:jc w:val="center"/>
              <w:rPr>
                <w:rFonts w:hint="eastAsia" w:ascii="宋体" w:hAnsi="宋体" w:cs="宋体"/>
                <w:color w:val="auto"/>
                <w:highlight w:val="none"/>
              </w:rPr>
            </w:pPr>
          </w:p>
        </w:tc>
        <w:tc>
          <w:tcPr>
            <w:tcW w:w="1687" w:type="dxa"/>
            <w:noWrap w:val="0"/>
            <w:vAlign w:val="center"/>
          </w:tcPr>
          <w:p w14:paraId="19AECDB9">
            <w:pPr>
              <w:spacing w:line="360" w:lineRule="auto"/>
              <w:jc w:val="center"/>
              <w:rPr>
                <w:rFonts w:hint="eastAsia" w:ascii="宋体" w:hAnsi="宋体" w:cs="宋体"/>
                <w:color w:val="auto"/>
                <w:highlight w:val="none"/>
              </w:rPr>
            </w:pPr>
          </w:p>
        </w:tc>
        <w:tc>
          <w:tcPr>
            <w:tcW w:w="1538" w:type="dxa"/>
            <w:noWrap w:val="0"/>
            <w:vAlign w:val="center"/>
          </w:tcPr>
          <w:p w14:paraId="772CC595">
            <w:pPr>
              <w:spacing w:line="360" w:lineRule="auto"/>
              <w:jc w:val="center"/>
              <w:rPr>
                <w:rFonts w:hint="eastAsia" w:ascii="宋体" w:hAnsi="宋体" w:cs="宋体"/>
                <w:color w:val="auto"/>
                <w:highlight w:val="none"/>
              </w:rPr>
            </w:pPr>
          </w:p>
        </w:tc>
        <w:tc>
          <w:tcPr>
            <w:tcW w:w="1762" w:type="dxa"/>
            <w:noWrap w:val="0"/>
            <w:vAlign w:val="center"/>
          </w:tcPr>
          <w:p w14:paraId="66153788">
            <w:pPr>
              <w:spacing w:line="360" w:lineRule="auto"/>
              <w:jc w:val="center"/>
              <w:rPr>
                <w:rFonts w:hint="eastAsia" w:ascii="宋体" w:hAnsi="宋体" w:cs="宋体"/>
                <w:color w:val="auto"/>
                <w:highlight w:val="none"/>
              </w:rPr>
            </w:pPr>
          </w:p>
        </w:tc>
        <w:tc>
          <w:tcPr>
            <w:tcW w:w="2000" w:type="dxa"/>
            <w:noWrap w:val="0"/>
            <w:vAlign w:val="center"/>
          </w:tcPr>
          <w:p w14:paraId="55AD867F">
            <w:pPr>
              <w:spacing w:line="360" w:lineRule="auto"/>
              <w:jc w:val="center"/>
              <w:rPr>
                <w:rFonts w:hint="eastAsia" w:ascii="宋体" w:hAnsi="宋体" w:cs="宋体"/>
                <w:color w:val="auto"/>
                <w:highlight w:val="none"/>
              </w:rPr>
            </w:pPr>
          </w:p>
        </w:tc>
      </w:tr>
      <w:tr w14:paraId="41DCA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7D11B6BE">
            <w:pPr>
              <w:spacing w:line="360" w:lineRule="auto"/>
              <w:jc w:val="center"/>
              <w:rPr>
                <w:rFonts w:hint="eastAsia" w:ascii="宋体" w:hAnsi="宋体" w:cs="宋体"/>
                <w:color w:val="auto"/>
                <w:highlight w:val="none"/>
              </w:rPr>
            </w:pPr>
          </w:p>
        </w:tc>
        <w:tc>
          <w:tcPr>
            <w:tcW w:w="1367" w:type="dxa"/>
            <w:noWrap w:val="0"/>
            <w:vAlign w:val="center"/>
          </w:tcPr>
          <w:p w14:paraId="67E1DDFE">
            <w:pPr>
              <w:spacing w:line="360" w:lineRule="auto"/>
              <w:jc w:val="center"/>
              <w:rPr>
                <w:rFonts w:hint="eastAsia" w:ascii="宋体" w:hAnsi="宋体" w:cs="宋体"/>
                <w:color w:val="auto"/>
                <w:highlight w:val="none"/>
              </w:rPr>
            </w:pPr>
          </w:p>
        </w:tc>
        <w:tc>
          <w:tcPr>
            <w:tcW w:w="1687" w:type="dxa"/>
            <w:noWrap w:val="0"/>
            <w:vAlign w:val="center"/>
          </w:tcPr>
          <w:p w14:paraId="12AFF9D3">
            <w:pPr>
              <w:spacing w:line="360" w:lineRule="auto"/>
              <w:jc w:val="center"/>
              <w:rPr>
                <w:rFonts w:hint="eastAsia" w:ascii="宋体" w:hAnsi="宋体" w:cs="宋体"/>
                <w:color w:val="auto"/>
                <w:highlight w:val="none"/>
              </w:rPr>
            </w:pPr>
          </w:p>
        </w:tc>
        <w:tc>
          <w:tcPr>
            <w:tcW w:w="1538" w:type="dxa"/>
            <w:noWrap w:val="0"/>
            <w:vAlign w:val="center"/>
          </w:tcPr>
          <w:p w14:paraId="4F02316C">
            <w:pPr>
              <w:spacing w:line="360" w:lineRule="auto"/>
              <w:jc w:val="center"/>
              <w:rPr>
                <w:rFonts w:hint="eastAsia" w:ascii="宋体" w:hAnsi="宋体" w:cs="宋体"/>
                <w:color w:val="auto"/>
                <w:highlight w:val="none"/>
              </w:rPr>
            </w:pPr>
          </w:p>
        </w:tc>
        <w:tc>
          <w:tcPr>
            <w:tcW w:w="1762" w:type="dxa"/>
            <w:noWrap w:val="0"/>
            <w:vAlign w:val="center"/>
          </w:tcPr>
          <w:p w14:paraId="57D3FFF2">
            <w:pPr>
              <w:spacing w:line="360" w:lineRule="auto"/>
              <w:jc w:val="center"/>
              <w:rPr>
                <w:rFonts w:hint="eastAsia" w:ascii="宋体" w:hAnsi="宋体" w:cs="宋体"/>
                <w:color w:val="auto"/>
                <w:highlight w:val="none"/>
              </w:rPr>
            </w:pPr>
          </w:p>
        </w:tc>
        <w:tc>
          <w:tcPr>
            <w:tcW w:w="2000" w:type="dxa"/>
            <w:noWrap w:val="0"/>
            <w:vAlign w:val="center"/>
          </w:tcPr>
          <w:p w14:paraId="6E4CCA7C">
            <w:pPr>
              <w:spacing w:line="360" w:lineRule="auto"/>
              <w:jc w:val="center"/>
              <w:rPr>
                <w:rFonts w:hint="eastAsia" w:ascii="宋体" w:hAnsi="宋体" w:cs="宋体"/>
                <w:color w:val="auto"/>
                <w:highlight w:val="none"/>
              </w:rPr>
            </w:pPr>
          </w:p>
        </w:tc>
      </w:tr>
      <w:tr w14:paraId="60CB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043B18BD">
            <w:pPr>
              <w:spacing w:line="360" w:lineRule="auto"/>
              <w:jc w:val="center"/>
              <w:rPr>
                <w:rFonts w:hint="eastAsia" w:ascii="宋体" w:hAnsi="宋体" w:cs="宋体"/>
                <w:color w:val="auto"/>
                <w:highlight w:val="none"/>
              </w:rPr>
            </w:pPr>
          </w:p>
        </w:tc>
        <w:tc>
          <w:tcPr>
            <w:tcW w:w="1367" w:type="dxa"/>
            <w:noWrap w:val="0"/>
            <w:vAlign w:val="center"/>
          </w:tcPr>
          <w:p w14:paraId="36F352A5">
            <w:pPr>
              <w:spacing w:line="360" w:lineRule="auto"/>
              <w:jc w:val="center"/>
              <w:rPr>
                <w:rFonts w:hint="eastAsia" w:ascii="宋体" w:hAnsi="宋体" w:cs="宋体"/>
                <w:color w:val="auto"/>
                <w:highlight w:val="none"/>
              </w:rPr>
            </w:pPr>
          </w:p>
        </w:tc>
        <w:tc>
          <w:tcPr>
            <w:tcW w:w="1687" w:type="dxa"/>
            <w:noWrap w:val="0"/>
            <w:vAlign w:val="center"/>
          </w:tcPr>
          <w:p w14:paraId="6706F5B7">
            <w:pPr>
              <w:spacing w:line="360" w:lineRule="auto"/>
              <w:jc w:val="center"/>
              <w:rPr>
                <w:rFonts w:hint="eastAsia" w:ascii="宋体" w:hAnsi="宋体" w:cs="宋体"/>
                <w:color w:val="auto"/>
                <w:highlight w:val="none"/>
              </w:rPr>
            </w:pPr>
          </w:p>
        </w:tc>
        <w:tc>
          <w:tcPr>
            <w:tcW w:w="1538" w:type="dxa"/>
            <w:noWrap w:val="0"/>
            <w:vAlign w:val="center"/>
          </w:tcPr>
          <w:p w14:paraId="6AC7A877">
            <w:pPr>
              <w:spacing w:line="360" w:lineRule="auto"/>
              <w:jc w:val="center"/>
              <w:rPr>
                <w:rFonts w:hint="eastAsia" w:ascii="宋体" w:hAnsi="宋体" w:cs="宋体"/>
                <w:color w:val="auto"/>
                <w:highlight w:val="none"/>
              </w:rPr>
            </w:pPr>
          </w:p>
        </w:tc>
        <w:tc>
          <w:tcPr>
            <w:tcW w:w="1762" w:type="dxa"/>
            <w:noWrap w:val="0"/>
            <w:vAlign w:val="center"/>
          </w:tcPr>
          <w:p w14:paraId="6175E028">
            <w:pPr>
              <w:spacing w:line="360" w:lineRule="auto"/>
              <w:jc w:val="center"/>
              <w:rPr>
                <w:rFonts w:hint="eastAsia" w:ascii="宋体" w:hAnsi="宋体" w:cs="宋体"/>
                <w:color w:val="auto"/>
                <w:highlight w:val="none"/>
              </w:rPr>
            </w:pPr>
          </w:p>
        </w:tc>
        <w:tc>
          <w:tcPr>
            <w:tcW w:w="2000" w:type="dxa"/>
            <w:noWrap w:val="0"/>
            <w:vAlign w:val="center"/>
          </w:tcPr>
          <w:p w14:paraId="11643014">
            <w:pPr>
              <w:spacing w:line="360" w:lineRule="auto"/>
              <w:jc w:val="center"/>
              <w:rPr>
                <w:rFonts w:hint="eastAsia" w:ascii="宋体" w:hAnsi="宋体" w:cs="宋体"/>
                <w:color w:val="auto"/>
                <w:highlight w:val="none"/>
              </w:rPr>
            </w:pPr>
          </w:p>
        </w:tc>
      </w:tr>
      <w:tr w14:paraId="7688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79221CD6">
            <w:pPr>
              <w:spacing w:line="360" w:lineRule="auto"/>
              <w:jc w:val="center"/>
              <w:rPr>
                <w:rFonts w:hint="eastAsia" w:ascii="宋体" w:hAnsi="宋体" w:cs="宋体"/>
                <w:color w:val="auto"/>
                <w:highlight w:val="none"/>
              </w:rPr>
            </w:pPr>
          </w:p>
        </w:tc>
        <w:tc>
          <w:tcPr>
            <w:tcW w:w="1367" w:type="dxa"/>
            <w:noWrap w:val="0"/>
            <w:vAlign w:val="center"/>
          </w:tcPr>
          <w:p w14:paraId="6D2606D3">
            <w:pPr>
              <w:spacing w:line="360" w:lineRule="auto"/>
              <w:jc w:val="center"/>
              <w:rPr>
                <w:rFonts w:hint="eastAsia" w:ascii="宋体" w:hAnsi="宋体" w:cs="宋体"/>
                <w:color w:val="auto"/>
                <w:highlight w:val="none"/>
              </w:rPr>
            </w:pPr>
          </w:p>
        </w:tc>
        <w:tc>
          <w:tcPr>
            <w:tcW w:w="1687" w:type="dxa"/>
            <w:noWrap w:val="0"/>
            <w:vAlign w:val="center"/>
          </w:tcPr>
          <w:p w14:paraId="5A3B0ADD">
            <w:pPr>
              <w:spacing w:line="360" w:lineRule="auto"/>
              <w:jc w:val="center"/>
              <w:rPr>
                <w:rFonts w:hint="eastAsia" w:ascii="宋体" w:hAnsi="宋体" w:cs="宋体"/>
                <w:color w:val="auto"/>
                <w:highlight w:val="none"/>
              </w:rPr>
            </w:pPr>
          </w:p>
        </w:tc>
        <w:tc>
          <w:tcPr>
            <w:tcW w:w="1538" w:type="dxa"/>
            <w:noWrap w:val="0"/>
            <w:vAlign w:val="center"/>
          </w:tcPr>
          <w:p w14:paraId="2029CF9D">
            <w:pPr>
              <w:spacing w:line="360" w:lineRule="auto"/>
              <w:jc w:val="center"/>
              <w:rPr>
                <w:rFonts w:hint="eastAsia" w:ascii="宋体" w:hAnsi="宋体" w:cs="宋体"/>
                <w:color w:val="auto"/>
                <w:highlight w:val="none"/>
              </w:rPr>
            </w:pPr>
          </w:p>
        </w:tc>
        <w:tc>
          <w:tcPr>
            <w:tcW w:w="1762" w:type="dxa"/>
            <w:noWrap w:val="0"/>
            <w:vAlign w:val="center"/>
          </w:tcPr>
          <w:p w14:paraId="3DE19E1D">
            <w:pPr>
              <w:spacing w:line="360" w:lineRule="auto"/>
              <w:jc w:val="center"/>
              <w:rPr>
                <w:rFonts w:hint="eastAsia" w:ascii="宋体" w:hAnsi="宋体" w:cs="宋体"/>
                <w:color w:val="auto"/>
                <w:highlight w:val="none"/>
              </w:rPr>
            </w:pPr>
          </w:p>
        </w:tc>
        <w:tc>
          <w:tcPr>
            <w:tcW w:w="2000" w:type="dxa"/>
            <w:noWrap w:val="0"/>
            <w:vAlign w:val="center"/>
          </w:tcPr>
          <w:p w14:paraId="639940D7">
            <w:pPr>
              <w:spacing w:line="360" w:lineRule="auto"/>
              <w:jc w:val="center"/>
              <w:rPr>
                <w:rFonts w:hint="eastAsia" w:ascii="宋体" w:hAnsi="宋体" w:cs="宋体"/>
                <w:color w:val="auto"/>
                <w:highlight w:val="none"/>
              </w:rPr>
            </w:pPr>
          </w:p>
        </w:tc>
      </w:tr>
      <w:tr w14:paraId="3F16E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560B2509">
            <w:pPr>
              <w:spacing w:line="360" w:lineRule="auto"/>
              <w:jc w:val="center"/>
              <w:rPr>
                <w:rFonts w:hint="eastAsia" w:ascii="宋体" w:hAnsi="宋体" w:cs="宋体"/>
                <w:color w:val="auto"/>
                <w:highlight w:val="none"/>
              </w:rPr>
            </w:pPr>
          </w:p>
        </w:tc>
        <w:tc>
          <w:tcPr>
            <w:tcW w:w="1367" w:type="dxa"/>
            <w:noWrap w:val="0"/>
            <w:vAlign w:val="center"/>
          </w:tcPr>
          <w:p w14:paraId="0C1F4B9F">
            <w:pPr>
              <w:spacing w:line="360" w:lineRule="auto"/>
              <w:jc w:val="center"/>
              <w:rPr>
                <w:rFonts w:hint="eastAsia" w:ascii="宋体" w:hAnsi="宋体" w:cs="宋体"/>
                <w:color w:val="auto"/>
                <w:highlight w:val="none"/>
              </w:rPr>
            </w:pPr>
          </w:p>
        </w:tc>
        <w:tc>
          <w:tcPr>
            <w:tcW w:w="1687" w:type="dxa"/>
            <w:noWrap w:val="0"/>
            <w:vAlign w:val="center"/>
          </w:tcPr>
          <w:p w14:paraId="5E568D27">
            <w:pPr>
              <w:spacing w:line="360" w:lineRule="auto"/>
              <w:jc w:val="center"/>
              <w:rPr>
                <w:rFonts w:hint="eastAsia" w:ascii="宋体" w:hAnsi="宋体" w:cs="宋体"/>
                <w:color w:val="auto"/>
                <w:highlight w:val="none"/>
              </w:rPr>
            </w:pPr>
          </w:p>
        </w:tc>
        <w:tc>
          <w:tcPr>
            <w:tcW w:w="1538" w:type="dxa"/>
            <w:noWrap w:val="0"/>
            <w:vAlign w:val="center"/>
          </w:tcPr>
          <w:p w14:paraId="79D1EF96">
            <w:pPr>
              <w:spacing w:line="360" w:lineRule="auto"/>
              <w:jc w:val="center"/>
              <w:rPr>
                <w:rFonts w:hint="eastAsia" w:ascii="宋体" w:hAnsi="宋体" w:cs="宋体"/>
                <w:color w:val="auto"/>
                <w:highlight w:val="none"/>
              </w:rPr>
            </w:pPr>
          </w:p>
        </w:tc>
        <w:tc>
          <w:tcPr>
            <w:tcW w:w="1762" w:type="dxa"/>
            <w:noWrap w:val="0"/>
            <w:vAlign w:val="center"/>
          </w:tcPr>
          <w:p w14:paraId="229DDCFC">
            <w:pPr>
              <w:spacing w:line="360" w:lineRule="auto"/>
              <w:jc w:val="center"/>
              <w:rPr>
                <w:rFonts w:hint="eastAsia" w:ascii="宋体" w:hAnsi="宋体" w:cs="宋体"/>
                <w:color w:val="auto"/>
                <w:highlight w:val="none"/>
              </w:rPr>
            </w:pPr>
          </w:p>
        </w:tc>
        <w:tc>
          <w:tcPr>
            <w:tcW w:w="2000" w:type="dxa"/>
            <w:noWrap w:val="0"/>
            <w:vAlign w:val="center"/>
          </w:tcPr>
          <w:p w14:paraId="3F058A9B">
            <w:pPr>
              <w:spacing w:line="360" w:lineRule="auto"/>
              <w:jc w:val="center"/>
              <w:rPr>
                <w:rFonts w:hint="eastAsia" w:ascii="宋体" w:hAnsi="宋体" w:cs="宋体"/>
                <w:color w:val="auto"/>
                <w:highlight w:val="none"/>
              </w:rPr>
            </w:pPr>
          </w:p>
        </w:tc>
      </w:tr>
      <w:tr w14:paraId="16AA4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426576C5">
            <w:pPr>
              <w:spacing w:line="360" w:lineRule="auto"/>
              <w:jc w:val="center"/>
              <w:rPr>
                <w:rFonts w:hint="eastAsia" w:ascii="宋体" w:hAnsi="宋体" w:cs="宋体"/>
                <w:color w:val="auto"/>
                <w:highlight w:val="none"/>
              </w:rPr>
            </w:pPr>
          </w:p>
        </w:tc>
        <w:tc>
          <w:tcPr>
            <w:tcW w:w="1367" w:type="dxa"/>
            <w:noWrap w:val="0"/>
            <w:vAlign w:val="center"/>
          </w:tcPr>
          <w:p w14:paraId="4C163412">
            <w:pPr>
              <w:spacing w:line="360" w:lineRule="auto"/>
              <w:jc w:val="center"/>
              <w:rPr>
                <w:rFonts w:hint="eastAsia" w:ascii="宋体" w:hAnsi="宋体" w:cs="宋体"/>
                <w:color w:val="auto"/>
                <w:highlight w:val="none"/>
              </w:rPr>
            </w:pPr>
          </w:p>
        </w:tc>
        <w:tc>
          <w:tcPr>
            <w:tcW w:w="1687" w:type="dxa"/>
            <w:noWrap w:val="0"/>
            <w:vAlign w:val="center"/>
          </w:tcPr>
          <w:p w14:paraId="4793A0C7">
            <w:pPr>
              <w:spacing w:line="360" w:lineRule="auto"/>
              <w:jc w:val="center"/>
              <w:rPr>
                <w:rFonts w:hint="eastAsia" w:ascii="宋体" w:hAnsi="宋体" w:cs="宋体"/>
                <w:color w:val="auto"/>
                <w:highlight w:val="none"/>
              </w:rPr>
            </w:pPr>
          </w:p>
        </w:tc>
        <w:tc>
          <w:tcPr>
            <w:tcW w:w="1538" w:type="dxa"/>
            <w:noWrap w:val="0"/>
            <w:vAlign w:val="center"/>
          </w:tcPr>
          <w:p w14:paraId="1C139CB1">
            <w:pPr>
              <w:spacing w:line="360" w:lineRule="auto"/>
              <w:jc w:val="center"/>
              <w:rPr>
                <w:rFonts w:hint="eastAsia" w:ascii="宋体" w:hAnsi="宋体" w:cs="宋体"/>
                <w:color w:val="auto"/>
                <w:highlight w:val="none"/>
              </w:rPr>
            </w:pPr>
          </w:p>
        </w:tc>
        <w:tc>
          <w:tcPr>
            <w:tcW w:w="1762" w:type="dxa"/>
            <w:noWrap w:val="0"/>
            <w:vAlign w:val="center"/>
          </w:tcPr>
          <w:p w14:paraId="1961E5FB">
            <w:pPr>
              <w:spacing w:line="360" w:lineRule="auto"/>
              <w:jc w:val="center"/>
              <w:rPr>
                <w:rFonts w:hint="eastAsia" w:ascii="宋体" w:hAnsi="宋体" w:cs="宋体"/>
                <w:color w:val="auto"/>
                <w:highlight w:val="none"/>
              </w:rPr>
            </w:pPr>
          </w:p>
        </w:tc>
        <w:tc>
          <w:tcPr>
            <w:tcW w:w="2000" w:type="dxa"/>
            <w:noWrap w:val="0"/>
            <w:vAlign w:val="center"/>
          </w:tcPr>
          <w:p w14:paraId="03EA80E8">
            <w:pPr>
              <w:spacing w:line="360" w:lineRule="auto"/>
              <w:jc w:val="center"/>
              <w:rPr>
                <w:rFonts w:hint="eastAsia" w:ascii="宋体" w:hAnsi="宋体" w:cs="宋体"/>
                <w:color w:val="auto"/>
                <w:highlight w:val="none"/>
              </w:rPr>
            </w:pPr>
          </w:p>
        </w:tc>
      </w:tr>
      <w:tr w14:paraId="467C9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0C165C51">
            <w:pPr>
              <w:spacing w:line="360" w:lineRule="auto"/>
              <w:jc w:val="center"/>
              <w:rPr>
                <w:rFonts w:hint="eastAsia" w:ascii="宋体" w:hAnsi="宋体" w:cs="宋体"/>
                <w:color w:val="auto"/>
                <w:highlight w:val="none"/>
              </w:rPr>
            </w:pPr>
          </w:p>
        </w:tc>
        <w:tc>
          <w:tcPr>
            <w:tcW w:w="1367" w:type="dxa"/>
            <w:noWrap w:val="0"/>
            <w:vAlign w:val="center"/>
          </w:tcPr>
          <w:p w14:paraId="7769A806">
            <w:pPr>
              <w:spacing w:line="360" w:lineRule="auto"/>
              <w:jc w:val="center"/>
              <w:rPr>
                <w:rFonts w:hint="eastAsia" w:ascii="宋体" w:hAnsi="宋体" w:cs="宋体"/>
                <w:color w:val="auto"/>
                <w:highlight w:val="none"/>
              </w:rPr>
            </w:pPr>
          </w:p>
        </w:tc>
        <w:tc>
          <w:tcPr>
            <w:tcW w:w="1687" w:type="dxa"/>
            <w:noWrap w:val="0"/>
            <w:vAlign w:val="center"/>
          </w:tcPr>
          <w:p w14:paraId="14B6120E">
            <w:pPr>
              <w:spacing w:line="360" w:lineRule="auto"/>
              <w:jc w:val="center"/>
              <w:rPr>
                <w:rFonts w:hint="eastAsia" w:ascii="宋体" w:hAnsi="宋体" w:cs="宋体"/>
                <w:color w:val="auto"/>
                <w:highlight w:val="none"/>
              </w:rPr>
            </w:pPr>
          </w:p>
        </w:tc>
        <w:tc>
          <w:tcPr>
            <w:tcW w:w="1538" w:type="dxa"/>
            <w:noWrap w:val="0"/>
            <w:vAlign w:val="center"/>
          </w:tcPr>
          <w:p w14:paraId="2A181D5D">
            <w:pPr>
              <w:spacing w:line="360" w:lineRule="auto"/>
              <w:jc w:val="center"/>
              <w:rPr>
                <w:rFonts w:hint="eastAsia" w:ascii="宋体" w:hAnsi="宋体" w:cs="宋体"/>
                <w:color w:val="auto"/>
                <w:highlight w:val="none"/>
              </w:rPr>
            </w:pPr>
          </w:p>
        </w:tc>
        <w:tc>
          <w:tcPr>
            <w:tcW w:w="1762" w:type="dxa"/>
            <w:noWrap w:val="0"/>
            <w:vAlign w:val="center"/>
          </w:tcPr>
          <w:p w14:paraId="1EBB9260">
            <w:pPr>
              <w:spacing w:line="360" w:lineRule="auto"/>
              <w:jc w:val="center"/>
              <w:rPr>
                <w:rFonts w:hint="eastAsia" w:ascii="宋体" w:hAnsi="宋体" w:cs="宋体"/>
                <w:color w:val="auto"/>
                <w:highlight w:val="none"/>
              </w:rPr>
            </w:pPr>
          </w:p>
        </w:tc>
        <w:tc>
          <w:tcPr>
            <w:tcW w:w="2000" w:type="dxa"/>
            <w:noWrap w:val="0"/>
            <w:vAlign w:val="center"/>
          </w:tcPr>
          <w:p w14:paraId="7D46AC59">
            <w:pPr>
              <w:spacing w:line="360" w:lineRule="auto"/>
              <w:jc w:val="center"/>
              <w:rPr>
                <w:rFonts w:hint="eastAsia" w:ascii="宋体" w:hAnsi="宋体" w:cs="宋体"/>
                <w:color w:val="auto"/>
                <w:highlight w:val="none"/>
              </w:rPr>
            </w:pPr>
          </w:p>
        </w:tc>
      </w:tr>
      <w:tr w14:paraId="6AE43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56" w:type="dxa"/>
            <w:noWrap w:val="0"/>
            <w:vAlign w:val="center"/>
          </w:tcPr>
          <w:p w14:paraId="13BB8575">
            <w:pPr>
              <w:spacing w:line="360" w:lineRule="auto"/>
              <w:jc w:val="center"/>
              <w:rPr>
                <w:rFonts w:hint="eastAsia" w:ascii="宋体" w:hAnsi="宋体" w:cs="宋体"/>
                <w:color w:val="auto"/>
                <w:highlight w:val="none"/>
              </w:rPr>
            </w:pPr>
          </w:p>
        </w:tc>
        <w:tc>
          <w:tcPr>
            <w:tcW w:w="1367" w:type="dxa"/>
            <w:noWrap w:val="0"/>
            <w:vAlign w:val="center"/>
          </w:tcPr>
          <w:p w14:paraId="1171ACD0">
            <w:pPr>
              <w:spacing w:line="360" w:lineRule="auto"/>
              <w:jc w:val="center"/>
              <w:rPr>
                <w:rFonts w:hint="eastAsia" w:ascii="宋体" w:hAnsi="宋体" w:cs="宋体"/>
                <w:color w:val="auto"/>
                <w:highlight w:val="none"/>
              </w:rPr>
            </w:pPr>
          </w:p>
        </w:tc>
        <w:tc>
          <w:tcPr>
            <w:tcW w:w="1687" w:type="dxa"/>
            <w:noWrap w:val="0"/>
            <w:vAlign w:val="center"/>
          </w:tcPr>
          <w:p w14:paraId="6679CA3A">
            <w:pPr>
              <w:spacing w:line="360" w:lineRule="auto"/>
              <w:jc w:val="center"/>
              <w:rPr>
                <w:rFonts w:hint="eastAsia" w:ascii="宋体" w:hAnsi="宋体" w:cs="宋体"/>
                <w:color w:val="auto"/>
                <w:highlight w:val="none"/>
              </w:rPr>
            </w:pPr>
          </w:p>
        </w:tc>
        <w:tc>
          <w:tcPr>
            <w:tcW w:w="1538" w:type="dxa"/>
            <w:noWrap w:val="0"/>
            <w:vAlign w:val="center"/>
          </w:tcPr>
          <w:p w14:paraId="617EC775">
            <w:pPr>
              <w:spacing w:line="360" w:lineRule="auto"/>
              <w:jc w:val="center"/>
              <w:rPr>
                <w:rFonts w:hint="eastAsia" w:ascii="宋体" w:hAnsi="宋体" w:cs="宋体"/>
                <w:color w:val="auto"/>
                <w:highlight w:val="none"/>
              </w:rPr>
            </w:pPr>
          </w:p>
        </w:tc>
        <w:tc>
          <w:tcPr>
            <w:tcW w:w="1762" w:type="dxa"/>
            <w:noWrap w:val="0"/>
            <w:vAlign w:val="center"/>
          </w:tcPr>
          <w:p w14:paraId="2109D98A">
            <w:pPr>
              <w:spacing w:line="360" w:lineRule="auto"/>
              <w:jc w:val="center"/>
              <w:rPr>
                <w:rFonts w:hint="eastAsia" w:ascii="宋体" w:hAnsi="宋体" w:cs="宋体"/>
                <w:color w:val="auto"/>
                <w:highlight w:val="none"/>
              </w:rPr>
            </w:pPr>
          </w:p>
        </w:tc>
        <w:tc>
          <w:tcPr>
            <w:tcW w:w="2000" w:type="dxa"/>
            <w:noWrap w:val="0"/>
            <w:vAlign w:val="center"/>
          </w:tcPr>
          <w:p w14:paraId="6F8A54E3">
            <w:pPr>
              <w:spacing w:line="360" w:lineRule="auto"/>
              <w:jc w:val="center"/>
              <w:rPr>
                <w:rFonts w:hint="eastAsia" w:ascii="宋体" w:hAnsi="宋体" w:cs="宋体"/>
                <w:color w:val="auto"/>
                <w:highlight w:val="none"/>
              </w:rPr>
            </w:pPr>
          </w:p>
        </w:tc>
      </w:tr>
    </w:tbl>
    <w:p w14:paraId="1944453C">
      <w:pPr>
        <w:spacing w:line="440" w:lineRule="exact"/>
        <w:jc w:val="both"/>
        <w:rPr>
          <w:rFonts w:hint="eastAsia" w:asciiTheme="majorEastAsia" w:hAnsiTheme="majorEastAsia" w:eastAsiaTheme="majorEastAsia" w:cstheme="majorEastAsia"/>
          <w:b/>
          <w:bCs/>
          <w:color w:val="auto"/>
          <w:sz w:val="32"/>
          <w:szCs w:val="32"/>
          <w:highlight w:val="none"/>
          <w:lang w:eastAsia="zh-CN"/>
        </w:rPr>
      </w:pPr>
      <w:r>
        <w:rPr>
          <w:rFonts w:hint="eastAsia" w:ascii="宋体" w:hAnsi="宋体" w:cs="宋体"/>
          <w:b/>
          <w:color w:val="auto"/>
          <w:kern w:val="0"/>
          <w:sz w:val="24"/>
          <w:szCs w:val="24"/>
          <w:highlight w:val="none"/>
        </w:rPr>
        <w:t>注：本表后应附拟投入本项目主要人员的相关证件加盖投标人公章</w:t>
      </w:r>
      <w:r>
        <w:rPr>
          <w:rFonts w:hint="eastAsia" w:ascii="宋体" w:hAnsi="宋体" w:eastAsia="宋体" w:cs="宋体"/>
          <w:b/>
          <w:color w:val="auto"/>
          <w:kern w:val="0"/>
          <w:sz w:val="24"/>
          <w:szCs w:val="24"/>
          <w:highlight w:val="none"/>
        </w:rPr>
        <w:t>。</w:t>
      </w:r>
    </w:p>
    <w:p w14:paraId="16A1C938">
      <w:pPr>
        <w:spacing w:line="440" w:lineRule="exact"/>
        <w:jc w:val="center"/>
        <w:rPr>
          <w:rFonts w:hint="eastAsia" w:asciiTheme="majorEastAsia" w:hAnsiTheme="majorEastAsia" w:eastAsiaTheme="majorEastAsia" w:cstheme="majorEastAsia"/>
          <w:b/>
          <w:bCs/>
          <w:color w:val="auto"/>
          <w:sz w:val="32"/>
          <w:szCs w:val="32"/>
          <w:highlight w:val="none"/>
          <w:lang w:eastAsia="zh-CN"/>
        </w:rPr>
      </w:pPr>
    </w:p>
    <w:p w14:paraId="5B117BA4">
      <w:pPr>
        <w:spacing w:line="440" w:lineRule="exact"/>
        <w:jc w:val="center"/>
        <w:rPr>
          <w:rFonts w:hint="eastAsia" w:asciiTheme="majorEastAsia" w:hAnsiTheme="majorEastAsia" w:eastAsiaTheme="majorEastAsia" w:cstheme="majorEastAsia"/>
          <w:b/>
          <w:bCs/>
          <w:color w:val="auto"/>
          <w:sz w:val="32"/>
          <w:szCs w:val="32"/>
          <w:highlight w:val="none"/>
          <w:lang w:eastAsia="zh-CN"/>
        </w:rPr>
      </w:pPr>
    </w:p>
    <w:p w14:paraId="784B10B8">
      <w:pPr>
        <w:spacing w:line="440" w:lineRule="exact"/>
        <w:jc w:val="center"/>
        <w:rPr>
          <w:rFonts w:hint="eastAsia" w:asciiTheme="majorEastAsia" w:hAnsiTheme="majorEastAsia" w:eastAsiaTheme="majorEastAsia" w:cstheme="majorEastAsia"/>
          <w:b/>
          <w:bCs/>
          <w:color w:val="auto"/>
          <w:sz w:val="32"/>
          <w:szCs w:val="32"/>
          <w:highlight w:val="none"/>
          <w:lang w:eastAsia="zh-CN"/>
        </w:rPr>
      </w:pPr>
    </w:p>
    <w:p w14:paraId="2C2CB2EE">
      <w:pPr>
        <w:spacing w:line="440" w:lineRule="exact"/>
        <w:jc w:val="center"/>
        <w:rPr>
          <w:rFonts w:hint="eastAsia" w:asciiTheme="majorEastAsia" w:hAnsiTheme="majorEastAsia" w:eastAsiaTheme="majorEastAsia" w:cstheme="majorEastAsia"/>
          <w:b/>
          <w:bCs/>
          <w:color w:val="auto"/>
          <w:sz w:val="32"/>
          <w:szCs w:val="32"/>
          <w:highlight w:val="none"/>
          <w:lang w:eastAsia="zh-CN"/>
        </w:rPr>
      </w:pPr>
    </w:p>
    <w:p w14:paraId="3793A2DE">
      <w:pPr>
        <w:spacing w:line="440" w:lineRule="exact"/>
        <w:jc w:val="center"/>
        <w:rPr>
          <w:rFonts w:hint="eastAsia" w:asciiTheme="majorEastAsia" w:hAnsiTheme="majorEastAsia" w:eastAsiaTheme="majorEastAsia" w:cstheme="majorEastAsia"/>
          <w:b/>
          <w:bCs/>
          <w:color w:val="auto"/>
          <w:sz w:val="32"/>
          <w:szCs w:val="32"/>
          <w:highlight w:val="none"/>
          <w:lang w:eastAsia="zh-CN"/>
        </w:rPr>
      </w:pPr>
    </w:p>
    <w:p w14:paraId="06713E2F">
      <w:pPr>
        <w:spacing w:line="440" w:lineRule="exact"/>
        <w:jc w:val="center"/>
        <w:rPr>
          <w:rFonts w:hint="eastAsia" w:asciiTheme="majorEastAsia" w:hAnsiTheme="majorEastAsia" w:eastAsiaTheme="majorEastAsia" w:cstheme="majorEastAsia"/>
          <w:b/>
          <w:bCs/>
          <w:color w:val="auto"/>
          <w:sz w:val="32"/>
          <w:szCs w:val="32"/>
          <w:highlight w:val="none"/>
          <w:lang w:eastAsia="zh-CN"/>
        </w:rPr>
      </w:pPr>
    </w:p>
    <w:p w14:paraId="40207721">
      <w:pPr>
        <w:spacing w:line="440" w:lineRule="exact"/>
        <w:jc w:val="center"/>
        <w:rPr>
          <w:rFonts w:hint="eastAsia" w:asciiTheme="majorEastAsia" w:hAnsiTheme="majorEastAsia" w:eastAsiaTheme="majorEastAsia" w:cstheme="majorEastAsia"/>
          <w:b/>
          <w:bCs/>
          <w:color w:val="auto"/>
          <w:sz w:val="32"/>
          <w:szCs w:val="32"/>
          <w:highlight w:val="none"/>
          <w:lang w:eastAsia="zh-CN"/>
        </w:rPr>
      </w:pPr>
    </w:p>
    <w:p w14:paraId="227A17F1">
      <w:pPr>
        <w:spacing w:line="440" w:lineRule="exact"/>
        <w:jc w:val="center"/>
        <w:rPr>
          <w:rFonts w:hint="eastAsia" w:asciiTheme="majorEastAsia" w:hAnsiTheme="majorEastAsia" w:eastAsiaTheme="majorEastAsia" w:cstheme="majorEastAsia"/>
          <w:b/>
          <w:bCs/>
          <w:color w:val="auto"/>
          <w:sz w:val="32"/>
          <w:szCs w:val="32"/>
          <w:highlight w:val="none"/>
          <w:lang w:eastAsia="zh-CN"/>
        </w:rPr>
      </w:pPr>
    </w:p>
    <w:p w14:paraId="588B0095">
      <w:pPr>
        <w:spacing w:line="440" w:lineRule="exact"/>
        <w:jc w:val="center"/>
        <w:rPr>
          <w:rFonts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lang w:eastAsia="zh-CN"/>
        </w:rPr>
        <w:t>六</w:t>
      </w:r>
      <w:r>
        <w:rPr>
          <w:rFonts w:hint="eastAsia" w:asciiTheme="majorEastAsia" w:hAnsiTheme="majorEastAsia" w:eastAsiaTheme="majorEastAsia" w:cstheme="majorEastAsia"/>
          <w:b/>
          <w:bCs/>
          <w:color w:val="auto"/>
          <w:sz w:val="32"/>
          <w:szCs w:val="32"/>
          <w:highlight w:val="none"/>
        </w:rPr>
        <w:t>、投标人资格证明文件</w:t>
      </w:r>
    </w:p>
    <w:p w14:paraId="71797978">
      <w:pPr>
        <w:spacing w:line="440" w:lineRule="exact"/>
        <w:jc w:val="center"/>
        <w:rPr>
          <w:rFonts w:asciiTheme="majorEastAsia" w:hAnsiTheme="majorEastAsia" w:eastAsiaTheme="majorEastAsia" w:cstheme="majorEastAsia"/>
          <w:b/>
          <w:bCs/>
          <w:color w:val="auto"/>
          <w:sz w:val="32"/>
          <w:szCs w:val="32"/>
          <w:highlight w:val="none"/>
        </w:rPr>
      </w:pPr>
    </w:p>
    <w:p w14:paraId="017801D7">
      <w:pPr>
        <w:spacing w:beforeLines="50" w:line="400" w:lineRule="exact"/>
        <w:ind w:left="-141" w:leftChars="-67" w:firstLine="480" w:firstLineChars="200"/>
        <w:rPr>
          <w:rFonts w:asciiTheme="majorEastAsia" w:hAnsiTheme="majorEastAsia" w:eastAsiaTheme="majorEastAsia" w:cstheme="majorEastAsia"/>
          <w:color w:val="auto"/>
          <w:sz w:val="24"/>
          <w:highlight w:val="none"/>
        </w:rPr>
        <w:sectPr>
          <w:headerReference r:id="rId21" w:type="first"/>
          <w:footerReference r:id="rId23" w:type="first"/>
          <w:headerReference r:id="rId20" w:type="default"/>
          <w:footerReference r:id="rId22" w:type="default"/>
          <w:pgSz w:w="11900" w:h="16838"/>
          <w:pgMar w:top="1429" w:right="1417" w:bottom="1417" w:left="1417" w:header="850" w:footer="850" w:gutter="0"/>
          <w:pgNumType w:fmt="decimal"/>
          <w:cols w:space="0" w:num="1"/>
          <w:rtlGutter w:val="0"/>
          <w:docGrid w:linePitch="360" w:charSpace="0"/>
        </w:sectPr>
      </w:pPr>
      <w:r>
        <w:rPr>
          <w:rFonts w:hint="eastAsia" w:asciiTheme="majorEastAsia" w:hAnsiTheme="majorEastAsia" w:eastAsiaTheme="majorEastAsia" w:cstheme="majorEastAsia"/>
          <w:color w:val="auto"/>
          <w:sz w:val="24"/>
          <w:highlight w:val="none"/>
        </w:rPr>
        <w:t>投标人按“第一章 招标公告 二、申请人的资格要求 3.本项目的特定资格要求”逐一提供全部资料，缺少其中任何一项，其投标文件将被视为无效文件。其中，《榆林市政府采购</w:t>
      </w:r>
      <w:r>
        <w:rPr>
          <w:rFonts w:hint="eastAsia" w:asciiTheme="majorEastAsia" w:hAnsiTheme="majorEastAsia" w:eastAsiaTheme="majorEastAsia" w:cstheme="majorEastAsia"/>
          <w:color w:val="auto"/>
          <w:sz w:val="24"/>
          <w:highlight w:val="none"/>
          <w:lang w:eastAsia="zh-CN"/>
        </w:rPr>
        <w:t>服务</w:t>
      </w:r>
      <w:r>
        <w:rPr>
          <w:rFonts w:hint="eastAsia" w:asciiTheme="majorEastAsia" w:hAnsiTheme="majorEastAsia" w:eastAsiaTheme="majorEastAsia" w:cstheme="majorEastAsia"/>
          <w:color w:val="auto"/>
          <w:sz w:val="24"/>
          <w:highlight w:val="none"/>
        </w:rPr>
        <w:t>类项目供应商信用承诺书》、《投标人信用承诺》、《投标信用承诺》、《投标人委托代理人员信用承诺书》（如有）应按下文给定格式填写，否则</w:t>
      </w:r>
      <w:r>
        <w:rPr>
          <w:rFonts w:hint="eastAsia" w:asciiTheme="majorEastAsia" w:hAnsiTheme="majorEastAsia" w:eastAsiaTheme="majorEastAsia" w:cstheme="majorEastAsia"/>
          <w:b/>
          <w:bCs/>
          <w:color w:val="auto"/>
          <w:sz w:val="24"/>
          <w:highlight w:val="none"/>
        </w:rPr>
        <w:t>按无效处理</w:t>
      </w:r>
      <w:r>
        <w:rPr>
          <w:rFonts w:hint="eastAsia" w:asciiTheme="majorEastAsia" w:hAnsiTheme="majorEastAsia" w:eastAsiaTheme="majorEastAsia" w:cstheme="majorEastAsia"/>
          <w:color w:val="auto"/>
          <w:sz w:val="24"/>
          <w:highlight w:val="none"/>
        </w:rPr>
        <w:t>。</w:t>
      </w:r>
    </w:p>
    <w:p w14:paraId="1B1D790F">
      <w:pPr>
        <w:spacing w:line="360" w:lineRule="auto"/>
        <w:jc w:val="center"/>
        <w:rPr>
          <w:rFonts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榆林市政府采购</w:t>
      </w:r>
      <w:r>
        <w:rPr>
          <w:rFonts w:hint="eastAsia" w:asciiTheme="majorEastAsia" w:hAnsiTheme="majorEastAsia" w:eastAsiaTheme="majorEastAsia" w:cstheme="majorEastAsia"/>
          <w:b/>
          <w:color w:val="auto"/>
          <w:sz w:val="24"/>
          <w:highlight w:val="none"/>
          <w:lang w:eastAsia="zh-CN"/>
        </w:rPr>
        <w:t>服务</w:t>
      </w:r>
      <w:r>
        <w:rPr>
          <w:rFonts w:hint="eastAsia" w:asciiTheme="majorEastAsia" w:hAnsiTheme="majorEastAsia" w:eastAsiaTheme="majorEastAsia" w:cstheme="majorEastAsia"/>
          <w:b/>
          <w:color w:val="auto"/>
          <w:sz w:val="24"/>
          <w:highlight w:val="none"/>
        </w:rPr>
        <w:t>类项目供应商信用承诺书</w:t>
      </w:r>
    </w:p>
    <w:p w14:paraId="626D56C0">
      <w:pPr>
        <w:spacing w:line="360" w:lineRule="auto"/>
        <w:ind w:firstLine="480" w:firstLineChars="200"/>
        <w:rPr>
          <w:rFonts w:asciiTheme="majorEastAsia" w:hAnsiTheme="majorEastAsia" w:eastAsiaTheme="majorEastAsia" w:cstheme="majorEastAsia"/>
          <w:color w:val="auto"/>
          <w:sz w:val="24"/>
          <w:highlight w:val="none"/>
        </w:rPr>
      </w:pPr>
    </w:p>
    <w:p w14:paraId="7921691C">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市场主体名称：</w:t>
      </w:r>
    </w:p>
    <w:p w14:paraId="1EE18CA5">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证件类型：统一社会信用代码</w:t>
      </w:r>
    </w:p>
    <w:p w14:paraId="69468CEA">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证件号码：</w:t>
      </w:r>
    </w:p>
    <w:p w14:paraId="2468BFF1">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法人代表：</w:t>
      </w:r>
    </w:p>
    <w:p w14:paraId="14B910E7">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承诺有效期限：    年    月    日—    年    月    日</w:t>
      </w:r>
    </w:p>
    <w:p w14:paraId="20DF0B3F">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承诺内容：</w:t>
      </w:r>
    </w:p>
    <w:p w14:paraId="0A5725EE">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为维护公开、公平、公正的政府采购市场秩序，树立诚实守信的政府采购供应商形象，本单位自愿做出以下承诺：</w:t>
      </w:r>
    </w:p>
    <w:p w14:paraId="661DC042">
      <w:pPr>
        <w:spacing w:line="360" w:lineRule="auto"/>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一、承诺本单位严格遵守国家法律、法规和规章，全面履行应尽的责任和义务，全面做到履约守信，具备《政府采购法》第二十二条第一款规定的条件;</w:t>
      </w:r>
    </w:p>
    <w:p w14:paraId="1497E12A">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二、承诺本单位提供给注册登记部门、行业管理部门、司法部门、行业组织以及在政府采购活动中提交的所有资料均合法、真实、有效，无任何伪造、修改、虚假成份，并对所提供资料的真实性负责；</w:t>
      </w:r>
    </w:p>
    <w:p w14:paraId="55E361A2">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三、承诺本单位严格依法开展生产经营活动，主动接受行业监管，自愿接受依法开展的日常检查；违法失信经营后将自愿接受约束和惩戒，并依法承担相应责任；</w:t>
      </w:r>
    </w:p>
    <w:p w14:paraId="0DAEF7D6">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四、承诺本单位自觉接受行政管理部门、行业组织、社会公众、新闻舆论的监督；</w:t>
      </w:r>
    </w:p>
    <w:p w14:paraId="16B6B26D">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五、承诺本单位自我约束、自我管理，重合同、守信用，不制假售假、商标侵权、虚假宣传、违约毁约、恶意逃债、偷税漏税、价格欺诈、垄断和不正当竞争，维护经营者、消费者的合法权益；</w:t>
      </w:r>
    </w:p>
    <w:p w14:paraId="4EC71BA8">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六、承诺本单位提出政府采购质疑和投诉坚持依法依规、诚实信用原则，在全国范围12个月内没有三次以上查无实据的政府采购投诉；</w:t>
      </w:r>
    </w:p>
    <w:p w14:paraId="0C594B64">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七、根据政府采购相关法律法规的规定需要作出的其他诺：</w:t>
      </w:r>
      <w:r>
        <w:rPr>
          <w:rFonts w:hint="eastAsia" w:asciiTheme="majorEastAsia" w:hAnsiTheme="majorEastAsia" w:eastAsiaTheme="majorEastAsia" w:cstheme="majorEastAsia"/>
          <w:color w:val="auto"/>
          <w:sz w:val="24"/>
          <w:highlight w:val="none"/>
          <w:u w:val="single"/>
        </w:rPr>
        <w:t>         </w:t>
      </w:r>
      <w:r>
        <w:rPr>
          <w:rFonts w:hint="eastAsia" w:asciiTheme="majorEastAsia" w:hAnsiTheme="majorEastAsia" w:eastAsiaTheme="majorEastAsia" w:cstheme="majorEastAsia"/>
          <w:color w:val="auto"/>
          <w:sz w:val="24"/>
          <w:highlight w:val="none"/>
        </w:rPr>
        <w:t>。</w:t>
      </w:r>
    </w:p>
    <w:p w14:paraId="0952DA56">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4773922">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p>
    <w:p w14:paraId="03F1B930">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承诺单位（盖章）：</w:t>
      </w:r>
    </w:p>
    <w:p w14:paraId="23B90A51">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法定代表人（负责人）：</w:t>
      </w:r>
    </w:p>
    <w:p w14:paraId="3C3C1BBA">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法定代表人（负责人）身份证号：</w:t>
      </w:r>
    </w:p>
    <w:p w14:paraId="7DB4D08E">
      <w:pPr>
        <w:overflowPunct w:val="0"/>
        <w:topLinePunct/>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承诺日期：</w:t>
      </w:r>
    </w:p>
    <w:p w14:paraId="07F77E13">
      <w:pPr>
        <w:pStyle w:val="109"/>
        <w:spacing w:line="360" w:lineRule="auto"/>
        <w:ind w:firstLine="0" w:firstLineChars="0"/>
        <w:rPr>
          <w:rFonts w:asciiTheme="majorEastAsia" w:hAnsiTheme="majorEastAsia" w:eastAsiaTheme="majorEastAsia" w:cstheme="majorEastAsia"/>
          <w:b/>
          <w:bCs/>
          <w:color w:val="auto"/>
          <w:sz w:val="24"/>
          <w:highlight w:val="none"/>
        </w:rPr>
      </w:pPr>
    </w:p>
    <w:p w14:paraId="344B60CC">
      <w:pPr>
        <w:pStyle w:val="109"/>
        <w:spacing w:line="360" w:lineRule="auto"/>
        <w:ind w:firstLine="0" w:firstLineChars="0"/>
        <w:rPr>
          <w:rFonts w:asciiTheme="majorEastAsia" w:hAnsiTheme="majorEastAsia" w:eastAsiaTheme="majorEastAsia" w:cstheme="majorEastAsia"/>
          <w:b/>
          <w:bCs/>
          <w:color w:val="auto"/>
          <w:sz w:val="24"/>
          <w:highlight w:val="none"/>
        </w:rPr>
      </w:pPr>
    </w:p>
    <w:p w14:paraId="53164660">
      <w:pPr>
        <w:pStyle w:val="109"/>
        <w:spacing w:line="360" w:lineRule="auto"/>
        <w:ind w:firstLine="0" w:firstLineChars="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注：此承诺书除附在投标文件中外还须上传至“信用中国（陕西榆林）”网站投标人自主上报信用承诺书附件。（承诺有效期为1年，承诺起始时间为提交投标文件截止之日，须后附截图。）法定</w:t>
      </w:r>
    </w:p>
    <w:p w14:paraId="11F02AAF">
      <w:pPr>
        <w:pStyle w:val="109"/>
        <w:spacing w:line="360" w:lineRule="auto"/>
        <w:ind w:firstLine="0" w:firstLineChars="0"/>
        <w:jc w:val="center"/>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color w:val="auto"/>
          <w:szCs w:val="21"/>
          <w:highlight w:val="none"/>
        </w:rPr>
        <w:t>代表人或负责人、主体名称发生变更的应当重新做出承诺。</w:t>
      </w:r>
      <w:r>
        <w:rPr>
          <w:rFonts w:hint="eastAsia" w:asciiTheme="majorEastAsia" w:hAnsiTheme="majorEastAsia" w:eastAsiaTheme="majorEastAsia" w:cstheme="majorEastAsia"/>
          <w:color w:val="auto"/>
          <w:szCs w:val="21"/>
          <w:highlight w:val="none"/>
        </w:rPr>
        <w:br w:type="page"/>
      </w:r>
      <w:r>
        <w:rPr>
          <w:rFonts w:hint="eastAsia" w:asciiTheme="majorEastAsia" w:hAnsiTheme="majorEastAsia" w:eastAsiaTheme="majorEastAsia" w:cstheme="majorEastAsia"/>
          <w:b/>
          <w:bCs/>
          <w:color w:val="auto"/>
          <w:sz w:val="24"/>
          <w:highlight w:val="none"/>
        </w:rPr>
        <w:t>投标人信用承诺</w:t>
      </w:r>
    </w:p>
    <w:p w14:paraId="1573AF0A">
      <w:pPr>
        <w:widowControl/>
        <w:spacing w:line="360" w:lineRule="auto"/>
        <w:jc w:val="left"/>
        <w:rPr>
          <w:rFonts w:hint="eastAsia" w:asciiTheme="majorEastAsia" w:hAnsiTheme="majorEastAsia" w:eastAsiaTheme="majorEastAsia" w:cstheme="majorEastAsia"/>
          <w:color w:val="auto"/>
          <w:sz w:val="24"/>
          <w:highlight w:val="none"/>
          <w:u w:val="none"/>
          <w:lang w:val="en-US" w:eastAsia="zh-CN"/>
        </w:rPr>
      </w:pPr>
      <w:r>
        <w:rPr>
          <w:rFonts w:hint="eastAsia" w:asciiTheme="majorEastAsia" w:hAnsiTheme="majorEastAsia" w:eastAsiaTheme="majorEastAsia" w:cstheme="majorEastAsia"/>
          <w:color w:val="auto"/>
          <w:sz w:val="24"/>
          <w:highlight w:val="none"/>
        </w:rPr>
        <w:t>投标人：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u w:val="none"/>
          <w:lang w:val="en-US" w:eastAsia="zh-CN"/>
        </w:rPr>
        <w:t xml:space="preserve"> </w:t>
      </w:r>
    </w:p>
    <w:p w14:paraId="0D576E97">
      <w:pPr>
        <w:widowControl/>
        <w:spacing w:line="360" w:lineRule="auto"/>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统一社会信用代码：</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u w:val="none"/>
          <w:lang w:val="en-US" w:eastAsia="zh-CN"/>
        </w:rPr>
        <w:t xml:space="preserve"> </w:t>
      </w: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法人代表：</w:t>
      </w:r>
      <w:r>
        <w:rPr>
          <w:rFonts w:hint="eastAsia" w:asciiTheme="majorEastAsia" w:hAnsiTheme="majorEastAsia" w:eastAsiaTheme="majorEastAsia" w:cstheme="majorEastAsia"/>
          <w:color w:val="auto"/>
          <w:sz w:val="24"/>
          <w:highlight w:val="none"/>
          <w:u w:val="single"/>
          <w:lang w:val="en-US" w:eastAsia="zh-CN"/>
        </w:rPr>
        <w:t xml:space="preserve">                            </w:t>
      </w:r>
    </w:p>
    <w:p w14:paraId="4B8D14A7">
      <w:pPr>
        <w:widowControl/>
        <w:spacing w:line="360" w:lineRule="auto"/>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承诺有效期限：</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年</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日—</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年</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日</w:t>
      </w:r>
    </w:p>
    <w:p w14:paraId="7682DAA0">
      <w:pPr>
        <w:widowControl/>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在项目招投标活动中，我公司（单位）郑重作出以下信用承诺：</w:t>
      </w:r>
    </w:p>
    <w:p w14:paraId="0DE25911">
      <w:pPr>
        <w:widowControl/>
        <w:spacing w:line="360" w:lineRule="auto"/>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77B88FF2">
      <w:pPr>
        <w:widowControl/>
        <w:spacing w:line="360" w:lineRule="auto"/>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磋商文件和投标文件与招标人签订合同；在签订合同时向招标人提出附加条件、或者改变投标文件的实质性内容；放弃中标；不按照招标文件的规定提交履约保证金。5.招投标法规定的其它违法违规行为。</w:t>
      </w:r>
    </w:p>
    <w:p w14:paraId="19F68CDD">
      <w:pPr>
        <w:spacing w:line="360" w:lineRule="auto"/>
        <w:ind w:firstLine="480" w:firstLineChars="200"/>
        <w:rPr>
          <w:rFonts w:asciiTheme="majorEastAsia" w:hAnsiTheme="majorEastAsia" w:eastAsiaTheme="majorEastAsia" w:cstheme="majorEastAsia"/>
          <w:color w:val="auto"/>
          <w:sz w:val="24"/>
          <w:highlight w:val="none"/>
        </w:rPr>
      </w:pPr>
      <w:bookmarkStart w:id="162" w:name="_Toc14973"/>
      <w:r>
        <w:rPr>
          <w:rFonts w:hint="eastAsia" w:asciiTheme="majorEastAsia" w:hAnsiTheme="majorEastAsia" w:eastAsiaTheme="majorEastAsia" w:cstheme="majorEastAsia"/>
          <w:color w:val="auto"/>
          <w:sz w:val="24"/>
          <w:highlight w:val="none"/>
        </w:rPr>
        <w:t>（三）自愿接受招投标监督部门和有关行政监督部门的依法检查。</w:t>
      </w:r>
      <w:bookmarkEnd w:id="162"/>
    </w:p>
    <w:p w14:paraId="62D7E66C">
      <w:pPr>
        <w:widowControl/>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（四）同意将此信用承诺纳入陕西省公共信用信息平台和榆林市公共信用信息共享平台，并上网公示，接受社会监督。</w:t>
      </w:r>
    </w:p>
    <w:p w14:paraId="0063E898">
      <w:pPr>
        <w:widowControl/>
        <w:spacing w:line="360" w:lineRule="auto"/>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10B9BE99">
      <w:pPr>
        <w:widowControl/>
        <w:tabs>
          <w:tab w:val="left" w:pos="4395"/>
        </w:tabs>
        <w:adjustRightInd w:val="0"/>
        <w:snapToGrid w:val="0"/>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法定代表人（签章）：                           投标人（盖章）：</w:t>
      </w:r>
    </w:p>
    <w:p w14:paraId="4C336FAE">
      <w:pPr>
        <w:adjustRightInd w:val="0"/>
        <w:snapToGrid w:val="0"/>
        <w:spacing w:line="360" w:lineRule="auto"/>
        <w:jc w:val="center"/>
        <w:rPr>
          <w:rFonts w:asciiTheme="majorEastAsia" w:hAnsiTheme="majorEastAsia" w:eastAsiaTheme="majorEastAsia" w:cstheme="majorEastAsia"/>
          <w:color w:val="auto"/>
          <w:sz w:val="24"/>
          <w:highlight w:val="none"/>
        </w:rPr>
      </w:pPr>
    </w:p>
    <w:p w14:paraId="25852D89">
      <w:pPr>
        <w:adjustRightInd w:val="0"/>
        <w:snapToGrid w:val="0"/>
        <w:spacing w:line="360" w:lineRule="auto"/>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承诺时间：年月日</w:t>
      </w:r>
    </w:p>
    <w:p w14:paraId="5488BB13">
      <w:pPr>
        <w:spacing w:line="360" w:lineRule="auto"/>
        <w:jc w:val="center"/>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Cs w:val="21"/>
          <w:highlight w:val="none"/>
        </w:rPr>
        <w:t>注：</w:t>
      </w:r>
      <w:r>
        <w:rPr>
          <w:rFonts w:hint="eastAsia" w:asciiTheme="majorEastAsia" w:hAnsiTheme="majorEastAsia" w:eastAsiaTheme="majorEastAsia" w:cstheme="majorEastAsia"/>
          <w:color w:val="auto"/>
          <w:szCs w:val="21"/>
          <w:highlight w:val="none"/>
        </w:rPr>
        <w:t>此承诺书除附在投标文件中外还须上传至“信用中国（陕西榆林）”网站投标人自主上报信用承诺书附件。（承诺有效期</w:t>
      </w:r>
      <w:r>
        <w:rPr>
          <w:rFonts w:hint="eastAsia" w:asciiTheme="majorEastAsia" w:hAnsiTheme="majorEastAsia" w:eastAsiaTheme="majorEastAsia" w:cstheme="majorEastAsia"/>
          <w:color w:val="auto"/>
          <w:szCs w:val="21"/>
          <w:highlight w:val="none"/>
          <w:lang w:eastAsia="zh-CN"/>
        </w:rPr>
        <w:t>为</w:t>
      </w:r>
      <w:r>
        <w:rPr>
          <w:rFonts w:hint="eastAsia" w:asciiTheme="majorEastAsia" w:hAnsiTheme="majorEastAsia" w:eastAsiaTheme="majorEastAsia" w:cstheme="majorEastAsia"/>
          <w:color w:val="auto"/>
          <w:szCs w:val="21"/>
          <w:highlight w:val="none"/>
          <w:lang w:val="en-US" w:eastAsia="zh-CN"/>
        </w:rPr>
        <w:t>1年</w:t>
      </w:r>
      <w:r>
        <w:rPr>
          <w:rFonts w:hint="eastAsia" w:asciiTheme="majorEastAsia" w:hAnsiTheme="majorEastAsia" w:eastAsiaTheme="majorEastAsia" w:cstheme="majorEastAsia"/>
          <w:color w:val="auto"/>
          <w:szCs w:val="21"/>
          <w:highlight w:val="none"/>
        </w:rPr>
        <w:t>，承诺起始时间为提交投标文件截止之日，须后附截图。）</w:t>
      </w:r>
      <w:r>
        <w:rPr>
          <w:rFonts w:hint="eastAsia" w:asciiTheme="majorEastAsia" w:hAnsiTheme="majorEastAsia" w:eastAsiaTheme="majorEastAsia" w:cstheme="majorEastAsia"/>
          <w:color w:val="auto"/>
          <w:szCs w:val="21"/>
          <w:highlight w:val="none"/>
        </w:rPr>
        <w:br w:type="page"/>
      </w:r>
      <w:r>
        <w:rPr>
          <w:rFonts w:hint="eastAsia" w:asciiTheme="majorEastAsia" w:hAnsiTheme="majorEastAsia" w:eastAsiaTheme="majorEastAsia" w:cstheme="majorEastAsia"/>
          <w:b/>
          <w:bCs/>
          <w:color w:val="auto"/>
          <w:sz w:val="24"/>
          <w:highlight w:val="none"/>
        </w:rPr>
        <w:t>投标信用承诺书</w:t>
      </w:r>
    </w:p>
    <w:p w14:paraId="5D1C7899">
      <w:pPr>
        <w:widowControl/>
        <w:spacing w:line="360" w:lineRule="auto"/>
        <w:jc w:val="left"/>
        <w:rPr>
          <w:rFonts w:asciiTheme="majorEastAsia" w:hAnsiTheme="majorEastAsia" w:eastAsiaTheme="majorEastAsia" w:cstheme="majorEastAsia"/>
          <w:color w:val="auto"/>
          <w:sz w:val="24"/>
          <w:highlight w:val="none"/>
        </w:rPr>
      </w:pPr>
    </w:p>
    <w:p w14:paraId="49792A14">
      <w:pPr>
        <w:widowControl/>
        <w:spacing w:line="360" w:lineRule="auto"/>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项目标段：</w:t>
      </w:r>
      <w:r>
        <w:rPr>
          <w:rFonts w:hint="eastAsia" w:asciiTheme="majorEastAsia" w:hAnsiTheme="majorEastAsia" w:eastAsiaTheme="majorEastAsia" w:cstheme="majorEastAsia"/>
          <w:color w:val="auto"/>
          <w:sz w:val="24"/>
          <w:highlight w:val="none"/>
          <w:u w:val="single"/>
          <w:lang w:val="en-US" w:eastAsia="zh-CN"/>
        </w:rPr>
        <w:t xml:space="preserve">                                        </w:t>
      </w:r>
    </w:p>
    <w:p w14:paraId="3839ACF5">
      <w:pPr>
        <w:widowControl/>
        <w:spacing w:line="360" w:lineRule="auto"/>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投标人：</w:t>
      </w:r>
      <w:r>
        <w:rPr>
          <w:rFonts w:hint="eastAsia" w:asciiTheme="majorEastAsia" w:hAnsiTheme="majorEastAsia" w:eastAsiaTheme="majorEastAsia" w:cstheme="majorEastAsia"/>
          <w:color w:val="auto"/>
          <w:sz w:val="24"/>
          <w:highlight w:val="none"/>
          <w:u w:val="single"/>
          <w:lang w:val="en-US" w:eastAsia="zh-CN"/>
        </w:rPr>
        <w:t xml:space="preserve">                                        </w:t>
      </w:r>
    </w:p>
    <w:p w14:paraId="1BD020A1">
      <w:pPr>
        <w:widowControl/>
        <w:spacing w:line="360" w:lineRule="auto"/>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统一社会信用代码：</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u w:val="none"/>
          <w:lang w:val="en-US" w:eastAsia="zh-CN"/>
        </w:rPr>
        <w:t xml:space="preserve">  </w:t>
      </w:r>
      <w:r>
        <w:rPr>
          <w:rFonts w:hint="eastAsia" w:asciiTheme="majorEastAsia" w:hAnsiTheme="majorEastAsia" w:eastAsiaTheme="majorEastAsia" w:cstheme="majorEastAsia"/>
          <w:color w:val="auto"/>
          <w:sz w:val="24"/>
          <w:highlight w:val="none"/>
        </w:rPr>
        <w:t>法人代表：</w:t>
      </w:r>
      <w:r>
        <w:rPr>
          <w:rFonts w:hint="eastAsia" w:asciiTheme="majorEastAsia" w:hAnsiTheme="majorEastAsia" w:eastAsiaTheme="majorEastAsia" w:cstheme="majorEastAsia"/>
          <w:color w:val="auto"/>
          <w:sz w:val="24"/>
          <w:highlight w:val="none"/>
          <w:u w:val="single"/>
          <w:lang w:val="en-US" w:eastAsia="zh-CN"/>
        </w:rPr>
        <w:t xml:space="preserve">           </w:t>
      </w:r>
    </w:p>
    <w:p w14:paraId="4C63DB45">
      <w:pPr>
        <w:widowControl/>
        <w:adjustRightInd w:val="0"/>
        <w:snapToGrid w:val="0"/>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在本项目标段招投标活动中，我公司（单位）自愿作出以下投标信用承诺：</w:t>
      </w:r>
    </w:p>
    <w:p w14:paraId="055EB1CF">
      <w:pPr>
        <w:widowControl/>
        <w:adjustRightInd w:val="0"/>
        <w:snapToGrid w:val="0"/>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（一）能严格遵守法律法规、职业道德和行业规范。</w:t>
      </w:r>
    </w:p>
    <w:p w14:paraId="33319B70">
      <w:pPr>
        <w:widowControl/>
        <w:adjustRightInd w:val="0"/>
        <w:snapToGrid w:val="0"/>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磋商文件和投标文件与招标人签订合同；在签订合同时向招标人提出附加条件、或者改变投标文件的实质性内容；放弃中标；不按照招标文件的规定提交履约保证金。5.招投标法规定的其它违法违规行为。</w:t>
      </w:r>
    </w:p>
    <w:p w14:paraId="2D0C711E">
      <w:pPr>
        <w:widowControl/>
        <w:adjustRightInd w:val="0"/>
        <w:snapToGrid w:val="0"/>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7E8B75A2">
      <w:pPr>
        <w:widowControl/>
        <w:adjustRightInd w:val="0"/>
        <w:snapToGrid w:val="0"/>
        <w:spacing w:line="360" w:lineRule="auto"/>
        <w:ind w:firstLine="480" w:firstLineChars="200"/>
        <w:jc w:val="left"/>
        <w:rPr>
          <w:rFonts w:asciiTheme="majorEastAsia" w:hAnsiTheme="majorEastAsia" w:eastAsiaTheme="majorEastAsia" w:cstheme="majorEastAsia"/>
          <w:color w:val="auto"/>
          <w:sz w:val="24"/>
          <w:highlight w:val="none"/>
        </w:rPr>
      </w:pPr>
    </w:p>
    <w:p w14:paraId="6D1F64EF">
      <w:pPr>
        <w:widowControl/>
        <w:tabs>
          <w:tab w:val="left" w:pos="4395"/>
        </w:tabs>
        <w:adjustRightInd w:val="0"/>
        <w:snapToGrid w:val="0"/>
        <w:spacing w:line="360" w:lineRule="auto"/>
        <w:ind w:firstLine="720" w:firstLineChars="3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法定代表人（签章）：                           投标人（盖章）：</w:t>
      </w:r>
    </w:p>
    <w:p w14:paraId="2CF368F7">
      <w:pPr>
        <w:adjustRightInd w:val="0"/>
        <w:snapToGrid w:val="0"/>
        <w:spacing w:line="360" w:lineRule="auto"/>
        <w:rPr>
          <w:rFonts w:asciiTheme="majorEastAsia" w:hAnsiTheme="majorEastAsia" w:eastAsiaTheme="majorEastAsia" w:cstheme="majorEastAsia"/>
          <w:b/>
          <w:color w:val="auto"/>
          <w:sz w:val="24"/>
          <w:highlight w:val="none"/>
        </w:rPr>
      </w:pPr>
    </w:p>
    <w:p w14:paraId="22F4D51D">
      <w:pPr>
        <w:adjustRightInd w:val="0"/>
        <w:snapToGrid w:val="0"/>
        <w:spacing w:line="360" w:lineRule="auto"/>
        <w:jc w:val="righ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承诺时间：年月日</w:t>
      </w:r>
    </w:p>
    <w:p w14:paraId="11881311">
      <w:pPr>
        <w:adjustRightInd w:val="0"/>
        <w:snapToGrid w:val="0"/>
        <w:spacing w:line="360" w:lineRule="auto"/>
        <w:rPr>
          <w:rFonts w:asciiTheme="majorEastAsia" w:hAnsiTheme="majorEastAsia" w:eastAsiaTheme="majorEastAsia" w:cstheme="majorEastAsia"/>
          <w:b/>
          <w:color w:val="auto"/>
          <w:sz w:val="24"/>
          <w:highlight w:val="none"/>
        </w:rPr>
      </w:pPr>
    </w:p>
    <w:p w14:paraId="2F1AFCF9">
      <w:pPr>
        <w:widowControl/>
        <w:spacing w:line="360" w:lineRule="auto"/>
        <w:jc w:val="left"/>
        <w:rPr>
          <w:rFonts w:asciiTheme="majorEastAsia" w:hAnsiTheme="majorEastAsia" w:eastAsiaTheme="majorEastAsia" w:cstheme="majorEastAsia"/>
          <w:b/>
          <w:color w:val="auto"/>
          <w:sz w:val="24"/>
          <w:highlight w:val="none"/>
        </w:rPr>
      </w:pPr>
    </w:p>
    <w:p w14:paraId="73D0310A">
      <w:pPr>
        <w:widowControl/>
        <w:spacing w:line="360" w:lineRule="auto"/>
        <w:jc w:val="left"/>
        <w:rPr>
          <w:rFonts w:asciiTheme="majorEastAsia" w:hAnsiTheme="majorEastAsia" w:eastAsiaTheme="majorEastAsia" w:cstheme="majorEastAsia"/>
          <w:b/>
          <w:color w:val="auto"/>
          <w:sz w:val="24"/>
          <w:highlight w:val="none"/>
        </w:rPr>
      </w:pPr>
    </w:p>
    <w:p w14:paraId="20538516">
      <w:pPr>
        <w:widowControl/>
        <w:spacing w:line="360" w:lineRule="auto"/>
        <w:jc w:val="left"/>
        <w:rPr>
          <w:rFonts w:asciiTheme="majorEastAsia" w:hAnsiTheme="majorEastAsia" w:eastAsiaTheme="majorEastAsia" w:cstheme="majorEastAsia"/>
          <w:b/>
          <w:color w:val="auto"/>
          <w:sz w:val="24"/>
          <w:highlight w:val="none"/>
        </w:rPr>
      </w:pPr>
    </w:p>
    <w:p w14:paraId="6C619E97">
      <w:pPr>
        <w:widowControl/>
        <w:spacing w:line="360" w:lineRule="auto"/>
        <w:jc w:val="left"/>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color w:val="auto"/>
          <w:szCs w:val="21"/>
          <w:highlight w:val="none"/>
        </w:rPr>
        <w:t>说明：本承诺书效力和作用等同投标保证金，其有效期与投标有效期一致。</w:t>
      </w:r>
    </w:p>
    <w:p w14:paraId="5B7CC73B">
      <w:pPr>
        <w:widowControl/>
        <w:spacing w:line="360" w:lineRule="auto"/>
        <w:jc w:val="left"/>
        <w:rPr>
          <w:rFonts w:asciiTheme="majorEastAsia" w:hAnsiTheme="majorEastAsia" w:eastAsiaTheme="majorEastAsia" w:cstheme="majorEastAsia"/>
          <w:color w:val="auto"/>
          <w:szCs w:val="21"/>
          <w:highlight w:val="none"/>
        </w:rPr>
      </w:pPr>
    </w:p>
    <w:p w14:paraId="199D7F55">
      <w:pPr>
        <w:widowControl/>
        <w:spacing w:line="360" w:lineRule="auto"/>
        <w:jc w:val="left"/>
        <w:rPr>
          <w:rFonts w:asciiTheme="majorEastAsia" w:hAnsiTheme="majorEastAsia" w:eastAsiaTheme="majorEastAsia" w:cstheme="majorEastAsia"/>
          <w:color w:val="auto"/>
          <w:szCs w:val="21"/>
          <w:highlight w:val="none"/>
        </w:rPr>
        <w:sectPr>
          <w:pgSz w:w="11900" w:h="16838"/>
          <w:pgMar w:top="1429" w:right="1417" w:bottom="1417" w:left="1417" w:header="850" w:footer="850" w:gutter="0"/>
          <w:pgNumType w:fmt="decimal"/>
          <w:cols w:space="0" w:num="1"/>
          <w:rtlGutter w:val="0"/>
          <w:docGrid w:linePitch="360" w:charSpace="0"/>
        </w:sectPr>
      </w:pPr>
      <w:r>
        <w:rPr>
          <w:rFonts w:hint="eastAsia" w:asciiTheme="majorEastAsia" w:hAnsiTheme="majorEastAsia" w:eastAsiaTheme="majorEastAsia" w:cstheme="majorEastAsia"/>
          <w:b/>
          <w:bCs/>
          <w:color w:val="auto"/>
          <w:szCs w:val="21"/>
          <w:highlight w:val="none"/>
        </w:rPr>
        <w:t>注：</w:t>
      </w:r>
      <w:r>
        <w:rPr>
          <w:rFonts w:hint="eastAsia" w:asciiTheme="majorEastAsia" w:hAnsiTheme="majorEastAsia" w:eastAsiaTheme="majorEastAsia" w:cstheme="majorEastAsia"/>
          <w:color w:val="auto"/>
          <w:szCs w:val="21"/>
          <w:highlight w:val="none"/>
        </w:rPr>
        <w:t>此承诺书除附在投标文件中外还须上传至“信用中国（陕西榆林）”网站投标人自主上报信用承诺书附件。（须后附截图）</w:t>
      </w:r>
    </w:p>
    <w:p w14:paraId="00888572">
      <w:pPr>
        <w:widowControl/>
        <w:spacing w:line="360" w:lineRule="auto"/>
        <w:jc w:val="center"/>
        <w:rPr>
          <w:rFonts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投标人委托代理人员信用承诺书</w:t>
      </w:r>
    </w:p>
    <w:p w14:paraId="11199ACF">
      <w:pPr>
        <w:widowControl/>
        <w:spacing w:line="360" w:lineRule="auto"/>
        <w:ind w:firstLine="480" w:firstLineChars="200"/>
        <w:jc w:val="left"/>
        <w:rPr>
          <w:rFonts w:asciiTheme="majorEastAsia" w:hAnsiTheme="majorEastAsia" w:eastAsiaTheme="majorEastAsia" w:cstheme="majorEastAsia"/>
          <w:color w:val="auto"/>
          <w:sz w:val="24"/>
          <w:highlight w:val="none"/>
        </w:rPr>
      </w:pPr>
    </w:p>
    <w:p w14:paraId="2EDE8121">
      <w:pPr>
        <w:widowControl/>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在</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项目招投标活动中，我个人郑重作出以下信用承诺：</w:t>
      </w:r>
    </w:p>
    <w:p w14:paraId="7D9B0BAF">
      <w:pPr>
        <w:widowControl/>
        <w:spacing w:line="360" w:lineRule="auto"/>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413A2313">
      <w:pPr>
        <w:widowControl/>
        <w:spacing w:line="360" w:lineRule="auto"/>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磋商文件和投标文件与招标人签订合同；在签订合同时向招标人提出附加条件、或者改变投标文件的实质性内容；放弃中标；不按照招标文件的规定提交履约保证金。5.招投标法规定的其它违法违规行为。</w:t>
      </w:r>
    </w:p>
    <w:p w14:paraId="43E0ACE4">
      <w:pPr>
        <w:spacing w:line="360" w:lineRule="auto"/>
        <w:ind w:firstLine="480" w:firstLineChars="200"/>
        <w:rPr>
          <w:rFonts w:asciiTheme="majorEastAsia" w:hAnsiTheme="majorEastAsia" w:eastAsiaTheme="majorEastAsia" w:cstheme="majorEastAsia"/>
          <w:color w:val="auto"/>
          <w:sz w:val="24"/>
          <w:highlight w:val="none"/>
        </w:rPr>
      </w:pPr>
      <w:bookmarkStart w:id="163" w:name="_Toc14892"/>
      <w:r>
        <w:rPr>
          <w:rFonts w:hint="eastAsia" w:asciiTheme="majorEastAsia" w:hAnsiTheme="majorEastAsia" w:eastAsiaTheme="majorEastAsia" w:cstheme="majorEastAsia"/>
          <w:color w:val="auto"/>
          <w:sz w:val="24"/>
          <w:highlight w:val="none"/>
        </w:rPr>
        <w:t>（三）自愿接受招投标监督部门和有关行政监督部门的依法检查。</w:t>
      </w:r>
      <w:bookmarkEnd w:id="163"/>
    </w:p>
    <w:p w14:paraId="45B48047">
      <w:pPr>
        <w:widowControl/>
        <w:spacing w:line="360" w:lineRule="auto"/>
        <w:ind w:firstLine="480" w:firstLineChars="20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（四）同意将此信用承诺纳入陕西省公共信用信息平台和榆林市公共信用信息共享平台，并接受社会监督。</w:t>
      </w:r>
    </w:p>
    <w:p w14:paraId="19291B7D">
      <w:pPr>
        <w:widowControl/>
        <w:spacing w:line="360" w:lineRule="auto"/>
        <w:ind w:firstLine="480"/>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547A7028">
      <w:pPr>
        <w:widowControl/>
        <w:spacing w:line="360" w:lineRule="auto"/>
        <w:ind w:firstLine="482"/>
        <w:jc w:val="left"/>
        <w:rPr>
          <w:rFonts w:asciiTheme="majorEastAsia" w:hAnsiTheme="majorEastAsia" w:eastAsiaTheme="majorEastAsia" w:cstheme="majorEastAsia"/>
          <w:color w:val="auto"/>
          <w:sz w:val="24"/>
          <w:highlight w:val="none"/>
        </w:rPr>
      </w:pPr>
    </w:p>
    <w:p w14:paraId="59200542">
      <w:pPr>
        <w:widowControl/>
        <w:spacing w:line="360" w:lineRule="auto"/>
        <w:ind w:firstLine="482"/>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承诺有效期限：</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年</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日—</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年</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日</w:t>
      </w:r>
    </w:p>
    <w:p w14:paraId="56D2FE6B">
      <w:pPr>
        <w:widowControl/>
        <w:spacing w:line="360" w:lineRule="auto"/>
        <w:ind w:firstLine="482"/>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w:t>
      </w:r>
      <w:r>
        <w:rPr>
          <w:rFonts w:hint="eastAsia" w:asciiTheme="majorEastAsia" w:hAnsiTheme="majorEastAsia" w:eastAsiaTheme="majorEastAsia" w:cstheme="majorEastAsia"/>
          <w:color w:val="auto"/>
          <w:sz w:val="24"/>
          <w:highlight w:val="none"/>
          <w:u w:val="single"/>
          <w:lang w:val="en-US" w:eastAsia="zh-CN"/>
        </w:rPr>
        <w:t xml:space="preserve">                                   </w:t>
      </w:r>
    </w:p>
    <w:p w14:paraId="6FAF52B4">
      <w:pPr>
        <w:widowControl/>
        <w:spacing w:line="360" w:lineRule="auto"/>
        <w:ind w:firstLine="482"/>
        <w:jc w:val="left"/>
        <w:rPr>
          <w:rFonts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承诺人（签字）：</w:t>
      </w:r>
      <w:r>
        <w:rPr>
          <w:rFonts w:hint="eastAsia" w:asciiTheme="majorEastAsia" w:hAnsiTheme="majorEastAsia" w:eastAsiaTheme="majorEastAsia" w:cstheme="majorEastAsia"/>
          <w:color w:val="auto"/>
          <w:sz w:val="24"/>
          <w:highlight w:val="none"/>
          <w:u w:val="single"/>
          <w:lang w:val="en-US" w:eastAsia="zh-CN"/>
        </w:rPr>
        <w:t xml:space="preserve">                                   </w:t>
      </w:r>
    </w:p>
    <w:p w14:paraId="549F48F2">
      <w:pPr>
        <w:widowControl/>
        <w:spacing w:line="360" w:lineRule="auto"/>
        <w:ind w:firstLine="482"/>
        <w:jc w:val="left"/>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承诺时间：</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年</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日</w:t>
      </w:r>
    </w:p>
    <w:p w14:paraId="36A6357C">
      <w:pPr>
        <w:spacing w:line="360" w:lineRule="auto"/>
        <w:rPr>
          <w:rFonts w:asciiTheme="majorEastAsia" w:hAnsiTheme="majorEastAsia" w:eastAsiaTheme="majorEastAsia" w:cstheme="majorEastAsia"/>
          <w:b/>
          <w:bCs/>
          <w:color w:val="auto"/>
          <w:sz w:val="24"/>
          <w:highlight w:val="none"/>
        </w:rPr>
      </w:pPr>
    </w:p>
    <w:p w14:paraId="023BF26E">
      <w:pPr>
        <w:pStyle w:val="10"/>
        <w:spacing w:line="360" w:lineRule="auto"/>
        <w:rPr>
          <w:rFonts w:asciiTheme="majorEastAsia" w:hAnsiTheme="majorEastAsia" w:eastAsiaTheme="majorEastAsia" w:cstheme="majorEastAsia"/>
          <w:color w:val="auto"/>
          <w:sz w:val="21"/>
          <w:szCs w:val="21"/>
          <w:highlight w:val="none"/>
        </w:rPr>
        <w:sectPr>
          <w:pgSz w:w="11900" w:h="16838"/>
          <w:pgMar w:top="1429" w:right="1417" w:bottom="1417" w:left="1417" w:header="850" w:footer="850" w:gutter="0"/>
          <w:pgNumType w:fmt="decimal"/>
          <w:cols w:space="0" w:num="1"/>
          <w:rtlGutter w:val="0"/>
          <w:docGrid w:linePitch="360" w:charSpace="0"/>
        </w:sectPr>
      </w:pPr>
      <w:r>
        <w:rPr>
          <w:rFonts w:hint="eastAsia" w:asciiTheme="majorEastAsia" w:hAnsiTheme="majorEastAsia" w:eastAsiaTheme="majorEastAsia" w:cstheme="majorEastAsia"/>
          <w:b/>
          <w:bCs/>
          <w:color w:val="auto"/>
          <w:sz w:val="21"/>
          <w:szCs w:val="21"/>
          <w:highlight w:val="none"/>
        </w:rPr>
        <w:t>注：</w:t>
      </w:r>
      <w:r>
        <w:rPr>
          <w:rFonts w:hint="eastAsia" w:asciiTheme="majorEastAsia" w:hAnsiTheme="majorEastAsia" w:eastAsiaTheme="majorEastAsia" w:cstheme="majorEastAsia"/>
          <w:color w:val="auto"/>
          <w:sz w:val="21"/>
          <w:szCs w:val="21"/>
          <w:highlight w:val="none"/>
        </w:rPr>
        <w:t>法定代表人直接参与投标的无须上报和提供此附件；如由委托代理人参与投标的，此承诺书除附在投标文件中外还须上传至“信用中国（陕西榆林）”网站授权委托人自主上报信用承诺书附件。（承诺有效期</w:t>
      </w:r>
      <w:r>
        <w:rPr>
          <w:rFonts w:hint="eastAsia" w:asciiTheme="majorEastAsia" w:hAnsiTheme="majorEastAsia" w:eastAsiaTheme="majorEastAsia" w:cstheme="majorEastAsia"/>
          <w:color w:val="auto"/>
          <w:sz w:val="21"/>
          <w:szCs w:val="21"/>
          <w:highlight w:val="none"/>
          <w:lang w:eastAsia="zh-CN"/>
        </w:rPr>
        <w:t>为</w:t>
      </w:r>
      <w:r>
        <w:rPr>
          <w:rFonts w:hint="eastAsia" w:asciiTheme="majorEastAsia" w:hAnsiTheme="majorEastAsia" w:eastAsiaTheme="majorEastAsia" w:cstheme="majorEastAsia"/>
          <w:color w:val="auto"/>
          <w:sz w:val="21"/>
          <w:szCs w:val="21"/>
          <w:highlight w:val="none"/>
          <w:lang w:val="en-US" w:eastAsia="zh-CN"/>
        </w:rPr>
        <w:t>1年</w:t>
      </w:r>
      <w:r>
        <w:rPr>
          <w:rFonts w:hint="eastAsia" w:asciiTheme="majorEastAsia" w:hAnsiTheme="majorEastAsia" w:eastAsiaTheme="majorEastAsia" w:cstheme="majorEastAsia"/>
          <w:color w:val="auto"/>
          <w:sz w:val="21"/>
          <w:szCs w:val="21"/>
          <w:highlight w:val="none"/>
        </w:rPr>
        <w:t>，承诺起始时间为提交投标文件截止之日，须后附截图。）</w:t>
      </w:r>
    </w:p>
    <w:p w14:paraId="770C67A0">
      <w:pPr>
        <w:spacing w:line="440" w:lineRule="exact"/>
        <w:jc w:val="center"/>
        <w:rPr>
          <w:rFonts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lang w:eastAsia="zh-CN"/>
        </w:rPr>
        <w:t>七</w:t>
      </w:r>
      <w:r>
        <w:rPr>
          <w:rFonts w:hint="eastAsia" w:asciiTheme="majorEastAsia" w:hAnsiTheme="majorEastAsia" w:eastAsiaTheme="majorEastAsia" w:cstheme="majorEastAsia"/>
          <w:b/>
          <w:bCs/>
          <w:color w:val="auto"/>
          <w:sz w:val="32"/>
          <w:szCs w:val="32"/>
          <w:highlight w:val="none"/>
        </w:rPr>
        <w:t>、实施方案</w:t>
      </w:r>
    </w:p>
    <w:p w14:paraId="28A2FA3F">
      <w:pPr>
        <w:tabs>
          <w:tab w:val="left" w:pos="720"/>
          <w:tab w:val="left" w:pos="8364"/>
        </w:tabs>
        <w:adjustRightInd w:val="0"/>
        <w:snapToGrid w:val="0"/>
        <w:ind w:firstLine="4320" w:firstLineChars="1800"/>
        <w:rPr>
          <w:rFonts w:asciiTheme="majorEastAsia" w:hAnsiTheme="majorEastAsia" w:eastAsiaTheme="majorEastAsia" w:cstheme="majorEastAsia"/>
          <w:color w:val="auto"/>
          <w:sz w:val="24"/>
          <w:highlight w:val="none"/>
        </w:rPr>
      </w:pPr>
    </w:p>
    <w:p w14:paraId="525F784A">
      <w:pPr>
        <w:pStyle w:val="43"/>
        <w:spacing w:line="480" w:lineRule="auto"/>
        <w:ind w:firstLine="0" w:firstLineChars="0"/>
        <w:rPr>
          <w:rFonts w:hint="eastAsia" w:eastAsia="宋体" w:asciiTheme="majorEastAsia" w:hAnsiTheme="majorEastAsia" w:cstheme="majorEastAsia"/>
          <w:color w:val="auto"/>
          <w:sz w:val="24"/>
          <w:highlight w:val="none"/>
          <w:lang w:eastAsia="zh-CN"/>
        </w:rPr>
      </w:pPr>
      <w:r>
        <w:rPr>
          <w:rFonts w:hint="eastAsia" w:ascii="宋体" w:hAnsi="宋体" w:cs="宋体"/>
          <w:b/>
          <w:bCs/>
          <w:color w:val="auto"/>
          <w:sz w:val="24"/>
          <w:highlight w:val="none"/>
        </w:rPr>
        <w:t>各投标人根据采购内容及评审办法自主编写</w:t>
      </w:r>
      <w:r>
        <w:rPr>
          <w:rFonts w:hint="eastAsia" w:ascii="宋体" w:hAnsi="宋体" w:cs="宋体"/>
          <w:b/>
          <w:bCs/>
          <w:color w:val="auto"/>
          <w:sz w:val="24"/>
          <w:highlight w:val="none"/>
          <w:lang w:eastAsia="zh-CN"/>
        </w:rPr>
        <w:t>。</w:t>
      </w:r>
    </w:p>
    <w:p w14:paraId="5CF036F7">
      <w:pPr>
        <w:tabs>
          <w:tab w:val="left" w:pos="720"/>
          <w:tab w:val="left" w:pos="8364"/>
        </w:tabs>
        <w:adjustRightInd w:val="0"/>
        <w:snapToGrid w:val="0"/>
        <w:spacing w:line="360" w:lineRule="auto"/>
        <w:ind w:firstLine="5880" w:firstLineChars="2100"/>
        <w:rPr>
          <w:rFonts w:asciiTheme="majorEastAsia" w:hAnsiTheme="majorEastAsia" w:eastAsiaTheme="majorEastAsia" w:cstheme="majorEastAsia"/>
          <w:color w:val="auto"/>
          <w:sz w:val="28"/>
          <w:szCs w:val="28"/>
          <w:highlight w:val="none"/>
        </w:rPr>
      </w:pPr>
    </w:p>
    <w:p w14:paraId="7F8F6078">
      <w:pPr>
        <w:rPr>
          <w:rFonts w:asciiTheme="majorEastAsia" w:hAnsiTheme="majorEastAsia" w:eastAsiaTheme="majorEastAsia" w:cstheme="majorEastAsia"/>
          <w:color w:val="auto"/>
          <w:sz w:val="24"/>
          <w:highlight w:val="none"/>
        </w:rPr>
      </w:pPr>
    </w:p>
    <w:p w14:paraId="7D636ACB">
      <w:pPr>
        <w:spacing w:line="480" w:lineRule="auto"/>
        <w:ind w:firstLine="2409" w:firstLineChars="1000"/>
        <w:rPr>
          <w:rFonts w:asciiTheme="majorEastAsia" w:hAnsiTheme="majorEastAsia" w:eastAsiaTheme="majorEastAsia" w:cstheme="majorEastAsia"/>
          <w:b/>
          <w:color w:val="auto"/>
          <w:sz w:val="24"/>
          <w:highlight w:val="none"/>
        </w:rPr>
      </w:pPr>
    </w:p>
    <w:p w14:paraId="34A115F6">
      <w:pPr>
        <w:spacing w:line="480" w:lineRule="auto"/>
        <w:ind w:firstLine="2409" w:firstLineChars="1000"/>
        <w:rPr>
          <w:rFonts w:asciiTheme="majorEastAsia" w:hAnsiTheme="majorEastAsia" w:eastAsiaTheme="majorEastAsia" w:cstheme="majorEastAsia"/>
          <w:b/>
          <w:color w:val="auto"/>
          <w:sz w:val="24"/>
          <w:highlight w:val="none"/>
        </w:rPr>
      </w:pPr>
    </w:p>
    <w:p w14:paraId="62EB563E">
      <w:pPr>
        <w:spacing w:line="480" w:lineRule="auto"/>
        <w:rPr>
          <w:rFonts w:asciiTheme="majorEastAsia" w:hAnsiTheme="majorEastAsia" w:eastAsiaTheme="majorEastAsia" w:cstheme="majorEastAsia"/>
          <w:b/>
          <w:color w:val="auto"/>
          <w:sz w:val="24"/>
          <w:highlight w:val="none"/>
        </w:rPr>
      </w:pPr>
    </w:p>
    <w:p w14:paraId="5DB4171F">
      <w:pPr>
        <w:pStyle w:val="43"/>
        <w:rPr>
          <w:rFonts w:asciiTheme="majorEastAsia" w:hAnsiTheme="majorEastAsia" w:eastAsiaTheme="majorEastAsia" w:cstheme="majorEastAsia"/>
          <w:color w:val="auto"/>
          <w:highlight w:val="none"/>
        </w:rPr>
      </w:pPr>
    </w:p>
    <w:p w14:paraId="2C48F349">
      <w:pPr>
        <w:pStyle w:val="43"/>
        <w:rPr>
          <w:rFonts w:asciiTheme="majorEastAsia" w:hAnsiTheme="majorEastAsia" w:eastAsiaTheme="majorEastAsia" w:cstheme="majorEastAsia"/>
          <w:color w:val="auto"/>
          <w:highlight w:val="none"/>
        </w:rPr>
      </w:pPr>
    </w:p>
    <w:p w14:paraId="24CA37EC">
      <w:pPr>
        <w:pStyle w:val="43"/>
        <w:rPr>
          <w:rFonts w:asciiTheme="majorEastAsia" w:hAnsiTheme="majorEastAsia" w:eastAsiaTheme="majorEastAsia" w:cstheme="majorEastAsia"/>
          <w:color w:val="auto"/>
          <w:highlight w:val="none"/>
        </w:rPr>
      </w:pPr>
    </w:p>
    <w:p w14:paraId="4CF55A4C">
      <w:pPr>
        <w:pStyle w:val="43"/>
        <w:rPr>
          <w:rFonts w:asciiTheme="majorEastAsia" w:hAnsiTheme="majorEastAsia" w:eastAsiaTheme="majorEastAsia" w:cstheme="majorEastAsia"/>
          <w:color w:val="auto"/>
          <w:highlight w:val="none"/>
        </w:rPr>
      </w:pPr>
    </w:p>
    <w:p w14:paraId="0E56576D">
      <w:pPr>
        <w:keepNext/>
        <w:spacing w:line="360" w:lineRule="auto"/>
        <w:rPr>
          <w:rFonts w:asciiTheme="majorEastAsia" w:hAnsiTheme="majorEastAsia" w:eastAsiaTheme="majorEastAsia" w:cstheme="majorEastAsia"/>
          <w:b/>
          <w:bCs/>
          <w:color w:val="auto"/>
          <w:sz w:val="32"/>
          <w:szCs w:val="32"/>
          <w:highlight w:val="none"/>
        </w:rPr>
      </w:pPr>
    </w:p>
    <w:p w14:paraId="0CC9E127">
      <w:pPr>
        <w:pStyle w:val="10"/>
        <w:rPr>
          <w:rFonts w:asciiTheme="majorEastAsia" w:hAnsiTheme="majorEastAsia" w:eastAsiaTheme="majorEastAsia" w:cstheme="majorEastAsia"/>
          <w:b/>
          <w:bCs/>
          <w:color w:val="auto"/>
          <w:sz w:val="32"/>
          <w:szCs w:val="32"/>
          <w:highlight w:val="none"/>
        </w:rPr>
      </w:pPr>
    </w:p>
    <w:p w14:paraId="4E9634D3">
      <w:pPr>
        <w:widowControl/>
        <w:jc w:val="center"/>
        <w:rPr>
          <w:rFonts w:asciiTheme="majorEastAsia" w:hAnsiTheme="majorEastAsia" w:eastAsiaTheme="majorEastAsia" w:cstheme="majorEastAsia"/>
          <w:color w:val="auto"/>
          <w:sz w:val="24"/>
          <w:highlight w:val="none"/>
        </w:rPr>
      </w:pPr>
    </w:p>
    <w:p w14:paraId="0A88EFE6">
      <w:pPr>
        <w:widowControl/>
        <w:ind w:firstLine="964" w:firstLineChars="300"/>
        <w:rPr>
          <w:rFonts w:asciiTheme="majorEastAsia" w:hAnsiTheme="majorEastAsia" w:eastAsiaTheme="majorEastAsia" w:cstheme="majorEastAsia"/>
          <w:b/>
          <w:bCs/>
          <w:color w:val="auto"/>
          <w:sz w:val="32"/>
          <w:szCs w:val="32"/>
          <w:highlight w:val="none"/>
        </w:rPr>
        <w:sectPr>
          <w:pgSz w:w="11900" w:h="16838"/>
          <w:pgMar w:top="1429" w:right="1417" w:bottom="1417" w:left="1417" w:header="850" w:footer="850" w:gutter="0"/>
          <w:pgNumType w:fmt="decimal"/>
          <w:cols w:space="0" w:num="1"/>
          <w:rtlGutter w:val="0"/>
          <w:docGrid w:linePitch="312" w:charSpace="0"/>
        </w:sectPr>
      </w:pPr>
    </w:p>
    <w:p w14:paraId="67776D3C">
      <w:pPr>
        <w:numPr>
          <w:ilvl w:val="1"/>
          <w:numId w:val="0"/>
        </w:numPr>
        <w:ind w:left="575"/>
        <w:jc w:val="center"/>
        <w:rPr>
          <w:rFonts w:hint="eastAsia" w:asciiTheme="majorEastAsia" w:hAnsiTheme="majorEastAsia" w:eastAsiaTheme="majorEastAsia" w:cstheme="majorEastAsia"/>
          <w:b/>
          <w:bCs/>
          <w:color w:val="auto"/>
          <w:sz w:val="32"/>
          <w:szCs w:val="32"/>
          <w:highlight w:val="none"/>
          <w:lang w:eastAsia="zh-CN"/>
        </w:rPr>
      </w:pPr>
      <w:r>
        <w:rPr>
          <w:rFonts w:hint="eastAsia" w:asciiTheme="majorEastAsia" w:hAnsiTheme="majorEastAsia" w:eastAsiaTheme="majorEastAsia" w:cstheme="majorEastAsia"/>
          <w:b/>
          <w:bCs/>
          <w:color w:val="auto"/>
          <w:sz w:val="32"/>
          <w:szCs w:val="32"/>
          <w:highlight w:val="none"/>
          <w:lang w:eastAsia="zh-CN"/>
        </w:rPr>
        <w:t>八</w:t>
      </w:r>
      <w:r>
        <w:rPr>
          <w:rFonts w:hint="eastAsia" w:asciiTheme="majorEastAsia" w:hAnsiTheme="majorEastAsia" w:eastAsiaTheme="majorEastAsia" w:cstheme="majorEastAsia"/>
          <w:b/>
          <w:bCs/>
          <w:color w:val="auto"/>
          <w:sz w:val="32"/>
          <w:szCs w:val="32"/>
          <w:highlight w:val="none"/>
        </w:rPr>
        <w:t>、投标人拒绝政府采购领域商业贿赂承诺书</w:t>
      </w:r>
    </w:p>
    <w:p w14:paraId="5F705514">
      <w:pPr>
        <w:numPr>
          <w:ilvl w:val="1"/>
          <w:numId w:val="0"/>
        </w:numPr>
        <w:ind w:left="575"/>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承诺书（一）</w:t>
      </w:r>
    </w:p>
    <w:p w14:paraId="36E96B55">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为响应党中央、国务院关于治理政府采购领域商业贿赂行为的号召，我单位在此庄严承诺： </w:t>
      </w:r>
    </w:p>
    <w:p w14:paraId="26A5F912">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1、在参与政府采购活动中遵纪守法、诚信经营、公平竞标。 </w:t>
      </w:r>
    </w:p>
    <w:p w14:paraId="61D60ADA">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2、不向政府采购人、采购代理机构和政府采购评审专家进行任何形式的商业贿赂以谋取交易机会。 </w:t>
      </w:r>
    </w:p>
    <w:p w14:paraId="0F4C910A">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3、不向政府采购代理机构和采购人提供虚假资质文件或采用虚假应标方式参与政府采购市场竞争并谋取中标、成交。 </w:t>
      </w:r>
    </w:p>
    <w:p w14:paraId="0A6263D8">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4、不采取“围标、陪标”等商业欺诈手段获得政府采购定单。 </w:t>
      </w:r>
    </w:p>
    <w:p w14:paraId="3DB87990">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5、不采取不正当手段低毁、排挤其他供应商。 </w:t>
      </w:r>
    </w:p>
    <w:p w14:paraId="65492381">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6、不在提供商品和服务时“偷梁换柱、以次充好”损害采购人的合法权益。 </w:t>
      </w:r>
    </w:p>
    <w:p w14:paraId="380D79D4">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7、不与采购人、采购代理机构政府采购评审专家或其它供应商恶意串通，进行质疑和投诉，维护政府采购市场秩序。 </w:t>
      </w:r>
    </w:p>
    <w:p w14:paraId="11827BDA">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8、尊重和接受政府采购监督管理部门的监督和政府采购代理机构招标采购要求，承担因违约行为给采购人造成的损失。 </w:t>
      </w:r>
    </w:p>
    <w:p w14:paraId="1DAB7FBA">
      <w:pPr>
        <w:widowControl/>
        <w:spacing w:line="520" w:lineRule="exact"/>
        <w:ind w:firstLine="480" w:firstLineChars="200"/>
        <w:jc w:val="left"/>
        <w:rPr>
          <w:rFonts w:hint="eastAsia" w:asciiTheme="majorEastAsia" w:hAnsiTheme="majorEastAsia" w:eastAsiaTheme="majorEastAsia" w:cstheme="majorEastAsia"/>
          <w:color w:val="auto"/>
          <w:kern w:val="0"/>
          <w:sz w:val="24"/>
          <w:highlight w:val="none"/>
          <w:lang w:eastAsia="zh-CN"/>
        </w:rPr>
      </w:pPr>
      <w:r>
        <w:rPr>
          <w:rFonts w:hint="eastAsia" w:asciiTheme="majorEastAsia" w:hAnsiTheme="majorEastAsia" w:eastAsiaTheme="majorEastAsia" w:cstheme="majorEastAsia"/>
          <w:color w:val="auto"/>
          <w:kern w:val="0"/>
          <w:sz w:val="24"/>
          <w:highlight w:val="none"/>
        </w:rPr>
        <w:t xml:space="preserve">　　9、不发生其他有悖于政府采购公开、公平、公正和诚信原则的行为。 </w:t>
      </w:r>
    </w:p>
    <w:p w14:paraId="23ACB923">
      <w:pPr>
        <w:widowControl/>
        <w:spacing w:line="520" w:lineRule="exact"/>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    </w:t>
      </w:r>
    </w:p>
    <w:p w14:paraId="42C313AE">
      <w:pPr>
        <w:widowControl/>
        <w:spacing w:line="520" w:lineRule="exact"/>
        <w:ind w:firstLine="720" w:firstLineChars="3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承诺单位：</w:t>
      </w:r>
      <w:r>
        <w:rPr>
          <w:rFonts w:hint="eastAsia" w:asciiTheme="majorEastAsia" w:hAnsiTheme="majorEastAsia" w:eastAsiaTheme="majorEastAsia" w:cstheme="majorEastAsia"/>
          <w:color w:val="auto"/>
          <w:kern w:val="0"/>
          <w:sz w:val="24"/>
          <w:highlight w:val="none"/>
          <w:u w:val="single"/>
        </w:rPr>
        <w:t>　　                        　</w:t>
      </w:r>
      <w:r>
        <w:rPr>
          <w:rFonts w:hint="eastAsia" w:asciiTheme="majorEastAsia" w:hAnsiTheme="majorEastAsia" w:eastAsiaTheme="majorEastAsia" w:cstheme="majorEastAsia"/>
          <w:color w:val="auto"/>
          <w:kern w:val="0"/>
          <w:sz w:val="24"/>
          <w:highlight w:val="none"/>
        </w:rPr>
        <w:t>（盖章）</w:t>
      </w:r>
    </w:p>
    <w:p w14:paraId="55FB92A0">
      <w:pPr>
        <w:widowControl/>
        <w:spacing w:line="520" w:lineRule="exact"/>
        <w:ind w:firstLine="720" w:firstLineChars="3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全权代表：</w:t>
      </w:r>
      <w:r>
        <w:rPr>
          <w:rFonts w:hint="eastAsia" w:asciiTheme="majorEastAsia" w:hAnsiTheme="majorEastAsia" w:eastAsiaTheme="majorEastAsia" w:cstheme="majorEastAsia"/>
          <w:color w:val="auto"/>
          <w:kern w:val="0"/>
          <w:sz w:val="24"/>
          <w:highlight w:val="none"/>
          <w:u w:val="single"/>
        </w:rPr>
        <w:t>　　　　　     　　　       　</w:t>
      </w:r>
      <w:r>
        <w:rPr>
          <w:rFonts w:hint="eastAsia" w:asciiTheme="majorEastAsia" w:hAnsiTheme="majorEastAsia" w:eastAsiaTheme="majorEastAsia" w:cstheme="majorEastAsia"/>
          <w:color w:val="auto"/>
          <w:kern w:val="0"/>
          <w:sz w:val="24"/>
          <w:highlight w:val="none"/>
        </w:rPr>
        <w:t>（签字）</w:t>
      </w:r>
    </w:p>
    <w:p w14:paraId="0647465B">
      <w:pPr>
        <w:widowControl/>
        <w:spacing w:line="520" w:lineRule="exact"/>
        <w:ind w:firstLine="720" w:firstLineChars="300"/>
        <w:jc w:val="left"/>
        <w:rPr>
          <w:rFonts w:asciiTheme="majorEastAsia" w:hAnsiTheme="majorEastAsia" w:eastAsiaTheme="majorEastAsia" w:cstheme="majorEastAsia"/>
          <w:color w:val="auto"/>
          <w:kern w:val="0"/>
          <w:sz w:val="24"/>
          <w:highlight w:val="none"/>
          <w:u w:val="single"/>
        </w:rPr>
      </w:pPr>
      <w:r>
        <w:rPr>
          <w:rFonts w:hint="eastAsia" w:asciiTheme="majorEastAsia" w:hAnsiTheme="majorEastAsia" w:eastAsiaTheme="majorEastAsia" w:cstheme="majorEastAsia"/>
          <w:color w:val="auto"/>
          <w:kern w:val="0"/>
          <w:sz w:val="24"/>
          <w:highlight w:val="none"/>
        </w:rPr>
        <w:t>地　　址：</w:t>
      </w:r>
      <w:r>
        <w:rPr>
          <w:rFonts w:hint="eastAsia" w:asciiTheme="majorEastAsia" w:hAnsiTheme="majorEastAsia" w:eastAsiaTheme="majorEastAsia" w:cstheme="majorEastAsia"/>
          <w:color w:val="auto"/>
          <w:kern w:val="0"/>
          <w:sz w:val="24"/>
          <w:highlight w:val="none"/>
          <w:u w:val="single"/>
        </w:rPr>
        <w:t>　　　　　     　　　       　</w:t>
      </w:r>
    </w:p>
    <w:p w14:paraId="04E77B1B">
      <w:pPr>
        <w:widowControl/>
        <w:spacing w:line="520" w:lineRule="exact"/>
        <w:ind w:firstLine="720" w:firstLineChars="300"/>
        <w:jc w:val="left"/>
        <w:rPr>
          <w:rFonts w:asciiTheme="majorEastAsia" w:hAnsiTheme="majorEastAsia" w:eastAsiaTheme="majorEastAsia" w:cstheme="majorEastAsia"/>
          <w:color w:val="auto"/>
          <w:kern w:val="0"/>
          <w:sz w:val="24"/>
          <w:highlight w:val="none"/>
          <w:u w:val="single"/>
        </w:rPr>
      </w:pPr>
      <w:r>
        <w:rPr>
          <w:rFonts w:hint="eastAsia" w:asciiTheme="majorEastAsia" w:hAnsiTheme="majorEastAsia" w:eastAsiaTheme="majorEastAsia" w:cstheme="majorEastAsia"/>
          <w:color w:val="auto"/>
          <w:kern w:val="0"/>
          <w:sz w:val="24"/>
          <w:highlight w:val="none"/>
        </w:rPr>
        <w:t>邮    编：</w:t>
      </w:r>
      <w:r>
        <w:rPr>
          <w:rFonts w:hint="eastAsia" w:asciiTheme="majorEastAsia" w:hAnsiTheme="majorEastAsia" w:eastAsiaTheme="majorEastAsia" w:cstheme="majorEastAsia"/>
          <w:color w:val="auto"/>
          <w:kern w:val="0"/>
          <w:sz w:val="24"/>
          <w:highlight w:val="none"/>
          <w:u w:val="single"/>
        </w:rPr>
        <w:t xml:space="preserve">　　                     　　 </w:t>
      </w:r>
    </w:p>
    <w:p w14:paraId="50BA0DD1">
      <w:pPr>
        <w:widowControl/>
        <w:spacing w:line="520" w:lineRule="exact"/>
        <w:ind w:firstLine="720" w:firstLineChars="300"/>
        <w:jc w:val="left"/>
        <w:rPr>
          <w:rFonts w:hint="eastAsia" w:asciiTheme="majorEastAsia" w:hAnsiTheme="majorEastAsia" w:eastAsiaTheme="majorEastAsia" w:cstheme="majorEastAsia"/>
          <w:color w:val="auto"/>
          <w:kern w:val="0"/>
          <w:sz w:val="24"/>
          <w:highlight w:val="none"/>
          <w:u w:val="single"/>
          <w:lang w:eastAsia="zh-CN"/>
        </w:rPr>
      </w:pPr>
      <w:r>
        <w:rPr>
          <w:rFonts w:hint="eastAsia" w:asciiTheme="majorEastAsia" w:hAnsiTheme="majorEastAsia" w:eastAsiaTheme="majorEastAsia" w:cstheme="majorEastAsia"/>
          <w:color w:val="auto"/>
          <w:kern w:val="0"/>
          <w:sz w:val="24"/>
          <w:highlight w:val="none"/>
        </w:rPr>
        <w:t>电　　话：</w:t>
      </w:r>
      <w:r>
        <w:rPr>
          <w:rFonts w:hint="eastAsia" w:asciiTheme="majorEastAsia" w:hAnsiTheme="majorEastAsia" w:eastAsiaTheme="majorEastAsia" w:cstheme="majorEastAsia"/>
          <w:color w:val="auto"/>
          <w:kern w:val="0"/>
          <w:sz w:val="24"/>
          <w:highlight w:val="none"/>
          <w:u w:val="single"/>
        </w:rPr>
        <w:t>　　　                　　　　</w:t>
      </w:r>
    </w:p>
    <w:p w14:paraId="1A6D335C">
      <w:pPr>
        <w:widowControl/>
        <w:spacing w:line="520" w:lineRule="exact"/>
        <w:ind w:firstLine="720" w:firstLineChars="3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 xml:space="preserve">　　　　                                    </w:t>
      </w:r>
    </w:p>
    <w:p w14:paraId="785EC0A0">
      <w:pPr>
        <w:widowControl/>
        <w:spacing w:line="520" w:lineRule="exact"/>
        <w:ind w:firstLine="720" w:firstLineChars="300"/>
        <w:jc w:val="right"/>
        <w:rPr>
          <w:rFonts w:asciiTheme="majorEastAsia" w:hAnsiTheme="majorEastAsia" w:eastAsiaTheme="majorEastAsia" w:cstheme="majorEastAsia"/>
          <w:color w:val="auto"/>
          <w:kern w:val="0"/>
          <w:sz w:val="28"/>
          <w:szCs w:val="28"/>
          <w:highlight w:val="none"/>
        </w:rPr>
      </w:pPr>
      <w:r>
        <w:rPr>
          <w:rFonts w:hint="eastAsia" w:asciiTheme="majorEastAsia" w:hAnsiTheme="majorEastAsia" w:eastAsiaTheme="majorEastAsia" w:cstheme="majorEastAsia"/>
          <w:color w:val="auto"/>
          <w:kern w:val="0"/>
          <w:sz w:val="24"/>
          <w:highlight w:val="none"/>
        </w:rPr>
        <w:t xml:space="preserve">  年　　月　　日   </w:t>
      </w:r>
    </w:p>
    <w:p w14:paraId="1A96871F">
      <w:pPr>
        <w:widowControl/>
        <w:spacing w:line="520" w:lineRule="exact"/>
        <w:jc w:val="center"/>
        <w:rPr>
          <w:rFonts w:asciiTheme="majorEastAsia" w:hAnsiTheme="majorEastAsia" w:eastAsiaTheme="majorEastAsia" w:cstheme="majorEastAsia"/>
          <w:b/>
          <w:color w:val="auto"/>
          <w:sz w:val="32"/>
          <w:szCs w:val="32"/>
          <w:highlight w:val="none"/>
        </w:rPr>
      </w:pPr>
    </w:p>
    <w:p w14:paraId="7AFBBA1B">
      <w:pPr>
        <w:widowControl/>
        <w:spacing w:line="520" w:lineRule="exact"/>
        <w:jc w:val="center"/>
        <w:rPr>
          <w:rFonts w:hint="eastAsia" w:asciiTheme="majorEastAsia" w:hAnsiTheme="majorEastAsia" w:eastAsiaTheme="majorEastAsia" w:cstheme="majorEastAsia"/>
          <w:b/>
          <w:color w:val="auto"/>
          <w:sz w:val="32"/>
          <w:szCs w:val="32"/>
          <w:highlight w:val="none"/>
        </w:rPr>
      </w:pPr>
    </w:p>
    <w:p w14:paraId="6D05E032">
      <w:pPr>
        <w:widowControl/>
        <w:spacing w:line="520" w:lineRule="exac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承诺书（二）</w:t>
      </w:r>
    </w:p>
    <w:p w14:paraId="602B1C53">
      <w:pPr>
        <w:spacing w:line="360" w:lineRule="atLeast"/>
        <w:jc w:val="center"/>
        <w:rPr>
          <w:rFonts w:asciiTheme="majorEastAsia" w:hAnsiTheme="majorEastAsia" w:eastAsiaTheme="majorEastAsia" w:cstheme="majorEastAsia"/>
          <w:b/>
          <w:color w:val="auto"/>
          <w:sz w:val="24"/>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03D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ign w:val="center"/>
          </w:tcPr>
          <w:p w14:paraId="467B4D7F">
            <w:pPr>
              <w:spacing w:line="360" w:lineRule="atLeast"/>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致：</w:t>
            </w:r>
            <w:r>
              <w:rPr>
                <w:rFonts w:hint="eastAsia" w:asciiTheme="majorEastAsia" w:hAnsiTheme="majorEastAsia" w:eastAsiaTheme="majorEastAsia" w:cstheme="majorEastAsia"/>
                <w:color w:val="auto"/>
                <w:sz w:val="24"/>
                <w:highlight w:val="none"/>
                <w:lang w:eastAsia="zh-CN"/>
              </w:rPr>
              <w:t>陕安项目管理有限公司</w:t>
            </w:r>
          </w:p>
        </w:tc>
      </w:tr>
      <w:tr w14:paraId="69497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53195854">
            <w:pPr>
              <w:spacing w:line="360" w:lineRule="atLeas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作为参加贵公司组织的本次招标项目的供应商，本公司承诺：在参加本项目招标之前不存在被依法禁止经营行为、财产被接管或冻结的情况，如有隐瞒实情，愿承担一切责任及后果。</w:t>
            </w:r>
          </w:p>
        </w:tc>
      </w:tr>
      <w:tr w14:paraId="35BF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3240" w:type="dxa"/>
            <w:noWrap/>
            <w:vAlign w:val="center"/>
          </w:tcPr>
          <w:p w14:paraId="41A4DC7F">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供应商</w:t>
            </w:r>
          </w:p>
        </w:tc>
        <w:tc>
          <w:tcPr>
            <w:tcW w:w="3420" w:type="dxa"/>
            <w:noWrap/>
            <w:vAlign w:val="center"/>
          </w:tcPr>
          <w:p w14:paraId="49F7C703">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法定代表人</w:t>
            </w:r>
          </w:p>
        </w:tc>
        <w:tc>
          <w:tcPr>
            <w:tcW w:w="2340" w:type="dxa"/>
            <w:noWrap/>
            <w:vAlign w:val="center"/>
          </w:tcPr>
          <w:p w14:paraId="1CF3862B">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日  期</w:t>
            </w:r>
          </w:p>
        </w:tc>
      </w:tr>
      <w:tr w14:paraId="2193D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ign w:val="center"/>
          </w:tcPr>
          <w:p w14:paraId="6F220600">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（公章）</w:t>
            </w:r>
          </w:p>
        </w:tc>
        <w:tc>
          <w:tcPr>
            <w:tcW w:w="3420" w:type="dxa"/>
            <w:noWrap/>
            <w:vAlign w:val="center"/>
          </w:tcPr>
          <w:p w14:paraId="6CBECD62">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（签字或盖章）</w:t>
            </w:r>
          </w:p>
        </w:tc>
        <w:tc>
          <w:tcPr>
            <w:tcW w:w="2340" w:type="dxa"/>
            <w:noWrap/>
            <w:vAlign w:val="center"/>
          </w:tcPr>
          <w:p w14:paraId="0D501120">
            <w:pPr>
              <w:spacing w:line="360" w:lineRule="atLeast"/>
              <w:ind w:firstLine="240" w:firstLineChars="1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年  月  日</w:t>
            </w:r>
          </w:p>
        </w:tc>
      </w:tr>
    </w:tbl>
    <w:p w14:paraId="39044358">
      <w:pPr>
        <w:spacing w:line="360" w:lineRule="atLeast"/>
        <w:jc w:val="center"/>
        <w:rPr>
          <w:rFonts w:asciiTheme="majorEastAsia" w:hAnsiTheme="majorEastAsia" w:eastAsiaTheme="majorEastAsia" w:cstheme="majorEastAsia"/>
          <w:b/>
          <w:color w:val="auto"/>
          <w:sz w:val="32"/>
          <w:szCs w:val="32"/>
          <w:highlight w:val="none"/>
        </w:rPr>
      </w:pPr>
    </w:p>
    <w:p w14:paraId="6F2C5983">
      <w:pPr>
        <w:spacing w:line="360" w:lineRule="atLeas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承诺书（三）</w:t>
      </w:r>
    </w:p>
    <w:p w14:paraId="747D7B3E">
      <w:pPr>
        <w:spacing w:line="360" w:lineRule="atLeast"/>
        <w:jc w:val="center"/>
        <w:rPr>
          <w:rFonts w:asciiTheme="majorEastAsia" w:hAnsiTheme="majorEastAsia" w:eastAsiaTheme="majorEastAsia" w:cstheme="majorEastAsia"/>
          <w:b/>
          <w:color w:val="auto"/>
          <w:sz w:val="24"/>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D91D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ign w:val="center"/>
          </w:tcPr>
          <w:p w14:paraId="38E3FF6E">
            <w:pPr>
              <w:spacing w:line="360" w:lineRule="atLeast"/>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致：</w:t>
            </w:r>
            <w:r>
              <w:rPr>
                <w:rFonts w:hint="eastAsia" w:asciiTheme="majorEastAsia" w:hAnsiTheme="majorEastAsia" w:eastAsiaTheme="majorEastAsia" w:cstheme="majorEastAsia"/>
                <w:color w:val="auto"/>
                <w:sz w:val="24"/>
                <w:highlight w:val="none"/>
                <w:lang w:eastAsia="zh-CN"/>
              </w:rPr>
              <w:t>陕安项目管理有限公司</w:t>
            </w:r>
          </w:p>
        </w:tc>
      </w:tr>
      <w:tr w14:paraId="69009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157408FB">
            <w:pPr>
              <w:spacing w:line="360" w:lineRule="atLeas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作为参加贵公司组织的本次招标项目的供应商，本公司郑重申告并承诺：近三年受到有关行政主管部门的行政处理、不良行为记录为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次（没有填零），如有隐瞒实情，愿承担一切责任及后果。</w:t>
            </w:r>
          </w:p>
        </w:tc>
      </w:tr>
      <w:tr w14:paraId="31501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3240" w:type="dxa"/>
            <w:noWrap/>
            <w:vAlign w:val="center"/>
          </w:tcPr>
          <w:p w14:paraId="520E79A0">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供应商</w:t>
            </w:r>
          </w:p>
        </w:tc>
        <w:tc>
          <w:tcPr>
            <w:tcW w:w="3420" w:type="dxa"/>
            <w:noWrap/>
            <w:vAlign w:val="center"/>
          </w:tcPr>
          <w:p w14:paraId="3877626A">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法定代表人</w:t>
            </w:r>
          </w:p>
        </w:tc>
        <w:tc>
          <w:tcPr>
            <w:tcW w:w="2340" w:type="dxa"/>
            <w:noWrap/>
            <w:vAlign w:val="center"/>
          </w:tcPr>
          <w:p w14:paraId="573F53F6">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日  期</w:t>
            </w:r>
          </w:p>
        </w:tc>
      </w:tr>
      <w:tr w14:paraId="2ECE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ign w:val="center"/>
          </w:tcPr>
          <w:p w14:paraId="4280A705">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（公章）</w:t>
            </w:r>
          </w:p>
        </w:tc>
        <w:tc>
          <w:tcPr>
            <w:tcW w:w="3420" w:type="dxa"/>
            <w:noWrap/>
            <w:vAlign w:val="center"/>
          </w:tcPr>
          <w:p w14:paraId="4E82D83F">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（签字或盖章）</w:t>
            </w:r>
          </w:p>
        </w:tc>
        <w:tc>
          <w:tcPr>
            <w:tcW w:w="2340" w:type="dxa"/>
            <w:noWrap/>
            <w:vAlign w:val="center"/>
          </w:tcPr>
          <w:p w14:paraId="2CFF66D0">
            <w:pPr>
              <w:spacing w:line="360" w:lineRule="atLeast"/>
              <w:ind w:firstLine="240" w:firstLineChars="1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年  月  日</w:t>
            </w:r>
          </w:p>
        </w:tc>
      </w:tr>
    </w:tbl>
    <w:p w14:paraId="3466C47D">
      <w:pPr>
        <w:spacing w:line="360" w:lineRule="atLeast"/>
        <w:jc w:val="center"/>
        <w:rPr>
          <w:rFonts w:asciiTheme="majorEastAsia" w:hAnsiTheme="majorEastAsia" w:eastAsiaTheme="majorEastAsia" w:cstheme="majorEastAsia"/>
          <w:b/>
          <w:color w:val="auto"/>
          <w:sz w:val="32"/>
          <w:szCs w:val="32"/>
          <w:highlight w:val="none"/>
        </w:rPr>
      </w:pPr>
    </w:p>
    <w:p w14:paraId="24C42180">
      <w:pPr>
        <w:spacing w:line="360" w:lineRule="atLeast"/>
        <w:jc w:val="center"/>
        <w:rPr>
          <w:rFonts w:asciiTheme="majorEastAsia" w:hAnsiTheme="majorEastAsia" w:eastAsiaTheme="majorEastAsia" w:cstheme="majorEastAsia"/>
          <w:b/>
          <w:color w:val="auto"/>
          <w:sz w:val="32"/>
          <w:szCs w:val="32"/>
          <w:highlight w:val="none"/>
        </w:rPr>
      </w:pPr>
    </w:p>
    <w:p w14:paraId="42B24017">
      <w:pPr>
        <w:spacing w:line="360" w:lineRule="atLeas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承诺书（四）</w:t>
      </w:r>
    </w:p>
    <w:p w14:paraId="574C47F8">
      <w:pPr>
        <w:spacing w:line="360" w:lineRule="atLeast"/>
        <w:jc w:val="center"/>
        <w:rPr>
          <w:rFonts w:asciiTheme="majorEastAsia" w:hAnsiTheme="majorEastAsia" w:eastAsiaTheme="majorEastAsia" w:cstheme="majorEastAsia"/>
          <w:b/>
          <w:color w:val="auto"/>
          <w:sz w:val="24"/>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4AE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ign w:val="center"/>
          </w:tcPr>
          <w:p w14:paraId="63C96A5A">
            <w:pPr>
              <w:spacing w:line="360" w:lineRule="atLeast"/>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致：</w:t>
            </w:r>
            <w:r>
              <w:rPr>
                <w:rFonts w:hint="eastAsia" w:asciiTheme="majorEastAsia" w:hAnsiTheme="majorEastAsia" w:eastAsiaTheme="majorEastAsia" w:cstheme="majorEastAsia"/>
                <w:color w:val="auto"/>
                <w:sz w:val="24"/>
                <w:highlight w:val="none"/>
                <w:lang w:eastAsia="zh-CN"/>
              </w:rPr>
              <w:t>陕安项目管理有限公司</w:t>
            </w:r>
          </w:p>
        </w:tc>
      </w:tr>
      <w:tr w14:paraId="7AAE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14DED39C">
            <w:pPr>
              <w:spacing w:line="360" w:lineRule="atLeas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作为参加贵公司组织的本次招标项目的供应商，本公司郑重申告：近三年因产品供货问题（水货、替代品、次品、翻新品等）的不法行为记录为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次（没有填零），如有隐瞒实情，愿承担一切责任及后果。</w:t>
            </w:r>
          </w:p>
          <w:p w14:paraId="5397B98E">
            <w:pPr>
              <w:spacing w:line="360" w:lineRule="atLeas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本公司承诺：本次招标标的物为正品行货。</w:t>
            </w:r>
          </w:p>
        </w:tc>
      </w:tr>
      <w:tr w14:paraId="09818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ign w:val="center"/>
          </w:tcPr>
          <w:p w14:paraId="18B0ADE9">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供应商</w:t>
            </w:r>
          </w:p>
        </w:tc>
        <w:tc>
          <w:tcPr>
            <w:tcW w:w="3420" w:type="dxa"/>
            <w:noWrap/>
            <w:vAlign w:val="center"/>
          </w:tcPr>
          <w:p w14:paraId="43209394">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法定代表人</w:t>
            </w:r>
          </w:p>
        </w:tc>
        <w:tc>
          <w:tcPr>
            <w:tcW w:w="2340" w:type="dxa"/>
            <w:noWrap/>
            <w:vAlign w:val="center"/>
          </w:tcPr>
          <w:p w14:paraId="4CB21AF4">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日   期</w:t>
            </w:r>
          </w:p>
        </w:tc>
      </w:tr>
      <w:tr w14:paraId="380F5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jc w:val="center"/>
        </w:trPr>
        <w:tc>
          <w:tcPr>
            <w:tcW w:w="3240" w:type="dxa"/>
            <w:noWrap/>
            <w:vAlign w:val="center"/>
          </w:tcPr>
          <w:p w14:paraId="66ADBF53">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（公章）</w:t>
            </w:r>
          </w:p>
        </w:tc>
        <w:tc>
          <w:tcPr>
            <w:tcW w:w="3420" w:type="dxa"/>
            <w:noWrap/>
            <w:vAlign w:val="center"/>
          </w:tcPr>
          <w:p w14:paraId="455B5E01">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（签字或盖章）</w:t>
            </w:r>
          </w:p>
        </w:tc>
        <w:tc>
          <w:tcPr>
            <w:tcW w:w="2340" w:type="dxa"/>
            <w:noWrap/>
            <w:vAlign w:val="center"/>
          </w:tcPr>
          <w:p w14:paraId="37F76F28">
            <w:pPr>
              <w:spacing w:line="360" w:lineRule="atLeast"/>
              <w:ind w:firstLine="240" w:firstLineChars="1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年  月  日</w:t>
            </w:r>
          </w:p>
        </w:tc>
      </w:tr>
    </w:tbl>
    <w:p w14:paraId="413FEAB8">
      <w:pPr>
        <w:spacing w:line="360" w:lineRule="atLeast"/>
        <w:jc w:val="center"/>
        <w:rPr>
          <w:rFonts w:asciiTheme="majorEastAsia" w:hAnsiTheme="majorEastAsia" w:eastAsiaTheme="majorEastAsia" w:cstheme="majorEastAsia"/>
          <w:b/>
          <w:color w:val="auto"/>
          <w:sz w:val="32"/>
          <w:szCs w:val="32"/>
          <w:highlight w:val="none"/>
        </w:rPr>
      </w:pPr>
    </w:p>
    <w:p w14:paraId="2B76C02D">
      <w:pPr>
        <w:spacing w:line="360" w:lineRule="atLeast"/>
        <w:jc w:val="center"/>
        <w:rPr>
          <w:rFonts w:asciiTheme="majorEastAsia" w:hAnsiTheme="majorEastAsia" w:eastAsiaTheme="majorEastAsia" w:cstheme="majorEastAsia"/>
          <w:b/>
          <w:color w:val="auto"/>
          <w:sz w:val="32"/>
          <w:szCs w:val="32"/>
          <w:highlight w:val="none"/>
        </w:rPr>
      </w:pPr>
    </w:p>
    <w:p w14:paraId="432A9990">
      <w:pPr>
        <w:spacing w:line="360" w:lineRule="atLeast"/>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承诺书（五）</w:t>
      </w:r>
    </w:p>
    <w:p w14:paraId="3B990334">
      <w:pPr>
        <w:spacing w:line="360" w:lineRule="atLeast"/>
        <w:jc w:val="center"/>
        <w:rPr>
          <w:rFonts w:asciiTheme="majorEastAsia" w:hAnsiTheme="majorEastAsia" w:eastAsiaTheme="majorEastAsia" w:cstheme="majorEastAsia"/>
          <w:b/>
          <w:color w:val="auto"/>
          <w:sz w:val="24"/>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D4F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ign w:val="center"/>
          </w:tcPr>
          <w:p w14:paraId="060C0F3E">
            <w:pPr>
              <w:spacing w:line="360" w:lineRule="atLeast"/>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致：</w:t>
            </w:r>
            <w:r>
              <w:rPr>
                <w:rFonts w:hint="eastAsia" w:asciiTheme="majorEastAsia" w:hAnsiTheme="majorEastAsia" w:eastAsiaTheme="majorEastAsia" w:cstheme="majorEastAsia"/>
                <w:color w:val="auto"/>
                <w:sz w:val="24"/>
                <w:highlight w:val="none"/>
                <w:lang w:eastAsia="zh-CN"/>
              </w:rPr>
              <w:t>陕安项目管理有限公司</w:t>
            </w:r>
          </w:p>
        </w:tc>
      </w:tr>
      <w:tr w14:paraId="17BA4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7DA3F30E">
            <w:pPr>
              <w:spacing w:line="360" w:lineRule="atLeas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作为参加贵公司组织的本次招标项目的供应商，本公司承诺：参加本次招标提交的所有资质证明文件及业绩证明文件是真实的、有效的，如有隐瞒实情，愿承担一切责任及后果。</w:t>
            </w:r>
          </w:p>
        </w:tc>
      </w:tr>
      <w:tr w14:paraId="2F15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ign w:val="center"/>
          </w:tcPr>
          <w:p w14:paraId="33F2F6EB">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供应商</w:t>
            </w:r>
          </w:p>
        </w:tc>
        <w:tc>
          <w:tcPr>
            <w:tcW w:w="3420" w:type="dxa"/>
            <w:noWrap/>
            <w:vAlign w:val="center"/>
          </w:tcPr>
          <w:p w14:paraId="34DEBEAF">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法定代表人</w:t>
            </w:r>
          </w:p>
        </w:tc>
        <w:tc>
          <w:tcPr>
            <w:tcW w:w="2340" w:type="dxa"/>
            <w:noWrap/>
            <w:vAlign w:val="center"/>
          </w:tcPr>
          <w:p w14:paraId="15294F29">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日   期</w:t>
            </w:r>
          </w:p>
        </w:tc>
      </w:tr>
      <w:tr w14:paraId="1A98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3" w:hRule="atLeast"/>
          <w:jc w:val="center"/>
        </w:trPr>
        <w:tc>
          <w:tcPr>
            <w:tcW w:w="3240" w:type="dxa"/>
            <w:noWrap/>
            <w:vAlign w:val="center"/>
          </w:tcPr>
          <w:p w14:paraId="2A8C588F">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（公章）</w:t>
            </w:r>
          </w:p>
        </w:tc>
        <w:tc>
          <w:tcPr>
            <w:tcW w:w="3420" w:type="dxa"/>
            <w:noWrap/>
            <w:vAlign w:val="center"/>
          </w:tcPr>
          <w:p w14:paraId="07675411">
            <w:pPr>
              <w:spacing w:line="360" w:lineRule="atLeast"/>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（签字或盖章）</w:t>
            </w:r>
          </w:p>
        </w:tc>
        <w:tc>
          <w:tcPr>
            <w:tcW w:w="2340" w:type="dxa"/>
            <w:noWrap/>
            <w:vAlign w:val="center"/>
          </w:tcPr>
          <w:p w14:paraId="52E95444">
            <w:pPr>
              <w:spacing w:line="360" w:lineRule="atLeast"/>
              <w:ind w:firstLine="240" w:firstLineChars="100"/>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年  月  日</w:t>
            </w:r>
          </w:p>
        </w:tc>
      </w:tr>
    </w:tbl>
    <w:p w14:paraId="5E713E08">
      <w:pPr>
        <w:rPr>
          <w:rFonts w:asciiTheme="majorEastAsia" w:hAnsiTheme="majorEastAsia" w:eastAsiaTheme="majorEastAsia" w:cstheme="majorEastAsia"/>
          <w:color w:val="auto"/>
          <w:highlight w:val="none"/>
        </w:rPr>
      </w:pPr>
    </w:p>
    <w:p w14:paraId="33E3C55D">
      <w:pPr>
        <w:pStyle w:val="10"/>
        <w:rPr>
          <w:rFonts w:asciiTheme="majorEastAsia" w:hAnsiTheme="majorEastAsia" w:eastAsiaTheme="majorEastAsia" w:cstheme="majorEastAsia"/>
          <w:color w:val="auto"/>
          <w:highlight w:val="none"/>
        </w:rPr>
      </w:pPr>
    </w:p>
    <w:p w14:paraId="32A86927">
      <w:pPr>
        <w:rPr>
          <w:rFonts w:asciiTheme="majorEastAsia" w:hAnsiTheme="majorEastAsia" w:eastAsiaTheme="majorEastAsia" w:cstheme="majorEastAsia"/>
          <w:color w:val="auto"/>
          <w:highlight w:val="none"/>
        </w:rPr>
      </w:pPr>
    </w:p>
    <w:p w14:paraId="758B770C">
      <w:pPr>
        <w:rPr>
          <w:rFonts w:asciiTheme="majorEastAsia" w:hAnsiTheme="majorEastAsia" w:eastAsiaTheme="majorEastAsia" w:cstheme="majorEastAsia"/>
          <w:color w:val="auto"/>
          <w:highlight w:val="none"/>
        </w:rPr>
      </w:pPr>
    </w:p>
    <w:p w14:paraId="426C065A">
      <w:pPr>
        <w:rPr>
          <w:rFonts w:asciiTheme="majorEastAsia" w:hAnsiTheme="majorEastAsia" w:eastAsiaTheme="majorEastAsia" w:cstheme="majorEastAsia"/>
          <w:color w:val="auto"/>
          <w:highlight w:val="none"/>
        </w:rPr>
      </w:pPr>
    </w:p>
    <w:p w14:paraId="254D7D1E">
      <w:pPr>
        <w:rPr>
          <w:rFonts w:asciiTheme="majorEastAsia" w:hAnsiTheme="majorEastAsia" w:eastAsiaTheme="majorEastAsia" w:cstheme="majorEastAsia"/>
          <w:color w:val="auto"/>
          <w:highlight w:val="none"/>
        </w:rPr>
      </w:pPr>
    </w:p>
    <w:p w14:paraId="1E6ADAB7">
      <w:pPr>
        <w:spacing w:line="360" w:lineRule="auto"/>
        <w:jc w:val="center"/>
        <w:rPr>
          <w:rFonts w:asciiTheme="majorEastAsia" w:hAnsiTheme="majorEastAsia" w:eastAsiaTheme="majorEastAsia" w:cstheme="majorEastAsia"/>
          <w:b/>
          <w:color w:val="auto"/>
          <w:sz w:val="32"/>
          <w:szCs w:val="32"/>
          <w:highlight w:val="none"/>
        </w:rPr>
      </w:pPr>
      <w:bookmarkStart w:id="164" w:name="_Toc7502"/>
      <w:bookmarkStart w:id="165" w:name="_Toc29982"/>
      <w:bookmarkStart w:id="166" w:name="_Toc25732"/>
      <w:bookmarkStart w:id="167" w:name="_Toc1084"/>
      <w:bookmarkStart w:id="168" w:name="_Toc23423"/>
      <w:r>
        <w:rPr>
          <w:rFonts w:hint="eastAsia" w:asciiTheme="majorEastAsia" w:hAnsiTheme="majorEastAsia" w:eastAsiaTheme="majorEastAsia" w:cstheme="majorEastAsia"/>
          <w:b/>
          <w:color w:val="auto"/>
          <w:sz w:val="32"/>
          <w:szCs w:val="32"/>
          <w:highlight w:val="none"/>
          <w:lang w:eastAsia="zh-CN"/>
        </w:rPr>
        <w:t>九</w:t>
      </w:r>
      <w:r>
        <w:rPr>
          <w:rFonts w:hint="eastAsia" w:asciiTheme="majorEastAsia" w:hAnsiTheme="majorEastAsia" w:eastAsiaTheme="majorEastAsia" w:cstheme="majorEastAsia"/>
          <w:b/>
          <w:color w:val="auto"/>
          <w:sz w:val="32"/>
          <w:szCs w:val="32"/>
          <w:highlight w:val="none"/>
        </w:rPr>
        <w:t>、中小企业、监狱企业、残疾人福利单位声明函或证明</w:t>
      </w:r>
      <w:bookmarkEnd w:id="164"/>
    </w:p>
    <w:p w14:paraId="72C17BD1">
      <w:pPr>
        <w:pStyle w:val="10"/>
        <w:rPr>
          <w:rFonts w:asciiTheme="majorEastAsia" w:hAnsiTheme="majorEastAsia" w:eastAsiaTheme="majorEastAsia" w:cstheme="majorEastAsia"/>
          <w:color w:val="auto"/>
          <w:highlight w:val="none"/>
        </w:rPr>
      </w:pPr>
    </w:p>
    <w:p w14:paraId="7493542B">
      <w:pPr>
        <w:spacing w:line="500" w:lineRule="exact"/>
        <w:jc w:val="center"/>
        <w:rPr>
          <w:rFonts w:asciiTheme="majorEastAsia" w:hAnsiTheme="majorEastAsia" w:eastAsiaTheme="majorEastAsia" w:cstheme="majorEastAsia"/>
          <w:b/>
          <w:color w:val="auto"/>
          <w:spacing w:val="6"/>
          <w:sz w:val="28"/>
          <w:szCs w:val="28"/>
          <w:highlight w:val="none"/>
        </w:rPr>
      </w:pPr>
      <w:bookmarkStart w:id="169" w:name="_Toc25215"/>
      <w:r>
        <w:rPr>
          <w:rFonts w:hint="eastAsia" w:asciiTheme="majorEastAsia" w:hAnsiTheme="majorEastAsia" w:eastAsiaTheme="majorEastAsia" w:cstheme="majorEastAsia"/>
          <w:b/>
          <w:color w:val="auto"/>
          <w:spacing w:val="6"/>
          <w:sz w:val="28"/>
          <w:szCs w:val="28"/>
          <w:highlight w:val="none"/>
        </w:rPr>
        <w:t>1.中小企业声明函</w:t>
      </w:r>
      <w:bookmarkEnd w:id="169"/>
    </w:p>
    <w:p w14:paraId="661782F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 号）的规定，本公司参加（</w:t>
      </w:r>
      <w:r>
        <w:rPr>
          <w:rFonts w:hint="eastAsia" w:ascii="宋体" w:hAnsi="宋体" w:cs="宋体"/>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）采购活动，服务全部由符合政策要求的中小企业承接）。相关企业（含联合体中的中小企业、签订分包意向协议的中小企业）的具体情况如下：</w:t>
      </w:r>
    </w:p>
    <w:p w14:paraId="3CA3D2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 （</w:t>
      </w:r>
      <w:r>
        <w:rPr>
          <w:rFonts w:hint="eastAsia" w:ascii="宋体" w:hAnsi="宋体" w:cs="宋体"/>
          <w:color w:val="auto"/>
          <w:sz w:val="24"/>
          <w:highlight w:val="none"/>
          <w:u w:val="single"/>
        </w:rPr>
        <w:t>标的名称</w:t>
      </w:r>
      <w:r>
        <w:rPr>
          <w:rFonts w:hint="eastAsia" w:ascii="宋体" w:hAnsi="宋体" w:cs="宋体"/>
          <w:color w:val="auto"/>
          <w:sz w:val="24"/>
          <w:highlight w:val="none"/>
        </w:rPr>
        <w:t>） ，属于（</w:t>
      </w:r>
      <w:r>
        <w:rPr>
          <w:rFonts w:hint="eastAsia" w:ascii="宋体" w:hAnsi="宋体" w:cs="宋体"/>
          <w:color w:val="auto"/>
          <w:sz w:val="24"/>
          <w:highlight w:val="none"/>
          <w:u w:val="single"/>
        </w:rPr>
        <w:t>采购文件中明确的所属行业</w:t>
      </w:r>
      <w:r>
        <w:rPr>
          <w:rFonts w:hint="eastAsia" w:ascii="宋体" w:hAnsi="宋体" w:cs="宋体"/>
          <w:color w:val="auto"/>
          <w:sz w:val="24"/>
          <w:highlight w:val="none"/>
        </w:rPr>
        <w:t>）；承建（承接）企业为（企业名称），从业人员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 </w:t>
      </w:r>
      <w:r>
        <w:rPr>
          <w:rFonts w:hint="eastAsia" w:ascii="宋体" w:hAnsi="宋体" w:cs="宋体"/>
          <w:color w:val="auto"/>
          <w:sz w:val="24"/>
          <w:highlight w:val="none"/>
          <w:lang w:val="en-US" w:eastAsia="zh-CN"/>
        </w:rPr>
        <w:t>中型企业、</w:t>
      </w:r>
      <w:r>
        <w:rPr>
          <w:rFonts w:hint="eastAsia" w:ascii="宋体" w:hAnsi="宋体" w:cs="宋体"/>
          <w:color w:val="auto"/>
          <w:sz w:val="24"/>
          <w:highlight w:val="none"/>
        </w:rPr>
        <w:t xml:space="preserve">小型企业、微型企业）； </w:t>
      </w:r>
    </w:p>
    <w:p w14:paraId="2132E0B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480C1B4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p>
    <w:p w14:paraId="183A6682">
      <w:pPr>
        <w:spacing w:line="360" w:lineRule="auto"/>
        <w:ind w:firstLine="480" w:firstLineChars="200"/>
        <w:jc w:val="center"/>
        <w:rPr>
          <w:rFonts w:hint="eastAsia" w:ascii="宋体" w:hAnsi="宋体" w:cs="宋体"/>
          <w:color w:val="auto"/>
          <w:sz w:val="24"/>
          <w:highlight w:val="none"/>
        </w:rPr>
      </w:pPr>
    </w:p>
    <w:p w14:paraId="1A6E1EB0">
      <w:pPr>
        <w:spacing w:line="360" w:lineRule="auto"/>
        <w:ind w:firstLine="480" w:firstLineChars="200"/>
        <w:jc w:val="center"/>
        <w:rPr>
          <w:rFonts w:ascii="宋体" w:hAnsi="宋体" w:cs="宋体"/>
          <w:color w:val="auto"/>
          <w:sz w:val="24"/>
          <w:highlight w:val="none"/>
          <w:u w:val="single"/>
        </w:rPr>
      </w:pPr>
      <w:r>
        <w:rPr>
          <w:rFonts w:hint="eastAsia" w:ascii="宋体" w:hAnsi="宋体" w:cs="宋体"/>
          <w:color w:val="auto"/>
          <w:sz w:val="24"/>
          <w:highlight w:val="none"/>
        </w:rPr>
        <w:t xml:space="preserve">企业名称（盖章）： </w:t>
      </w:r>
      <w:r>
        <w:rPr>
          <w:rFonts w:hint="eastAsia" w:ascii="宋体" w:hAnsi="宋体" w:cs="宋体"/>
          <w:color w:val="auto"/>
          <w:sz w:val="24"/>
          <w:highlight w:val="none"/>
          <w:u w:val="single"/>
        </w:rPr>
        <w:t xml:space="preserve">                  </w:t>
      </w:r>
    </w:p>
    <w:p w14:paraId="3596AD8E">
      <w:pPr>
        <w:spacing w:beforeLines="50" w:line="500" w:lineRule="exact"/>
        <w:ind w:firstLine="3600" w:firstLineChars="1500"/>
        <w:rPr>
          <w:rFonts w:asciiTheme="majorEastAsia" w:hAnsiTheme="majorEastAsia" w:eastAsiaTheme="majorEastAsia" w:cstheme="majorEastAsia"/>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p>
    <w:p w14:paraId="1D7653AF">
      <w:pPr>
        <w:pStyle w:val="24"/>
        <w:ind w:firstLine="540"/>
        <w:rPr>
          <w:rFonts w:asciiTheme="majorEastAsia" w:hAnsiTheme="majorEastAsia" w:eastAsiaTheme="majorEastAsia" w:cstheme="majorEastAsia"/>
          <w:color w:val="auto"/>
          <w:highlight w:val="none"/>
        </w:rPr>
      </w:pPr>
    </w:p>
    <w:p w14:paraId="65255B35">
      <w:pPr>
        <w:spacing w:beforeLines="50" w:line="500" w:lineRule="exact"/>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注：从业人员、营业收入、资产总额填报上一年度数据，无上一年度数据的新成立企业可不填报。</w:t>
      </w:r>
    </w:p>
    <w:p w14:paraId="6CDEDA5E">
      <w:pPr>
        <w:bidi w:val="0"/>
        <w:rPr>
          <w:color w:val="auto"/>
          <w:highlight w:val="none"/>
        </w:rPr>
      </w:pPr>
    </w:p>
    <w:p w14:paraId="5F6A53CF">
      <w:pPr>
        <w:bidi w:val="0"/>
        <w:rPr>
          <w:color w:val="auto"/>
          <w:highlight w:val="none"/>
        </w:rPr>
        <w:sectPr>
          <w:footerReference r:id="rId24" w:type="default"/>
          <w:pgSz w:w="11900" w:h="16838"/>
          <w:pgMar w:top="1429" w:right="1417" w:bottom="1417" w:left="1417" w:header="850" w:footer="850" w:gutter="0"/>
          <w:pgNumType w:fmt="decimal"/>
          <w:cols w:space="0" w:num="1"/>
          <w:rtlGutter w:val="0"/>
          <w:docGrid w:linePitch="312" w:charSpace="0"/>
        </w:sectPr>
      </w:pPr>
    </w:p>
    <w:p w14:paraId="2481E4EF">
      <w:pPr>
        <w:spacing w:line="500" w:lineRule="exact"/>
        <w:jc w:val="center"/>
        <w:rPr>
          <w:rFonts w:asciiTheme="majorEastAsia" w:hAnsiTheme="majorEastAsia" w:eastAsiaTheme="majorEastAsia" w:cstheme="majorEastAsia"/>
          <w:b/>
          <w:color w:val="auto"/>
          <w:spacing w:val="6"/>
          <w:sz w:val="28"/>
          <w:szCs w:val="28"/>
          <w:highlight w:val="none"/>
        </w:rPr>
      </w:pPr>
      <w:r>
        <w:rPr>
          <w:rFonts w:hint="eastAsia" w:asciiTheme="majorEastAsia" w:hAnsiTheme="majorEastAsia" w:eastAsiaTheme="majorEastAsia" w:cstheme="majorEastAsia"/>
          <w:b/>
          <w:color w:val="auto"/>
          <w:spacing w:val="6"/>
          <w:sz w:val="28"/>
          <w:szCs w:val="28"/>
          <w:highlight w:val="none"/>
        </w:rPr>
        <w:t>2.残疾人福利性单位声明函</w:t>
      </w:r>
      <w:bookmarkEnd w:id="165"/>
    </w:p>
    <w:p w14:paraId="065D7549">
      <w:pPr>
        <w:jc w:val="center"/>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（注：符合条件的残疾人福利性单位请提供本函，不符合的不提供本函）</w:t>
      </w:r>
    </w:p>
    <w:p w14:paraId="6BCA47C6">
      <w:pPr>
        <w:spacing w:line="500" w:lineRule="exact"/>
        <w:rPr>
          <w:rFonts w:asciiTheme="majorEastAsia" w:hAnsiTheme="majorEastAsia" w:eastAsiaTheme="majorEastAsia" w:cstheme="majorEastAsia"/>
          <w:b/>
          <w:color w:val="auto"/>
          <w:spacing w:val="6"/>
          <w:sz w:val="30"/>
          <w:szCs w:val="30"/>
          <w:highlight w:val="none"/>
        </w:rPr>
      </w:pPr>
    </w:p>
    <w:p w14:paraId="6E45E80E">
      <w:pPr>
        <w:spacing w:line="500" w:lineRule="exact"/>
        <w:ind w:firstLine="504" w:firstLineChars="200"/>
        <w:rPr>
          <w:rFonts w:asciiTheme="majorEastAsia" w:hAnsiTheme="majorEastAsia" w:eastAsiaTheme="majorEastAsia" w:cstheme="majorEastAsia"/>
          <w:color w:val="auto"/>
          <w:spacing w:val="6"/>
          <w:sz w:val="24"/>
          <w:highlight w:val="none"/>
        </w:rPr>
      </w:pPr>
      <w:r>
        <w:rPr>
          <w:rFonts w:hint="eastAsia" w:asciiTheme="majorEastAsia" w:hAnsiTheme="majorEastAsia" w:eastAsiaTheme="majorEastAsia" w:cstheme="majorEastAsia"/>
          <w:color w:val="auto"/>
          <w:spacing w:val="6"/>
          <w:sz w:val="24"/>
          <w:highlight w:val="none"/>
        </w:rPr>
        <w:t>本单位郑重声明，根据《财政部 民政部 中国残疾人联合会关于促进残疾人就业政府采购政策的通知》（财库</w:t>
      </w:r>
      <w:r>
        <w:rPr>
          <w:rFonts w:hint="eastAsia" w:asciiTheme="majorEastAsia" w:hAnsiTheme="majorEastAsia" w:eastAsiaTheme="majorEastAsia" w:cstheme="majorEastAsia"/>
          <w:color w:val="auto"/>
          <w:sz w:val="24"/>
          <w:highlight w:val="none"/>
        </w:rPr>
        <w:t>〔2017〕 141</w:t>
      </w:r>
      <w:r>
        <w:rPr>
          <w:rFonts w:hint="eastAsia" w:asciiTheme="majorEastAsia" w:hAnsiTheme="majorEastAsia" w:eastAsiaTheme="majorEastAsia" w:cstheme="majorEastAsia"/>
          <w:color w:val="auto"/>
          <w:spacing w:val="6"/>
          <w:sz w:val="24"/>
          <w:highlight w:val="none"/>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081A1AC">
      <w:pPr>
        <w:spacing w:line="500" w:lineRule="exact"/>
        <w:ind w:firstLine="504" w:firstLineChars="200"/>
        <w:rPr>
          <w:rFonts w:asciiTheme="majorEastAsia" w:hAnsiTheme="majorEastAsia" w:eastAsiaTheme="majorEastAsia" w:cstheme="majorEastAsia"/>
          <w:color w:val="auto"/>
          <w:spacing w:val="6"/>
          <w:sz w:val="24"/>
          <w:highlight w:val="none"/>
        </w:rPr>
      </w:pPr>
      <w:r>
        <w:rPr>
          <w:rFonts w:hint="eastAsia" w:asciiTheme="majorEastAsia" w:hAnsiTheme="majorEastAsia" w:eastAsiaTheme="majorEastAsia" w:cstheme="majorEastAsia"/>
          <w:color w:val="auto"/>
          <w:spacing w:val="6"/>
          <w:sz w:val="24"/>
          <w:highlight w:val="none"/>
        </w:rPr>
        <w:t>本单位对上述声明的真实性负责。如有虚假，将依法承担相应责任。</w:t>
      </w:r>
    </w:p>
    <w:p w14:paraId="4CF9CF26">
      <w:pPr>
        <w:spacing w:line="500" w:lineRule="exact"/>
        <w:rPr>
          <w:rFonts w:asciiTheme="majorEastAsia" w:hAnsiTheme="majorEastAsia" w:eastAsiaTheme="majorEastAsia" w:cstheme="majorEastAsia"/>
          <w:color w:val="auto"/>
          <w:spacing w:val="6"/>
          <w:sz w:val="24"/>
          <w:highlight w:val="none"/>
        </w:rPr>
      </w:pPr>
    </w:p>
    <w:p w14:paraId="1FACFA32">
      <w:pPr>
        <w:tabs>
          <w:tab w:val="left" w:pos="4860"/>
        </w:tabs>
        <w:spacing w:line="500" w:lineRule="exact"/>
        <w:ind w:right="1560" w:firstLine="504" w:firstLineChars="200"/>
        <w:jc w:val="center"/>
        <w:rPr>
          <w:rFonts w:asciiTheme="majorEastAsia" w:hAnsiTheme="majorEastAsia" w:eastAsiaTheme="majorEastAsia" w:cstheme="majorEastAsia"/>
          <w:color w:val="auto"/>
          <w:spacing w:val="6"/>
          <w:sz w:val="24"/>
          <w:highlight w:val="none"/>
        </w:rPr>
      </w:pPr>
      <w:r>
        <w:rPr>
          <w:rFonts w:hint="eastAsia" w:asciiTheme="majorEastAsia" w:hAnsiTheme="majorEastAsia" w:eastAsiaTheme="majorEastAsia" w:cstheme="majorEastAsia"/>
          <w:color w:val="auto"/>
          <w:spacing w:val="6"/>
          <w:sz w:val="24"/>
          <w:highlight w:val="none"/>
        </w:rPr>
        <w:t xml:space="preserve">                                  单位名称（盖章）：</w:t>
      </w:r>
    </w:p>
    <w:p w14:paraId="3EDE565B">
      <w:pPr>
        <w:adjustRightInd w:val="0"/>
        <w:snapToGrid w:val="0"/>
        <w:spacing w:line="500" w:lineRule="exact"/>
        <w:ind w:firstLine="630" w:firstLineChars="250"/>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pacing w:val="6"/>
          <w:sz w:val="24"/>
          <w:highlight w:val="none"/>
        </w:rPr>
        <w:t xml:space="preserve">                                         日  期：</w:t>
      </w:r>
    </w:p>
    <w:p w14:paraId="697C1695">
      <w:pPr>
        <w:adjustRightInd w:val="0"/>
        <w:snapToGrid w:val="0"/>
        <w:spacing w:line="500" w:lineRule="exact"/>
        <w:rPr>
          <w:rFonts w:asciiTheme="majorEastAsia" w:hAnsiTheme="majorEastAsia" w:eastAsiaTheme="majorEastAsia" w:cstheme="majorEastAsia"/>
          <w:color w:val="auto"/>
          <w:szCs w:val="21"/>
          <w:highlight w:val="none"/>
        </w:rPr>
      </w:pPr>
    </w:p>
    <w:p w14:paraId="2EE5CA22">
      <w:pPr>
        <w:tabs>
          <w:tab w:val="left" w:pos="5670"/>
        </w:tabs>
        <w:ind w:firstLine="566"/>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bCs/>
          <w:color w:val="auto"/>
          <w:szCs w:val="21"/>
          <w:highlight w:val="none"/>
        </w:rPr>
        <w:t>备注：</w:t>
      </w:r>
      <w:r>
        <w:rPr>
          <w:rFonts w:hint="eastAsia" w:asciiTheme="majorEastAsia" w:hAnsiTheme="majorEastAsia" w:eastAsiaTheme="majorEastAsia" w:cstheme="majorEastAsia"/>
          <w:color w:val="auto"/>
          <w:szCs w:val="21"/>
          <w:highlight w:val="none"/>
        </w:rPr>
        <w:t>项目不分标段的，第___标段空白处填写“/”。</w:t>
      </w:r>
    </w:p>
    <w:p w14:paraId="5A0D539F">
      <w:pPr>
        <w:tabs>
          <w:tab w:val="left" w:pos="5670"/>
        </w:tabs>
        <w:ind w:firstLine="566"/>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根据《财政部 民政部 中国残疾人联合会关于促进残疾人就业政府采购政策的通知》（财库〔2017〕141号）的规定：</w:t>
      </w:r>
    </w:p>
    <w:p w14:paraId="619FA6FB">
      <w:pPr>
        <w:tabs>
          <w:tab w:val="left" w:pos="5670"/>
        </w:tabs>
        <w:ind w:firstLine="420" w:firstLineChars="200"/>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一、享受政府采购支持政策的残疾人福利性单位应当同时满足以下条件：</w:t>
      </w:r>
    </w:p>
    <w:p w14:paraId="3224A198">
      <w:pPr>
        <w:tabs>
          <w:tab w:val="left" w:pos="5670"/>
        </w:tabs>
        <w:ind w:firstLine="566"/>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（一）安置的残疾人占本单位在职职工人数的比例不低于25%（含25%），并且安置的残疾人人数不少于10人（含10人）；</w:t>
      </w:r>
    </w:p>
    <w:p w14:paraId="2A47C418">
      <w:pPr>
        <w:tabs>
          <w:tab w:val="left" w:pos="5670"/>
        </w:tabs>
        <w:ind w:firstLine="566"/>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（二）依法与安置的每位残疾人签订了一年以上（含一年）的劳动合同或服务协议；</w:t>
      </w:r>
    </w:p>
    <w:p w14:paraId="2B453A83">
      <w:pPr>
        <w:tabs>
          <w:tab w:val="left" w:pos="5670"/>
        </w:tabs>
        <w:ind w:firstLine="566"/>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（三）为安置的每位残疾人按月足额缴纳了基本养老保险、基本医疗保险、失业保险、工伤保险和生育保险等社会保险费；</w:t>
      </w:r>
    </w:p>
    <w:p w14:paraId="24C5259A">
      <w:pPr>
        <w:tabs>
          <w:tab w:val="left" w:pos="5670"/>
        </w:tabs>
        <w:ind w:firstLine="566"/>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（四）通过银行等金融机构向安置的每位残疾人，按月支付了不低于单位所在区县适用的经省级人民政府批准的月最低工资标准的工资；</w:t>
      </w:r>
    </w:p>
    <w:p w14:paraId="1268CBA2">
      <w:pPr>
        <w:tabs>
          <w:tab w:val="left" w:pos="5670"/>
        </w:tabs>
        <w:ind w:firstLine="566"/>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（五）提供本单位承担的服务（以下简称产品），或者提供其他残疾人福利性单位提供的服。</w:t>
      </w:r>
    </w:p>
    <w:p w14:paraId="02C061B9">
      <w:pPr>
        <w:tabs>
          <w:tab w:val="left" w:pos="5670"/>
        </w:tabs>
        <w:ind w:firstLine="566"/>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C3714B3">
      <w:pPr>
        <w:tabs>
          <w:tab w:val="left" w:pos="5670"/>
        </w:tabs>
        <w:ind w:firstLine="420" w:firstLineChars="200"/>
        <w:rPr>
          <w:rFonts w:asciiTheme="majorEastAsia" w:hAnsiTheme="majorEastAsia" w:eastAsiaTheme="majorEastAsia" w:cstheme="majorEastAsia"/>
          <w:b/>
          <w:bCs/>
          <w:color w:val="auto"/>
          <w:szCs w:val="21"/>
          <w:highlight w:val="none"/>
        </w:rPr>
      </w:pPr>
      <w:r>
        <w:rPr>
          <w:rFonts w:hint="eastAsia" w:asciiTheme="majorEastAsia" w:hAnsiTheme="majorEastAsia" w:eastAsiaTheme="majorEastAsia" w:cstheme="majorEastAsia"/>
          <w:color w:val="auto"/>
          <w:szCs w:val="21"/>
          <w:highlight w:val="none"/>
        </w:rPr>
        <w:t>二、中标、成交供应商为残疾人福利性单位的，采购人或者其委托的采购代理机构应当随中标、成交结果同时公告其《残疾人福利性单位声明函》，接受社会监督。</w:t>
      </w:r>
      <w:r>
        <w:rPr>
          <w:rFonts w:hint="eastAsia" w:asciiTheme="majorEastAsia" w:hAnsiTheme="majorEastAsia" w:eastAsiaTheme="majorEastAsia" w:cstheme="majorEastAsia"/>
          <w:b/>
          <w:bCs/>
          <w:color w:val="auto"/>
          <w:szCs w:val="21"/>
          <w:highlight w:val="none"/>
        </w:rPr>
        <w:t>非残疾人福利性单位无需提供此函。</w:t>
      </w:r>
    </w:p>
    <w:p w14:paraId="1017FF7E">
      <w:pPr>
        <w:tabs>
          <w:tab w:val="left" w:pos="5670"/>
        </w:tabs>
        <w:ind w:firstLine="420" w:firstLineChars="200"/>
        <w:rPr>
          <w:rFonts w:asciiTheme="majorEastAsia" w:hAnsiTheme="majorEastAsia" w:eastAsiaTheme="majorEastAsia" w:cstheme="majorEastAsia"/>
          <w:color w:val="auto"/>
          <w:szCs w:val="21"/>
          <w:highlight w:val="none"/>
        </w:rPr>
      </w:pPr>
    </w:p>
    <w:p w14:paraId="16AF15E8">
      <w:pPr>
        <w:tabs>
          <w:tab w:val="left" w:pos="5670"/>
        </w:tabs>
        <w:jc w:val="center"/>
        <w:rPr>
          <w:rFonts w:asciiTheme="majorEastAsia" w:hAnsiTheme="majorEastAsia" w:eastAsiaTheme="majorEastAsia" w:cstheme="majorEastAsia"/>
          <w:b/>
          <w:color w:val="auto"/>
          <w:spacing w:val="6"/>
          <w:sz w:val="28"/>
          <w:szCs w:val="28"/>
          <w:highlight w:val="none"/>
        </w:rPr>
      </w:pPr>
      <w:r>
        <w:rPr>
          <w:rFonts w:hint="eastAsia" w:asciiTheme="majorEastAsia" w:hAnsiTheme="majorEastAsia" w:eastAsiaTheme="majorEastAsia" w:cstheme="majorEastAsia"/>
          <w:b/>
          <w:bCs/>
          <w:color w:val="auto"/>
          <w:sz w:val="36"/>
          <w:szCs w:val="36"/>
          <w:highlight w:val="none"/>
        </w:rPr>
        <w:br w:type="page"/>
      </w:r>
      <w:bookmarkStart w:id="170" w:name="_Toc3485"/>
      <w:r>
        <w:rPr>
          <w:rFonts w:hint="eastAsia" w:asciiTheme="majorEastAsia" w:hAnsiTheme="majorEastAsia" w:eastAsiaTheme="majorEastAsia" w:cstheme="majorEastAsia"/>
          <w:b/>
          <w:bCs/>
          <w:color w:val="auto"/>
          <w:sz w:val="28"/>
          <w:szCs w:val="28"/>
          <w:highlight w:val="none"/>
        </w:rPr>
        <w:t>3.</w:t>
      </w:r>
      <w:r>
        <w:rPr>
          <w:rFonts w:hint="eastAsia" w:asciiTheme="majorEastAsia" w:hAnsiTheme="majorEastAsia" w:eastAsiaTheme="majorEastAsia" w:cstheme="majorEastAsia"/>
          <w:b/>
          <w:color w:val="auto"/>
          <w:spacing w:val="6"/>
          <w:sz w:val="28"/>
          <w:szCs w:val="28"/>
          <w:highlight w:val="none"/>
        </w:rPr>
        <w:t>监狱企业证明函</w:t>
      </w:r>
      <w:bookmarkEnd w:id="170"/>
    </w:p>
    <w:p w14:paraId="1E895FD0">
      <w:pPr>
        <w:pStyle w:val="17"/>
        <w:rPr>
          <w:rFonts w:asciiTheme="majorEastAsia" w:hAnsiTheme="majorEastAsia" w:eastAsiaTheme="majorEastAsia" w:cstheme="majorEastAsia"/>
          <w:color w:val="auto"/>
          <w:highlight w:val="none"/>
        </w:rPr>
      </w:pPr>
    </w:p>
    <w:p w14:paraId="1B35B0B8">
      <w:pPr>
        <w:jc w:val="center"/>
        <w:outlineLvl w:val="0"/>
        <w:rPr>
          <w:rFonts w:asciiTheme="majorEastAsia" w:hAnsiTheme="majorEastAsia" w:eastAsiaTheme="majorEastAsia" w:cstheme="majorEastAsia"/>
          <w:color w:val="auto"/>
          <w:sz w:val="24"/>
          <w:highlight w:val="none"/>
        </w:rPr>
      </w:pPr>
      <w:bookmarkStart w:id="171" w:name="_Toc29333"/>
      <w:bookmarkStart w:id="172" w:name="_Toc14076"/>
      <w:bookmarkStart w:id="173" w:name="_Toc15286"/>
      <w:bookmarkStart w:id="174" w:name="_Toc20880"/>
      <w:r>
        <w:rPr>
          <w:rFonts w:hint="eastAsia" w:asciiTheme="majorEastAsia" w:hAnsiTheme="majorEastAsia" w:eastAsiaTheme="majorEastAsia" w:cstheme="majorEastAsia"/>
          <w:color w:val="auto"/>
          <w:sz w:val="24"/>
          <w:highlight w:val="none"/>
        </w:rPr>
        <w:t>（注：符合条件的监狱企业请提供本函，不符合的不提供本函）</w:t>
      </w:r>
      <w:bookmarkEnd w:id="171"/>
      <w:bookmarkEnd w:id="172"/>
      <w:bookmarkEnd w:id="173"/>
      <w:bookmarkEnd w:id="174"/>
    </w:p>
    <w:p w14:paraId="6AAB0967">
      <w:pPr>
        <w:rPr>
          <w:rFonts w:asciiTheme="majorEastAsia" w:hAnsiTheme="majorEastAsia" w:eastAsiaTheme="majorEastAsia" w:cstheme="majorEastAsia"/>
          <w:color w:val="auto"/>
          <w:highlight w:val="none"/>
        </w:rPr>
      </w:pPr>
    </w:p>
    <w:p w14:paraId="4A994F8A">
      <w:pPr>
        <w:spacing w:line="5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监狱企业参加政府采购活动，要求享受相关优惠政策的，应当提供由省级以上监狱管理局、戒毒管理局（含新疆生产建设兵团）出具的属于监狱企业的证明文件。</w:t>
      </w:r>
    </w:p>
    <w:p w14:paraId="2B9966CF">
      <w:pPr>
        <w:spacing w:line="500" w:lineRule="exact"/>
        <w:ind w:firstLine="480" w:firstLineChars="200"/>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FB0D49">
      <w:pPr>
        <w:pStyle w:val="23"/>
        <w:ind w:firstLine="183"/>
        <w:rPr>
          <w:rFonts w:asciiTheme="majorEastAsia" w:hAnsiTheme="majorEastAsia" w:eastAsiaTheme="majorEastAsia" w:cstheme="majorEastAsia"/>
          <w:color w:val="auto"/>
          <w:highlight w:val="none"/>
        </w:rPr>
      </w:pPr>
    </w:p>
    <w:p w14:paraId="2539CA51">
      <w:pPr>
        <w:rPr>
          <w:rFonts w:asciiTheme="majorEastAsia" w:hAnsiTheme="majorEastAsia" w:eastAsiaTheme="majorEastAsia" w:cstheme="majorEastAsia"/>
          <w:color w:val="auto"/>
          <w:highlight w:val="none"/>
        </w:rPr>
      </w:pPr>
    </w:p>
    <w:p w14:paraId="14FD5F83">
      <w:pPr>
        <w:rPr>
          <w:rFonts w:asciiTheme="majorEastAsia" w:hAnsiTheme="majorEastAsia" w:eastAsiaTheme="majorEastAsia" w:cstheme="majorEastAsia"/>
          <w:color w:val="auto"/>
          <w:highlight w:val="none"/>
        </w:rPr>
      </w:pPr>
    </w:p>
    <w:p w14:paraId="4ADACB76">
      <w:pPr>
        <w:rPr>
          <w:rFonts w:asciiTheme="majorEastAsia" w:hAnsiTheme="majorEastAsia" w:eastAsiaTheme="majorEastAsia" w:cstheme="majorEastAsia"/>
          <w:color w:val="auto"/>
          <w:highlight w:val="none"/>
        </w:rPr>
      </w:pPr>
    </w:p>
    <w:p w14:paraId="5982F7F1">
      <w:pPr>
        <w:rPr>
          <w:rFonts w:asciiTheme="majorEastAsia" w:hAnsiTheme="majorEastAsia" w:eastAsiaTheme="majorEastAsia" w:cstheme="majorEastAsia"/>
          <w:color w:val="auto"/>
          <w:highlight w:val="none"/>
        </w:rPr>
      </w:pPr>
    </w:p>
    <w:p w14:paraId="5B02D7BA">
      <w:pPr>
        <w:rPr>
          <w:rFonts w:asciiTheme="majorEastAsia" w:hAnsiTheme="majorEastAsia" w:eastAsiaTheme="majorEastAsia" w:cstheme="majorEastAsia"/>
          <w:color w:val="auto"/>
          <w:highlight w:val="none"/>
        </w:rPr>
      </w:pPr>
    </w:p>
    <w:p w14:paraId="644A9013">
      <w:pPr>
        <w:rPr>
          <w:rFonts w:asciiTheme="majorEastAsia" w:hAnsiTheme="majorEastAsia" w:eastAsiaTheme="majorEastAsia" w:cstheme="majorEastAsia"/>
          <w:color w:val="auto"/>
          <w:highlight w:val="none"/>
        </w:rPr>
      </w:pPr>
    </w:p>
    <w:p w14:paraId="20398250">
      <w:pPr>
        <w:widowControl/>
        <w:jc w:val="left"/>
        <w:rPr>
          <w:rFonts w:asciiTheme="majorEastAsia" w:hAnsiTheme="majorEastAsia" w:eastAsiaTheme="majorEastAsia" w:cstheme="majorEastAsia"/>
          <w:color w:val="auto"/>
          <w:kern w:val="0"/>
          <w:sz w:val="24"/>
          <w:highlight w:val="none"/>
          <w:u w:val="single"/>
        </w:rPr>
      </w:pPr>
      <w:r>
        <w:rPr>
          <w:rFonts w:hint="eastAsia" w:asciiTheme="majorEastAsia" w:hAnsiTheme="majorEastAsia" w:eastAsiaTheme="majorEastAsia" w:cstheme="majorEastAsia"/>
          <w:color w:val="auto"/>
          <w:highlight w:val="none"/>
        </w:rPr>
        <w:tab/>
      </w:r>
      <w:r>
        <w:rPr>
          <w:rFonts w:hint="eastAsia" w:asciiTheme="majorEastAsia" w:hAnsiTheme="majorEastAsia" w:eastAsiaTheme="majorEastAsia" w:cstheme="majorEastAsia"/>
          <w:color w:val="auto"/>
          <w:kern w:val="0"/>
          <w:sz w:val="24"/>
          <w:highlight w:val="none"/>
        </w:rPr>
        <w:t>供应商（盖章）：</w:t>
      </w:r>
    </w:p>
    <w:p w14:paraId="42EAFA87">
      <w:pPr>
        <w:widowControl/>
        <w:ind w:firstLine="482"/>
        <w:jc w:val="left"/>
        <w:rPr>
          <w:rFonts w:asciiTheme="majorEastAsia" w:hAnsiTheme="majorEastAsia" w:eastAsiaTheme="majorEastAsia" w:cstheme="majorEastAsia"/>
          <w:color w:val="auto"/>
          <w:kern w:val="0"/>
          <w:sz w:val="24"/>
          <w:highlight w:val="none"/>
        </w:rPr>
      </w:pPr>
    </w:p>
    <w:p w14:paraId="2C5B4D6F">
      <w:pPr>
        <w:widowControl/>
        <w:ind w:firstLine="480" w:firstLineChars="200"/>
        <w:jc w:val="left"/>
        <w:rPr>
          <w:rFonts w:asciiTheme="majorEastAsia" w:hAnsiTheme="majorEastAsia" w:eastAsiaTheme="majorEastAsia" w:cstheme="majorEastAsia"/>
          <w:color w:val="auto"/>
          <w:kern w:val="0"/>
          <w:sz w:val="24"/>
          <w:highlight w:val="none"/>
          <w:u w:val="single"/>
        </w:rPr>
      </w:pPr>
      <w:r>
        <w:rPr>
          <w:rFonts w:hint="eastAsia" w:asciiTheme="majorEastAsia" w:hAnsiTheme="majorEastAsia" w:eastAsiaTheme="majorEastAsia" w:cstheme="majorEastAsia"/>
          <w:color w:val="auto"/>
          <w:kern w:val="0"/>
          <w:sz w:val="24"/>
          <w:highlight w:val="none"/>
        </w:rPr>
        <w:t>承诺人（签字）：</w:t>
      </w:r>
    </w:p>
    <w:p w14:paraId="22FB2F1D">
      <w:pPr>
        <w:widowControl/>
        <w:ind w:firstLine="482"/>
        <w:jc w:val="left"/>
        <w:rPr>
          <w:rFonts w:asciiTheme="majorEastAsia" w:hAnsiTheme="majorEastAsia" w:eastAsiaTheme="majorEastAsia" w:cstheme="majorEastAsia"/>
          <w:color w:val="auto"/>
          <w:kern w:val="0"/>
          <w:sz w:val="24"/>
          <w:highlight w:val="none"/>
          <w:u w:val="single"/>
        </w:rPr>
      </w:pPr>
    </w:p>
    <w:p w14:paraId="5B078A9A">
      <w:pPr>
        <w:widowControl/>
        <w:ind w:firstLine="480" w:firstLineChars="200"/>
        <w:jc w:val="left"/>
        <w:rPr>
          <w:rFonts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color w:val="auto"/>
          <w:kern w:val="0"/>
          <w:sz w:val="24"/>
          <w:highlight w:val="none"/>
        </w:rPr>
        <w:t>承诺时间：年月日</w:t>
      </w:r>
    </w:p>
    <w:p w14:paraId="6D5153F8">
      <w:pPr>
        <w:pStyle w:val="17"/>
        <w:rPr>
          <w:rFonts w:asciiTheme="majorEastAsia" w:hAnsiTheme="majorEastAsia" w:eastAsiaTheme="majorEastAsia" w:cstheme="majorEastAsia"/>
          <w:color w:val="auto"/>
          <w:sz w:val="24"/>
          <w:highlight w:val="none"/>
        </w:rPr>
      </w:pPr>
    </w:p>
    <w:p w14:paraId="7DC428C1">
      <w:pPr>
        <w:rPr>
          <w:rFonts w:asciiTheme="majorEastAsia" w:hAnsiTheme="majorEastAsia" w:eastAsiaTheme="majorEastAsia" w:cstheme="majorEastAsia"/>
          <w:color w:val="auto"/>
          <w:highlight w:val="none"/>
        </w:rPr>
      </w:pPr>
    </w:p>
    <w:p w14:paraId="6AECF2C6">
      <w:pPr>
        <w:pStyle w:val="17"/>
        <w:rPr>
          <w:rFonts w:asciiTheme="majorEastAsia" w:hAnsiTheme="majorEastAsia" w:eastAsiaTheme="majorEastAsia" w:cstheme="majorEastAsia"/>
          <w:color w:val="auto"/>
          <w:sz w:val="24"/>
          <w:szCs w:val="24"/>
          <w:highlight w:val="none"/>
        </w:rPr>
        <w:sectPr>
          <w:footerReference r:id="rId25" w:type="default"/>
          <w:pgSz w:w="11900" w:h="16838"/>
          <w:pgMar w:top="1429" w:right="1417" w:bottom="1417" w:left="1417" w:header="850" w:footer="850" w:gutter="0"/>
          <w:pgNumType w:fmt="decimal"/>
          <w:cols w:space="0" w:num="1"/>
          <w:rtlGutter w:val="0"/>
          <w:docGrid w:linePitch="360" w:charSpace="0"/>
        </w:sectPr>
      </w:pPr>
    </w:p>
    <w:bookmarkEnd w:id="166"/>
    <w:bookmarkEnd w:id="167"/>
    <w:bookmarkEnd w:id="168"/>
    <w:p w14:paraId="12FC3425">
      <w:pPr>
        <w:pStyle w:val="2"/>
        <w:bidi w:val="0"/>
        <w:jc w:val="center"/>
        <w:rPr>
          <w:rFonts w:asciiTheme="majorEastAsia" w:hAnsiTheme="majorEastAsia" w:eastAsiaTheme="majorEastAsia" w:cstheme="majorEastAsia"/>
          <w:b/>
          <w:bCs/>
          <w:color w:val="auto"/>
          <w:szCs w:val="32"/>
          <w:highlight w:val="none"/>
        </w:rPr>
      </w:pPr>
      <w:bookmarkStart w:id="175" w:name="_Toc21837"/>
      <w:bookmarkStart w:id="176" w:name="_Toc622"/>
      <w:bookmarkStart w:id="177" w:name="_Toc22483"/>
      <w:r>
        <w:rPr>
          <w:rFonts w:hint="eastAsia"/>
          <w:color w:val="auto"/>
          <w:sz w:val="32"/>
          <w:szCs w:val="32"/>
          <w:highlight w:val="none"/>
        </w:rPr>
        <w:t>第八章  榆林市公共资源交易平台全流程电子化</w:t>
      </w:r>
      <w:bookmarkStart w:id="178" w:name="_Toc23465"/>
      <w:r>
        <w:rPr>
          <w:rFonts w:hint="eastAsia"/>
          <w:color w:val="auto"/>
          <w:sz w:val="32"/>
          <w:szCs w:val="32"/>
          <w:highlight w:val="none"/>
        </w:rPr>
        <w:t>政府采购项目内容</w:t>
      </w:r>
      <w:bookmarkEnd w:id="175"/>
      <w:bookmarkEnd w:id="176"/>
      <w:bookmarkEnd w:id="177"/>
      <w:bookmarkEnd w:id="178"/>
    </w:p>
    <w:p w14:paraId="5560333E">
      <w:pPr>
        <w:spacing w:line="360" w:lineRule="auto"/>
        <w:rPr>
          <w:rFonts w:asciiTheme="majorEastAsia" w:hAnsiTheme="majorEastAsia" w:eastAsiaTheme="majorEastAsia" w:cstheme="majorEastAsia"/>
          <w:bCs/>
          <w:color w:val="auto"/>
          <w:sz w:val="24"/>
          <w:highlight w:val="none"/>
        </w:rPr>
      </w:pPr>
      <w:bookmarkStart w:id="179" w:name="_Toc24424"/>
      <w:bookmarkStart w:id="180" w:name="_Toc29408"/>
      <w:bookmarkStart w:id="181" w:name="_Toc13044"/>
      <w:bookmarkStart w:id="182" w:name="_Toc19434"/>
      <w:bookmarkStart w:id="183" w:name="_Toc5026"/>
      <w:bookmarkStart w:id="184" w:name="_Toc30256"/>
      <w:bookmarkStart w:id="185" w:name="_Toc7893"/>
      <w:bookmarkStart w:id="186" w:name="_Toc17326"/>
      <w:bookmarkStart w:id="187" w:name="_Toc17329"/>
      <w:bookmarkStart w:id="188" w:name="_Toc13032"/>
      <w:bookmarkStart w:id="189" w:name="_Toc2927"/>
      <w:bookmarkStart w:id="190" w:name="_Toc21640"/>
      <w:r>
        <w:rPr>
          <w:rFonts w:hint="eastAsia" w:asciiTheme="majorEastAsia" w:hAnsiTheme="majorEastAsia" w:eastAsiaTheme="majorEastAsia" w:cstheme="majorEastAsia"/>
          <w:bCs/>
          <w:color w:val="auto"/>
          <w:sz w:val="24"/>
          <w:highlight w:val="none"/>
        </w:rPr>
        <w:t>一、关于需要特别提醒供应商的内容</w:t>
      </w:r>
      <w:bookmarkEnd w:id="179"/>
      <w:bookmarkEnd w:id="180"/>
      <w:bookmarkEnd w:id="181"/>
      <w:bookmarkEnd w:id="182"/>
      <w:bookmarkEnd w:id="183"/>
      <w:bookmarkEnd w:id="184"/>
      <w:bookmarkEnd w:id="185"/>
      <w:bookmarkEnd w:id="186"/>
      <w:bookmarkEnd w:id="187"/>
    </w:p>
    <w:p w14:paraId="4A752D59">
      <w:pPr>
        <w:spacing w:line="360" w:lineRule="auto"/>
        <w:ind w:firstLine="480" w:firstLineChars="200"/>
        <w:rPr>
          <w:rFonts w:asciiTheme="majorEastAsia" w:hAnsiTheme="majorEastAsia" w:eastAsiaTheme="majorEastAsia" w:cstheme="majorEastAsia"/>
          <w:bCs/>
          <w:color w:val="auto"/>
          <w:sz w:val="24"/>
          <w:highlight w:val="none"/>
        </w:rPr>
      </w:pPr>
      <w:bookmarkStart w:id="191" w:name="_Toc3743"/>
      <w:bookmarkStart w:id="192" w:name="_Toc21468"/>
      <w:bookmarkStart w:id="193" w:name="_Toc31636"/>
      <w:bookmarkStart w:id="194" w:name="_Toc21400"/>
      <w:bookmarkStart w:id="195" w:name="_Toc19423"/>
      <w:bookmarkStart w:id="196" w:name="_Toc9072"/>
      <w:bookmarkStart w:id="197" w:name="_Toc28365"/>
      <w:bookmarkStart w:id="198" w:name="_Toc22444"/>
      <w:bookmarkStart w:id="199" w:name="_Toc11575"/>
      <w:r>
        <w:rPr>
          <w:rFonts w:hint="eastAsia" w:asciiTheme="majorEastAsia" w:hAnsiTheme="majorEastAsia" w:eastAsiaTheme="majorEastAsia" w:cstheme="majorEastAsia"/>
          <w:bCs/>
          <w:color w:val="auto"/>
          <w:sz w:val="24"/>
          <w:highlight w:val="none"/>
        </w:rPr>
        <w:t>1、本项目采用电子化投标的方式投标，投标人须使用数字认证证书（CA锁）对电子投标文件进行签章、加密、递交及开标时解密等相关招投标事宜。</w:t>
      </w:r>
      <w:bookmarkEnd w:id="191"/>
      <w:bookmarkEnd w:id="192"/>
      <w:bookmarkEnd w:id="193"/>
      <w:bookmarkEnd w:id="194"/>
      <w:bookmarkEnd w:id="195"/>
    </w:p>
    <w:p w14:paraId="5A986050">
      <w:pPr>
        <w:spacing w:line="360" w:lineRule="auto"/>
        <w:ind w:firstLine="480" w:firstLineChars="200"/>
        <w:rPr>
          <w:rFonts w:asciiTheme="majorEastAsia" w:hAnsiTheme="majorEastAsia" w:eastAsiaTheme="majorEastAsia" w:cstheme="majorEastAsia"/>
          <w:bCs/>
          <w:color w:val="auto"/>
          <w:sz w:val="24"/>
          <w:highlight w:val="none"/>
        </w:rPr>
      </w:pPr>
      <w:bookmarkStart w:id="200" w:name="_Toc26209"/>
      <w:bookmarkStart w:id="201" w:name="_Toc21967"/>
      <w:bookmarkStart w:id="202" w:name="_Toc8218"/>
      <w:bookmarkStart w:id="203" w:name="_Toc29324"/>
      <w:bookmarkStart w:id="204" w:name="_Toc16386"/>
      <w:r>
        <w:rPr>
          <w:rFonts w:hint="eastAsia" w:asciiTheme="majorEastAsia" w:hAnsiTheme="majorEastAsia" w:eastAsiaTheme="majorEastAsia" w:cstheme="majorEastAsia"/>
          <w:bCs/>
          <w:color w:val="auto"/>
          <w:sz w:val="24"/>
          <w:highlight w:val="none"/>
        </w:rPr>
        <w:t>2、制作电子投标文件</w:t>
      </w:r>
      <w:bookmarkEnd w:id="200"/>
      <w:bookmarkEnd w:id="201"/>
      <w:bookmarkEnd w:id="202"/>
      <w:bookmarkEnd w:id="203"/>
      <w:bookmarkEnd w:id="204"/>
    </w:p>
    <w:p w14:paraId="0290EAFC">
      <w:pPr>
        <w:spacing w:line="360" w:lineRule="auto"/>
        <w:ind w:firstLine="480" w:firstLineChars="200"/>
        <w:rPr>
          <w:rFonts w:asciiTheme="majorEastAsia" w:hAnsiTheme="majorEastAsia" w:eastAsiaTheme="majorEastAsia" w:cstheme="majorEastAsia"/>
          <w:bCs/>
          <w:color w:val="auto"/>
          <w:sz w:val="24"/>
          <w:highlight w:val="none"/>
        </w:rPr>
      </w:pPr>
      <w:bookmarkStart w:id="205" w:name="_Toc22290"/>
      <w:bookmarkStart w:id="206" w:name="_Toc20309"/>
      <w:r>
        <w:rPr>
          <w:rFonts w:hint="eastAsia" w:asciiTheme="majorEastAsia" w:hAnsiTheme="majorEastAsia" w:eastAsiaTheme="majorEastAsia" w:cstheme="majorEastAsia"/>
          <w:bCs/>
          <w:color w:val="auto"/>
          <w:sz w:val="24"/>
          <w:highlight w:val="none"/>
        </w:rPr>
        <w:t>投标供应商须在“全国公共资源交易中心平台（陕西省）（http://www.sxggzyjy.cn/）”的“服务指南”栏目“下载专区”中，免费下载“陕西省公共资源交易平台政府采购电子标书制作工具(V8.0.0.44)”，并升级至最新版本，使用该客户端制作电子投标文件，制作扩展名为“.SXSTF”的电子投标文件。”</w:t>
      </w:r>
      <w:bookmarkEnd w:id="205"/>
      <w:bookmarkEnd w:id="206"/>
    </w:p>
    <w:p w14:paraId="096A72A7">
      <w:pPr>
        <w:spacing w:line="360" w:lineRule="auto"/>
        <w:ind w:firstLine="480" w:firstLineChars="200"/>
        <w:rPr>
          <w:rFonts w:asciiTheme="majorEastAsia" w:hAnsiTheme="majorEastAsia" w:eastAsiaTheme="majorEastAsia" w:cstheme="majorEastAsia"/>
          <w:bCs/>
          <w:color w:val="auto"/>
          <w:sz w:val="24"/>
          <w:highlight w:val="none"/>
        </w:rPr>
      </w:pPr>
      <w:bookmarkStart w:id="207" w:name="_Toc15991"/>
      <w:bookmarkStart w:id="208" w:name="_Toc29229"/>
      <w:bookmarkStart w:id="209" w:name="_Toc8778"/>
      <w:bookmarkStart w:id="210" w:name="_Toc11240"/>
      <w:bookmarkStart w:id="211" w:name="_Toc26633"/>
      <w:r>
        <w:rPr>
          <w:rFonts w:hint="eastAsia" w:asciiTheme="majorEastAsia" w:hAnsiTheme="majorEastAsia" w:eastAsiaTheme="majorEastAsia" w:cstheme="majorEastAsia"/>
          <w:bCs/>
          <w:color w:val="auto"/>
          <w:sz w:val="24"/>
          <w:highlight w:val="none"/>
        </w:rPr>
        <w:t>3、递交电子投标文件</w:t>
      </w:r>
      <w:bookmarkEnd w:id="207"/>
      <w:bookmarkEnd w:id="208"/>
      <w:bookmarkEnd w:id="209"/>
      <w:bookmarkEnd w:id="210"/>
      <w:bookmarkEnd w:id="211"/>
    </w:p>
    <w:p w14:paraId="0017D096">
      <w:pPr>
        <w:spacing w:line="360" w:lineRule="auto"/>
        <w:ind w:firstLine="480" w:firstLineChars="200"/>
        <w:rPr>
          <w:rFonts w:asciiTheme="majorEastAsia" w:hAnsiTheme="majorEastAsia" w:eastAsiaTheme="majorEastAsia" w:cstheme="majorEastAsia"/>
          <w:bCs/>
          <w:color w:val="auto"/>
          <w:sz w:val="24"/>
          <w:highlight w:val="none"/>
        </w:rPr>
      </w:pPr>
      <w:bookmarkStart w:id="212" w:name="_Toc26907"/>
      <w:bookmarkStart w:id="213" w:name="_Toc2403"/>
      <w:bookmarkStart w:id="214" w:name="_Toc10172"/>
      <w:bookmarkStart w:id="215" w:name="_Toc12111"/>
      <w:bookmarkStart w:id="216" w:name="_Toc26499"/>
      <w:r>
        <w:rPr>
          <w:rFonts w:hint="eastAsia" w:asciiTheme="majorEastAsia" w:hAnsiTheme="majorEastAsia" w:eastAsiaTheme="majorEastAsia" w:cstheme="majorEastAsia"/>
          <w:bCs/>
          <w:color w:val="auto"/>
          <w:sz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bookmarkEnd w:id="212"/>
      <w:bookmarkEnd w:id="213"/>
      <w:bookmarkEnd w:id="214"/>
      <w:bookmarkEnd w:id="215"/>
      <w:bookmarkEnd w:id="216"/>
    </w:p>
    <w:bookmarkEnd w:id="196"/>
    <w:bookmarkEnd w:id="197"/>
    <w:bookmarkEnd w:id="198"/>
    <w:bookmarkEnd w:id="199"/>
    <w:p w14:paraId="4155398A">
      <w:pPr>
        <w:spacing w:line="360" w:lineRule="auto"/>
        <w:rPr>
          <w:rFonts w:asciiTheme="majorEastAsia" w:hAnsiTheme="majorEastAsia" w:eastAsiaTheme="majorEastAsia" w:cstheme="majorEastAsia"/>
          <w:bCs/>
          <w:color w:val="auto"/>
          <w:sz w:val="24"/>
          <w:highlight w:val="none"/>
        </w:rPr>
      </w:pPr>
      <w:bookmarkStart w:id="217" w:name="_Toc22823"/>
      <w:bookmarkStart w:id="218" w:name="_Toc17398"/>
      <w:bookmarkStart w:id="219" w:name="_Toc2638"/>
      <w:bookmarkStart w:id="220" w:name="_Toc14917"/>
      <w:bookmarkStart w:id="221" w:name="_Toc6717"/>
      <w:bookmarkStart w:id="222" w:name="_Toc18685"/>
      <w:bookmarkStart w:id="223" w:name="_Toc23397"/>
      <w:bookmarkStart w:id="224" w:name="_Toc2373"/>
      <w:bookmarkStart w:id="225" w:name="_Toc31754"/>
      <w:r>
        <w:rPr>
          <w:rFonts w:hint="eastAsia" w:asciiTheme="majorEastAsia" w:hAnsiTheme="majorEastAsia" w:eastAsiaTheme="majorEastAsia" w:cstheme="majorEastAsia"/>
          <w:bCs/>
          <w:color w:val="auto"/>
          <w:sz w:val="24"/>
          <w:highlight w:val="none"/>
        </w:rPr>
        <w:t>二、关于文件的制作和签名</w:t>
      </w:r>
      <w:bookmarkEnd w:id="217"/>
      <w:bookmarkEnd w:id="218"/>
      <w:bookmarkEnd w:id="219"/>
      <w:bookmarkEnd w:id="220"/>
      <w:bookmarkEnd w:id="221"/>
      <w:bookmarkEnd w:id="222"/>
      <w:bookmarkEnd w:id="223"/>
      <w:bookmarkEnd w:id="224"/>
      <w:bookmarkEnd w:id="225"/>
    </w:p>
    <w:p w14:paraId="783EB123">
      <w:pPr>
        <w:spacing w:line="360" w:lineRule="auto"/>
        <w:ind w:firstLine="480" w:firstLineChars="200"/>
        <w:rPr>
          <w:rFonts w:asciiTheme="majorEastAsia" w:hAnsiTheme="majorEastAsia" w:eastAsiaTheme="majorEastAsia" w:cstheme="majorEastAsia"/>
          <w:bCs/>
          <w:color w:val="auto"/>
          <w:sz w:val="24"/>
          <w:highlight w:val="none"/>
        </w:rPr>
      </w:pPr>
      <w:bookmarkStart w:id="226" w:name="_Toc22512"/>
      <w:r>
        <w:rPr>
          <w:rFonts w:hint="eastAsia" w:asciiTheme="majorEastAsia" w:hAnsiTheme="majorEastAsia" w:eastAsiaTheme="majorEastAsia" w:cstheme="majorEastAsia"/>
          <w:bCs/>
          <w:color w:val="auto"/>
          <w:sz w:val="24"/>
          <w:highlight w:val="none"/>
        </w:rPr>
        <w:t>1.</w:t>
      </w:r>
      <w:bookmarkEnd w:id="226"/>
      <w:bookmarkStart w:id="227" w:name="_Toc30680"/>
      <w:r>
        <w:rPr>
          <w:rFonts w:hint="eastAsia" w:asciiTheme="majorEastAsia" w:hAnsiTheme="majorEastAsia" w:eastAsiaTheme="majorEastAsia" w:cstheme="majorEastAsia"/>
          <w:bCs/>
          <w:color w:val="auto"/>
          <w:sz w:val="24"/>
          <w:highlight w:val="none"/>
        </w:rPr>
        <w:t xml:space="preserve"> 编制电子投标文件时，应使用最新发布的电子招标文件及专用制作工具进行编制。并使用数字认证证书（CA）对电子投标文件进行签署、加密、递交及开标时解密等相关操作。</w:t>
      </w:r>
      <w:bookmarkEnd w:id="227"/>
    </w:p>
    <w:p w14:paraId="02323204">
      <w:pPr>
        <w:spacing w:line="360" w:lineRule="auto"/>
        <w:ind w:firstLine="240" w:firstLineChars="100"/>
        <w:rPr>
          <w:rFonts w:asciiTheme="majorEastAsia" w:hAnsiTheme="majorEastAsia" w:eastAsiaTheme="majorEastAsia" w:cstheme="majorEastAsia"/>
          <w:bCs/>
          <w:color w:val="auto"/>
          <w:sz w:val="24"/>
          <w:highlight w:val="none"/>
        </w:rPr>
      </w:pPr>
      <w:bookmarkStart w:id="228" w:name="_Toc5190"/>
      <w:r>
        <w:rPr>
          <w:rFonts w:hint="eastAsia" w:asciiTheme="majorEastAsia" w:hAnsiTheme="majorEastAsia" w:eastAsiaTheme="majorEastAsia" w:cstheme="majorEastAsia"/>
          <w:bCs/>
          <w:color w:val="auto"/>
          <w:sz w:val="24"/>
          <w:highlight w:val="none"/>
        </w:rPr>
        <w:t>（1）电子招标文件下载</w:t>
      </w:r>
      <w:bookmarkEnd w:id="228"/>
    </w:p>
    <w:p w14:paraId="6517854F">
      <w:pPr>
        <w:spacing w:line="360" w:lineRule="auto"/>
        <w:ind w:firstLine="480" w:firstLineChars="200"/>
        <w:rPr>
          <w:rFonts w:asciiTheme="majorEastAsia" w:hAnsiTheme="majorEastAsia" w:eastAsiaTheme="majorEastAsia" w:cstheme="majorEastAsia"/>
          <w:bCs/>
          <w:color w:val="auto"/>
          <w:sz w:val="24"/>
          <w:highlight w:val="none"/>
        </w:rPr>
      </w:pPr>
      <w:bookmarkStart w:id="229" w:name="_Toc17854"/>
      <w:r>
        <w:rPr>
          <w:rFonts w:hint="eastAsia" w:asciiTheme="majorEastAsia" w:hAnsiTheme="majorEastAsia" w:eastAsiaTheme="majorEastAsia" w:cstheme="majorEastAsia"/>
          <w:bCs/>
          <w:color w:val="auto"/>
          <w:sz w:val="24"/>
          <w:highlight w:val="none"/>
        </w:rPr>
        <w:t>供应商登录全国公共资源交易平台（陕西省）网站[电子交易平台-企业端]后，在[我的项目]中点击“项目流程-交易文件下载”下载电子招标文件（*.SXSZF）;</w:t>
      </w:r>
      <w:bookmarkEnd w:id="229"/>
    </w:p>
    <w:p w14:paraId="4DB1D05E">
      <w:pPr>
        <w:spacing w:line="360" w:lineRule="auto"/>
        <w:rPr>
          <w:rFonts w:asciiTheme="majorEastAsia" w:hAnsiTheme="majorEastAsia" w:eastAsiaTheme="majorEastAsia" w:cstheme="majorEastAsia"/>
          <w:bCs/>
          <w:color w:val="auto"/>
          <w:sz w:val="24"/>
          <w:highlight w:val="none"/>
        </w:rPr>
      </w:pPr>
      <w:bookmarkStart w:id="230" w:name="_Toc27523"/>
      <w:r>
        <w:rPr>
          <w:rFonts w:hint="eastAsia" w:asciiTheme="majorEastAsia" w:hAnsiTheme="majorEastAsia" w:eastAsiaTheme="majorEastAsia" w:cstheme="majorEastAsia"/>
          <w:bCs/>
          <w:color w:val="auto"/>
          <w:sz w:val="24"/>
          <w:highlight w:val="none"/>
        </w:rPr>
        <w:t>注意：该项目如有变更文件，则应点击“项目流程&gt;答疑文件下载”下载更新后的电子招标文件（*.SXSCF），使用旧版电子招标文件制作的电子投标文件，系统将拒绝接收。</w:t>
      </w:r>
      <w:bookmarkEnd w:id="230"/>
    </w:p>
    <w:p w14:paraId="1FB5E83C">
      <w:pPr>
        <w:spacing w:line="360" w:lineRule="auto"/>
        <w:ind w:firstLine="240" w:firstLineChars="100"/>
        <w:rPr>
          <w:rFonts w:asciiTheme="majorEastAsia" w:hAnsiTheme="majorEastAsia" w:eastAsiaTheme="majorEastAsia" w:cstheme="majorEastAsia"/>
          <w:bCs/>
          <w:color w:val="auto"/>
          <w:sz w:val="24"/>
          <w:highlight w:val="none"/>
        </w:rPr>
      </w:pPr>
      <w:bookmarkStart w:id="231" w:name="_Toc8282"/>
      <w:r>
        <w:rPr>
          <w:rFonts w:hint="eastAsia" w:asciiTheme="majorEastAsia" w:hAnsiTheme="majorEastAsia" w:eastAsiaTheme="majorEastAsia" w:cstheme="majorEastAsia"/>
          <w:bCs/>
          <w:color w:val="auto"/>
          <w:sz w:val="24"/>
          <w:highlight w:val="none"/>
        </w:rPr>
        <w:t>（2）电子招标文件需要使用专用软件打开、浏览</w:t>
      </w:r>
      <w:bookmarkEnd w:id="231"/>
      <w:bookmarkStart w:id="232" w:name="_Toc20814"/>
      <w:r>
        <w:rPr>
          <w:rFonts w:hint="eastAsia" w:asciiTheme="majorEastAsia" w:hAnsiTheme="majorEastAsia" w:eastAsiaTheme="majorEastAsia" w:cstheme="majorEastAsia"/>
          <w:bCs/>
          <w:color w:val="auto"/>
          <w:sz w:val="24"/>
          <w:highlight w:val="none"/>
        </w:rPr>
        <w:t>，供应商登录全国公共资源交易平台（陕西省）网站[服务指南-下载专区]免费下载《陕西省公共资源交易平台政府采购电子标书制作工具(V8.0.0.44)》，下载网址：</w:t>
      </w:r>
      <w:r>
        <w:rPr>
          <w:color w:val="auto"/>
          <w:highlight w:val="none"/>
        </w:rPr>
        <w:fldChar w:fldCharType="begin"/>
      </w:r>
      <w:r>
        <w:rPr>
          <w:color w:val="auto"/>
          <w:highlight w:val="none"/>
        </w:rPr>
        <w:instrText xml:space="preserve"> HYPERLINK "https://download.bqpoint.com/download/downloaddetail.html?SourceFrom=Ztb&amp;ZtbSoftXiaQuCode=1805&amp;ZtbSoftType=tballinclusive" </w:instrText>
      </w:r>
      <w:r>
        <w:rPr>
          <w:color w:val="auto"/>
          <w:highlight w:val="none"/>
        </w:rPr>
        <w:fldChar w:fldCharType="separate"/>
      </w:r>
      <w:r>
        <w:rPr>
          <w:rFonts w:hint="eastAsia" w:asciiTheme="majorEastAsia" w:hAnsiTheme="majorEastAsia" w:eastAsiaTheme="majorEastAsia" w:cstheme="majorEastAsia"/>
          <w:bCs/>
          <w:color w:val="auto"/>
          <w:sz w:val="24"/>
          <w:highlight w:val="none"/>
        </w:rPr>
        <w:t>https://download.bqpoint.com/download/downloaddetail.html?SourceFrom=Ztb&amp;ZtbSoftXiaQuCode=1805&amp;ZtbSoftType=tballinclusive</w:t>
      </w:r>
      <w:r>
        <w:rPr>
          <w:rFonts w:hint="eastAsia" w:asciiTheme="majorEastAsia" w:hAnsiTheme="majorEastAsia" w:eastAsiaTheme="majorEastAsia" w:cstheme="majorEastAsia"/>
          <w:bCs/>
          <w:color w:val="auto"/>
          <w:sz w:val="24"/>
          <w:highlight w:val="none"/>
        </w:rPr>
        <w:fldChar w:fldCharType="end"/>
      </w:r>
      <w:r>
        <w:rPr>
          <w:rFonts w:hint="eastAsia" w:asciiTheme="majorEastAsia" w:hAnsiTheme="majorEastAsia" w:eastAsiaTheme="majorEastAsia" w:cstheme="majorEastAsia"/>
          <w:bCs/>
          <w:color w:val="auto"/>
          <w:sz w:val="24"/>
          <w:highlight w:val="none"/>
        </w:rPr>
        <w:t>，并升级至最新版本，使用该客户端可以打开电子招标文件。</w:t>
      </w:r>
      <w:bookmarkEnd w:id="232"/>
    </w:p>
    <w:p w14:paraId="1C7E9CA7">
      <w:pPr>
        <w:spacing w:line="360" w:lineRule="auto"/>
        <w:ind w:firstLine="240" w:firstLineChars="100"/>
        <w:rPr>
          <w:rFonts w:asciiTheme="majorEastAsia" w:hAnsiTheme="majorEastAsia" w:eastAsiaTheme="majorEastAsia" w:cstheme="majorEastAsia"/>
          <w:bCs/>
          <w:color w:val="auto"/>
          <w:sz w:val="24"/>
          <w:highlight w:val="none"/>
        </w:rPr>
      </w:pPr>
      <w:bookmarkStart w:id="233" w:name="_Toc3479"/>
      <w:r>
        <w:rPr>
          <w:rFonts w:hint="eastAsia" w:asciiTheme="majorEastAsia" w:hAnsiTheme="majorEastAsia" w:eastAsiaTheme="majorEastAsia" w:cstheme="majorEastAsia"/>
          <w:bCs/>
          <w:color w:val="auto"/>
          <w:sz w:val="24"/>
          <w:highlight w:val="none"/>
        </w:rPr>
        <w:t>（3）制作电子投标文件</w:t>
      </w:r>
      <w:bookmarkEnd w:id="233"/>
    </w:p>
    <w:p w14:paraId="157BC1B4">
      <w:pPr>
        <w:spacing w:line="360" w:lineRule="auto"/>
        <w:ind w:firstLine="480" w:firstLineChars="200"/>
        <w:rPr>
          <w:rFonts w:asciiTheme="majorEastAsia" w:hAnsiTheme="majorEastAsia" w:eastAsiaTheme="majorEastAsia" w:cstheme="majorEastAsia"/>
          <w:bCs/>
          <w:color w:val="auto"/>
          <w:sz w:val="24"/>
          <w:highlight w:val="none"/>
        </w:rPr>
      </w:pPr>
      <w:bookmarkStart w:id="234" w:name="_Toc1229"/>
      <w:r>
        <w:rPr>
          <w:rFonts w:hint="eastAsia" w:asciiTheme="majorEastAsia" w:hAnsiTheme="majorEastAsia" w:eastAsiaTheme="majorEastAsia" w:cstheme="majorEastAsia"/>
          <w:bCs/>
          <w:color w:val="auto"/>
          <w:sz w:val="24"/>
          <w:highlight w:val="none"/>
        </w:rPr>
        <w:t>电子投标文件同样需要使用上述软件进行编制。在编制过程中，如有技术性问题，请先翻阅操作手册或致电软件开发商，技术支持热线：4009280095、4009980000。</w:t>
      </w:r>
      <w:bookmarkEnd w:id="234"/>
    </w:p>
    <w:p w14:paraId="249CD027">
      <w:pPr>
        <w:spacing w:line="360" w:lineRule="auto"/>
        <w:rPr>
          <w:rFonts w:asciiTheme="majorEastAsia" w:hAnsiTheme="majorEastAsia" w:eastAsiaTheme="majorEastAsia" w:cstheme="majorEastAsia"/>
          <w:bCs/>
          <w:color w:val="auto"/>
          <w:sz w:val="24"/>
          <w:highlight w:val="none"/>
        </w:rPr>
      </w:pPr>
      <w:bookmarkStart w:id="235" w:name="_Toc9181"/>
      <w:bookmarkStart w:id="236" w:name="_Toc24522"/>
      <w:bookmarkStart w:id="237" w:name="_Toc30034"/>
      <w:bookmarkStart w:id="238" w:name="_Toc17424"/>
      <w:bookmarkStart w:id="239" w:name="_Toc29731"/>
      <w:r>
        <w:rPr>
          <w:rFonts w:hint="eastAsia" w:asciiTheme="majorEastAsia" w:hAnsiTheme="majorEastAsia" w:eastAsiaTheme="majorEastAsia" w:cstheme="majorEastAsia"/>
          <w:bCs/>
          <w:color w:val="auto"/>
          <w:sz w:val="24"/>
          <w:highlight w:val="none"/>
        </w:rPr>
        <w:t>四、该项目将采取“不见面”开标的形式，供应商无须到达开标现场，即可在网上直接参与开标活动。相关注意事项如下：</w:t>
      </w:r>
      <w:bookmarkEnd w:id="235"/>
      <w:bookmarkEnd w:id="236"/>
      <w:bookmarkEnd w:id="237"/>
      <w:bookmarkEnd w:id="238"/>
      <w:bookmarkEnd w:id="239"/>
    </w:p>
    <w:p w14:paraId="2420C996">
      <w:pPr>
        <w:spacing w:line="360" w:lineRule="auto"/>
        <w:ind w:firstLine="480" w:firstLineChars="200"/>
        <w:rPr>
          <w:rFonts w:asciiTheme="majorEastAsia" w:hAnsiTheme="majorEastAsia" w:eastAsiaTheme="majorEastAsia" w:cstheme="majorEastAsia"/>
          <w:bCs/>
          <w:color w:val="auto"/>
          <w:sz w:val="24"/>
          <w:highlight w:val="none"/>
        </w:rPr>
      </w:pPr>
      <w:bookmarkStart w:id="240" w:name="_Toc25309"/>
      <w:bookmarkStart w:id="241" w:name="_Toc28289"/>
      <w:bookmarkStart w:id="242" w:name="_Toc31554"/>
      <w:bookmarkStart w:id="243" w:name="_Toc10914"/>
      <w:bookmarkStart w:id="244" w:name="_Toc29064"/>
      <w:r>
        <w:rPr>
          <w:rFonts w:hint="eastAsia" w:asciiTheme="majorEastAsia" w:hAnsiTheme="majorEastAsia" w:eastAsiaTheme="majorEastAsia" w:cstheme="majorEastAsia"/>
          <w:bCs/>
          <w:color w:val="auto"/>
          <w:sz w:val="24"/>
          <w:highlight w:val="none"/>
        </w:rPr>
        <w:t>①开标当日，请各供应商在开标截止时间前至少提前半小时登录“不见面”开标系统登录方式有以下几种：</w:t>
      </w:r>
      <w:bookmarkEnd w:id="240"/>
      <w:bookmarkEnd w:id="241"/>
      <w:bookmarkEnd w:id="242"/>
      <w:bookmarkEnd w:id="243"/>
      <w:bookmarkEnd w:id="244"/>
    </w:p>
    <w:p w14:paraId="2C8DAB5B">
      <w:pPr>
        <w:spacing w:line="360" w:lineRule="auto"/>
        <w:ind w:firstLine="480" w:firstLineChars="200"/>
        <w:rPr>
          <w:rFonts w:asciiTheme="majorEastAsia" w:hAnsiTheme="majorEastAsia" w:eastAsiaTheme="majorEastAsia" w:cstheme="majorEastAsia"/>
          <w:bCs/>
          <w:color w:val="auto"/>
          <w:sz w:val="24"/>
          <w:highlight w:val="none"/>
        </w:rPr>
      </w:pPr>
      <w:bookmarkStart w:id="245" w:name="_Toc23987"/>
      <w:bookmarkStart w:id="246" w:name="_Toc15638"/>
      <w:bookmarkStart w:id="247" w:name="_Toc6547"/>
      <w:bookmarkStart w:id="248" w:name="_Toc136"/>
      <w:bookmarkStart w:id="249" w:name="_Toc5810"/>
      <w:r>
        <w:rPr>
          <w:rFonts w:hint="eastAsia" w:asciiTheme="majorEastAsia" w:hAnsiTheme="majorEastAsia" w:eastAsiaTheme="majorEastAsia" w:cstheme="majorEastAsia"/>
          <w:bCs/>
          <w:color w:val="auto"/>
          <w:sz w:val="24"/>
          <w:highlight w:val="none"/>
        </w:rPr>
        <w:t>IE浏览器输入网址：</w:t>
      </w:r>
      <w:bookmarkEnd w:id="245"/>
      <w:bookmarkEnd w:id="246"/>
      <w:bookmarkEnd w:id="247"/>
      <w:bookmarkEnd w:id="248"/>
      <w:bookmarkEnd w:id="249"/>
    </w:p>
    <w:p w14:paraId="1CD8269E">
      <w:pPr>
        <w:spacing w:line="360" w:lineRule="auto"/>
        <w:ind w:firstLine="480" w:firstLineChars="200"/>
        <w:rPr>
          <w:rFonts w:asciiTheme="majorEastAsia" w:hAnsiTheme="majorEastAsia" w:eastAsiaTheme="majorEastAsia" w:cstheme="majorEastAsia"/>
          <w:bCs/>
          <w:color w:val="auto"/>
          <w:sz w:val="24"/>
          <w:highlight w:val="none"/>
        </w:rPr>
      </w:pPr>
      <w:bookmarkStart w:id="250" w:name="_Toc9929"/>
      <w:bookmarkStart w:id="251" w:name="_Toc11544"/>
      <w:bookmarkStart w:id="252" w:name="_Toc31069"/>
      <w:bookmarkStart w:id="253" w:name="_Toc21170"/>
      <w:bookmarkStart w:id="254" w:name="_Toc14974"/>
      <w:r>
        <w:rPr>
          <w:rFonts w:hint="eastAsia" w:asciiTheme="majorEastAsia" w:hAnsiTheme="majorEastAsia" w:eastAsiaTheme="majorEastAsia" w:cstheme="majorEastAsia"/>
          <w:bCs/>
          <w:color w:val="auto"/>
          <w:sz w:val="24"/>
          <w:highlight w:val="none"/>
        </w:rPr>
        <w:fldChar w:fldCharType="begin"/>
      </w:r>
      <w:r>
        <w:rPr>
          <w:rFonts w:hint="eastAsia" w:asciiTheme="majorEastAsia" w:hAnsiTheme="majorEastAsia" w:eastAsiaTheme="majorEastAsia" w:cstheme="majorEastAsia"/>
          <w:bCs/>
          <w:color w:val="auto"/>
          <w:sz w:val="24"/>
          <w:highlight w:val="none"/>
        </w:rPr>
        <w:instrText xml:space="preserve"> HYPERLINK "http://219.145.120.168:8082/BidOpeningHall/bidhall/default/login），"</w:instrText>
      </w:r>
      <w:r>
        <w:rPr>
          <w:rFonts w:hint="eastAsia" w:asciiTheme="majorEastAsia" w:hAnsiTheme="majorEastAsia" w:eastAsiaTheme="majorEastAsia" w:cstheme="majorEastAsia"/>
          <w:bCs/>
          <w:color w:val="auto"/>
          <w:sz w:val="24"/>
          <w:highlight w:val="none"/>
        </w:rPr>
        <w:fldChar w:fldCharType="separate"/>
      </w:r>
      <w:r>
        <w:rPr>
          <w:rFonts w:hint="eastAsia" w:asciiTheme="majorEastAsia" w:hAnsiTheme="majorEastAsia" w:eastAsiaTheme="majorEastAsia" w:cstheme="majorEastAsia"/>
          <w:bCs/>
          <w:color w:val="auto"/>
          <w:sz w:val="24"/>
          <w:highlight w:val="none"/>
        </w:rPr>
        <w:t>http://111.20.184.126:8081/BidOpeningHallCS/bidhall/dqxianyang/login.html；</w:t>
      </w:r>
      <w:r>
        <w:rPr>
          <w:rFonts w:hint="eastAsia" w:asciiTheme="majorEastAsia" w:hAnsiTheme="majorEastAsia" w:eastAsiaTheme="majorEastAsia" w:cstheme="majorEastAsia"/>
          <w:bCs/>
          <w:color w:val="auto"/>
          <w:sz w:val="24"/>
          <w:highlight w:val="none"/>
        </w:rPr>
        <w:fldChar w:fldCharType="end"/>
      </w:r>
      <w:bookmarkEnd w:id="250"/>
      <w:bookmarkEnd w:id="251"/>
      <w:bookmarkEnd w:id="252"/>
      <w:bookmarkEnd w:id="253"/>
      <w:bookmarkEnd w:id="254"/>
    </w:p>
    <w:p w14:paraId="65B9ACBE">
      <w:pPr>
        <w:spacing w:line="360" w:lineRule="auto"/>
        <w:ind w:firstLine="480" w:firstLineChars="200"/>
        <w:rPr>
          <w:rFonts w:asciiTheme="majorEastAsia" w:hAnsiTheme="majorEastAsia" w:eastAsiaTheme="majorEastAsia" w:cstheme="majorEastAsia"/>
          <w:bCs/>
          <w:color w:val="auto"/>
          <w:sz w:val="24"/>
          <w:highlight w:val="none"/>
        </w:rPr>
      </w:pPr>
      <w:bookmarkStart w:id="255" w:name="_Toc4145"/>
      <w:bookmarkStart w:id="256" w:name="_Toc23601"/>
      <w:bookmarkStart w:id="257" w:name="_Toc2339"/>
      <w:bookmarkStart w:id="258" w:name="_Toc32358"/>
      <w:bookmarkStart w:id="259" w:name="_Toc22457"/>
      <w:r>
        <w:rPr>
          <w:rFonts w:hint="eastAsia" w:asciiTheme="majorEastAsia" w:hAnsiTheme="majorEastAsia" w:eastAsiaTheme="majorEastAsia" w:cstheme="majorEastAsia"/>
          <w:bCs/>
          <w:color w:val="auto"/>
          <w:sz w:val="24"/>
          <w:highlight w:val="none"/>
        </w:rPr>
        <w:t>在【全国公共资源交易平台（陕西省）】网站电子交易平台点击不见面开标模块进入；</w:t>
      </w:r>
      <w:bookmarkEnd w:id="255"/>
      <w:bookmarkEnd w:id="256"/>
      <w:bookmarkEnd w:id="257"/>
      <w:bookmarkEnd w:id="258"/>
      <w:bookmarkEnd w:id="259"/>
    </w:p>
    <w:p w14:paraId="2C49DE6A">
      <w:pPr>
        <w:spacing w:line="360" w:lineRule="auto"/>
        <w:ind w:firstLine="480" w:firstLineChars="200"/>
        <w:outlineLvl w:val="0"/>
        <w:rPr>
          <w:rFonts w:asciiTheme="majorEastAsia" w:hAnsiTheme="majorEastAsia" w:eastAsiaTheme="majorEastAsia" w:cstheme="majorEastAsia"/>
          <w:bCs/>
          <w:color w:val="auto"/>
          <w:sz w:val="24"/>
          <w:highlight w:val="none"/>
        </w:rPr>
      </w:pPr>
      <w:bookmarkStart w:id="260" w:name="_Toc28382"/>
      <w:bookmarkStart w:id="261" w:name="_Toc23882"/>
      <w:bookmarkStart w:id="262" w:name="_Toc3562"/>
      <w:bookmarkStart w:id="263" w:name="_Toc27034"/>
      <w:bookmarkStart w:id="264" w:name="_Toc3689"/>
      <w:bookmarkStart w:id="265" w:name="_Toc11969"/>
      <w:bookmarkStart w:id="266" w:name="_Toc29673"/>
      <w:bookmarkStart w:id="267" w:name="_Toc20049"/>
      <w:bookmarkStart w:id="268" w:name="_Toc21166"/>
      <w:r>
        <w:rPr>
          <w:rFonts w:hint="eastAsia" w:asciiTheme="majorEastAsia" w:hAnsiTheme="majorEastAsia" w:eastAsiaTheme="majorEastAsia" w:cstheme="majorEastAsia"/>
          <w:bCs/>
          <w:color w:val="auto"/>
          <w:sz w:val="24"/>
          <w:highlight w:val="none"/>
        </w:rPr>
        <w:t>注：登录不见面开标系统请选择IE11浏览器</w:t>
      </w:r>
      <w:bookmarkEnd w:id="260"/>
      <w:bookmarkEnd w:id="261"/>
      <w:bookmarkEnd w:id="262"/>
      <w:bookmarkEnd w:id="263"/>
      <w:bookmarkEnd w:id="264"/>
      <w:bookmarkEnd w:id="265"/>
      <w:bookmarkEnd w:id="266"/>
      <w:bookmarkEnd w:id="267"/>
      <w:bookmarkEnd w:id="268"/>
    </w:p>
    <w:p w14:paraId="7AC063AD">
      <w:pPr>
        <w:spacing w:line="360" w:lineRule="auto"/>
        <w:ind w:firstLine="480" w:firstLineChars="200"/>
        <w:rPr>
          <w:rFonts w:asciiTheme="majorEastAsia" w:hAnsiTheme="majorEastAsia" w:eastAsiaTheme="majorEastAsia" w:cstheme="majorEastAsia"/>
          <w:bCs/>
          <w:color w:val="auto"/>
          <w:sz w:val="24"/>
          <w:highlight w:val="none"/>
        </w:rPr>
      </w:pPr>
      <w:bookmarkStart w:id="269" w:name="_Toc28533"/>
      <w:bookmarkStart w:id="270" w:name="_Toc14094"/>
      <w:bookmarkStart w:id="271" w:name="_Toc25466"/>
      <w:bookmarkStart w:id="272" w:name="_Toc5982"/>
      <w:bookmarkStart w:id="273" w:name="_Toc3002"/>
      <w:r>
        <w:rPr>
          <w:rFonts w:hint="eastAsia" w:asciiTheme="majorEastAsia" w:hAnsiTheme="majorEastAsia" w:eastAsiaTheme="majorEastAsia" w:cstheme="majorEastAsia"/>
          <w:bCs/>
          <w:color w:val="auto"/>
          <w:sz w:val="24"/>
          <w:highlight w:val="none"/>
        </w:rPr>
        <w:t>②供应商应按要求及时签到（签到时间为投标截止时间前1小时内，如果未签到将视为放弃投标资格），评审过程中，评标委员会可能会就某些问题要求供应商进行在线澄清，请供应商保持在线直到评审结束；</w:t>
      </w:r>
      <w:bookmarkEnd w:id="269"/>
      <w:bookmarkEnd w:id="270"/>
      <w:bookmarkEnd w:id="271"/>
      <w:bookmarkEnd w:id="272"/>
      <w:bookmarkEnd w:id="273"/>
    </w:p>
    <w:p w14:paraId="0C4961D1">
      <w:pPr>
        <w:spacing w:line="360" w:lineRule="auto"/>
        <w:ind w:firstLine="480" w:firstLineChars="200"/>
        <w:rPr>
          <w:rFonts w:asciiTheme="majorEastAsia" w:hAnsiTheme="majorEastAsia" w:eastAsiaTheme="majorEastAsia" w:cstheme="majorEastAsia"/>
          <w:bCs/>
          <w:color w:val="auto"/>
          <w:sz w:val="24"/>
          <w:highlight w:val="none"/>
        </w:rPr>
      </w:pPr>
      <w:bookmarkStart w:id="274" w:name="_Toc27782"/>
      <w:bookmarkStart w:id="275" w:name="_Toc24908"/>
      <w:bookmarkStart w:id="276" w:name="_Toc17893"/>
      <w:bookmarkStart w:id="277" w:name="_Toc10575"/>
      <w:r>
        <w:rPr>
          <w:rFonts w:hint="eastAsia" w:asciiTheme="majorEastAsia" w:hAnsiTheme="majorEastAsia" w:eastAsiaTheme="majorEastAsia" w:cstheme="majorEastAsia"/>
          <w:bCs/>
          <w:color w:val="auto"/>
          <w:sz w:val="24"/>
          <w:highlight w:val="none"/>
        </w:rPr>
        <w:t>③投标供应商无需提交纸质响应文件，待采购结果公告后，由成交供应商补交一正二副 纸质响应文件及电子版（光盘或 U 盘，包含可编辑 word 版，签字盖章后的扫描件 1 份）响应文件一份（备案用）</w:t>
      </w:r>
      <w:bookmarkEnd w:id="274"/>
      <w:bookmarkEnd w:id="275"/>
      <w:bookmarkEnd w:id="276"/>
      <w:bookmarkEnd w:id="277"/>
    </w:p>
    <w:p w14:paraId="74A798D7">
      <w:pPr>
        <w:spacing w:line="360" w:lineRule="auto"/>
        <w:ind w:firstLine="480" w:firstLineChars="200"/>
        <w:rPr>
          <w:rFonts w:asciiTheme="majorEastAsia" w:hAnsiTheme="majorEastAsia" w:eastAsiaTheme="majorEastAsia" w:cstheme="majorEastAsia"/>
          <w:bCs/>
          <w:color w:val="auto"/>
          <w:sz w:val="24"/>
          <w:highlight w:val="none"/>
        </w:rPr>
      </w:pPr>
      <w:bookmarkStart w:id="278" w:name="_Toc30945"/>
      <w:bookmarkStart w:id="279" w:name="_Toc14264"/>
      <w:bookmarkStart w:id="280" w:name="_Toc18391"/>
      <w:bookmarkStart w:id="281" w:name="_Toc2001"/>
      <w:bookmarkStart w:id="282" w:name="_Toc27404"/>
      <w:r>
        <w:rPr>
          <w:rFonts w:hint="eastAsia" w:asciiTheme="majorEastAsia" w:hAnsiTheme="majorEastAsia" w:eastAsiaTheme="majorEastAsia" w:cstheme="majorEastAsia"/>
          <w:bCs/>
          <w:color w:val="auto"/>
          <w:sz w:val="24"/>
          <w:highlight w:val="none"/>
        </w:rPr>
        <w:t>④开标过程中，供应商在收到工作人员“开始解密”指令后，请及时使用CA对电子投标文件进行解密。解密时所用CA应与加密投标文件时所用CA相同；注：解密时间为30分钟，在解密时间内供应商全部解密完成后，可提前进入开标下一阶段。</w:t>
      </w:r>
      <w:bookmarkEnd w:id="278"/>
      <w:bookmarkEnd w:id="279"/>
      <w:bookmarkEnd w:id="280"/>
      <w:bookmarkEnd w:id="281"/>
      <w:bookmarkEnd w:id="282"/>
    </w:p>
    <w:p w14:paraId="0A7A2C55">
      <w:pPr>
        <w:spacing w:line="360" w:lineRule="auto"/>
        <w:ind w:firstLine="480" w:firstLineChars="200"/>
        <w:rPr>
          <w:rFonts w:asciiTheme="majorEastAsia" w:hAnsiTheme="majorEastAsia" w:eastAsiaTheme="majorEastAsia" w:cstheme="majorEastAsia"/>
          <w:bCs/>
          <w:color w:val="auto"/>
          <w:sz w:val="24"/>
          <w:highlight w:val="none"/>
        </w:rPr>
      </w:pPr>
      <w:bookmarkStart w:id="283" w:name="_Toc18873"/>
      <w:bookmarkStart w:id="284" w:name="_Toc14040"/>
      <w:bookmarkStart w:id="285" w:name="_Toc1352"/>
      <w:bookmarkStart w:id="286" w:name="_Toc12288"/>
      <w:bookmarkStart w:id="287" w:name="_Toc30018"/>
      <w:r>
        <w:rPr>
          <w:rFonts w:hint="eastAsia" w:asciiTheme="majorEastAsia" w:hAnsiTheme="majorEastAsia" w:eastAsiaTheme="majorEastAsia" w:cstheme="majorEastAsia"/>
          <w:bCs/>
          <w:color w:val="auto"/>
          <w:sz w:val="24"/>
          <w:highlight w:val="none"/>
        </w:rPr>
        <w:t>⑤相关技术问题，请咨询软件开发商：</w:t>
      </w:r>
      <w:bookmarkEnd w:id="283"/>
      <w:bookmarkEnd w:id="284"/>
      <w:bookmarkEnd w:id="285"/>
      <w:bookmarkEnd w:id="286"/>
      <w:bookmarkEnd w:id="287"/>
    </w:p>
    <w:p w14:paraId="37682B60">
      <w:pPr>
        <w:spacing w:line="360" w:lineRule="auto"/>
        <w:ind w:firstLine="480" w:firstLineChars="200"/>
        <w:rPr>
          <w:rFonts w:asciiTheme="majorEastAsia" w:hAnsiTheme="majorEastAsia" w:eastAsiaTheme="majorEastAsia" w:cstheme="majorEastAsia"/>
          <w:bCs/>
          <w:color w:val="auto"/>
          <w:sz w:val="24"/>
          <w:highlight w:val="none"/>
        </w:rPr>
      </w:pPr>
      <w:bookmarkStart w:id="288" w:name="_Toc23949"/>
      <w:bookmarkStart w:id="289" w:name="_Toc17735"/>
      <w:bookmarkStart w:id="290" w:name="_Toc21234"/>
      <w:bookmarkStart w:id="291" w:name="_Toc13241"/>
      <w:bookmarkStart w:id="292" w:name="_Toc29562"/>
      <w:r>
        <w:rPr>
          <w:rFonts w:hint="eastAsia" w:asciiTheme="majorEastAsia" w:hAnsiTheme="majorEastAsia" w:eastAsiaTheme="majorEastAsia" w:cstheme="majorEastAsia"/>
          <w:bCs/>
          <w:color w:val="auto"/>
          <w:sz w:val="24"/>
          <w:highlight w:val="none"/>
        </w:rPr>
        <w:t>技术支持热线：400-998-0000/400-928-0095</w:t>
      </w:r>
      <w:bookmarkEnd w:id="288"/>
      <w:bookmarkEnd w:id="289"/>
      <w:bookmarkEnd w:id="290"/>
      <w:bookmarkEnd w:id="291"/>
      <w:bookmarkEnd w:id="292"/>
    </w:p>
    <w:p w14:paraId="08D23C66">
      <w:pPr>
        <w:spacing w:line="360" w:lineRule="auto"/>
        <w:ind w:firstLine="480" w:firstLineChars="200"/>
        <w:rPr>
          <w:rFonts w:asciiTheme="majorEastAsia" w:hAnsiTheme="majorEastAsia" w:eastAsiaTheme="majorEastAsia" w:cstheme="majorEastAsia"/>
          <w:bCs/>
          <w:color w:val="auto"/>
          <w:sz w:val="24"/>
          <w:highlight w:val="none"/>
        </w:rPr>
      </w:pPr>
      <w:bookmarkStart w:id="293" w:name="_Toc29721"/>
      <w:r>
        <w:rPr>
          <w:rFonts w:hint="eastAsia" w:asciiTheme="majorEastAsia" w:hAnsiTheme="majorEastAsia" w:eastAsiaTheme="majorEastAsia" w:cstheme="majorEastAsia"/>
          <w:bCs/>
          <w:color w:val="auto"/>
          <w:sz w:val="24"/>
          <w:highlight w:val="none"/>
        </w:rPr>
        <w:t>⑥不见面开标系统操作手册下载方式：登录【全国公共资源交易平台（陕西省）】网站首页选择【服务指南】-【下载专区】-点击【关于陕西省公共资源交易平台多CA互认系统正式上线运行的通知】进行下载。</w:t>
      </w:r>
      <w:bookmarkEnd w:id="188"/>
      <w:bookmarkEnd w:id="189"/>
      <w:bookmarkEnd w:id="190"/>
      <w:bookmarkEnd w:id="293"/>
    </w:p>
    <w:p w14:paraId="54D7D7A3">
      <w:pPr>
        <w:pStyle w:val="17"/>
        <w:rPr>
          <w:rFonts w:asciiTheme="majorEastAsia" w:hAnsiTheme="majorEastAsia" w:eastAsiaTheme="majorEastAsia" w:cstheme="majorEastAsia"/>
          <w:bCs/>
          <w:color w:val="auto"/>
          <w:sz w:val="24"/>
          <w:highlight w:val="none"/>
        </w:rPr>
      </w:pPr>
    </w:p>
    <w:sectPr>
      <w:headerReference r:id="rId26" w:type="default"/>
      <w:footerReference r:id="rId27" w:type="default"/>
      <w:pgSz w:w="11900" w:h="16838"/>
      <w:pgMar w:top="1429" w:right="1417" w:bottom="1417" w:left="1417" w:header="850" w:footer="85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70B3214-CFB8-4512-9DBF-D30DE3A1DE8A}"/>
  </w:font>
  <w:font w:name="Arial">
    <w:panose1 w:val="020B0604020202020204"/>
    <w:charset w:val="01"/>
    <w:family w:val="swiss"/>
    <w:pitch w:val="default"/>
    <w:sig w:usb0="E0002EFF" w:usb1="C000785B" w:usb2="00000009" w:usb3="00000000" w:csb0="400001FF" w:csb1="FFFF0000"/>
    <w:embedRegular r:id="rId2" w:fontKey="{5B4653EA-6B54-4CA3-8B56-B77BB8A6388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6611314-4E3A-4A6C-906F-30A3487C1ABE}"/>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301A564A-4B75-47E2-92EB-59CEA80FDEE2}"/>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E15B1">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99FFF">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8B99FFF">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CC711">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28A7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F728A7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90A55">
    <w:pPr>
      <w:spacing w:line="14" w:lineRule="auto"/>
      <w:rPr>
        <w:rFonts w:ascii="Arial"/>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1C0E7">
                          <w:pPr>
                            <w:pStyle w:val="17"/>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BA1C0E7">
                    <w:pPr>
                      <w:pStyle w:val="17"/>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8B966">
    <w:pPr>
      <w:pStyle w:val="17"/>
      <w:ind w:right="36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78601ED">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v0d+/TAQAApQMAAA4AAABkcnMvZTJvRG9jLnhtbK1TS27bMBDd&#10;F8gdCO5jKS7S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W1Dl28psczgxE8/f5x+&#10;/Tn9/k7QhwL1HmrMe/SYGYcPbsC1mf2AzsR7kMGkLzIiGEd5j2d5xRAJT4+qZVWVGOIYmy+IXzw9&#10;9wHivXCGJKOhAeeXZWWHjxDH1DklVbPuTmmdZ6gt6RH1unp/nV+cQ4iuLRZJLMZukxWH7TBR27r2&#10;iMx6XIKGWtx5SvSDRY3TvsxGmI3tbOx9ULsuL1RqBfztPmI7uctUYYSdCuP0Ms9p09J6/HvPWU9/&#10;1/o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Lv0d+/TAQAApQMAAA4AAAAAAAAAAQAgAAAA&#10;IgEAAGRycy9lMm9Eb2MueG1sUEsFBgAAAAAGAAYAWQEAAGcFAAAAAA==&#10;">
              <v:fill on="f" focussize="0,0"/>
              <v:stroke on="f" weight="1.25pt"/>
              <v:imagedata o:title=""/>
              <o:lock v:ext="edit" aspectratio="f"/>
              <v:textbox inset="0mm,0mm,0mm,0mm" style="mso-fit-shape-to-text:t;">
                <w:txbxContent>
                  <w:p w14:paraId="478601ED">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91EDF">
    <w:pPr>
      <w:pStyle w:val="17"/>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CA204B1">
                          <w:pPr>
                            <w:pStyle w:val="17"/>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r+HiHTAQAApQMAAA4AAABkcnMvZTJvRG9jLnhtbK1TS27bMBDd&#10;F8gdCO5jKUbT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W1Dl28psczgxE8/f5x+&#10;/Tn9/k7QhwL1HmrMe/SYGYcPbsC1mf2AzsR7kMGkLzIiGEd5j2d5xRAJT4+qZVWVGOIYmy+IXzw9&#10;9wHivXCGJKOhAeeXZWWHjxDH1DklVbPuTmmdZ6gt6RH1unp/nV+cQ4iuLRZJLMZukxWH7TBR27r2&#10;iMx6XIKGWtx5SvSDRY3TvsxGmI3tbOx9ULsuL1RqBfztPmI7uctUYYSdCuP0Ms9p09J6/HvPWU9/&#10;1/o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Mr+HiHTAQAApQMAAA4AAAAAAAAAAQAgAAAA&#10;IgEAAGRycy9lMm9Eb2MueG1sUEsFBgAAAAAGAAYAWQEAAGcFAAAAAA==&#10;">
              <v:fill on="f" focussize="0,0"/>
              <v:stroke on="f" weight="1.25pt"/>
              <v:imagedata o:title=""/>
              <o:lock v:ext="edit" aspectratio="f"/>
              <v:textbox inset="0mm,0mm,0mm,0mm" style="mso-fit-shape-to-text:t;">
                <w:txbxContent>
                  <w:p w14:paraId="1CA204B1">
                    <w:pPr>
                      <w:pStyle w:val="17"/>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C92E8">
    <w:pPr>
      <w:pStyle w:val="17"/>
      <w:ind w:right="36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0B61F4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&#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DafIfXTAQAApQMAAA4AAAAAAAAAAQAgAAAA&#10;IgEAAGRycy9lMm9Eb2MueG1sUEsFBgAAAAAGAAYAWQEAAGcFAAAAAA==&#10;">
              <v:fill on="f" focussize="0,0"/>
              <v:stroke on="f" weight="1.25pt"/>
              <v:imagedata o:title=""/>
              <o:lock v:ext="edit" aspectratio="f"/>
              <v:textbox inset="0mm,0mm,0mm,0mm" style="mso-fit-shape-to-text:t;">
                <w:txbxContent>
                  <w:p w14:paraId="30B61F4E">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E8463">
    <w:pPr>
      <w:pStyle w:val="17"/>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E4AF1E3">
                          <w:pPr>
                            <w:pStyle w:val="17"/>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F1C5A/TAQAApQMAAA4AAAAAAAAAAQAgAAAA&#10;IgEAAGRycy9lMm9Eb2MueG1sUEsFBgAAAAAGAAYAWQEAAGcFAAAAAA==&#10;">
              <v:fill on="f" focussize="0,0"/>
              <v:stroke on="f" weight="1.25pt"/>
              <v:imagedata o:title=""/>
              <o:lock v:ext="edit" aspectratio="f"/>
              <v:textbox inset="0mm,0mm,0mm,0mm" style="mso-fit-shape-to-text:t;">
                <w:txbxContent>
                  <w:p w14:paraId="0E4AF1E3">
                    <w:pPr>
                      <w:pStyle w:val="17"/>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64705">
    <w:pPr>
      <w:pStyle w:val="17"/>
      <w:ind w:right="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CA2B04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0ziRtIBAAClAwAADgAAAAAAAAABACAAAAAi&#10;AQAAZHJzL2Uyb0RvYy54bWxQSwUGAAAAAAYABgBZAQAAZgUAAAAA&#10;">
              <v:fill on="f" focussize="0,0"/>
              <v:stroke on="f" weight="1.25pt"/>
              <v:imagedata o:title=""/>
              <o:lock v:ext="edit" aspectratio="f"/>
              <v:textbox inset="0mm,0mm,0mm,0mm" style="mso-fit-shape-to-text:t;">
                <w:txbxContent>
                  <w:p w14:paraId="1CA2B04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CE30A">
    <w:pPr>
      <w:pStyle w:val="17"/>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641ABCF">
                          <w:pPr>
                            <w:pStyle w:val="17"/>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ApshXS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LahS5TEMoMTP/3+dfrz&#10;7/T3J0EfCtR7qDHv3mNmHD65Addm9gM6E+9BBpO+yIhgHLGOZ3nFEAlPj6plVZUY4hibL4hfPD73&#10;AeJn4QxJRkMDzi/Lyg5fIY6pc0qqZt2t0jrPUFvSI+pldXWZX5xDiK4tFkksxm6TFYftMFHbuvaI&#10;zHpcgoZa3HlK9BeLGmOncTbCbGxnY++D2nV5oVIr4G/2EdvJXaYKI+xUGKeXeU6bltbj6T1nPf5d&#10;6/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0CmyFdIBAAClAwAADgAAAAAAAAABACAAAAAi&#10;AQAAZHJzL2Uyb0RvYy54bWxQSwUGAAAAAAYABgBZAQAAZgUAAAAA&#10;">
              <v:fill on="f" focussize="0,0"/>
              <v:stroke on="f" weight="1.25pt"/>
              <v:imagedata o:title=""/>
              <o:lock v:ext="edit" aspectratio="f"/>
              <v:textbox inset="0mm,0mm,0mm,0mm" style="mso-fit-shape-to-text:t;">
                <w:txbxContent>
                  <w:p w14:paraId="3641ABCF">
                    <w:pPr>
                      <w:pStyle w:val="17"/>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AB9E4">
    <w:pPr>
      <w:pStyle w:val="17"/>
      <w:ind w:right="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BD28E0">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O+K7L9IBAAClAwAADgAAAAAAAAABACAAAAAi&#10;AQAAZHJzL2Uyb0RvYy54bWxQSwUGAAAAAAYABgBZAQAAZgUAAAAA&#10;">
              <v:fill on="f" focussize="0,0"/>
              <v:stroke on="f" weight="1.25pt"/>
              <v:imagedata o:title=""/>
              <o:lock v:ext="edit" aspectratio="f"/>
              <v:textbox inset="0mm,0mm,0mm,0mm" style="mso-fit-shape-to-text:t;">
                <w:txbxContent>
                  <w:p w14:paraId="34BD28E0">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103</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71502">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A48751">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4A48751">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983BE">
    <w:pPr>
      <w:spacing w:line="280" w:lineRule="exact"/>
      <w:jc w:val="center"/>
      <w:rPr>
        <w:rFonts w:ascii="仿宋" w:hAnsi="仿宋" w:eastAsia="仿宋"/>
        <w:b/>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C85AF8">
                          <w:pPr>
                            <w:pStyle w:val="17"/>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C85AF8">
                    <w:pPr>
                      <w:pStyle w:val="17"/>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4EE68">
    <w:pPr>
      <w:pStyle w:val="1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91B5DD">
                          <w:pPr>
                            <w:pStyle w:val="17"/>
                          </w:pPr>
                          <w:r>
                            <w:t xml:space="preserve">第 </w:t>
                          </w:r>
                          <w:r>
                            <w:fldChar w:fldCharType="begin"/>
                          </w:r>
                          <w:r>
                            <w:instrText xml:space="preserve"> PAGE  \* MERGEFORMAT </w:instrText>
                          </w:r>
                          <w:r>
                            <w:fldChar w:fldCharType="separate"/>
                          </w:r>
                          <w:r>
                            <w:t>74</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E91B5DD">
                    <w:pPr>
                      <w:pStyle w:val="17"/>
                    </w:pPr>
                    <w:r>
                      <w:t xml:space="preserve">第 </w:t>
                    </w:r>
                    <w:r>
                      <w:fldChar w:fldCharType="begin"/>
                    </w:r>
                    <w:r>
                      <w:instrText xml:space="preserve"> PAGE  \* MERGEFORMAT </w:instrText>
                    </w:r>
                    <w:r>
                      <w:fldChar w:fldCharType="separate"/>
                    </w:r>
                    <w:r>
                      <w:t>74</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F6206">
    <w:pPr>
      <w:spacing w:line="280" w:lineRule="exact"/>
      <w:jc w:val="center"/>
      <w:rPr>
        <w:rFonts w:ascii="仿宋" w:hAnsi="仿宋" w:eastAsia="仿宋"/>
        <w:b/>
        <w:szCs w:val="21"/>
      </w:rP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390420">
                          <w:pPr>
                            <w:pStyle w:val="17"/>
                          </w:pPr>
                          <w:r>
                            <w:t xml:space="preserve">第 </w:t>
                          </w:r>
                          <w:r>
                            <w:fldChar w:fldCharType="begin"/>
                          </w:r>
                          <w:r>
                            <w:instrText xml:space="preserve"> PAGE  \* MERGEFORMAT </w:instrText>
                          </w:r>
                          <w:r>
                            <w:fldChar w:fldCharType="separate"/>
                          </w:r>
                          <w:r>
                            <w:t>73</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E390420">
                    <w:pPr>
                      <w:pStyle w:val="17"/>
                    </w:pPr>
                    <w:r>
                      <w:t xml:space="preserve">第 </w:t>
                    </w:r>
                    <w:r>
                      <w:fldChar w:fldCharType="begin"/>
                    </w:r>
                    <w:r>
                      <w:instrText xml:space="preserve"> PAGE  \* MERGEFORMAT </w:instrText>
                    </w:r>
                    <w:r>
                      <w:fldChar w:fldCharType="separate"/>
                    </w:r>
                    <w:r>
                      <w:t>73</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75F88">
    <w:pPr>
      <w:pStyle w:val="17"/>
      <w:ind w:right="360"/>
      <w:rPr>
        <w:rFonts w:ascii="宋体" w:hAnsi="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BDB1F7">
                          <w:pPr>
                            <w:pStyle w:val="17"/>
                          </w:pPr>
                          <w:r>
                            <w:t xml:space="preserve">第 </w:t>
                          </w:r>
                          <w:r>
                            <w:fldChar w:fldCharType="begin"/>
                          </w:r>
                          <w:r>
                            <w:instrText xml:space="preserve"> PAGE  \* MERGEFORMAT </w:instrText>
                          </w:r>
                          <w:r>
                            <w:fldChar w:fldCharType="separate"/>
                          </w:r>
                          <w:r>
                            <w:t>84</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0BDB1F7">
                    <w:pPr>
                      <w:pStyle w:val="17"/>
                    </w:pPr>
                    <w:r>
                      <w:t xml:space="preserve">第 </w:t>
                    </w:r>
                    <w:r>
                      <w:fldChar w:fldCharType="begin"/>
                    </w:r>
                    <w:r>
                      <w:instrText xml:space="preserve"> PAGE  \* MERGEFORMAT </w:instrText>
                    </w:r>
                    <w:r>
                      <w:fldChar w:fldCharType="separate"/>
                    </w:r>
                    <w:r>
                      <w:t>84</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C40C9">
    <w:pPr>
      <w:pStyle w:val="17"/>
      <w:ind w:right="360"/>
      <w:rPr>
        <w:rFonts w:ascii="宋体" w:hAnsi="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0BE7B">
                          <w:pPr>
                            <w:pStyle w:val="17"/>
                          </w:pPr>
                          <w:r>
                            <w:t xml:space="preserve">第 </w:t>
                          </w:r>
                          <w:r>
                            <w:fldChar w:fldCharType="begin"/>
                          </w:r>
                          <w:r>
                            <w:instrText xml:space="preserve"> PAGE  \* MERGEFORMAT </w:instrText>
                          </w:r>
                          <w:r>
                            <w:fldChar w:fldCharType="separate"/>
                          </w:r>
                          <w:r>
                            <w:t>89</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B80BE7B">
                    <w:pPr>
                      <w:pStyle w:val="17"/>
                    </w:pPr>
                    <w:r>
                      <w:t xml:space="preserve">第 </w:t>
                    </w:r>
                    <w:r>
                      <w:fldChar w:fldCharType="begin"/>
                    </w:r>
                    <w:r>
                      <w:instrText xml:space="preserve"> PAGE  \* MERGEFORMAT </w:instrText>
                    </w:r>
                    <w:r>
                      <w:fldChar w:fldCharType="separate"/>
                    </w:r>
                    <w:r>
                      <w:t>89</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AAD5F">
    <w:pPr>
      <w:pStyle w:val="17"/>
      <w:ind w:right="360"/>
      <w:rPr>
        <w:rFonts w:ascii="宋体" w:hAnsi="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7C1714">
                          <w:pPr>
                            <w:pStyle w:val="17"/>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37C1714">
                    <w:pPr>
                      <w:pStyle w:val="17"/>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92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46E04">
    <w:pPr>
      <w:pStyle w:val="1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D3E1C">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480F9">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44D6C">
    <w:pPr>
      <w:pStyle w:val="19"/>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086C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AB945">
    <w:pPr>
      <w:pStyle w:val="19"/>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4124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3C45C">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A955C"/>
    <w:multiLevelType w:val="singleLevel"/>
    <w:tmpl w:val="810A955C"/>
    <w:lvl w:ilvl="0" w:tentative="0">
      <w:start w:val="1"/>
      <w:numFmt w:val="decimal"/>
      <w:suff w:val="nothing"/>
      <w:lvlText w:val="%1、"/>
      <w:lvlJc w:val="left"/>
    </w:lvl>
  </w:abstractNum>
  <w:abstractNum w:abstractNumId="1">
    <w:nsid w:val="858EAED5"/>
    <w:multiLevelType w:val="singleLevel"/>
    <w:tmpl w:val="858EAED5"/>
    <w:lvl w:ilvl="0" w:tentative="0">
      <w:start w:val="3"/>
      <w:numFmt w:val="chineseCounting"/>
      <w:suff w:val="nothing"/>
      <w:lvlText w:val="%1、"/>
      <w:lvlJc w:val="left"/>
      <w:rPr>
        <w:rFonts w:hint="eastAsia"/>
      </w:rPr>
    </w:lvl>
  </w:abstractNum>
  <w:abstractNum w:abstractNumId="2">
    <w:nsid w:val="00000022"/>
    <w:multiLevelType w:val="multilevel"/>
    <w:tmpl w:val="00000022"/>
    <w:lvl w:ilvl="0" w:tentative="0">
      <w:start w:val="1"/>
      <w:numFmt w:val="decimal"/>
      <w:lvlText w:val="%1."/>
      <w:lvlJc w:val="left"/>
      <w:pPr>
        <w:tabs>
          <w:tab w:val="left" w:pos="360"/>
        </w:tabs>
        <w:ind w:left="360" w:hanging="360"/>
      </w:pPr>
      <w:rPr>
        <w:rFonts w:hint="default"/>
        <w:sz w:val="21"/>
        <w:szCs w:val="21"/>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0"/>
        </w:tabs>
        <w:ind w:left="0" w:hanging="420"/>
      </w:pPr>
    </w:lvl>
    <w:lvl w:ilvl="3" w:tentative="0">
      <w:start w:val="1"/>
      <w:numFmt w:val="decimal"/>
      <w:lvlText w:val="%4."/>
      <w:lvlJc w:val="left"/>
      <w:pPr>
        <w:tabs>
          <w:tab w:val="left" w:pos="420"/>
        </w:tabs>
        <w:ind w:left="420" w:hanging="420"/>
      </w:pPr>
    </w:lvl>
    <w:lvl w:ilvl="4" w:tentative="0">
      <w:start w:val="1"/>
      <w:numFmt w:val="lowerLetter"/>
      <w:lvlText w:val="%5)"/>
      <w:lvlJc w:val="left"/>
      <w:pPr>
        <w:tabs>
          <w:tab w:val="left" w:pos="840"/>
        </w:tabs>
        <w:ind w:left="840" w:hanging="420"/>
      </w:pPr>
    </w:lvl>
    <w:lvl w:ilvl="5" w:tentative="0">
      <w:start w:val="1"/>
      <w:numFmt w:val="lowerRoman"/>
      <w:lvlText w:val="%6."/>
      <w:lvlJc w:val="right"/>
      <w:pPr>
        <w:tabs>
          <w:tab w:val="left" w:pos="1260"/>
        </w:tabs>
        <w:ind w:left="1260" w:hanging="420"/>
      </w:pPr>
    </w:lvl>
    <w:lvl w:ilvl="6" w:tentative="0">
      <w:start w:val="1"/>
      <w:numFmt w:val="decimal"/>
      <w:lvlText w:val="%7."/>
      <w:lvlJc w:val="left"/>
      <w:pPr>
        <w:tabs>
          <w:tab w:val="left" w:pos="1680"/>
        </w:tabs>
        <w:ind w:left="1680" w:hanging="420"/>
      </w:pPr>
    </w:lvl>
    <w:lvl w:ilvl="7" w:tentative="0">
      <w:start w:val="1"/>
      <w:numFmt w:val="lowerLetter"/>
      <w:lvlText w:val="%8)"/>
      <w:lvlJc w:val="left"/>
      <w:pPr>
        <w:tabs>
          <w:tab w:val="left" w:pos="2100"/>
        </w:tabs>
        <w:ind w:left="2100" w:hanging="420"/>
      </w:pPr>
    </w:lvl>
    <w:lvl w:ilvl="8" w:tentative="0">
      <w:start w:val="1"/>
      <w:numFmt w:val="lowerRoman"/>
      <w:lvlText w:val="%9."/>
      <w:lvlJc w:val="right"/>
      <w:pPr>
        <w:tabs>
          <w:tab w:val="left" w:pos="2520"/>
        </w:tabs>
        <w:ind w:left="2520" w:hanging="420"/>
      </w:pPr>
    </w:lvl>
  </w:abstractNum>
  <w:abstractNum w:abstractNumId="3">
    <w:nsid w:val="46B853D5"/>
    <w:multiLevelType w:val="multilevel"/>
    <w:tmpl w:val="46B853D5"/>
    <w:lvl w:ilvl="0" w:tentative="0">
      <w:start w:val="1"/>
      <w:numFmt w:val="decimal"/>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hideSpellingErrors/>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FjMzI4NDRiNmE3YjkzOTJiMjQ4NDY4ZjAyZDIyNjAifQ=="/>
    <w:docVar w:name="KSO_WPS_MARK_KEY" w:val="5c05d4db-d743-4476-86fc-1ae2bf9e8db2"/>
  </w:docVars>
  <w:rsids>
    <w:rsidRoot w:val="6D237F65"/>
    <w:rsid w:val="0019257C"/>
    <w:rsid w:val="002C47A2"/>
    <w:rsid w:val="00336659"/>
    <w:rsid w:val="003D2130"/>
    <w:rsid w:val="00433CD0"/>
    <w:rsid w:val="005A3E92"/>
    <w:rsid w:val="005F6217"/>
    <w:rsid w:val="0060361F"/>
    <w:rsid w:val="006D7F03"/>
    <w:rsid w:val="008C6BD0"/>
    <w:rsid w:val="00A05B3A"/>
    <w:rsid w:val="00A11776"/>
    <w:rsid w:val="00A45F86"/>
    <w:rsid w:val="00A87125"/>
    <w:rsid w:val="00AE7ECF"/>
    <w:rsid w:val="00C518BB"/>
    <w:rsid w:val="00CE53E9"/>
    <w:rsid w:val="00D40F1A"/>
    <w:rsid w:val="00D96366"/>
    <w:rsid w:val="00DA2F97"/>
    <w:rsid w:val="00E625DC"/>
    <w:rsid w:val="00FD2BEB"/>
    <w:rsid w:val="01332905"/>
    <w:rsid w:val="015705B3"/>
    <w:rsid w:val="01F025D9"/>
    <w:rsid w:val="02477107"/>
    <w:rsid w:val="02644081"/>
    <w:rsid w:val="02684096"/>
    <w:rsid w:val="02BE1B35"/>
    <w:rsid w:val="02F92E38"/>
    <w:rsid w:val="03466459"/>
    <w:rsid w:val="034E5986"/>
    <w:rsid w:val="035A20BD"/>
    <w:rsid w:val="03944686"/>
    <w:rsid w:val="0447561F"/>
    <w:rsid w:val="047D5898"/>
    <w:rsid w:val="04C31FFF"/>
    <w:rsid w:val="060F5837"/>
    <w:rsid w:val="067F3C7E"/>
    <w:rsid w:val="06DF0D75"/>
    <w:rsid w:val="06E25862"/>
    <w:rsid w:val="076C53F3"/>
    <w:rsid w:val="078F3891"/>
    <w:rsid w:val="07920193"/>
    <w:rsid w:val="081F225B"/>
    <w:rsid w:val="08BD3EB9"/>
    <w:rsid w:val="08EA60B4"/>
    <w:rsid w:val="090E201A"/>
    <w:rsid w:val="09652EA6"/>
    <w:rsid w:val="097656CE"/>
    <w:rsid w:val="098E006F"/>
    <w:rsid w:val="09FC335B"/>
    <w:rsid w:val="0A384847"/>
    <w:rsid w:val="0A6A2FF9"/>
    <w:rsid w:val="0A84462B"/>
    <w:rsid w:val="0B0F0CF0"/>
    <w:rsid w:val="0B314C30"/>
    <w:rsid w:val="0B3A5C6C"/>
    <w:rsid w:val="0BA42279"/>
    <w:rsid w:val="0C277DAF"/>
    <w:rsid w:val="0C3628D7"/>
    <w:rsid w:val="0C5063DF"/>
    <w:rsid w:val="0C5D2319"/>
    <w:rsid w:val="0CB565EF"/>
    <w:rsid w:val="0D2A3ABE"/>
    <w:rsid w:val="0D8728A6"/>
    <w:rsid w:val="0DFA7935"/>
    <w:rsid w:val="0E472414"/>
    <w:rsid w:val="0EF6341E"/>
    <w:rsid w:val="0F024CF3"/>
    <w:rsid w:val="0F166FD6"/>
    <w:rsid w:val="0FB36167"/>
    <w:rsid w:val="0FCF1690"/>
    <w:rsid w:val="103865E4"/>
    <w:rsid w:val="1116124C"/>
    <w:rsid w:val="11712CA1"/>
    <w:rsid w:val="120B3C17"/>
    <w:rsid w:val="1262349B"/>
    <w:rsid w:val="12B83E11"/>
    <w:rsid w:val="131E2317"/>
    <w:rsid w:val="133F6421"/>
    <w:rsid w:val="136F320A"/>
    <w:rsid w:val="13772C66"/>
    <w:rsid w:val="139F1E83"/>
    <w:rsid w:val="140635C8"/>
    <w:rsid w:val="14757D15"/>
    <w:rsid w:val="14CA173D"/>
    <w:rsid w:val="15637B70"/>
    <w:rsid w:val="15A707BF"/>
    <w:rsid w:val="163B0388"/>
    <w:rsid w:val="166718DF"/>
    <w:rsid w:val="168B191E"/>
    <w:rsid w:val="16F577B6"/>
    <w:rsid w:val="16FE4510"/>
    <w:rsid w:val="173F4E21"/>
    <w:rsid w:val="17555B8A"/>
    <w:rsid w:val="175A1312"/>
    <w:rsid w:val="184A79BB"/>
    <w:rsid w:val="18842DE6"/>
    <w:rsid w:val="18A706B9"/>
    <w:rsid w:val="18B13F73"/>
    <w:rsid w:val="1900380F"/>
    <w:rsid w:val="196433D5"/>
    <w:rsid w:val="19B104CA"/>
    <w:rsid w:val="19C9248B"/>
    <w:rsid w:val="1A655C77"/>
    <w:rsid w:val="1A8D6562"/>
    <w:rsid w:val="1A977D8D"/>
    <w:rsid w:val="1B014818"/>
    <w:rsid w:val="1B9F23BD"/>
    <w:rsid w:val="1BB12FEE"/>
    <w:rsid w:val="1BEB43DA"/>
    <w:rsid w:val="1C3A271C"/>
    <w:rsid w:val="1C5841A4"/>
    <w:rsid w:val="1C7B2E44"/>
    <w:rsid w:val="1D0E5FFB"/>
    <w:rsid w:val="1D6769E3"/>
    <w:rsid w:val="1D7A4A46"/>
    <w:rsid w:val="1DAC431F"/>
    <w:rsid w:val="1DCA533E"/>
    <w:rsid w:val="1E03329C"/>
    <w:rsid w:val="1E1967B4"/>
    <w:rsid w:val="1ED038BC"/>
    <w:rsid w:val="1EE532F0"/>
    <w:rsid w:val="1F817EB6"/>
    <w:rsid w:val="1FAF7250"/>
    <w:rsid w:val="1FB84369"/>
    <w:rsid w:val="1FC80DE6"/>
    <w:rsid w:val="1FDB0FCA"/>
    <w:rsid w:val="206646DA"/>
    <w:rsid w:val="208C494A"/>
    <w:rsid w:val="20E7065E"/>
    <w:rsid w:val="20ED4241"/>
    <w:rsid w:val="211532CF"/>
    <w:rsid w:val="21C77A15"/>
    <w:rsid w:val="21D73DBD"/>
    <w:rsid w:val="221B4B12"/>
    <w:rsid w:val="22604791"/>
    <w:rsid w:val="228C2C26"/>
    <w:rsid w:val="23927AAD"/>
    <w:rsid w:val="23C87E61"/>
    <w:rsid w:val="240E3D5A"/>
    <w:rsid w:val="244E1089"/>
    <w:rsid w:val="249A5B47"/>
    <w:rsid w:val="24F667D0"/>
    <w:rsid w:val="2531619F"/>
    <w:rsid w:val="254D2F3E"/>
    <w:rsid w:val="25704025"/>
    <w:rsid w:val="260A1217"/>
    <w:rsid w:val="27082C6B"/>
    <w:rsid w:val="2708397D"/>
    <w:rsid w:val="27303DF5"/>
    <w:rsid w:val="27B34984"/>
    <w:rsid w:val="28446AB6"/>
    <w:rsid w:val="285067DA"/>
    <w:rsid w:val="289657EF"/>
    <w:rsid w:val="28AE461B"/>
    <w:rsid w:val="28EA6ACC"/>
    <w:rsid w:val="28F3713A"/>
    <w:rsid w:val="28FE0824"/>
    <w:rsid w:val="29023283"/>
    <w:rsid w:val="291F621E"/>
    <w:rsid w:val="29451F54"/>
    <w:rsid w:val="298E30B9"/>
    <w:rsid w:val="29A2195A"/>
    <w:rsid w:val="29B01B9A"/>
    <w:rsid w:val="29B626C9"/>
    <w:rsid w:val="29D23D56"/>
    <w:rsid w:val="29FD638B"/>
    <w:rsid w:val="2A3D105A"/>
    <w:rsid w:val="2A837500"/>
    <w:rsid w:val="2AB56C65"/>
    <w:rsid w:val="2AC942AD"/>
    <w:rsid w:val="2AD62372"/>
    <w:rsid w:val="2B061C86"/>
    <w:rsid w:val="2C4B54EA"/>
    <w:rsid w:val="2CED2466"/>
    <w:rsid w:val="2D48136A"/>
    <w:rsid w:val="2D5C7B96"/>
    <w:rsid w:val="2DC222B0"/>
    <w:rsid w:val="2EC239C3"/>
    <w:rsid w:val="2F1125F2"/>
    <w:rsid w:val="2F813D80"/>
    <w:rsid w:val="30070CEC"/>
    <w:rsid w:val="30BB436B"/>
    <w:rsid w:val="31583F91"/>
    <w:rsid w:val="32877224"/>
    <w:rsid w:val="32954D0F"/>
    <w:rsid w:val="32DF7982"/>
    <w:rsid w:val="33F23E05"/>
    <w:rsid w:val="340B64A8"/>
    <w:rsid w:val="344B60C1"/>
    <w:rsid w:val="345E2E9A"/>
    <w:rsid w:val="349B423E"/>
    <w:rsid w:val="34F07E22"/>
    <w:rsid w:val="34F60DBE"/>
    <w:rsid w:val="3576225A"/>
    <w:rsid w:val="358856A2"/>
    <w:rsid w:val="35EF7B7B"/>
    <w:rsid w:val="36A13E14"/>
    <w:rsid w:val="36E91C88"/>
    <w:rsid w:val="37067CBC"/>
    <w:rsid w:val="380F026E"/>
    <w:rsid w:val="38127F66"/>
    <w:rsid w:val="38B81401"/>
    <w:rsid w:val="38C06F01"/>
    <w:rsid w:val="39C24EFB"/>
    <w:rsid w:val="39C26184"/>
    <w:rsid w:val="39E83B46"/>
    <w:rsid w:val="3A340E32"/>
    <w:rsid w:val="3A8164B7"/>
    <w:rsid w:val="3B4F3B1C"/>
    <w:rsid w:val="3B52695B"/>
    <w:rsid w:val="3B6A2E30"/>
    <w:rsid w:val="3BE60A57"/>
    <w:rsid w:val="3BFF421B"/>
    <w:rsid w:val="3C940DD1"/>
    <w:rsid w:val="3C976E9D"/>
    <w:rsid w:val="3CEA065D"/>
    <w:rsid w:val="3D0C0967"/>
    <w:rsid w:val="3D42082D"/>
    <w:rsid w:val="3E865849"/>
    <w:rsid w:val="3EBE0387"/>
    <w:rsid w:val="3ECE0EB8"/>
    <w:rsid w:val="3F284D10"/>
    <w:rsid w:val="3F524CDD"/>
    <w:rsid w:val="3FE5028A"/>
    <w:rsid w:val="40302F39"/>
    <w:rsid w:val="40547A6C"/>
    <w:rsid w:val="409A7C7E"/>
    <w:rsid w:val="40BC462D"/>
    <w:rsid w:val="41095A96"/>
    <w:rsid w:val="4135734F"/>
    <w:rsid w:val="413D7B2D"/>
    <w:rsid w:val="41807B75"/>
    <w:rsid w:val="41BC6732"/>
    <w:rsid w:val="41F31166"/>
    <w:rsid w:val="430D6662"/>
    <w:rsid w:val="431B6011"/>
    <w:rsid w:val="43217136"/>
    <w:rsid w:val="439F5D61"/>
    <w:rsid w:val="43C1146B"/>
    <w:rsid w:val="449833E9"/>
    <w:rsid w:val="450B59A8"/>
    <w:rsid w:val="454313DE"/>
    <w:rsid w:val="45763769"/>
    <w:rsid w:val="45AD4CB1"/>
    <w:rsid w:val="46130FB8"/>
    <w:rsid w:val="46426D37"/>
    <w:rsid w:val="465E7B66"/>
    <w:rsid w:val="46800EEB"/>
    <w:rsid w:val="479A54F2"/>
    <w:rsid w:val="47A53E92"/>
    <w:rsid w:val="47C713AE"/>
    <w:rsid w:val="48051D9C"/>
    <w:rsid w:val="48903FD5"/>
    <w:rsid w:val="489A049D"/>
    <w:rsid w:val="48E35C7E"/>
    <w:rsid w:val="4944382A"/>
    <w:rsid w:val="49CE0BEE"/>
    <w:rsid w:val="4A1A5BAC"/>
    <w:rsid w:val="4A1C2405"/>
    <w:rsid w:val="4A383387"/>
    <w:rsid w:val="4A4E0A12"/>
    <w:rsid w:val="4B514F5D"/>
    <w:rsid w:val="4B871597"/>
    <w:rsid w:val="4B8D7117"/>
    <w:rsid w:val="4BEA27BB"/>
    <w:rsid w:val="4C762B00"/>
    <w:rsid w:val="4C8E0D6B"/>
    <w:rsid w:val="4D1A0E7E"/>
    <w:rsid w:val="4D34553A"/>
    <w:rsid w:val="4D9650F9"/>
    <w:rsid w:val="4DB841F3"/>
    <w:rsid w:val="4DC17E7F"/>
    <w:rsid w:val="4E223471"/>
    <w:rsid w:val="4E54216E"/>
    <w:rsid w:val="4F233E57"/>
    <w:rsid w:val="4F800C16"/>
    <w:rsid w:val="501871CB"/>
    <w:rsid w:val="50275991"/>
    <w:rsid w:val="50865DA8"/>
    <w:rsid w:val="50C1588C"/>
    <w:rsid w:val="5239335A"/>
    <w:rsid w:val="528858C7"/>
    <w:rsid w:val="531D09AE"/>
    <w:rsid w:val="531D395C"/>
    <w:rsid w:val="537B7D39"/>
    <w:rsid w:val="539C35B2"/>
    <w:rsid w:val="53A46917"/>
    <w:rsid w:val="53DF24DA"/>
    <w:rsid w:val="53E313DB"/>
    <w:rsid w:val="54491CB5"/>
    <w:rsid w:val="555D2FB6"/>
    <w:rsid w:val="557B00B4"/>
    <w:rsid w:val="56526E9D"/>
    <w:rsid w:val="567D0A5D"/>
    <w:rsid w:val="56976822"/>
    <w:rsid w:val="572F3778"/>
    <w:rsid w:val="57776168"/>
    <w:rsid w:val="58A12453"/>
    <w:rsid w:val="592D5512"/>
    <w:rsid w:val="5A2A7AB1"/>
    <w:rsid w:val="5A6F0DB4"/>
    <w:rsid w:val="5AA12E61"/>
    <w:rsid w:val="5AD60ABF"/>
    <w:rsid w:val="5AD7759E"/>
    <w:rsid w:val="5B074CF7"/>
    <w:rsid w:val="5B6B4F9B"/>
    <w:rsid w:val="5B8A2419"/>
    <w:rsid w:val="5BD04D88"/>
    <w:rsid w:val="5C963276"/>
    <w:rsid w:val="5CC130C4"/>
    <w:rsid w:val="5CC305DF"/>
    <w:rsid w:val="5CCA36F1"/>
    <w:rsid w:val="5CCD6007"/>
    <w:rsid w:val="5D2C2B2A"/>
    <w:rsid w:val="5D8242AE"/>
    <w:rsid w:val="5DA4072B"/>
    <w:rsid w:val="5DA54B0D"/>
    <w:rsid w:val="5DA622E2"/>
    <w:rsid w:val="5E9547AC"/>
    <w:rsid w:val="5EC751A8"/>
    <w:rsid w:val="5EE02561"/>
    <w:rsid w:val="5F113DDB"/>
    <w:rsid w:val="5FEA5879"/>
    <w:rsid w:val="60A0730C"/>
    <w:rsid w:val="60D91043"/>
    <w:rsid w:val="61497AAD"/>
    <w:rsid w:val="61A87F03"/>
    <w:rsid w:val="61AB1CDD"/>
    <w:rsid w:val="61C64CD9"/>
    <w:rsid w:val="620449AF"/>
    <w:rsid w:val="62096F6F"/>
    <w:rsid w:val="62285994"/>
    <w:rsid w:val="62D45F88"/>
    <w:rsid w:val="63991833"/>
    <w:rsid w:val="6457391F"/>
    <w:rsid w:val="64FE7AA7"/>
    <w:rsid w:val="65747B65"/>
    <w:rsid w:val="65AA408F"/>
    <w:rsid w:val="65E623D2"/>
    <w:rsid w:val="66125B4E"/>
    <w:rsid w:val="66FE3167"/>
    <w:rsid w:val="67423054"/>
    <w:rsid w:val="675A2DE0"/>
    <w:rsid w:val="67A54606"/>
    <w:rsid w:val="67B76E85"/>
    <w:rsid w:val="67C768D7"/>
    <w:rsid w:val="693D7722"/>
    <w:rsid w:val="69C6217D"/>
    <w:rsid w:val="6AE748FF"/>
    <w:rsid w:val="6AF6662F"/>
    <w:rsid w:val="6B5E4DB4"/>
    <w:rsid w:val="6B8F683C"/>
    <w:rsid w:val="6BCC717C"/>
    <w:rsid w:val="6BE82B02"/>
    <w:rsid w:val="6C320B00"/>
    <w:rsid w:val="6C5E4F5B"/>
    <w:rsid w:val="6CD7699C"/>
    <w:rsid w:val="6CE6636A"/>
    <w:rsid w:val="6D22135B"/>
    <w:rsid w:val="6D237F65"/>
    <w:rsid w:val="6D4C165B"/>
    <w:rsid w:val="6E314109"/>
    <w:rsid w:val="6E971ED7"/>
    <w:rsid w:val="6F2F0F22"/>
    <w:rsid w:val="6F5E6337"/>
    <w:rsid w:val="6FCB1AB9"/>
    <w:rsid w:val="70003AAC"/>
    <w:rsid w:val="70043F0D"/>
    <w:rsid w:val="701939F5"/>
    <w:rsid w:val="704D3B6E"/>
    <w:rsid w:val="707728E4"/>
    <w:rsid w:val="70EB750D"/>
    <w:rsid w:val="72314B12"/>
    <w:rsid w:val="72662854"/>
    <w:rsid w:val="728120E4"/>
    <w:rsid w:val="728C189C"/>
    <w:rsid w:val="72E905B4"/>
    <w:rsid w:val="72F20E45"/>
    <w:rsid w:val="73185F55"/>
    <w:rsid w:val="73D47729"/>
    <w:rsid w:val="73E22138"/>
    <w:rsid w:val="743B414C"/>
    <w:rsid w:val="76642A48"/>
    <w:rsid w:val="76BB18DA"/>
    <w:rsid w:val="76CA109F"/>
    <w:rsid w:val="77071BC4"/>
    <w:rsid w:val="77954488"/>
    <w:rsid w:val="787634F3"/>
    <w:rsid w:val="7B2120E1"/>
    <w:rsid w:val="7BAF6D37"/>
    <w:rsid w:val="7BE91898"/>
    <w:rsid w:val="7C871B57"/>
    <w:rsid w:val="7DB230AD"/>
    <w:rsid w:val="7E303735"/>
    <w:rsid w:val="7F5F2CB3"/>
    <w:rsid w:val="7F604014"/>
    <w:rsid w:val="7FE7259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autoRedefine/>
    <w:qFormat/>
    <w:uiPriority w:val="9"/>
    <w:pPr>
      <w:keepNext/>
      <w:keepLines/>
      <w:spacing w:line="576" w:lineRule="auto"/>
      <w:outlineLvl w:val="0"/>
    </w:pPr>
    <w:rPr>
      <w:b/>
      <w:kern w:val="44"/>
      <w:sz w:val="44"/>
    </w:rPr>
  </w:style>
  <w:style w:type="paragraph" w:styleId="3">
    <w:name w:val="heading 2"/>
    <w:basedOn w:val="1"/>
    <w:next w:val="1"/>
    <w:autoRedefine/>
    <w:qFormat/>
    <w:uiPriority w:val="0"/>
    <w:pPr>
      <w:keepNext/>
      <w:keepLines/>
      <w:numPr>
        <w:ilvl w:val="1"/>
        <w:numId w:val="1"/>
      </w:numPr>
      <w:spacing w:before="260" w:after="260"/>
      <w:ind w:firstLine="0"/>
      <w:outlineLvl w:val="1"/>
    </w:pPr>
    <w:rPr>
      <w:b/>
      <w:bCs/>
      <w:sz w:val="32"/>
      <w:szCs w:val="32"/>
    </w:rPr>
  </w:style>
  <w:style w:type="paragraph" w:styleId="4">
    <w:name w:val="heading 3"/>
    <w:basedOn w:val="1"/>
    <w:next w:val="1"/>
    <w:autoRedefine/>
    <w:qFormat/>
    <w:uiPriority w:val="0"/>
    <w:pPr>
      <w:keepNext/>
      <w:keepLines/>
      <w:spacing w:line="416" w:lineRule="auto"/>
      <w:outlineLvl w:val="2"/>
    </w:pPr>
    <w:rPr>
      <w:b/>
      <w:bCs/>
      <w:sz w:val="32"/>
      <w:szCs w:val="32"/>
    </w:rPr>
  </w:style>
  <w:style w:type="paragraph" w:styleId="5">
    <w:name w:val="heading 4"/>
    <w:basedOn w:val="1"/>
    <w:next w:val="1"/>
    <w:autoRedefine/>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autoRedefine/>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8"/>
    <w:autoRedefine/>
    <w:qFormat/>
    <w:uiPriority w:val="0"/>
    <w:pPr>
      <w:ind w:firstLine="420" w:firstLineChars="200"/>
    </w:pPr>
    <w:rPr>
      <w:kern w:val="0"/>
      <w:sz w:val="20"/>
      <w:szCs w:val="20"/>
    </w:rPr>
  </w:style>
  <w:style w:type="paragraph" w:styleId="8">
    <w:name w:val="toc 4"/>
    <w:basedOn w:val="1"/>
    <w:next w:val="1"/>
    <w:autoRedefine/>
    <w:qFormat/>
    <w:uiPriority w:val="0"/>
    <w:pPr>
      <w:ind w:left="630"/>
      <w:jc w:val="left"/>
    </w:pPr>
    <w:rPr>
      <w:rFonts w:cs="Calibri"/>
      <w:sz w:val="18"/>
      <w:szCs w:val="18"/>
    </w:rPr>
  </w:style>
  <w:style w:type="paragraph" w:styleId="9">
    <w:name w:val="annotation text"/>
    <w:basedOn w:val="1"/>
    <w:autoRedefine/>
    <w:qFormat/>
    <w:uiPriority w:val="99"/>
    <w:pPr>
      <w:adjustRightInd w:val="0"/>
      <w:spacing w:line="360" w:lineRule="atLeast"/>
      <w:jc w:val="left"/>
    </w:pPr>
    <w:rPr>
      <w:kern w:val="0"/>
      <w:sz w:val="24"/>
      <w:szCs w:val="20"/>
    </w:rPr>
  </w:style>
  <w:style w:type="paragraph" w:styleId="10">
    <w:name w:val="Body Text"/>
    <w:basedOn w:val="1"/>
    <w:autoRedefine/>
    <w:qFormat/>
    <w:uiPriority w:val="0"/>
    <w:pPr>
      <w:spacing w:after="120"/>
    </w:pPr>
    <w:rPr>
      <w:kern w:val="0"/>
      <w:sz w:val="20"/>
    </w:rPr>
  </w:style>
  <w:style w:type="paragraph" w:styleId="11">
    <w:name w:val="Body Text Indent"/>
    <w:basedOn w:val="1"/>
    <w:next w:val="10"/>
    <w:autoRedefine/>
    <w:unhideWhenUsed/>
    <w:qFormat/>
    <w:uiPriority w:val="99"/>
    <w:pPr>
      <w:spacing w:after="120"/>
      <w:ind w:left="420"/>
    </w:pPr>
  </w:style>
  <w:style w:type="paragraph" w:styleId="12">
    <w:name w:val="Block Text"/>
    <w:basedOn w:val="1"/>
    <w:autoRedefine/>
    <w:qFormat/>
    <w:uiPriority w:val="0"/>
    <w:pPr>
      <w:adjustRightInd w:val="0"/>
      <w:ind w:left="420" w:right="33"/>
      <w:jc w:val="left"/>
      <w:textAlignment w:val="baseline"/>
    </w:pPr>
    <w:rPr>
      <w:kern w:val="0"/>
      <w:sz w:val="24"/>
      <w:szCs w:val="20"/>
    </w:rPr>
  </w:style>
  <w:style w:type="paragraph" w:styleId="13">
    <w:name w:val="toc 5"/>
    <w:basedOn w:val="1"/>
    <w:next w:val="1"/>
    <w:autoRedefine/>
    <w:qFormat/>
    <w:uiPriority w:val="0"/>
    <w:pPr>
      <w:ind w:left="1680" w:leftChars="800"/>
    </w:pPr>
  </w:style>
  <w:style w:type="paragraph" w:styleId="14">
    <w:name w:val="Plain Text"/>
    <w:basedOn w:val="1"/>
    <w:next w:val="10"/>
    <w:autoRedefine/>
    <w:qFormat/>
    <w:uiPriority w:val="0"/>
    <w:rPr>
      <w:rFonts w:ascii="宋体" w:hAnsi="Courier New"/>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113"/>
    <w:autoRedefine/>
    <w:qFormat/>
    <w:uiPriority w:val="0"/>
    <w:rPr>
      <w:sz w:val="18"/>
      <w:szCs w:val="18"/>
    </w:rPr>
  </w:style>
  <w:style w:type="paragraph" w:styleId="17">
    <w:name w:val="footer"/>
    <w:basedOn w:val="1"/>
    <w:autoRedefine/>
    <w:unhideWhenUsed/>
    <w:qFormat/>
    <w:uiPriority w:val="99"/>
    <w:pPr>
      <w:tabs>
        <w:tab w:val="center" w:pos="4153"/>
        <w:tab w:val="right" w:pos="8306"/>
      </w:tabs>
      <w:snapToGrid w:val="0"/>
      <w:jc w:val="left"/>
    </w:pPr>
    <w:rPr>
      <w:kern w:val="0"/>
      <w:sz w:val="18"/>
      <w:szCs w:val="18"/>
    </w:rPr>
  </w:style>
  <w:style w:type="paragraph" w:styleId="18">
    <w:name w:val="envelope return"/>
    <w:basedOn w:val="1"/>
    <w:autoRedefine/>
    <w:qFormat/>
    <w:uiPriority w:val="0"/>
    <w:pPr>
      <w:snapToGrid w:val="0"/>
    </w:pPr>
    <w:rPr>
      <w:rFonts w:ascii="Arial" w:hAnsi="Arial"/>
    </w:rPr>
  </w:style>
  <w:style w:type="paragraph" w:styleId="19">
    <w:name w:val="header"/>
    <w:basedOn w:val="1"/>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autoRedefine/>
    <w:qFormat/>
    <w:uiPriority w:val="0"/>
  </w:style>
  <w:style w:type="paragraph" w:styleId="21">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2">
    <w:name w:val="Normal (Web)"/>
    <w:basedOn w:val="1"/>
    <w:autoRedefine/>
    <w:unhideWhenUsed/>
    <w:qFormat/>
    <w:uiPriority w:val="99"/>
    <w:pPr>
      <w:widowControl/>
      <w:jc w:val="left"/>
    </w:pPr>
    <w:rPr>
      <w:rFonts w:ascii="宋体" w:hAnsi="宋体" w:cs="宋体"/>
      <w:kern w:val="0"/>
      <w:sz w:val="24"/>
    </w:rPr>
  </w:style>
  <w:style w:type="paragraph" w:styleId="23">
    <w:name w:val="Body Text First Indent"/>
    <w:basedOn w:val="10"/>
    <w:next w:val="24"/>
    <w:autoRedefine/>
    <w:qFormat/>
    <w:uiPriority w:val="99"/>
    <w:pPr>
      <w:adjustRightInd w:val="0"/>
      <w:ind w:firstLine="420"/>
      <w:jc w:val="left"/>
      <w:textAlignment w:val="baseline"/>
    </w:pPr>
    <w:rPr>
      <w:sz w:val="21"/>
    </w:rPr>
  </w:style>
  <w:style w:type="paragraph" w:styleId="24">
    <w:name w:val="Body Text First Indent 2"/>
    <w:basedOn w:val="11"/>
    <w:next w:val="1"/>
    <w:autoRedefine/>
    <w:unhideWhenUsed/>
    <w:qFormat/>
    <w:uiPriority w:val="99"/>
    <w:pPr>
      <w:spacing w:after="0" w:line="360" w:lineRule="auto"/>
      <w:ind w:left="0" w:firstLine="420" w:firstLineChars="200"/>
    </w:pPr>
    <w:rPr>
      <w:rFonts w:eastAsia="仿宋_GB2312"/>
      <w:spacing w:val="15"/>
      <w:kern w:val="10"/>
      <w:sz w:val="24"/>
    </w:rPr>
  </w:style>
  <w:style w:type="table" w:styleId="26">
    <w:name w:val="Table Grid"/>
    <w:basedOn w:val="25"/>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autoRedefine/>
    <w:qFormat/>
    <w:uiPriority w:val="22"/>
    <w:rPr>
      <w:b/>
      <w:bCs/>
    </w:rPr>
  </w:style>
  <w:style w:type="character" w:styleId="29">
    <w:name w:val="FollowedHyperlink"/>
    <w:basedOn w:val="27"/>
    <w:autoRedefine/>
    <w:qFormat/>
    <w:uiPriority w:val="0"/>
    <w:rPr>
      <w:color w:val="296FBE"/>
      <w:u w:val="none"/>
    </w:rPr>
  </w:style>
  <w:style w:type="character" w:styleId="30">
    <w:name w:val="Emphasis"/>
    <w:basedOn w:val="27"/>
    <w:autoRedefine/>
    <w:qFormat/>
    <w:uiPriority w:val="0"/>
  </w:style>
  <w:style w:type="character" w:styleId="31">
    <w:name w:val="HTML Definition"/>
    <w:basedOn w:val="27"/>
    <w:autoRedefine/>
    <w:qFormat/>
    <w:uiPriority w:val="0"/>
  </w:style>
  <w:style w:type="character" w:styleId="32">
    <w:name w:val="HTML Typewriter"/>
    <w:basedOn w:val="27"/>
    <w:autoRedefine/>
    <w:qFormat/>
    <w:uiPriority w:val="0"/>
    <w:rPr>
      <w:rFonts w:hint="default" w:ascii="monospace" w:hAnsi="monospace" w:eastAsia="monospace" w:cs="monospace"/>
      <w:sz w:val="20"/>
    </w:rPr>
  </w:style>
  <w:style w:type="character" w:styleId="33">
    <w:name w:val="HTML Acronym"/>
    <w:basedOn w:val="27"/>
    <w:autoRedefine/>
    <w:qFormat/>
    <w:uiPriority w:val="0"/>
  </w:style>
  <w:style w:type="character" w:styleId="34">
    <w:name w:val="HTML Variable"/>
    <w:basedOn w:val="27"/>
    <w:autoRedefine/>
    <w:qFormat/>
    <w:uiPriority w:val="0"/>
  </w:style>
  <w:style w:type="character" w:styleId="35">
    <w:name w:val="Hyperlink"/>
    <w:basedOn w:val="27"/>
    <w:autoRedefine/>
    <w:qFormat/>
    <w:uiPriority w:val="0"/>
    <w:rPr>
      <w:rFonts w:hint="eastAsia" w:ascii="宋体" w:hAnsi="宋体" w:eastAsia="宋体" w:cs="宋体"/>
      <w:color w:val="000000"/>
      <w:sz w:val="18"/>
      <w:szCs w:val="18"/>
      <w:u w:val="none"/>
    </w:rPr>
  </w:style>
  <w:style w:type="character" w:styleId="36">
    <w:name w:val="HTML Code"/>
    <w:basedOn w:val="27"/>
    <w:autoRedefine/>
    <w:qFormat/>
    <w:uiPriority w:val="0"/>
    <w:rPr>
      <w:rFonts w:ascii="微软雅黑" w:hAnsi="微软雅黑" w:eastAsia="微软雅黑" w:cs="微软雅黑"/>
      <w:sz w:val="20"/>
    </w:rPr>
  </w:style>
  <w:style w:type="character" w:styleId="37">
    <w:name w:val="HTML Cite"/>
    <w:basedOn w:val="27"/>
    <w:autoRedefine/>
    <w:qFormat/>
    <w:uiPriority w:val="0"/>
  </w:style>
  <w:style w:type="character" w:styleId="38">
    <w:name w:val="HTML Keyboard"/>
    <w:basedOn w:val="27"/>
    <w:autoRedefine/>
    <w:qFormat/>
    <w:uiPriority w:val="0"/>
    <w:rPr>
      <w:rFonts w:hint="default" w:ascii="monospace" w:hAnsi="monospace" w:eastAsia="monospace" w:cs="monospace"/>
      <w:sz w:val="20"/>
    </w:rPr>
  </w:style>
  <w:style w:type="character" w:styleId="39">
    <w:name w:val="HTML Sample"/>
    <w:basedOn w:val="27"/>
    <w:autoRedefine/>
    <w:qFormat/>
    <w:uiPriority w:val="0"/>
    <w:rPr>
      <w:rFonts w:ascii="monospace" w:hAnsi="monospace" w:eastAsia="monospace" w:cs="monospace"/>
    </w:rPr>
  </w:style>
  <w:style w:type="paragraph" w:customStyle="1" w:styleId="40">
    <w:name w:val="Default"/>
    <w:basedOn w:val="14"/>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1">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首行缩进"/>
    <w:basedOn w:val="1"/>
    <w:autoRedefine/>
    <w:qFormat/>
    <w:uiPriority w:val="99"/>
    <w:pPr>
      <w:ind w:firstLine="480"/>
    </w:pPr>
    <w:rPr>
      <w:lang w:val="zh-CN"/>
    </w:rPr>
  </w:style>
  <w:style w:type="paragraph" w:customStyle="1" w:styleId="43">
    <w:name w:val="正文缩进1"/>
    <w:basedOn w:val="1"/>
    <w:autoRedefine/>
    <w:qFormat/>
    <w:uiPriority w:val="0"/>
    <w:pPr>
      <w:ind w:firstLine="420" w:firstLineChars="200"/>
    </w:pPr>
  </w:style>
  <w:style w:type="paragraph" w:customStyle="1" w:styleId="44">
    <w:name w:val="样式 首行缩进:  2 字符"/>
    <w:basedOn w:val="1"/>
    <w:autoRedefine/>
    <w:qFormat/>
    <w:uiPriority w:val="0"/>
    <w:pPr>
      <w:spacing w:line="400" w:lineRule="exact"/>
      <w:ind w:firstLine="200" w:firstLineChars="200"/>
    </w:pPr>
    <w:rPr>
      <w:rFonts w:cs="宋体"/>
      <w:sz w:val="24"/>
    </w:rPr>
  </w:style>
  <w:style w:type="paragraph" w:customStyle="1" w:styleId="45">
    <w:name w:val="样式 样式 样式 样式 标题 2 + 宋体 五号 非加粗 黑色 + 段前: 6 磅 段后: 0 磅 行距: 单倍行距 + 段前:..."/>
    <w:basedOn w:val="1"/>
    <w:autoRedefine/>
    <w:qFormat/>
    <w:uiPriority w:val="0"/>
    <w:pPr>
      <w:keepNext/>
      <w:keepLines/>
      <w:tabs>
        <w:tab w:val="left" w:pos="1200"/>
      </w:tabs>
      <w:adjustRightInd w:val="0"/>
      <w:ind w:left="1200" w:hanging="360"/>
      <w:jc w:val="left"/>
      <w:textAlignment w:val="baseline"/>
      <w:outlineLvl w:val="1"/>
    </w:pPr>
    <w:rPr>
      <w:rFonts w:ascii="宋体" w:hAnsi="宋体" w:cs="宋体"/>
      <w:b/>
      <w:bCs/>
      <w:color w:val="000000"/>
      <w:kern w:val="0"/>
    </w:rPr>
  </w:style>
  <w:style w:type="paragraph" w:customStyle="1" w:styleId="46">
    <w:name w:val="title12"/>
    <w:basedOn w:val="1"/>
    <w:autoRedefine/>
    <w:qFormat/>
    <w:uiPriority w:val="0"/>
    <w:pPr>
      <w:spacing w:before="150" w:after="100" w:afterAutospacing="1"/>
      <w:jc w:val="left"/>
    </w:pPr>
    <w:rPr>
      <w:b/>
      <w:bCs/>
      <w:sz w:val="22"/>
      <w:szCs w:val="22"/>
    </w:rPr>
  </w:style>
  <w:style w:type="character" w:customStyle="1" w:styleId="47">
    <w:name w:val="biggerthanmax"/>
    <w:basedOn w:val="27"/>
    <w:autoRedefine/>
    <w:qFormat/>
    <w:uiPriority w:val="0"/>
    <w:rPr>
      <w:shd w:val="clear" w:color="auto" w:fill="FFFF00"/>
    </w:rPr>
  </w:style>
  <w:style w:type="character" w:customStyle="1" w:styleId="48">
    <w:name w:val="ico1655"/>
    <w:basedOn w:val="27"/>
    <w:autoRedefine/>
    <w:qFormat/>
    <w:uiPriority w:val="0"/>
  </w:style>
  <w:style w:type="character" w:customStyle="1" w:styleId="49">
    <w:name w:val="button"/>
    <w:basedOn w:val="27"/>
    <w:autoRedefine/>
    <w:qFormat/>
    <w:uiPriority w:val="0"/>
  </w:style>
  <w:style w:type="character" w:customStyle="1" w:styleId="50">
    <w:name w:val="cy"/>
    <w:basedOn w:val="27"/>
    <w:autoRedefine/>
    <w:qFormat/>
    <w:uiPriority w:val="0"/>
  </w:style>
  <w:style w:type="character" w:customStyle="1" w:styleId="51">
    <w:name w:val="w32"/>
    <w:basedOn w:val="27"/>
    <w:autoRedefine/>
    <w:qFormat/>
    <w:uiPriority w:val="0"/>
  </w:style>
  <w:style w:type="character" w:customStyle="1" w:styleId="52">
    <w:name w:val="active5"/>
    <w:basedOn w:val="27"/>
    <w:autoRedefine/>
    <w:qFormat/>
    <w:uiPriority w:val="0"/>
    <w:rPr>
      <w:color w:val="00FF00"/>
      <w:shd w:val="clear" w:color="auto" w:fill="111111"/>
    </w:rPr>
  </w:style>
  <w:style w:type="character" w:customStyle="1" w:styleId="53">
    <w:name w:val="hover36"/>
    <w:basedOn w:val="27"/>
    <w:autoRedefine/>
    <w:qFormat/>
    <w:uiPriority w:val="0"/>
    <w:rPr>
      <w:color w:val="FFFFFF"/>
    </w:rPr>
  </w:style>
  <w:style w:type="character" w:customStyle="1" w:styleId="54">
    <w:name w:val="estimate_gray"/>
    <w:basedOn w:val="27"/>
    <w:autoRedefine/>
    <w:qFormat/>
    <w:uiPriority w:val="0"/>
    <w:rPr>
      <w:color w:val="FFFFFF"/>
    </w:rPr>
  </w:style>
  <w:style w:type="character" w:customStyle="1" w:styleId="55">
    <w:name w:val="design_class"/>
    <w:basedOn w:val="27"/>
    <w:autoRedefine/>
    <w:qFormat/>
    <w:uiPriority w:val="0"/>
  </w:style>
  <w:style w:type="character" w:customStyle="1" w:styleId="56">
    <w:name w:val="xdrichtextbox2"/>
    <w:basedOn w:val="27"/>
    <w:autoRedefine/>
    <w:qFormat/>
    <w:uiPriority w:val="0"/>
  </w:style>
  <w:style w:type="character" w:customStyle="1" w:styleId="57">
    <w:name w:val="hilite5"/>
    <w:basedOn w:val="27"/>
    <w:autoRedefine/>
    <w:qFormat/>
    <w:uiPriority w:val="0"/>
    <w:rPr>
      <w:color w:val="FFFFFF"/>
      <w:shd w:val="clear" w:color="auto" w:fill="666666"/>
    </w:rPr>
  </w:style>
  <w:style w:type="character" w:customStyle="1" w:styleId="58">
    <w:name w:val="pagechatarealistclose_box"/>
    <w:basedOn w:val="27"/>
    <w:autoRedefine/>
    <w:qFormat/>
    <w:uiPriority w:val="0"/>
  </w:style>
  <w:style w:type="character" w:customStyle="1" w:styleId="59">
    <w:name w:val="pagechatarealistclose_box1"/>
    <w:basedOn w:val="27"/>
    <w:autoRedefine/>
    <w:qFormat/>
    <w:uiPriority w:val="0"/>
  </w:style>
  <w:style w:type="character" w:customStyle="1" w:styleId="60">
    <w:name w:val="after"/>
    <w:basedOn w:val="27"/>
    <w:autoRedefine/>
    <w:qFormat/>
    <w:uiPriority w:val="0"/>
    <w:rPr>
      <w:sz w:val="0"/>
      <w:szCs w:val="0"/>
    </w:rPr>
  </w:style>
  <w:style w:type="character" w:customStyle="1" w:styleId="61">
    <w:name w:val="cdropright"/>
    <w:basedOn w:val="27"/>
    <w:autoRedefine/>
    <w:qFormat/>
    <w:uiPriority w:val="0"/>
  </w:style>
  <w:style w:type="character" w:customStyle="1" w:styleId="62">
    <w:name w:val="drapbtn"/>
    <w:basedOn w:val="27"/>
    <w:autoRedefine/>
    <w:qFormat/>
    <w:uiPriority w:val="0"/>
  </w:style>
  <w:style w:type="character" w:customStyle="1" w:styleId="63">
    <w:name w:val="cdropleft"/>
    <w:basedOn w:val="27"/>
    <w:autoRedefine/>
    <w:qFormat/>
    <w:uiPriority w:val="0"/>
  </w:style>
  <w:style w:type="character" w:customStyle="1" w:styleId="64">
    <w:name w:val="tmpztreemove_arrow"/>
    <w:basedOn w:val="27"/>
    <w:autoRedefine/>
    <w:qFormat/>
    <w:uiPriority w:val="0"/>
  </w:style>
  <w:style w:type="character" w:customStyle="1" w:styleId="65">
    <w:name w:val="liked_gray"/>
    <w:basedOn w:val="27"/>
    <w:autoRedefine/>
    <w:qFormat/>
    <w:uiPriority w:val="0"/>
    <w:rPr>
      <w:color w:val="FFFFFF"/>
    </w:rPr>
  </w:style>
  <w:style w:type="character" w:customStyle="1" w:styleId="66">
    <w:name w:val="browse_class&gt;span"/>
    <w:basedOn w:val="27"/>
    <w:autoRedefine/>
    <w:qFormat/>
    <w:uiPriority w:val="0"/>
  </w:style>
  <w:style w:type="character" w:customStyle="1" w:styleId="67">
    <w:name w:val="moreaction32"/>
    <w:basedOn w:val="27"/>
    <w:autoRedefine/>
    <w:qFormat/>
    <w:uiPriority w:val="0"/>
  </w:style>
  <w:style w:type="character" w:customStyle="1" w:styleId="68">
    <w:name w:val="edit_class"/>
    <w:basedOn w:val="27"/>
    <w:autoRedefine/>
    <w:qFormat/>
    <w:uiPriority w:val="0"/>
  </w:style>
  <w:style w:type="character" w:customStyle="1" w:styleId="69">
    <w:name w:val="hover43"/>
    <w:basedOn w:val="27"/>
    <w:autoRedefine/>
    <w:qFormat/>
    <w:uiPriority w:val="0"/>
    <w:rPr>
      <w:color w:val="FFFFFF"/>
    </w:rPr>
  </w:style>
  <w:style w:type="character" w:customStyle="1" w:styleId="70">
    <w:name w:val="hilite6"/>
    <w:basedOn w:val="27"/>
    <w:autoRedefine/>
    <w:qFormat/>
    <w:uiPriority w:val="0"/>
    <w:rPr>
      <w:color w:val="FFFFFF"/>
      <w:shd w:val="clear" w:color="auto" w:fill="666666"/>
    </w:rPr>
  </w:style>
  <w:style w:type="character" w:customStyle="1" w:styleId="71">
    <w:name w:val="active7"/>
    <w:basedOn w:val="27"/>
    <w:autoRedefine/>
    <w:qFormat/>
    <w:uiPriority w:val="0"/>
    <w:rPr>
      <w:color w:val="00FF00"/>
      <w:shd w:val="clear" w:color="auto" w:fill="111111"/>
    </w:rPr>
  </w:style>
  <w:style w:type="character" w:customStyle="1" w:styleId="72">
    <w:name w:val="ico1656"/>
    <w:basedOn w:val="27"/>
    <w:autoRedefine/>
    <w:qFormat/>
    <w:uiPriority w:val="0"/>
  </w:style>
  <w:style w:type="character" w:customStyle="1" w:styleId="73">
    <w:name w:val="ico1657"/>
    <w:basedOn w:val="27"/>
    <w:autoRedefine/>
    <w:qFormat/>
    <w:uiPriority w:val="0"/>
  </w:style>
  <w:style w:type="character" w:customStyle="1" w:styleId="74">
    <w:name w:val="ico1658"/>
    <w:basedOn w:val="27"/>
    <w:autoRedefine/>
    <w:qFormat/>
    <w:uiPriority w:val="0"/>
  </w:style>
  <w:style w:type="character" w:customStyle="1" w:styleId="75">
    <w:name w:val="button4"/>
    <w:basedOn w:val="27"/>
    <w:autoRedefine/>
    <w:qFormat/>
    <w:uiPriority w:val="0"/>
  </w:style>
  <w:style w:type="character" w:customStyle="1" w:styleId="76">
    <w:name w:val="hilite"/>
    <w:basedOn w:val="27"/>
    <w:autoRedefine/>
    <w:qFormat/>
    <w:uiPriority w:val="0"/>
    <w:rPr>
      <w:color w:val="FFFFFF"/>
      <w:shd w:val="clear" w:color="auto" w:fill="666666"/>
    </w:rPr>
  </w:style>
  <w:style w:type="character" w:customStyle="1" w:styleId="77">
    <w:name w:val="active2"/>
    <w:basedOn w:val="27"/>
    <w:autoRedefine/>
    <w:qFormat/>
    <w:uiPriority w:val="0"/>
    <w:rPr>
      <w:color w:val="00FF00"/>
      <w:shd w:val="clear" w:color="auto" w:fill="111111"/>
    </w:rPr>
  </w:style>
  <w:style w:type="character" w:customStyle="1" w:styleId="78">
    <w:name w:val="hover38"/>
    <w:basedOn w:val="27"/>
    <w:autoRedefine/>
    <w:qFormat/>
    <w:uiPriority w:val="0"/>
    <w:rPr>
      <w:color w:val="FFFFFF"/>
    </w:rPr>
  </w:style>
  <w:style w:type="character" w:customStyle="1" w:styleId="79">
    <w:name w:val="xdrichtextbox"/>
    <w:basedOn w:val="27"/>
    <w:autoRedefine/>
    <w:qFormat/>
    <w:uiPriority w:val="0"/>
    <w:rPr>
      <w:color w:val="auto"/>
      <w:sz w:val="18"/>
      <w:szCs w:val="18"/>
      <w:u w:val="none"/>
      <w:bdr w:val="single" w:color="DCDCDC" w:sz="8" w:space="0"/>
      <w:shd w:val="clear" w:color="auto" w:fill="auto"/>
    </w:rPr>
  </w:style>
  <w:style w:type="character" w:customStyle="1" w:styleId="80">
    <w:name w:val="hover44"/>
    <w:basedOn w:val="27"/>
    <w:autoRedefine/>
    <w:qFormat/>
    <w:uiPriority w:val="0"/>
    <w:rPr>
      <w:color w:val="FFFFFF"/>
    </w:rPr>
  </w:style>
  <w:style w:type="paragraph" w:customStyle="1" w:styleId="81">
    <w:name w:val="Normal 0.51"/>
    <w:basedOn w:val="1"/>
    <w:next w:val="1"/>
    <w:autoRedefine/>
    <w:qFormat/>
    <w:uiPriority w:val="0"/>
    <w:pPr>
      <w:widowControl/>
      <w:spacing w:before="180" w:after="120"/>
      <w:ind w:left="720"/>
    </w:pPr>
    <w:rPr>
      <w:rFonts w:ascii="Times New Roman"/>
      <w:sz w:val="24"/>
    </w:rPr>
  </w:style>
  <w:style w:type="paragraph" w:customStyle="1" w:styleId="82">
    <w:name w:val="Heading #1|1"/>
    <w:basedOn w:val="1"/>
    <w:autoRedefine/>
    <w:qFormat/>
    <w:uiPriority w:val="0"/>
    <w:pPr>
      <w:spacing w:after="240"/>
      <w:jc w:val="center"/>
      <w:outlineLvl w:val="0"/>
    </w:pPr>
    <w:rPr>
      <w:rFonts w:ascii="宋体" w:hAnsi="宋体" w:cs="宋体"/>
      <w:sz w:val="40"/>
      <w:szCs w:val="40"/>
      <w:lang w:val="zh-TW" w:eastAsia="zh-TW" w:bidi="zh-TW"/>
    </w:rPr>
  </w:style>
  <w:style w:type="paragraph" w:customStyle="1" w:styleId="83">
    <w:name w:val="Body text|1"/>
    <w:basedOn w:val="1"/>
    <w:autoRedefine/>
    <w:qFormat/>
    <w:uiPriority w:val="0"/>
    <w:pPr>
      <w:spacing w:line="480" w:lineRule="auto"/>
      <w:ind w:firstLine="400"/>
    </w:pPr>
    <w:rPr>
      <w:rFonts w:ascii="宋体" w:hAnsi="宋体" w:cs="宋体"/>
      <w:sz w:val="22"/>
      <w:szCs w:val="22"/>
      <w:lang w:val="zh-TW" w:eastAsia="zh-TW" w:bidi="zh-TW"/>
    </w:rPr>
  </w:style>
  <w:style w:type="character" w:customStyle="1" w:styleId="84">
    <w:name w:val="proollist"/>
    <w:basedOn w:val="27"/>
    <w:autoRedefine/>
    <w:qFormat/>
    <w:uiPriority w:val="0"/>
  </w:style>
  <w:style w:type="character" w:customStyle="1" w:styleId="85">
    <w:name w:val="beforeinfotext"/>
    <w:basedOn w:val="27"/>
    <w:autoRedefine/>
    <w:qFormat/>
    <w:uiPriority w:val="0"/>
    <w:rPr>
      <w:color w:val="666666"/>
    </w:rPr>
  </w:style>
  <w:style w:type="character" w:customStyle="1" w:styleId="86">
    <w:name w:val="stclosebtn"/>
    <w:basedOn w:val="27"/>
    <w:autoRedefine/>
    <w:qFormat/>
    <w:uiPriority w:val="0"/>
  </w:style>
  <w:style w:type="character" w:customStyle="1" w:styleId="87">
    <w:name w:val="number"/>
    <w:basedOn w:val="27"/>
    <w:autoRedefine/>
    <w:qFormat/>
    <w:uiPriority w:val="0"/>
    <w:rPr>
      <w:color w:val="FF8833"/>
      <w:sz w:val="18"/>
      <w:szCs w:val="18"/>
    </w:rPr>
  </w:style>
  <w:style w:type="paragraph" w:customStyle="1" w:styleId="88">
    <w:name w:val="title1"/>
    <w:basedOn w:val="1"/>
    <w:autoRedefine/>
    <w:qFormat/>
    <w:uiPriority w:val="0"/>
    <w:pPr>
      <w:spacing w:before="150"/>
      <w:jc w:val="left"/>
    </w:pPr>
    <w:rPr>
      <w:b/>
      <w:bCs/>
      <w:kern w:val="0"/>
      <w:sz w:val="22"/>
      <w:szCs w:val="22"/>
    </w:rPr>
  </w:style>
  <w:style w:type="character" w:customStyle="1" w:styleId="89">
    <w:name w:val="phone"/>
    <w:basedOn w:val="27"/>
    <w:autoRedefine/>
    <w:qFormat/>
    <w:uiPriority w:val="0"/>
    <w:rPr>
      <w:color w:val="FF8833"/>
      <w:sz w:val="18"/>
      <w:szCs w:val="18"/>
    </w:rPr>
  </w:style>
  <w:style w:type="paragraph" w:customStyle="1" w:styleId="90">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91">
    <w:name w:val="表注1"/>
    <w:basedOn w:val="1"/>
    <w:autoRedefine/>
    <w:qFormat/>
    <w:uiPriority w:val="0"/>
    <w:pPr>
      <w:adjustRightInd w:val="0"/>
      <w:snapToGrid w:val="0"/>
      <w:spacing w:beforeLines="50" w:line="300" w:lineRule="auto"/>
      <w:ind w:left="350" w:hanging="350" w:hangingChars="350"/>
    </w:pPr>
    <w:rPr>
      <w:rFonts w:eastAsia="仿宋_GB2312"/>
      <w:bCs/>
      <w:color w:val="000000"/>
    </w:rPr>
  </w:style>
  <w:style w:type="character" w:customStyle="1" w:styleId="92">
    <w:name w:val="active"/>
    <w:basedOn w:val="27"/>
    <w:autoRedefine/>
    <w:qFormat/>
    <w:uiPriority w:val="0"/>
    <w:rPr>
      <w:color w:val="00FF00"/>
      <w:shd w:val="clear" w:color="auto" w:fill="111111"/>
    </w:rPr>
  </w:style>
  <w:style w:type="character" w:customStyle="1" w:styleId="93">
    <w:name w:val="active6"/>
    <w:basedOn w:val="27"/>
    <w:autoRedefine/>
    <w:qFormat/>
    <w:uiPriority w:val="0"/>
    <w:rPr>
      <w:color w:val="00FF00"/>
      <w:shd w:val="clear" w:color="auto" w:fill="111111"/>
    </w:rPr>
  </w:style>
  <w:style w:type="character" w:customStyle="1" w:styleId="94">
    <w:name w:val="ico1652"/>
    <w:basedOn w:val="27"/>
    <w:autoRedefine/>
    <w:qFormat/>
    <w:uiPriority w:val="0"/>
  </w:style>
  <w:style w:type="character" w:customStyle="1" w:styleId="95">
    <w:name w:val="ico1653"/>
    <w:basedOn w:val="27"/>
    <w:autoRedefine/>
    <w:qFormat/>
    <w:uiPriority w:val="0"/>
  </w:style>
  <w:style w:type="character" w:customStyle="1" w:styleId="96">
    <w:name w:val="hover45"/>
    <w:basedOn w:val="27"/>
    <w:autoRedefine/>
    <w:qFormat/>
    <w:uiPriority w:val="0"/>
    <w:rPr>
      <w:color w:val="FFFFFF"/>
    </w:rPr>
  </w:style>
  <w:style w:type="paragraph" w:customStyle="1" w:styleId="97">
    <w:name w:val="Char Char Char"/>
    <w:basedOn w:val="1"/>
    <w:autoRedefine/>
    <w:qFormat/>
    <w:uiPriority w:val="0"/>
    <w:pPr>
      <w:widowControl/>
      <w:spacing w:line="240" w:lineRule="exact"/>
      <w:jc w:val="left"/>
    </w:pPr>
  </w:style>
  <w:style w:type="character" w:customStyle="1" w:styleId="98">
    <w:name w:val="font91"/>
    <w:basedOn w:val="27"/>
    <w:autoRedefine/>
    <w:qFormat/>
    <w:uiPriority w:val="0"/>
    <w:rPr>
      <w:rFonts w:ascii="Arial" w:hAnsi="Arial" w:cs="Arial"/>
      <w:color w:val="000000"/>
      <w:sz w:val="20"/>
      <w:szCs w:val="20"/>
      <w:u w:val="none"/>
    </w:rPr>
  </w:style>
  <w:style w:type="character" w:customStyle="1" w:styleId="99">
    <w:name w:val="font41"/>
    <w:basedOn w:val="27"/>
    <w:autoRedefine/>
    <w:qFormat/>
    <w:uiPriority w:val="0"/>
    <w:rPr>
      <w:rFonts w:hint="eastAsia" w:ascii="宋体" w:hAnsi="宋体" w:eastAsia="宋体" w:cs="宋体"/>
      <w:color w:val="000000"/>
      <w:sz w:val="20"/>
      <w:szCs w:val="20"/>
      <w:u w:val="none"/>
    </w:rPr>
  </w:style>
  <w:style w:type="character" w:customStyle="1" w:styleId="100">
    <w:name w:val="font101"/>
    <w:basedOn w:val="27"/>
    <w:autoRedefine/>
    <w:qFormat/>
    <w:uiPriority w:val="0"/>
    <w:rPr>
      <w:rFonts w:ascii="宋体" w:hAnsi="宋体" w:eastAsia="宋体" w:cs="宋体"/>
      <w:color w:val="000000"/>
      <w:sz w:val="20"/>
      <w:szCs w:val="20"/>
      <w:u w:val="none"/>
    </w:rPr>
  </w:style>
  <w:style w:type="character" w:customStyle="1" w:styleId="101">
    <w:name w:val="font31"/>
    <w:basedOn w:val="27"/>
    <w:autoRedefine/>
    <w:qFormat/>
    <w:uiPriority w:val="0"/>
    <w:rPr>
      <w:rFonts w:hint="eastAsia" w:ascii="宋体" w:hAnsi="宋体" w:eastAsia="宋体" w:cs="宋体"/>
      <w:color w:val="000000"/>
      <w:sz w:val="16"/>
      <w:szCs w:val="16"/>
      <w:u w:val="none"/>
    </w:rPr>
  </w:style>
  <w:style w:type="paragraph" w:customStyle="1" w:styleId="102">
    <w:name w:val="Char Char Char Char"/>
    <w:basedOn w:val="1"/>
    <w:autoRedefine/>
    <w:qFormat/>
    <w:uiPriority w:val="0"/>
  </w:style>
  <w:style w:type="table" w:customStyle="1" w:styleId="103">
    <w:name w:val="Table Normal"/>
    <w:autoRedefine/>
    <w:unhideWhenUsed/>
    <w:qFormat/>
    <w:uiPriority w:val="0"/>
    <w:tblPr>
      <w:tblCellMar>
        <w:top w:w="0" w:type="dxa"/>
        <w:left w:w="0" w:type="dxa"/>
        <w:bottom w:w="0" w:type="dxa"/>
        <w:right w:w="0" w:type="dxa"/>
      </w:tblCellMar>
    </w:tblPr>
  </w:style>
  <w:style w:type="paragraph" w:customStyle="1" w:styleId="104">
    <w:name w:val="WPSOffice手动目录 1"/>
    <w:autoRedefine/>
    <w:qFormat/>
    <w:uiPriority w:val="0"/>
    <w:rPr>
      <w:rFonts w:ascii="Times New Roman" w:hAnsi="Times New Roman" w:eastAsia="宋体" w:cs="Times New Roman"/>
      <w:lang w:val="en-US" w:eastAsia="zh-CN" w:bidi="ar-SA"/>
    </w:rPr>
  </w:style>
  <w:style w:type="character" w:customStyle="1" w:styleId="105">
    <w:name w:val="15"/>
    <w:autoRedefine/>
    <w:qFormat/>
    <w:uiPriority w:val="0"/>
    <w:rPr>
      <w:rFonts w:hint="eastAsia" w:ascii="宋体" w:hAnsi="宋体" w:eastAsia="宋体" w:cs="宋体"/>
      <w:sz w:val="24"/>
      <w:szCs w:val="24"/>
    </w:rPr>
  </w:style>
  <w:style w:type="paragraph" w:customStyle="1" w:styleId="106">
    <w:name w:val="09正文_wh"/>
    <w:autoRedefine/>
    <w:qFormat/>
    <w:uiPriority w:val="0"/>
    <w:pPr>
      <w:spacing w:line="300" w:lineRule="auto"/>
      <w:ind w:firstLine="200" w:firstLineChars="200"/>
      <w:jc w:val="both"/>
    </w:pPr>
    <w:rPr>
      <w:rFonts w:ascii="Times New Roman" w:hAnsi="Times New Roman" w:eastAsia="宋体" w:cs="Times New Roman"/>
      <w:kern w:val="2"/>
      <w:sz w:val="28"/>
      <w:szCs w:val="22"/>
      <w:lang w:val="en-US" w:eastAsia="zh-CN" w:bidi="ar-SA"/>
    </w:rPr>
  </w:style>
  <w:style w:type="paragraph" w:customStyle="1" w:styleId="107">
    <w:name w:val="p15"/>
    <w:basedOn w:val="1"/>
    <w:autoRedefine/>
    <w:qFormat/>
    <w:uiPriority w:val="99"/>
    <w:pPr>
      <w:widowControl/>
    </w:pPr>
    <w:rPr>
      <w:szCs w:val="21"/>
    </w:rPr>
  </w:style>
  <w:style w:type="character" w:customStyle="1" w:styleId="108">
    <w:name w:val="font21"/>
    <w:basedOn w:val="27"/>
    <w:autoRedefine/>
    <w:qFormat/>
    <w:uiPriority w:val="0"/>
    <w:rPr>
      <w:rFonts w:hint="eastAsia" w:ascii="宋体" w:hAnsi="宋体" w:eastAsia="宋体" w:cs="宋体"/>
      <w:b/>
      <w:bCs/>
      <w:color w:val="000000"/>
      <w:sz w:val="20"/>
      <w:szCs w:val="20"/>
      <w:u w:val="none"/>
    </w:rPr>
  </w:style>
  <w:style w:type="paragraph" w:customStyle="1" w:styleId="109">
    <w:name w:val="正文（缩进 2 字符）"/>
    <w:basedOn w:val="1"/>
    <w:autoRedefine/>
    <w:qFormat/>
    <w:uiPriority w:val="0"/>
    <w:pPr>
      <w:ind w:firstLine="200" w:firstLineChars="200"/>
    </w:pPr>
  </w:style>
  <w:style w:type="paragraph" w:styleId="110">
    <w:name w:val="List Paragraph"/>
    <w:basedOn w:val="1"/>
    <w:autoRedefine/>
    <w:qFormat/>
    <w:uiPriority w:val="34"/>
    <w:pPr>
      <w:ind w:firstLine="420" w:firstLineChars="200"/>
    </w:pPr>
  </w:style>
  <w:style w:type="paragraph" w:customStyle="1" w:styleId="111">
    <w:name w:val="Table Paragraph"/>
    <w:basedOn w:val="1"/>
    <w:autoRedefine/>
    <w:qFormat/>
    <w:uiPriority w:val="1"/>
  </w:style>
  <w:style w:type="character" w:customStyle="1" w:styleId="112">
    <w:name w:val="font51"/>
    <w:basedOn w:val="27"/>
    <w:autoRedefine/>
    <w:qFormat/>
    <w:uiPriority w:val="0"/>
    <w:rPr>
      <w:rFonts w:hint="eastAsia" w:ascii="楷体" w:hAnsi="楷体" w:eastAsia="楷体" w:cs="楷体"/>
      <w:color w:val="000000"/>
      <w:sz w:val="20"/>
      <w:szCs w:val="20"/>
      <w:u w:val="none"/>
    </w:rPr>
  </w:style>
  <w:style w:type="character" w:customStyle="1" w:styleId="113">
    <w:name w:val="批注框文本 Char"/>
    <w:basedOn w:val="27"/>
    <w:link w:val="16"/>
    <w:autoRedefine/>
    <w:qFormat/>
    <w:uiPriority w:val="0"/>
    <w:rPr>
      <w:rFonts w:ascii="Calibri" w:hAnsi="Calibri"/>
      <w:kern w:val="2"/>
      <w:sz w:val="18"/>
      <w:szCs w:val="18"/>
    </w:rPr>
  </w:style>
  <w:style w:type="paragraph" w:customStyle="1" w:styleId="114">
    <w:name w:val="Table Text"/>
    <w:basedOn w:val="1"/>
    <w:semiHidden/>
    <w:qFormat/>
    <w:uiPriority w:val="0"/>
    <w:rPr>
      <w:rFonts w:ascii="宋体" w:hAnsi="宋体" w:eastAsia="宋体" w:cs="宋体"/>
      <w:sz w:val="24"/>
      <w:szCs w:val="24"/>
      <w:lang w:val="en-US" w:eastAsia="en-US" w:bidi="ar-SA"/>
    </w:rPr>
  </w:style>
  <w:style w:type="paragraph" w:customStyle="1" w:styleId="115">
    <w:name w:val=" Char Char Char"/>
    <w:basedOn w:val="1"/>
    <w:qFormat/>
    <w:uiPriority w:val="0"/>
    <w:pPr>
      <w:widowControl/>
      <w:spacing w:after="160" w:afterLines="0" w:line="240" w:lineRule="exact"/>
      <w:jc w:val="left"/>
    </w:pPr>
  </w:style>
  <w:style w:type="character" w:customStyle="1" w:styleId="116">
    <w:name w:val="font11"/>
    <w:basedOn w:val="27"/>
    <w:qFormat/>
    <w:uiPriority w:val="0"/>
    <w:rPr>
      <w:rFonts w:hint="eastAsia" w:ascii="宋体" w:hAnsi="宋体" w:eastAsia="宋体" w:cs="宋体"/>
      <w:color w:val="000000"/>
      <w:sz w:val="20"/>
      <w:szCs w:val="20"/>
      <w:u w:val="none"/>
    </w:rPr>
  </w:style>
  <w:style w:type="character" w:customStyle="1" w:styleId="117">
    <w:name w:val="font112"/>
    <w:basedOn w:val="27"/>
    <w:qFormat/>
    <w:uiPriority w:val="0"/>
    <w:rPr>
      <w:rFonts w:ascii="Arial" w:hAnsi="Arial" w:cs="Arial"/>
      <w:color w:val="000000"/>
      <w:sz w:val="20"/>
      <w:szCs w:val="20"/>
      <w:u w:val="none"/>
    </w:rPr>
  </w:style>
  <w:style w:type="paragraph" w:customStyle="1" w:styleId="118">
    <w:name w:val="正文文字缩进"/>
    <w:basedOn w:val="1"/>
    <w:qFormat/>
    <w:uiPriority w:val="0"/>
    <w:pPr>
      <w:spacing w:line="351" w:lineRule="atLeast"/>
      <w:ind w:firstLine="419"/>
      <w:jc w:val="both"/>
      <w:textAlignment w:val="baseline"/>
    </w:pPr>
    <w:rPr>
      <w:rFonts w:ascii="宋体" w:eastAsia="宋体"/>
      <w:color w:val="000000"/>
      <w:sz w:val="21"/>
      <w:u w:val="none" w:color="000000"/>
      <w:vertAlign w:val="baseline"/>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7.xml"/><Relationship Id="rId26" Type="http://schemas.openxmlformats.org/officeDocument/2006/relationships/header" Target="header8.xml"/><Relationship Id="rId25" Type="http://schemas.openxmlformats.org/officeDocument/2006/relationships/footer" Target="footer16.xml"/><Relationship Id="rId24" Type="http://schemas.openxmlformats.org/officeDocument/2006/relationships/footer" Target="footer15.xml"/><Relationship Id="rId23" Type="http://schemas.openxmlformats.org/officeDocument/2006/relationships/footer" Target="footer14.xml"/><Relationship Id="rId22" Type="http://schemas.openxmlformats.org/officeDocument/2006/relationships/footer" Target="footer13.xml"/><Relationship Id="rId21" Type="http://schemas.openxmlformats.org/officeDocument/2006/relationships/header" Target="header7.xml"/><Relationship Id="rId20" Type="http://schemas.openxmlformats.org/officeDocument/2006/relationships/header" Target="header6.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header" Target="header5.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75</Pages>
  <Words>76</Words>
  <Characters>85</Characters>
  <Lines>366</Lines>
  <Paragraphs>103</Paragraphs>
  <TotalTime>3</TotalTime>
  <ScaleCrop>false</ScaleCrop>
  <LinksUpToDate>false</LinksUpToDate>
  <CharactersWithSpaces>111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2021-09-28T02:24:00Z</dcterms:created>
  <dc:creator>刘莉娥</dc:creator>
  <cp:lastModifiedBy>黑曼巴</cp:lastModifiedBy>
  <cp:lastPrinted>2026-01-15T01:38:00Z</cp:lastPrinted>
  <dcterms:modified xsi:type="dcterms:W3CDTF">2026-08-27T01:45:59Z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AA2445E1B77C4269964061777B930CC4_13</vt:lpwstr>
  </property>
  <property fmtid="{D5CDD505-2E9C-101B-9397-08002B2CF9AE}" pid="4" name="KSOTemplateDocerSaveRecord">
    <vt:lpwstr>eyJoZGlkIjoiN2IyY2Q2MzMzZWJhZWRjMzRkMTlmM2QzYzY5NmE2MWIiLCJ1c2VySWQiOiIyMTIyOTgxMjcifQ==</vt:lpwstr>
  </property>
</Properties>
</file>