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版本号：TZZB-2026101C20260526001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教学综合楼建设项目监理</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TZZB-2026101C</w:t>
      </w:r>
      <w:r>
        <w:br/>
      </w:r>
      <w:r>
        <w:br/>
      </w:r>
      <w:r>
        <w:br/>
      </w:r>
    </w:p>
    <w:p>
      <w:pPr>
        <w:pStyle w:val="null3"/>
        <w:jc w:val="center"/>
        <w:outlineLvl w:val="2"/>
      </w:pPr>
      <w:r>
        <w:rPr>
          <w:rFonts w:ascii="仿宋_GB2312" w:hAnsi="仿宋_GB2312" w:cs="仿宋_GB2312" w:eastAsia="仿宋_GB2312"/>
          <w:sz w:val="28"/>
          <w:b/>
        </w:rPr>
        <w:t>西安市临潼区临潼中学</w:t>
      </w:r>
    </w:p>
    <w:p>
      <w:pPr>
        <w:pStyle w:val="null3"/>
        <w:jc w:val="center"/>
        <w:outlineLvl w:val="2"/>
      </w:pPr>
      <w:r>
        <w:rPr>
          <w:rFonts w:ascii="仿宋_GB2312" w:hAnsi="仿宋_GB2312" w:cs="仿宋_GB2312" w:eastAsia="仿宋_GB2312"/>
          <w:sz w:val="28"/>
          <w:b/>
        </w:rPr>
        <w:t>同正项目管理有限公司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同正项目管理有限公司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西安市临潼区临潼中学</w:t>
      </w:r>
      <w:r>
        <w:rPr>
          <w:rFonts w:ascii="仿宋_GB2312" w:hAnsi="仿宋_GB2312" w:cs="仿宋_GB2312" w:eastAsia="仿宋_GB2312"/>
        </w:rPr>
        <w:t>委托，拟对</w:t>
      </w:r>
      <w:r>
        <w:rPr>
          <w:rFonts w:ascii="仿宋_GB2312" w:hAnsi="仿宋_GB2312" w:cs="仿宋_GB2312" w:eastAsia="仿宋_GB2312"/>
        </w:rPr>
        <w:t>教学综合楼建设项目监理</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TZZB-2026101C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教学综合楼建设项目监理</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临潼区临潼中学教学综合楼建设项目监理，项目新建1栋地上3层、地下1层的教学综合楼，主要布设教学及辅助用房、风雨操场及附属设施等，配建室外消防设施及变压器。新建教学综合楼占地面积为1025.40㎡，建筑面积4546.62㎡，地上建筑面积3547.2㎡，地下建筑面积999.42㎡。室外配建消防水池497.00m³，消防泵房62.7㎡，400kVA箱变1台。室外新做植草砖地面188㎡用于临时停车位，新增机动车停车位10个(含新能源车位3个)，非机动车停车位4个。采购内容为本项目的监理服务，包括但不限于西安市临潼区临潼中学教学综合楼建设项目施工全过程、竣工验收及保修阶段的全部监理工作内容，以及配合相关手续的办理、协调工作等全方位、全过程监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采购包1（西安市临潼区临潼中学教学综合楼建设项目监理）：属于专门面向中小企业采购。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1、营业执照：供应商为具有独立承担民事责任能力的法人或其他组织。企业法人应提供合法有效的标识有统一社会信用代码的营业执照；事业法人应提供事业单位法人证书；其他组织应提供合法登记证明文件</w:t>
      </w:r>
    </w:p>
    <w:p>
      <w:pPr>
        <w:pStyle w:val="null3"/>
      </w:pPr>
      <w:r>
        <w:rPr>
          <w:rFonts w:ascii="仿宋_GB2312" w:hAnsi="仿宋_GB2312" w:cs="仿宋_GB2312" w:eastAsia="仿宋_GB2312"/>
        </w:rPr>
        <w:t>2、企业资质：供应商须具备工程监理综合资质或房屋建筑专业工程监理乙级及以上资质</w:t>
      </w:r>
    </w:p>
    <w:p>
      <w:pPr>
        <w:pStyle w:val="null3"/>
      </w:pPr>
      <w:r>
        <w:rPr>
          <w:rFonts w:ascii="仿宋_GB2312" w:hAnsi="仿宋_GB2312" w:cs="仿宋_GB2312" w:eastAsia="仿宋_GB2312"/>
        </w:rPr>
        <w:t>3、拟派总监理工程师：拟派总监理工程师须具备注册监理工程师执业资格（房屋建筑工程专业），在本单位注册，且未担任其他在建工程项目的总监理工程师</w:t>
      </w:r>
    </w:p>
    <w:p>
      <w:pPr>
        <w:pStyle w:val="null3"/>
      </w:pPr>
      <w:r>
        <w:rPr>
          <w:rFonts w:ascii="仿宋_GB2312" w:hAnsi="仿宋_GB2312" w:cs="仿宋_GB2312" w:eastAsia="仿宋_GB2312"/>
        </w:rPr>
        <w:t>4、财务状况：提供2024或2025年度经审计的完整财务报告（成立时间至提交响应文件截止时间不足一年的可提供成立后任意时段的资产负债表），或其开标前六个月内基本开户银行出具的资信证明及其基本存款账户开户许可证（无基本存款账户开户许可证可提供其基本存款账户信息证明）；（以上两种形式的资料提供任何一种即可）</w:t>
      </w:r>
    </w:p>
    <w:p>
      <w:pPr>
        <w:pStyle w:val="null3"/>
      </w:pPr>
      <w:r>
        <w:rPr>
          <w:rFonts w:ascii="仿宋_GB2312" w:hAnsi="仿宋_GB2312" w:cs="仿宋_GB2312" w:eastAsia="仿宋_GB2312"/>
        </w:rPr>
        <w:t>5、税收缴纳证明：提供2025年10月至今已缴纳的至少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6、社会保障资金缴纳证明：提供2025年10月至今已缴纳的至少一个月的社会保障资金缴存单据或社保机构开具的社会保险参保缴费情况证明，依法不需要缴纳社会保障资金的单位应提供相关证明材料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7、经营活动：供应商不得为“信用中国"网站(w.creditahina.gor.n)中列入失信被执行人、重大税收违法失信主体名单，不得为“中国政府采购网”(https://www.ccgp.gov.cn/)政府采购严重违法失信行为记录名单中被财政部门禁止参加政府采购活动的单位；参加本次政府采购活动前三年内在经营活动中没有重大违纪。</w:t>
      </w:r>
    </w:p>
    <w:p>
      <w:pPr>
        <w:pStyle w:val="null3"/>
      </w:pPr>
      <w:r>
        <w:rPr>
          <w:rFonts w:ascii="仿宋_GB2312" w:hAnsi="仿宋_GB2312" w:cs="仿宋_GB2312" w:eastAsia="仿宋_GB2312"/>
        </w:rPr>
        <w:t>8、具有履行合同所必需的设备和专业技术能力：提供具有履行合同所必需的设备和专业技术能力的承诺声明。</w:t>
      </w:r>
    </w:p>
    <w:p>
      <w:pPr>
        <w:pStyle w:val="null3"/>
      </w:pPr>
      <w:r>
        <w:rPr>
          <w:rFonts w:ascii="仿宋_GB2312" w:hAnsi="仿宋_GB2312" w:cs="仿宋_GB2312" w:eastAsia="仿宋_GB2312"/>
        </w:rPr>
        <w:t>9、身份授权：法定代表人直接参加投标的，须出具法定代表人证明书（附法人身份证复印件）；法定代表人授权代表参加投标的，还须出具法定代表人授权书（附法人及授权代表身份证复印件）</w:t>
      </w:r>
    </w:p>
    <w:p>
      <w:pPr>
        <w:pStyle w:val="null3"/>
      </w:pPr>
      <w:r>
        <w:rPr>
          <w:rFonts w:ascii="仿宋_GB2312" w:hAnsi="仿宋_GB2312" w:cs="仿宋_GB2312" w:eastAsia="仿宋_GB2312"/>
        </w:rPr>
        <w:t>10、中小企业声明函：本项目专门面向中小企业采购（提供中小企业声明函）</w:t>
      </w:r>
    </w:p>
    <w:p>
      <w:pPr>
        <w:pStyle w:val="null3"/>
      </w:pPr>
      <w:r>
        <w:rPr>
          <w:rFonts w:ascii="仿宋_GB2312" w:hAnsi="仿宋_GB2312" w:cs="仿宋_GB2312" w:eastAsia="仿宋_GB2312"/>
        </w:rPr>
        <w:t>11、不接受联合体：本项目不接受联合体</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西安市临潼区临潼中学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临潼区开发区二环路中段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13572105342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同正项目管理有限公司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陕西省西安市经济技术开发区凤城八路180号长和国际F座22层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倪莹、王燕、赵淑涵</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029-86522030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采购包1：591,400.00元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印发《招标代理服务收费管理暂行办法》的通知（计价格〔2002〕1980号）文件、国家发展和改革委员会办公厅印发的《关于招标代理服务收费有关问题的通知》（发改办价格〔2003〕857号）文件规定收费标准下浮5%计取，由中标（成交）单位在领取中标（成交）通知书前一次性支付。具体收费金额在中标（成交）结果公告中公布。</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西安市临潼区临潼中学</w:t>
      </w:r>
      <w:r>
        <w:rPr>
          <w:rFonts w:ascii="仿宋_GB2312" w:hAnsi="仿宋_GB2312" w:cs="仿宋_GB2312" w:eastAsia="仿宋_GB2312"/>
        </w:rPr>
        <w:t>和</w:t>
      </w:r>
      <w:r>
        <w:rPr>
          <w:rFonts w:ascii="仿宋_GB2312" w:hAnsi="仿宋_GB2312" w:cs="仿宋_GB2312" w:eastAsia="仿宋_GB2312"/>
        </w:rPr>
        <w:t>同正项目管理有限公司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西安市临潼区临潼中学</w:t>
      </w:r>
      <w:r>
        <w:rPr>
          <w:rFonts w:ascii="仿宋_GB2312" w:hAnsi="仿宋_GB2312" w:cs="仿宋_GB2312" w:eastAsia="仿宋_GB2312"/>
        </w:rPr>
        <w:t>负责解释。除上述磋商文件内容，其他内容由</w:t>
      </w:r>
      <w:r>
        <w:rPr>
          <w:rFonts w:ascii="仿宋_GB2312" w:hAnsi="仿宋_GB2312" w:cs="仿宋_GB2312" w:eastAsia="仿宋_GB2312"/>
        </w:rPr>
        <w:t>同正项目管理有限公司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西安市临潼区临潼中学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同正项目管理有限公司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满足现行业技术规范要求及采购人需求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同正项目管理有限公司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同正项目管理有限公司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联系人：倪莹、王燕、赵淑涵</w:t>
      </w:r>
    </w:p>
    <w:p>
      <w:pPr>
        <w:pStyle w:val="null3"/>
      </w:pPr>
      <w:r>
        <w:rPr>
          <w:rFonts w:ascii="仿宋_GB2312" w:hAnsi="仿宋_GB2312" w:cs="仿宋_GB2312" w:eastAsia="仿宋_GB2312"/>
        </w:rPr>
        <w:t>联系电话：029-86522030</w:t>
      </w:r>
    </w:p>
    <w:p>
      <w:pPr>
        <w:pStyle w:val="null3"/>
      </w:pPr>
      <w:r>
        <w:rPr>
          <w:rFonts w:ascii="仿宋_GB2312" w:hAnsi="仿宋_GB2312" w:cs="仿宋_GB2312" w:eastAsia="仿宋_GB2312"/>
        </w:rPr>
        <w:t>地址：陕西省西安市经济技术开发区凤城八路180号长和国际F座22层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临潼区临潼中学教学综合楼建设项目监理，项目新建1栋地上3层、地下1层的教学综合楼，主要布设教学及辅助用房、风雨操场及附属设施等，配建室外消防设施及变压器。新建教学综合楼占地面积为1025.40㎡，建筑面积4546.62㎡，地上建筑面积3547.2㎡，地下建筑面积999.42㎡。室外配建消防水池497.00m³，消防泵房62.7㎡，400kVA箱变1台。室外新做植草砖地面188㎡用于临时停车位，新增机动车停车位10个(含新能源车位3个)，非机动车停车位4个。采购内容为本项目的监理服务，包括但不限于西安市临潼区临潼中学教学综合楼建设项目施工全过程、竣工验收及保修阶段的全部监理工作内容，以及配合相关手续的办理、协调工作等全方位、全过程监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591,400.00</w:t>
      </w:r>
    </w:p>
    <w:p>
      <w:pPr>
        <w:pStyle w:val="null3"/>
      </w:pPr>
      <w:r>
        <w:rPr>
          <w:rFonts w:ascii="仿宋_GB2312" w:hAnsi="仿宋_GB2312" w:cs="仿宋_GB2312" w:eastAsia="仿宋_GB2312"/>
        </w:rPr>
        <w:t>采购包最高限价（元）: 591,400.00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西安市临潼区临潼中学教学综合楼建设项目监理</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591,400.00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标的名称：西安市临潼区临潼中学教学综合楼建设项目监理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项目概况：项目新建1栋地上3层、地下1层的教学综合楼，主要布设教学及辅助用房、风雨操场及附属设施等，配建室外消防设施及变压器。新建教学综合楼占地面积为1025.40㎡，建筑面积4546.62㎡，地上建筑面积3547.2㎡，地下建筑面积999.42㎡。室外配建消防水池497.00m³，消防泵房62.7㎡，400kVA箱变1台。室外新做植草砖地面188㎡用于临时停车位，新增机动车停车位10个(含新能源车位3个)，非机动车停车位4个。采购内容为本项目的监理服务，包括但不限于西安市临潼区临潼中学教学综合楼建设项目施工全过程、竣工验收及保修阶段的全部监理工作内容，以及配合相关手续的办理、协调工作等全方位、全过程监理。</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服务内容：统筹临潼中学教学综合楼建设项目全流程监理，做好施工前期筹备，严控工程质量、施工进度、造价成本，监督安全文明施工，协调参建各方、规范资料管理，完成各阶段验收及质保期监理，保障项目合规有序推进。</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需满足的要求：满足临潼中学教学综合楼建设项目施工前期规范筹备、工程质量达标、工期可控、成本管控需求，实现现场安全文明施工，保障各方高效协同、资料完整，顺</w:t>
            </w:r>
            <w:r>
              <w:rPr>
                <w:rFonts w:ascii="仿宋_GB2312" w:hAnsi="仿宋_GB2312" w:cs="仿宋_GB2312" w:eastAsia="仿宋_GB2312"/>
                <w:sz w:val="21"/>
              </w:rPr>
              <w:t>利完成验收备案与质保期缺陷整改。</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服务期：自开工之日起至缺陷责任期结束之日止。</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1"/>
              </w:rPr>
              <w:t>质量要求：满足现行业技术规范要求及采购人需求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自开工之日起至缺陷责任期结束之日止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西安市临潼区体育路8路，临潼中学校园内西南侧</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预付款，在合同签订后，达到付款条件起20个工作日内，支付合同总金额的40.0%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进度款，工程竣工验收合格后，待完成工程按照决算审计报告，达到付款条件起20个工作日内，支付合同总金额的60.0%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若因监理单位审核不严，导致委托人委托的单项工程竣工结算审计单位审计核减价款与监理单位审核价款之比若大于5％（包括5%），则扣减该单项工程监理人监理酬金的1-2%作为违约金，其费用在支付监理结算款时予以扣除。 ②本工程质量应达到约定的合格标准。单位工程工程质量验收不合格，监理单位除须承担相关法律法规规定的监理责任外，仍须接受委托人从应付监理酬金中扣减对应单位工程监理酬金作为违约金。 其他内容详见合同附件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供应商在投标文件截止时间前，须向采购代理机构提供纸质版响应文件3套（一正两副），且提供的响应文件必须与在陕西省政府采购综合管理平台的项目电子化交易系统中递交的电子响应文件内容一致，纸质版响应文件必须装订成册签字盖章。递交地址：陕西省西安市经济技术开发区凤城八路长和国际F座22层，联系电话：029-86522030转612）。（2）其他商务要求：在该工程施工缺陷责任期届满，但工程质量保修期未届满期间内，监理人仍需按本合同约定履行监理责任和义务，相关费用已包含在合同总价内。（3）本项目所属行业为其他未列明行业。从业人员300人以下的为中小微型企业。其中，从业人员100人及以上的为中型企业；从业人员10人及以上的为小型企业；从业人员10人以下的为微型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供应商为具有独立承担民事责任能力的法人或其他组织。企业法人应提供合法有效的标识有统一社会信用代码的营业执照；事业法人应提供事业单位法人证书；其他组织应提供合法登记证明文件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供应商须具备工程监理综合资质或房屋建筑专业工程监理乙级及以上资质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拟派总监理工程师</w:t>
            </w:r>
          </w:p>
        </w:tc>
        <w:tc>
          <w:tcPr>
            <w:tcW w:type="dxa" w:w="3322"/>
          </w:tcPr>
          <w:p>
            <w:pPr>
              <w:pStyle w:val="null3"/>
            </w:pPr>
            <w:r>
              <w:rPr>
                <w:rFonts w:ascii="仿宋_GB2312" w:hAnsi="仿宋_GB2312" w:cs="仿宋_GB2312" w:eastAsia="仿宋_GB2312"/>
              </w:rPr>
              <w:t>拟派总监理工程师须具备注册监理工程师执业资格（房屋建筑工程专业），在本单位注册，且未担任其他在建工程项目的总监理工程师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或2025年度经审计的完整财务报告（成立时间至提交响应文件截止时间不足一年的可提供成立后任意时段的资产负债表），或其开标前六个月内基本开户银行出具的资信证明及其基本存款账户开户许可证（无基本存款账户开户许可证可提供其基本存款账户信息证明）；（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提供2025年10月至今已缴纳的至少一个月的依法缴纳税收的相关凭据（时间以税款所属日期为准），凭据应有税务机关或代收机关的公章或业务专用章。依法免税或无须缴纳税收的供应商，应提供相应证明文件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提供2025年10月至今已缴纳的至少一个月的社会保障资金缴存单据或社保机构开具的社会保险参保缴费情况证明，依法不需要缴纳社会保障资金的单位应提供相关证明材料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经营活动</w:t>
            </w:r>
          </w:p>
        </w:tc>
        <w:tc>
          <w:tcPr>
            <w:tcW w:type="dxa" w:w="3322"/>
          </w:tcPr>
          <w:p>
            <w:pPr>
              <w:pStyle w:val="null3"/>
            </w:pPr>
            <w:r>
              <w:rPr>
                <w:rFonts w:ascii="仿宋_GB2312" w:hAnsi="仿宋_GB2312" w:cs="仿宋_GB2312" w:eastAsia="仿宋_GB2312"/>
              </w:rPr>
              <w:t>供应商不得为“信用中国"网站(w.creditahina.gor.n)中列入失信被执行人、重大税收违法失信主体名单，不得为“中国政府采购网”(https://www.ccgp.gov.cn/)政府采购严重违法失信行为记录名单中被财政部门禁止参加政府采购活动的单位；参加本次政府采购活动前三年内在经营活动中没有重大违纪。</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身份授权</w:t>
            </w:r>
          </w:p>
        </w:tc>
        <w:tc>
          <w:tcPr>
            <w:tcW w:type="dxa" w:w="3322"/>
          </w:tcPr>
          <w:p>
            <w:pPr>
              <w:pStyle w:val="null3"/>
            </w:pPr>
            <w:r>
              <w:rPr>
                <w:rFonts w:ascii="仿宋_GB2312" w:hAnsi="仿宋_GB2312" w:cs="仿宋_GB2312" w:eastAsia="仿宋_GB2312"/>
              </w:rPr>
              <w:t>法定代表人直接参加投标的，须出具法定代表人证明书（附法人身份证复印件）；法定代表人授权代表参加投标的，还须出具法定代表人授权书（附法人及授权代表身份证复印件）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本项目专门面向中小企业采购（提供中小企业声明函）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不接受联合体</w:t>
            </w:r>
          </w:p>
        </w:tc>
        <w:tc>
          <w:tcPr>
            <w:tcW w:type="dxa" w:w="3322"/>
          </w:tcPr>
          <w:p>
            <w:pPr>
              <w:pStyle w:val="null3"/>
            </w:pPr>
            <w:r>
              <w:rPr>
                <w:rFonts w:ascii="仿宋_GB2312" w:hAnsi="仿宋_GB2312" w:cs="仿宋_GB2312" w:eastAsia="仿宋_GB2312"/>
              </w:rPr>
              <w:t>本项目不接受联合体</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报价表</w:t>
            </w:r>
          </w:p>
        </w:tc>
        <w:tc>
          <w:tcPr>
            <w:tcW w:type="dxa" w:w="3322"/>
          </w:tcPr>
          <w:p>
            <w:pPr>
              <w:pStyle w:val="null3"/>
            </w:pPr>
            <w:r>
              <w:rPr>
                <w:rFonts w:ascii="仿宋_GB2312" w:hAnsi="仿宋_GB2312" w:cs="仿宋_GB2312" w:eastAsia="仿宋_GB2312"/>
              </w:rPr>
              <w:t>（1）报价表填写符合要求；（2）报价未超出采购预算。</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均按磋商文件要求签字、盖章。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响应（投标）内容</w:t>
            </w:r>
          </w:p>
        </w:tc>
        <w:tc>
          <w:tcPr>
            <w:tcW w:type="dxa" w:w="3322"/>
          </w:tcPr>
          <w:p>
            <w:pPr>
              <w:pStyle w:val="null3"/>
            </w:pPr>
            <w:r>
              <w:rPr>
                <w:rFonts w:ascii="仿宋_GB2312" w:hAnsi="仿宋_GB2312" w:cs="仿宋_GB2312" w:eastAsia="仿宋_GB2312"/>
              </w:rPr>
              <w:t>与磋商内容一致，无重大偏离</w:t>
            </w:r>
          </w:p>
        </w:tc>
        <w:tc>
          <w:tcPr>
            <w:tcW w:type="dxa" w:w="1661"/>
          </w:tcPr>
          <w:p>
            <w:pPr>
              <w:pStyle w:val="null3"/>
            </w:pPr>
            <w:r>
              <w:rPr>
                <w:rFonts w:ascii="仿宋_GB2312" w:hAnsi="仿宋_GB2312" w:cs="仿宋_GB2312" w:eastAsia="仿宋_GB2312"/>
              </w:rPr>
              <w:t>响应文件封面 服务内容及服务邀请应答表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法律、法规和磋商文件规定的其他无效情形</w:t>
            </w:r>
          </w:p>
        </w:tc>
        <w:tc>
          <w:tcPr>
            <w:tcW w:type="dxa" w:w="3322"/>
          </w:tcPr>
          <w:p>
            <w:pPr>
              <w:pStyle w:val="null3"/>
            </w:pPr>
            <w:r>
              <w:rPr>
                <w:rFonts w:ascii="仿宋_GB2312" w:hAnsi="仿宋_GB2312" w:cs="仿宋_GB2312" w:eastAsia="仿宋_GB2312"/>
              </w:rPr>
              <w:t>不存在法律、法规和磋商文件规定的其他无效情形(合格)，存在法律、法规和磋商文件规定的其他无效情形(不合格)</w:t>
            </w:r>
          </w:p>
        </w:tc>
        <w:tc>
          <w:tcPr>
            <w:tcW w:type="dxa" w:w="1661"/>
          </w:tcPr>
          <w:p>
            <w:pPr>
              <w:pStyle w:val="null3"/>
            </w:pPr>
            <w:r>
              <w:rPr>
                <w:rFonts w:ascii="仿宋_GB2312" w:hAnsi="仿宋_GB2312" w:cs="仿宋_GB2312" w:eastAsia="仿宋_GB2312"/>
              </w:rPr>
              <w:t>响应文件封面 陕西省政府采购供应商拒绝政府采购领域商业贿赂承诺书.docx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标的清单</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监理实施方案内容至少包括①对项目的理解分析；②监理总体的工作目标；③监理内容；④服务方式；⑤监理流程等。以上内容全面详细、阐述条理清晰详尽、符合本项目采购需求得25分，响应内容每缺一项内容扣5分。响应内容有瑕疵的，每出现一次扣1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项目整体控制措施</w:t>
            </w:r>
          </w:p>
        </w:tc>
        <w:tc>
          <w:tcPr>
            <w:tcW w:type="dxa" w:w="2492"/>
          </w:tcPr>
          <w:p>
            <w:pPr>
              <w:pStyle w:val="null3"/>
            </w:pPr>
            <w:r>
              <w:rPr>
                <w:rFonts w:ascii="仿宋_GB2312" w:hAnsi="仿宋_GB2312" w:cs="仿宋_GB2312" w:eastAsia="仿宋_GB2312"/>
              </w:rPr>
              <w:t>项目整体控制措施内容至少包括①项目进度保障措施；②项目质量控制的方法和措施；③项目安全控制措施；④变更控制的方法和措施；⑤投资控制的方法和措施。以上内容全面详细、阐述条理清晰详尽、符合本项目采购需求得25分，响应内容每缺一项内容扣5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拟投入本项目的监理现场设施配备</w:t>
            </w:r>
          </w:p>
        </w:tc>
        <w:tc>
          <w:tcPr>
            <w:tcW w:type="dxa" w:w="2492"/>
          </w:tcPr>
          <w:p>
            <w:pPr>
              <w:pStyle w:val="null3"/>
            </w:pPr>
            <w:r>
              <w:rPr>
                <w:rFonts w:ascii="仿宋_GB2312" w:hAnsi="仿宋_GB2312" w:cs="仿宋_GB2312" w:eastAsia="仿宋_GB2312"/>
              </w:rPr>
              <w:t>拟投入本项目的监理现场设施配备内容至少包括①设备、仪器种类 ②设备、仪器数量③设备、仪器投入时间④设备品牌等。以上内容全面详细、阐述条理清晰详尽、符合本项目采购需求得10分，评审内容每缺一项内容扣2.5分。响应内容有瑕疵的，每出现一次扣0.5分，扣完为止。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应急处置方案</w:t>
            </w:r>
          </w:p>
        </w:tc>
        <w:tc>
          <w:tcPr>
            <w:tcW w:type="dxa" w:w="2492"/>
          </w:tcPr>
          <w:p>
            <w:pPr>
              <w:pStyle w:val="null3"/>
            </w:pPr>
            <w:r>
              <w:rPr>
                <w:rFonts w:ascii="仿宋_GB2312" w:hAnsi="仿宋_GB2312" w:cs="仿宋_GB2312" w:eastAsia="仿宋_GB2312"/>
              </w:rPr>
              <w:t>应急处置方案内容至少包括①应急组织机构②应急小组职责③应急处理程序④应急保障措施等。以上内容全面详细、阐述条理清晰详尽、符合本项目采购需求得10分，评审内容每缺一项内容扣2.5分。响应内容有瑕疵的，每出现一次扣0.5分，扣完为止。 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服务承诺包括但不限于①服务质量保证承诺；②售后服务措施等。以上内容全面详细、阐述条理清晰详尽、符合本项目采购需求得 10 分，评审内容每缺一项内容扣 5 分，响应内容有瑕疵的，每出现一次扣1分，扣完为止。备注：响应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项目组人员配备</w:t>
            </w:r>
          </w:p>
        </w:tc>
        <w:tc>
          <w:tcPr>
            <w:tcW w:type="dxa" w:w="2492"/>
          </w:tcPr>
          <w:p>
            <w:pPr>
              <w:pStyle w:val="null3"/>
            </w:pPr>
            <w:r>
              <w:rPr>
                <w:rFonts w:ascii="仿宋_GB2312" w:hAnsi="仿宋_GB2312" w:cs="仿宋_GB2312" w:eastAsia="仿宋_GB2312"/>
              </w:rPr>
              <w:t>针对本项目拟投入本项目团队配置组成人员结构合理，人员配备齐全，岗位职责明确，佐证材料齐全得6分；针对本项目拟投入本项目团队配置组成人员结构相对合理，人员配备相对齐全，岗位职责相对明确，有相关佐证材料得5分；针对本项目拟投入本项目团队配置组成人员结构基本合理，人员配备基本齐全，岗位职责基本明确，有相关佐证材料得4分；针对本项目拟投入本项目团队配置组成人员结构不够合理，人员配备不够齐全，岗位职责不太明确，相关佐证材料缺失得3分；针对本项目拟投入本项目团队配置组成人员内容笼统，可行性有待考究的，得2分；针对本项目拟投入本项目团队配置组成人员结构不合理，人员配备不齐全，岗位职责不明确，相关佐证材料缺失得1分；未提供相关内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提供2023年1月1日以来类似项目的业绩证明材料（每提供一份得1分）最高得4分。未提供不得分。（以成交（中标）通知书或合同签订时间为准，须提供成交（中标）通知书或合同复印件）。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