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A7DF61">
      <w:pPr>
        <w:pStyle w:val="3"/>
        <w:spacing w:line="360" w:lineRule="auto"/>
        <w:jc w:val="center"/>
        <w:rPr>
          <w:rFonts w:hint="eastAsia" w:asciiTheme="minorEastAsia" w:hAnsiTheme="minorEastAsia"/>
          <w:b/>
          <w:bCs/>
          <w:sz w:val="36"/>
          <w:szCs w:val="36"/>
          <w:highlight w:val="none"/>
          <w:lang w:eastAsia="zh-CN"/>
        </w:rPr>
      </w:pPr>
      <w:r>
        <w:rPr>
          <w:rFonts w:hint="eastAsia" w:asciiTheme="minorEastAsia" w:hAnsiTheme="minorEastAsia"/>
          <w:b/>
          <w:bCs/>
          <w:sz w:val="36"/>
          <w:szCs w:val="36"/>
          <w:highlight w:val="none"/>
          <w:lang w:eastAsia="zh-CN"/>
        </w:rPr>
        <w:t>陕西省黄陵监狱罪犯</w:t>
      </w:r>
      <w:r>
        <w:rPr>
          <w:rFonts w:hint="eastAsia" w:asciiTheme="minorEastAsia" w:hAnsiTheme="minorEastAsia"/>
          <w:b/>
          <w:bCs/>
          <w:sz w:val="36"/>
          <w:szCs w:val="36"/>
          <w:highlight w:val="none"/>
          <w:lang w:val="en-US" w:eastAsia="zh-CN"/>
        </w:rPr>
        <w:t>2026</w:t>
      </w:r>
      <w:r>
        <w:rPr>
          <w:rFonts w:hint="eastAsia" w:asciiTheme="minorEastAsia" w:hAnsiTheme="minorEastAsia"/>
          <w:b/>
          <w:bCs/>
          <w:sz w:val="36"/>
          <w:szCs w:val="36"/>
          <w:highlight w:val="none"/>
          <w:lang w:eastAsia="zh-CN"/>
        </w:rPr>
        <w:t>年生活物资米面油</w:t>
      </w:r>
    </w:p>
    <w:p w14:paraId="77E8AFE2">
      <w:pPr>
        <w:pStyle w:val="3"/>
        <w:spacing w:line="360" w:lineRule="auto"/>
        <w:jc w:val="center"/>
        <w:rPr>
          <w:rFonts w:asciiTheme="minorEastAsia" w:hAnsiTheme="minorEastAsia" w:eastAsiaTheme="minorEastAsia"/>
          <w:b/>
          <w:bCs/>
          <w:sz w:val="36"/>
          <w:szCs w:val="36"/>
          <w:highlight w:val="none"/>
        </w:rPr>
      </w:pPr>
      <w:r>
        <w:rPr>
          <w:rFonts w:hint="eastAsia" w:asciiTheme="minorEastAsia" w:hAnsiTheme="minorEastAsia"/>
          <w:b/>
          <w:bCs/>
          <w:sz w:val="36"/>
          <w:szCs w:val="36"/>
          <w:highlight w:val="none"/>
          <w:lang w:eastAsia="zh-CN"/>
        </w:rPr>
        <w:t>采购项目</w:t>
      </w:r>
      <w:r>
        <w:rPr>
          <w:rFonts w:hint="eastAsia" w:asciiTheme="minorEastAsia" w:hAnsiTheme="minorEastAsia" w:eastAsiaTheme="minorEastAsia"/>
          <w:b/>
          <w:bCs/>
          <w:sz w:val="36"/>
          <w:szCs w:val="36"/>
          <w:highlight w:val="none"/>
        </w:rPr>
        <w:t>合同</w:t>
      </w:r>
    </w:p>
    <w:p w14:paraId="6FD9A703">
      <w:pPr>
        <w:pStyle w:val="3"/>
        <w:spacing w:line="360" w:lineRule="auto"/>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rPr>
        <w:t>需方（以下简称“甲方”）：</w:t>
      </w:r>
      <w:r>
        <w:rPr>
          <w:rFonts w:hint="eastAsia" w:asciiTheme="minorEastAsia" w:hAnsiTheme="minorEastAsia"/>
          <w:b/>
          <w:bCs/>
          <w:sz w:val="24"/>
          <w:szCs w:val="24"/>
          <w:highlight w:val="none"/>
          <w:lang w:eastAsia="zh-CN"/>
        </w:rPr>
        <w:t>陕西省黄陵监狱</w:t>
      </w:r>
      <w:r>
        <w:rPr>
          <w:rFonts w:hint="eastAsia" w:asciiTheme="minorEastAsia" w:hAnsiTheme="minorEastAsia" w:eastAsiaTheme="minorEastAsia"/>
          <w:b/>
          <w:bCs/>
          <w:sz w:val="24"/>
          <w:szCs w:val="24"/>
          <w:highlight w:val="none"/>
        </w:rPr>
        <w:t xml:space="preserve">   </w:t>
      </w:r>
    </w:p>
    <w:p w14:paraId="6A35DD5F">
      <w:pPr>
        <w:pStyle w:val="3"/>
        <w:spacing w:line="360" w:lineRule="auto"/>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rPr>
        <w:t>合同编号：</w:t>
      </w:r>
    </w:p>
    <w:p w14:paraId="3F00079F">
      <w:pPr>
        <w:pStyle w:val="3"/>
        <w:spacing w:line="360" w:lineRule="auto"/>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rPr>
        <w:t>供方（以下简称“乙方”）：</w:t>
      </w:r>
    </w:p>
    <w:p w14:paraId="1B847B1B">
      <w:pPr>
        <w:pStyle w:val="3"/>
        <w:spacing w:line="360" w:lineRule="auto"/>
        <w:ind w:firstLine="480" w:firstLineChars="200"/>
        <w:jc w:val="both"/>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依据《中华人民共和国民法典》，甲乙双方经协商一致，就购买</w:t>
      </w:r>
      <w:r>
        <w:rPr>
          <w:rFonts w:hint="eastAsia" w:ascii="宋体" w:hAnsi="宋体" w:eastAsia="宋体" w:cs="宋体"/>
          <w:sz w:val="24"/>
          <w:szCs w:val="24"/>
          <w:highlight w:val="none"/>
          <w:u w:val="single"/>
        </w:rPr>
        <w:t xml:space="preserve">(项目名称) </w:t>
      </w:r>
    </w:p>
    <w:p w14:paraId="6017BC30">
      <w:pPr>
        <w:pStyle w:val="3"/>
        <w:spacing w:line="360" w:lineRule="auto"/>
        <w:jc w:val="both"/>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 xml:space="preserve">    </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事宜，确立本合同,双方共同遵守：</w:t>
      </w:r>
    </w:p>
    <w:p w14:paraId="1288E775">
      <w:pPr>
        <w:pStyle w:val="3"/>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bCs/>
          <w:sz w:val="24"/>
          <w:szCs w:val="24"/>
          <w:highlight w:val="none"/>
        </w:rPr>
        <w:t>一、产品名称、数量、价格：</w:t>
      </w:r>
    </w:p>
    <w:tbl>
      <w:tblPr>
        <w:tblStyle w:val="4"/>
        <w:tblpPr w:leftFromText="180" w:rightFromText="180" w:vertAnchor="text" w:horzAnchor="margin" w:tblpX="-252" w:tblpY="158"/>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8"/>
        <w:gridCol w:w="1902"/>
        <w:gridCol w:w="1002"/>
        <w:gridCol w:w="835"/>
        <w:gridCol w:w="1169"/>
        <w:gridCol w:w="835"/>
        <w:gridCol w:w="1007"/>
        <w:gridCol w:w="1169"/>
      </w:tblGrid>
      <w:tr w14:paraId="5C709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351" w:type="pct"/>
            <w:vAlign w:val="center"/>
          </w:tcPr>
          <w:p w14:paraId="7B302A3E">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1116" w:type="pct"/>
            <w:vAlign w:val="center"/>
          </w:tcPr>
          <w:p w14:paraId="35A3090A">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产品名称</w:t>
            </w:r>
          </w:p>
        </w:tc>
        <w:tc>
          <w:tcPr>
            <w:tcW w:w="588" w:type="pct"/>
            <w:vAlign w:val="center"/>
          </w:tcPr>
          <w:p w14:paraId="0B344227">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规格</w:t>
            </w:r>
          </w:p>
        </w:tc>
        <w:tc>
          <w:tcPr>
            <w:tcW w:w="490" w:type="pct"/>
            <w:vAlign w:val="center"/>
          </w:tcPr>
          <w:p w14:paraId="61036792">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品牌</w:t>
            </w:r>
          </w:p>
        </w:tc>
        <w:tc>
          <w:tcPr>
            <w:tcW w:w="686" w:type="pct"/>
            <w:vAlign w:val="center"/>
          </w:tcPr>
          <w:p w14:paraId="046893C2">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生产厂家</w:t>
            </w:r>
          </w:p>
        </w:tc>
        <w:tc>
          <w:tcPr>
            <w:tcW w:w="490" w:type="pct"/>
            <w:vAlign w:val="center"/>
          </w:tcPr>
          <w:p w14:paraId="340AE504">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数量</w:t>
            </w:r>
          </w:p>
        </w:tc>
        <w:tc>
          <w:tcPr>
            <w:tcW w:w="588" w:type="pct"/>
            <w:vAlign w:val="center"/>
          </w:tcPr>
          <w:p w14:paraId="29D8C9EB">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lang w:eastAsia="zh-CN"/>
              </w:rPr>
              <w:t>下浮率</w:t>
            </w:r>
            <w:r>
              <w:rPr>
                <w:rFonts w:hint="eastAsia" w:ascii="宋体" w:hAnsi="宋体" w:eastAsia="宋体" w:cs="宋体"/>
                <w:b/>
                <w:sz w:val="24"/>
                <w:szCs w:val="24"/>
                <w:highlight w:val="none"/>
              </w:rPr>
              <w:t>(</w:t>
            </w:r>
            <w:r>
              <w:rPr>
                <w:rFonts w:hint="eastAsia" w:ascii="宋体" w:hAnsi="宋体" w:eastAsia="宋体" w:cs="宋体"/>
                <w:b/>
                <w:sz w:val="24"/>
                <w:szCs w:val="24"/>
                <w:highlight w:val="none"/>
                <w:lang w:val="en-US" w:eastAsia="zh-CN"/>
              </w:rPr>
              <w:t>%</w:t>
            </w:r>
            <w:r>
              <w:rPr>
                <w:rFonts w:hint="eastAsia" w:ascii="宋体" w:hAnsi="宋体" w:eastAsia="宋体" w:cs="宋体"/>
                <w:b/>
                <w:sz w:val="24"/>
                <w:szCs w:val="24"/>
                <w:highlight w:val="none"/>
              </w:rPr>
              <w:t>)</w:t>
            </w:r>
          </w:p>
        </w:tc>
        <w:tc>
          <w:tcPr>
            <w:tcW w:w="686" w:type="pct"/>
            <w:vAlign w:val="center"/>
          </w:tcPr>
          <w:p w14:paraId="196A3F80">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合计( 元)</w:t>
            </w:r>
          </w:p>
        </w:tc>
      </w:tr>
      <w:tr w14:paraId="35950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51" w:type="pct"/>
            <w:vAlign w:val="center"/>
          </w:tcPr>
          <w:p w14:paraId="2A708015">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116" w:type="pct"/>
            <w:vAlign w:val="center"/>
          </w:tcPr>
          <w:p w14:paraId="28B4BD21">
            <w:pPr>
              <w:adjustRightInd w:val="0"/>
              <w:snapToGrid w:val="0"/>
              <w:spacing w:line="360" w:lineRule="auto"/>
              <w:jc w:val="center"/>
              <w:rPr>
                <w:rFonts w:hint="eastAsia" w:ascii="宋体" w:hAnsi="宋体" w:eastAsia="宋体" w:cs="宋体"/>
                <w:sz w:val="24"/>
                <w:szCs w:val="24"/>
                <w:highlight w:val="none"/>
              </w:rPr>
            </w:pPr>
          </w:p>
        </w:tc>
        <w:tc>
          <w:tcPr>
            <w:tcW w:w="588" w:type="pct"/>
            <w:vAlign w:val="center"/>
          </w:tcPr>
          <w:p w14:paraId="5E63DB62">
            <w:pPr>
              <w:adjustRightInd w:val="0"/>
              <w:snapToGrid w:val="0"/>
              <w:spacing w:line="360" w:lineRule="auto"/>
              <w:jc w:val="center"/>
              <w:rPr>
                <w:rFonts w:hint="eastAsia" w:ascii="宋体" w:hAnsi="宋体" w:eastAsia="宋体" w:cs="宋体"/>
                <w:sz w:val="24"/>
                <w:szCs w:val="24"/>
                <w:highlight w:val="none"/>
              </w:rPr>
            </w:pPr>
          </w:p>
        </w:tc>
        <w:tc>
          <w:tcPr>
            <w:tcW w:w="490" w:type="pct"/>
          </w:tcPr>
          <w:p w14:paraId="3A6ED545">
            <w:pPr>
              <w:adjustRightInd w:val="0"/>
              <w:snapToGrid w:val="0"/>
              <w:spacing w:line="360" w:lineRule="auto"/>
              <w:jc w:val="center"/>
              <w:rPr>
                <w:rFonts w:hint="eastAsia" w:ascii="宋体" w:hAnsi="宋体" w:eastAsia="宋体" w:cs="宋体"/>
                <w:sz w:val="24"/>
                <w:szCs w:val="24"/>
                <w:highlight w:val="none"/>
              </w:rPr>
            </w:pPr>
          </w:p>
        </w:tc>
        <w:tc>
          <w:tcPr>
            <w:tcW w:w="686" w:type="pct"/>
            <w:vAlign w:val="center"/>
          </w:tcPr>
          <w:p w14:paraId="073A1AD5">
            <w:pPr>
              <w:adjustRightInd w:val="0"/>
              <w:snapToGrid w:val="0"/>
              <w:spacing w:line="360" w:lineRule="auto"/>
              <w:jc w:val="center"/>
              <w:rPr>
                <w:rFonts w:hint="eastAsia" w:ascii="宋体" w:hAnsi="宋体" w:eastAsia="宋体" w:cs="宋体"/>
                <w:sz w:val="24"/>
                <w:szCs w:val="24"/>
                <w:highlight w:val="none"/>
              </w:rPr>
            </w:pPr>
          </w:p>
        </w:tc>
        <w:tc>
          <w:tcPr>
            <w:tcW w:w="490" w:type="pct"/>
            <w:vAlign w:val="center"/>
          </w:tcPr>
          <w:p w14:paraId="72CDC089">
            <w:pPr>
              <w:adjustRightInd w:val="0"/>
              <w:snapToGrid w:val="0"/>
              <w:spacing w:line="360" w:lineRule="auto"/>
              <w:jc w:val="center"/>
              <w:rPr>
                <w:rFonts w:hint="eastAsia" w:ascii="宋体" w:hAnsi="宋体" w:eastAsia="宋体" w:cs="宋体"/>
                <w:sz w:val="24"/>
                <w:szCs w:val="24"/>
                <w:highlight w:val="none"/>
              </w:rPr>
            </w:pPr>
          </w:p>
        </w:tc>
        <w:tc>
          <w:tcPr>
            <w:tcW w:w="588" w:type="pct"/>
            <w:vAlign w:val="center"/>
          </w:tcPr>
          <w:p w14:paraId="78671B37">
            <w:pPr>
              <w:adjustRightInd w:val="0"/>
              <w:snapToGrid w:val="0"/>
              <w:spacing w:line="360" w:lineRule="auto"/>
              <w:jc w:val="center"/>
              <w:rPr>
                <w:rFonts w:hint="eastAsia" w:ascii="宋体" w:hAnsi="宋体" w:eastAsia="宋体" w:cs="宋体"/>
                <w:sz w:val="24"/>
                <w:szCs w:val="24"/>
                <w:highlight w:val="none"/>
              </w:rPr>
            </w:pPr>
          </w:p>
        </w:tc>
        <w:tc>
          <w:tcPr>
            <w:tcW w:w="686" w:type="pct"/>
            <w:vAlign w:val="center"/>
          </w:tcPr>
          <w:p w14:paraId="45A3F872">
            <w:pPr>
              <w:adjustRightInd w:val="0"/>
              <w:snapToGrid w:val="0"/>
              <w:spacing w:line="360" w:lineRule="auto"/>
              <w:jc w:val="center"/>
              <w:rPr>
                <w:rFonts w:hint="eastAsia" w:ascii="宋体" w:hAnsi="宋体" w:eastAsia="宋体" w:cs="宋体"/>
                <w:sz w:val="24"/>
                <w:szCs w:val="24"/>
                <w:highlight w:val="none"/>
              </w:rPr>
            </w:pPr>
            <w:bookmarkStart w:id="0" w:name="_GoBack"/>
            <w:bookmarkEnd w:id="0"/>
          </w:p>
        </w:tc>
      </w:tr>
      <w:tr w14:paraId="72B43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351" w:type="pct"/>
            <w:vAlign w:val="center"/>
          </w:tcPr>
          <w:p w14:paraId="53E493BF">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1116" w:type="pct"/>
            <w:vAlign w:val="center"/>
          </w:tcPr>
          <w:p w14:paraId="329558F8">
            <w:pPr>
              <w:adjustRightInd w:val="0"/>
              <w:snapToGrid w:val="0"/>
              <w:spacing w:line="360" w:lineRule="auto"/>
              <w:jc w:val="center"/>
              <w:rPr>
                <w:rFonts w:hint="eastAsia" w:ascii="宋体" w:hAnsi="宋体" w:eastAsia="宋体" w:cs="宋体"/>
                <w:sz w:val="24"/>
                <w:szCs w:val="24"/>
                <w:highlight w:val="none"/>
              </w:rPr>
            </w:pPr>
          </w:p>
        </w:tc>
        <w:tc>
          <w:tcPr>
            <w:tcW w:w="588" w:type="pct"/>
            <w:vAlign w:val="center"/>
          </w:tcPr>
          <w:p w14:paraId="66B735FC">
            <w:pPr>
              <w:adjustRightInd w:val="0"/>
              <w:snapToGrid w:val="0"/>
              <w:spacing w:line="360" w:lineRule="auto"/>
              <w:jc w:val="center"/>
              <w:rPr>
                <w:rFonts w:hint="eastAsia" w:ascii="宋体" w:hAnsi="宋体" w:eastAsia="宋体" w:cs="宋体"/>
                <w:sz w:val="24"/>
                <w:szCs w:val="24"/>
                <w:highlight w:val="none"/>
              </w:rPr>
            </w:pPr>
          </w:p>
        </w:tc>
        <w:tc>
          <w:tcPr>
            <w:tcW w:w="490" w:type="pct"/>
          </w:tcPr>
          <w:p w14:paraId="4E1036E0">
            <w:pPr>
              <w:adjustRightInd w:val="0"/>
              <w:snapToGrid w:val="0"/>
              <w:spacing w:line="360" w:lineRule="auto"/>
              <w:jc w:val="center"/>
              <w:rPr>
                <w:rFonts w:hint="eastAsia" w:ascii="宋体" w:hAnsi="宋体" w:eastAsia="宋体" w:cs="宋体"/>
                <w:sz w:val="24"/>
                <w:szCs w:val="24"/>
                <w:highlight w:val="none"/>
              </w:rPr>
            </w:pPr>
          </w:p>
        </w:tc>
        <w:tc>
          <w:tcPr>
            <w:tcW w:w="686" w:type="pct"/>
            <w:vAlign w:val="center"/>
          </w:tcPr>
          <w:p w14:paraId="366981F7">
            <w:pPr>
              <w:adjustRightInd w:val="0"/>
              <w:snapToGrid w:val="0"/>
              <w:spacing w:line="360" w:lineRule="auto"/>
              <w:jc w:val="center"/>
              <w:rPr>
                <w:rFonts w:hint="eastAsia" w:ascii="宋体" w:hAnsi="宋体" w:eastAsia="宋体" w:cs="宋体"/>
                <w:sz w:val="24"/>
                <w:szCs w:val="24"/>
                <w:highlight w:val="none"/>
              </w:rPr>
            </w:pPr>
          </w:p>
        </w:tc>
        <w:tc>
          <w:tcPr>
            <w:tcW w:w="490" w:type="pct"/>
            <w:vAlign w:val="center"/>
          </w:tcPr>
          <w:p w14:paraId="01B4CE77">
            <w:pPr>
              <w:adjustRightInd w:val="0"/>
              <w:snapToGrid w:val="0"/>
              <w:spacing w:line="360" w:lineRule="auto"/>
              <w:jc w:val="center"/>
              <w:rPr>
                <w:rFonts w:hint="eastAsia" w:ascii="宋体" w:hAnsi="宋体" w:eastAsia="宋体" w:cs="宋体"/>
                <w:sz w:val="24"/>
                <w:szCs w:val="24"/>
                <w:highlight w:val="none"/>
              </w:rPr>
            </w:pPr>
          </w:p>
        </w:tc>
        <w:tc>
          <w:tcPr>
            <w:tcW w:w="588" w:type="pct"/>
            <w:vAlign w:val="center"/>
          </w:tcPr>
          <w:p w14:paraId="56F40133">
            <w:pPr>
              <w:adjustRightInd w:val="0"/>
              <w:snapToGrid w:val="0"/>
              <w:spacing w:line="360" w:lineRule="auto"/>
              <w:jc w:val="center"/>
              <w:rPr>
                <w:rFonts w:hint="eastAsia" w:ascii="宋体" w:hAnsi="宋体" w:eastAsia="宋体" w:cs="宋体"/>
                <w:sz w:val="24"/>
                <w:szCs w:val="24"/>
                <w:highlight w:val="none"/>
              </w:rPr>
            </w:pPr>
          </w:p>
        </w:tc>
        <w:tc>
          <w:tcPr>
            <w:tcW w:w="686" w:type="pct"/>
            <w:vAlign w:val="center"/>
          </w:tcPr>
          <w:p w14:paraId="66B53F58">
            <w:pPr>
              <w:adjustRightInd w:val="0"/>
              <w:snapToGrid w:val="0"/>
              <w:spacing w:line="360" w:lineRule="auto"/>
              <w:jc w:val="center"/>
              <w:rPr>
                <w:rFonts w:hint="eastAsia" w:ascii="宋体" w:hAnsi="宋体" w:eastAsia="宋体" w:cs="宋体"/>
                <w:sz w:val="24"/>
                <w:szCs w:val="24"/>
                <w:highlight w:val="none"/>
              </w:rPr>
            </w:pPr>
          </w:p>
        </w:tc>
      </w:tr>
      <w:tr w14:paraId="6886A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351" w:type="pct"/>
            <w:vAlign w:val="center"/>
          </w:tcPr>
          <w:p w14:paraId="3B108DBA">
            <w:pPr>
              <w:adjustRightInd w:val="0"/>
              <w:snapToGrid w:val="0"/>
              <w:spacing w:line="360" w:lineRule="auto"/>
              <w:jc w:val="center"/>
              <w:rPr>
                <w:rFonts w:hint="default" w:ascii="宋体" w:hAnsi="宋体" w:eastAsia="宋体" w:cs="宋体"/>
                <w:sz w:val="24"/>
                <w:szCs w:val="24"/>
                <w:highlight w:val="none"/>
                <w:lang w:val="en-US" w:eastAsia="zh-CN"/>
              </w:rPr>
            </w:pPr>
            <w:r>
              <w:rPr>
                <w:rFonts w:hint="eastAsia" w:hAnsi="宋体" w:cs="宋体"/>
                <w:sz w:val="24"/>
                <w:szCs w:val="24"/>
                <w:highlight w:val="none"/>
                <w:lang w:val="en-US" w:eastAsia="zh-CN"/>
              </w:rPr>
              <w:t>...</w:t>
            </w:r>
          </w:p>
        </w:tc>
        <w:tc>
          <w:tcPr>
            <w:tcW w:w="1116" w:type="pct"/>
            <w:vAlign w:val="center"/>
          </w:tcPr>
          <w:p w14:paraId="4689A9D6">
            <w:pPr>
              <w:adjustRightInd w:val="0"/>
              <w:snapToGrid w:val="0"/>
              <w:spacing w:line="360" w:lineRule="auto"/>
              <w:jc w:val="center"/>
              <w:rPr>
                <w:rFonts w:hint="eastAsia" w:ascii="宋体" w:hAnsi="宋体" w:eastAsia="宋体" w:cs="宋体"/>
                <w:sz w:val="24"/>
                <w:szCs w:val="24"/>
                <w:highlight w:val="none"/>
              </w:rPr>
            </w:pPr>
          </w:p>
        </w:tc>
        <w:tc>
          <w:tcPr>
            <w:tcW w:w="588" w:type="pct"/>
            <w:vAlign w:val="center"/>
          </w:tcPr>
          <w:p w14:paraId="0624CD37">
            <w:pPr>
              <w:adjustRightInd w:val="0"/>
              <w:snapToGrid w:val="0"/>
              <w:spacing w:line="360" w:lineRule="auto"/>
              <w:jc w:val="center"/>
              <w:rPr>
                <w:rFonts w:hint="eastAsia" w:ascii="宋体" w:hAnsi="宋体" w:eastAsia="宋体" w:cs="宋体"/>
                <w:sz w:val="24"/>
                <w:szCs w:val="24"/>
                <w:highlight w:val="none"/>
              </w:rPr>
            </w:pPr>
          </w:p>
        </w:tc>
        <w:tc>
          <w:tcPr>
            <w:tcW w:w="490" w:type="pct"/>
          </w:tcPr>
          <w:p w14:paraId="7C2F8E41">
            <w:pPr>
              <w:adjustRightInd w:val="0"/>
              <w:snapToGrid w:val="0"/>
              <w:spacing w:line="360" w:lineRule="auto"/>
              <w:jc w:val="center"/>
              <w:rPr>
                <w:rFonts w:hint="eastAsia" w:ascii="宋体" w:hAnsi="宋体" w:eastAsia="宋体" w:cs="宋体"/>
                <w:sz w:val="24"/>
                <w:szCs w:val="24"/>
                <w:highlight w:val="none"/>
              </w:rPr>
            </w:pPr>
          </w:p>
        </w:tc>
        <w:tc>
          <w:tcPr>
            <w:tcW w:w="686" w:type="pct"/>
            <w:vAlign w:val="center"/>
          </w:tcPr>
          <w:p w14:paraId="0418CA5E">
            <w:pPr>
              <w:adjustRightInd w:val="0"/>
              <w:snapToGrid w:val="0"/>
              <w:spacing w:line="360" w:lineRule="auto"/>
              <w:jc w:val="center"/>
              <w:rPr>
                <w:rFonts w:hint="eastAsia" w:ascii="宋体" w:hAnsi="宋体" w:eastAsia="宋体" w:cs="宋体"/>
                <w:sz w:val="24"/>
                <w:szCs w:val="24"/>
                <w:highlight w:val="none"/>
              </w:rPr>
            </w:pPr>
          </w:p>
        </w:tc>
        <w:tc>
          <w:tcPr>
            <w:tcW w:w="490" w:type="pct"/>
            <w:vAlign w:val="center"/>
          </w:tcPr>
          <w:p w14:paraId="68E86DCA">
            <w:pPr>
              <w:adjustRightInd w:val="0"/>
              <w:snapToGrid w:val="0"/>
              <w:spacing w:line="360" w:lineRule="auto"/>
              <w:jc w:val="center"/>
              <w:rPr>
                <w:rFonts w:hint="eastAsia" w:ascii="宋体" w:hAnsi="宋体" w:eastAsia="宋体" w:cs="宋体"/>
                <w:sz w:val="24"/>
                <w:szCs w:val="24"/>
                <w:highlight w:val="none"/>
              </w:rPr>
            </w:pPr>
          </w:p>
        </w:tc>
        <w:tc>
          <w:tcPr>
            <w:tcW w:w="588" w:type="pct"/>
            <w:vAlign w:val="center"/>
          </w:tcPr>
          <w:p w14:paraId="7D54CFDA">
            <w:pPr>
              <w:adjustRightInd w:val="0"/>
              <w:snapToGrid w:val="0"/>
              <w:spacing w:line="360" w:lineRule="auto"/>
              <w:jc w:val="center"/>
              <w:rPr>
                <w:rFonts w:hint="eastAsia" w:ascii="宋体" w:hAnsi="宋体" w:eastAsia="宋体" w:cs="宋体"/>
                <w:sz w:val="24"/>
                <w:szCs w:val="24"/>
                <w:highlight w:val="none"/>
              </w:rPr>
            </w:pPr>
          </w:p>
        </w:tc>
        <w:tc>
          <w:tcPr>
            <w:tcW w:w="686" w:type="pct"/>
            <w:vAlign w:val="center"/>
          </w:tcPr>
          <w:p w14:paraId="6DFBB0D5">
            <w:pPr>
              <w:adjustRightInd w:val="0"/>
              <w:snapToGrid w:val="0"/>
              <w:spacing w:line="360" w:lineRule="auto"/>
              <w:jc w:val="center"/>
              <w:rPr>
                <w:rFonts w:hint="eastAsia" w:ascii="宋体" w:hAnsi="宋体" w:eastAsia="宋体" w:cs="宋体"/>
                <w:sz w:val="24"/>
                <w:szCs w:val="24"/>
                <w:highlight w:val="none"/>
              </w:rPr>
            </w:pPr>
          </w:p>
        </w:tc>
      </w:tr>
      <w:tr w14:paraId="2D495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51" w:type="pct"/>
            <w:vAlign w:val="center"/>
          </w:tcPr>
          <w:p w14:paraId="0146F18E">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合计</w:t>
            </w:r>
          </w:p>
        </w:tc>
        <w:tc>
          <w:tcPr>
            <w:tcW w:w="3961" w:type="pct"/>
            <w:gridSpan w:val="6"/>
            <w:vAlign w:val="center"/>
          </w:tcPr>
          <w:p w14:paraId="52B5BB02">
            <w:pPr>
              <w:adjustRightInd w:val="0"/>
              <w:snapToGrid w:val="0"/>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大写：                                      （含税价）</w:t>
            </w:r>
          </w:p>
        </w:tc>
        <w:tc>
          <w:tcPr>
            <w:tcW w:w="686" w:type="pct"/>
            <w:vAlign w:val="center"/>
          </w:tcPr>
          <w:p w14:paraId="25E24DB1">
            <w:pPr>
              <w:adjustRightInd w:val="0"/>
              <w:snapToGrid w:val="0"/>
              <w:spacing w:line="360" w:lineRule="auto"/>
              <w:jc w:val="center"/>
              <w:rPr>
                <w:rFonts w:hint="eastAsia" w:ascii="宋体" w:hAnsi="宋体" w:eastAsia="宋体" w:cs="宋体"/>
                <w:b/>
                <w:sz w:val="24"/>
                <w:szCs w:val="24"/>
                <w:highlight w:val="none"/>
              </w:rPr>
            </w:pPr>
          </w:p>
        </w:tc>
      </w:tr>
    </w:tbl>
    <w:p w14:paraId="73D5CAA7">
      <w:pPr>
        <w:pStyle w:val="3"/>
        <w:spacing w:line="360" w:lineRule="auto"/>
        <w:ind w:firstLine="480" w:firstLineChars="200"/>
        <w:rPr>
          <w:rFonts w:hint="eastAsia" w:ascii="宋体" w:hAnsi="宋体" w:eastAsia="宋体" w:cs="宋体"/>
          <w:sz w:val="24"/>
          <w:szCs w:val="24"/>
          <w:highlight w:val="none"/>
        </w:rPr>
      </w:pPr>
      <w:r>
        <w:rPr>
          <w:rFonts w:hint="eastAsia" w:hAnsi="宋体" w:cs="宋体"/>
          <w:sz w:val="24"/>
          <w:szCs w:val="24"/>
          <w:highlight w:val="none"/>
          <w:lang w:eastAsia="zh-CN"/>
        </w:rPr>
        <w:t>注：</w:t>
      </w:r>
      <w:r>
        <w:rPr>
          <w:rFonts w:hint="eastAsia" w:ascii="宋体" w:hAnsi="宋体" w:eastAsia="宋体" w:cs="宋体"/>
          <w:sz w:val="24"/>
          <w:szCs w:val="24"/>
          <w:highlight w:val="none"/>
        </w:rPr>
        <w:t>合同总金额包括货物价款、检验、包装、运输、保险等全部费用，如果招投标文件对其另有规定的，从其规定。</w:t>
      </w:r>
    </w:p>
    <w:p w14:paraId="784F59B8">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二、质量标准：</w:t>
      </w:r>
    </w:p>
    <w:p w14:paraId="72336DF6">
      <w:pPr>
        <w:pStyle w:val="3"/>
        <w:spacing w:line="360" w:lineRule="auto"/>
        <w:ind w:firstLine="480" w:firstLineChars="200"/>
        <w:rPr>
          <w:rFonts w:hint="eastAsia" w:ascii="宋体" w:hAnsi="宋体" w:eastAsia="宋体" w:cs="宋体"/>
          <w:b/>
          <w:bCs/>
          <w:sz w:val="24"/>
          <w:szCs w:val="24"/>
          <w:highlight w:val="none"/>
        </w:rPr>
      </w:pPr>
      <w:r>
        <w:rPr>
          <w:rFonts w:hint="eastAsia" w:ascii="宋体" w:hAnsi="宋体" w:eastAsia="宋体" w:cs="宋体"/>
          <w:sz w:val="24"/>
          <w:szCs w:val="24"/>
          <w:highlight w:val="none"/>
        </w:rPr>
        <w:t>乙方提供的货物必须符合中华人民共和国国家安全环保标准，国家及有关行业产品质量认证标准。招标文件的质量要求及双方签字确认的技术协议作为本合同的有效</w:t>
      </w:r>
      <w:r>
        <w:rPr>
          <w:rFonts w:hint="eastAsia" w:ascii="宋体" w:hAnsi="宋体" w:eastAsia="宋体" w:cs="宋体"/>
          <w:b w:val="0"/>
          <w:bCs w:val="0"/>
          <w:sz w:val="24"/>
          <w:szCs w:val="24"/>
          <w:highlight w:val="none"/>
        </w:rPr>
        <w:t>附件。</w:t>
      </w:r>
    </w:p>
    <w:p w14:paraId="3B853132">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三、合同履行期限、方式及地点：</w:t>
      </w:r>
    </w:p>
    <w:p w14:paraId="7B2F8223">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本项目服务期限自合同签订之日起1年，在接到供货通知后3日内乙方将所供货物送至</w:t>
      </w:r>
      <w:r>
        <w:rPr>
          <w:rFonts w:hint="eastAsia" w:hAnsi="宋体" w:cs="宋体"/>
          <w:sz w:val="24"/>
          <w:szCs w:val="24"/>
          <w:highlight w:val="none"/>
          <w:lang w:val="en-US" w:eastAsia="zh-CN"/>
        </w:rPr>
        <w:t>采购人</w:t>
      </w:r>
      <w:r>
        <w:rPr>
          <w:rFonts w:hint="eastAsia" w:hAnsi="宋体" w:cs="宋体"/>
          <w:sz w:val="24"/>
          <w:szCs w:val="24"/>
          <w:highlight w:val="none"/>
          <w:lang w:eastAsia="zh-CN"/>
        </w:rPr>
        <w:t>所</w:t>
      </w:r>
      <w:r>
        <w:rPr>
          <w:rFonts w:hint="eastAsia" w:ascii="宋体" w:hAnsi="宋体" w:eastAsia="宋体" w:cs="宋体"/>
          <w:sz w:val="24"/>
          <w:szCs w:val="24"/>
          <w:highlight w:val="none"/>
        </w:rPr>
        <w:t>指定位置。</w:t>
      </w:r>
    </w:p>
    <w:p w14:paraId="340E442A">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四、乙方对质量保证的条件及期限：</w:t>
      </w:r>
    </w:p>
    <w:p w14:paraId="31861EDD">
      <w:pPr>
        <w:pStyle w:val="3"/>
        <w:spacing w:line="360" w:lineRule="auto"/>
        <w:ind w:firstLine="480" w:firstLineChars="200"/>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1、货物自验收合格之日起保质期</w:t>
      </w:r>
      <w:r>
        <w:rPr>
          <w:rFonts w:hint="eastAsia" w:ascii="宋体" w:hAnsi="宋体" w:eastAsia="宋体" w:cs="宋体"/>
          <w:sz w:val="24"/>
          <w:szCs w:val="24"/>
          <w:highlight w:val="none"/>
          <w:u w:val="single"/>
        </w:rPr>
        <w:t xml:space="preserve"> </w:t>
      </w:r>
      <w:r>
        <w:rPr>
          <w:rFonts w:hint="eastAsia" w:hAnsi="宋体" w:cs="宋体"/>
          <w:sz w:val="24"/>
          <w:szCs w:val="24"/>
          <w:highlight w:val="none"/>
          <w:u w:val="single"/>
          <w:lang w:eastAsia="zh-CN"/>
        </w:rPr>
        <w:t>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年。在保质期内因货物质量问题，乙方负责免费退换。</w:t>
      </w:r>
    </w:p>
    <w:p w14:paraId="5DE8A1F8">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2、乙方所供的货物必须是双方招投标文件规定的最新产品。</w:t>
      </w:r>
    </w:p>
    <w:p w14:paraId="70CE0987">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五、货物的包装及运输：</w:t>
      </w:r>
    </w:p>
    <w:p w14:paraId="39A53A42">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1、乙方应在货物发运前对其进行满足于运输距离和防破损装卸要求的包装，以保证货物安全运输到达甲方指定地点。途中发生包装物破损的情况，甲方有权拒收货物。</w:t>
      </w:r>
    </w:p>
    <w:p w14:paraId="67B4461E">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2、包装上注明货物品种及数量。</w:t>
      </w:r>
    </w:p>
    <w:p w14:paraId="08148205">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3、运输方式：乙方负责运输并承担运输、装卸、倒运及运保费等费用。</w:t>
      </w:r>
    </w:p>
    <w:p w14:paraId="01772A7F">
      <w:pPr>
        <w:pStyle w:val="3"/>
        <w:spacing w:line="360" w:lineRule="auto"/>
        <w:ind w:firstLine="482" w:firstLineChars="200"/>
        <w:rPr>
          <w:rFonts w:hint="eastAsia" w:ascii="宋体" w:hAnsi="宋体" w:eastAsia="宋体" w:cs="宋体"/>
          <w:b/>
          <w:bCs/>
          <w:color w:val="FF0000"/>
          <w:sz w:val="24"/>
          <w:szCs w:val="24"/>
          <w:highlight w:val="none"/>
        </w:rPr>
      </w:pPr>
      <w:r>
        <w:rPr>
          <w:rFonts w:hint="eastAsia" w:ascii="宋体" w:hAnsi="宋体" w:eastAsia="宋体" w:cs="宋体"/>
          <w:b/>
          <w:bCs/>
          <w:sz w:val="24"/>
          <w:szCs w:val="24"/>
          <w:highlight w:val="none"/>
        </w:rPr>
        <w:t>六、货物验收：</w:t>
      </w:r>
    </w:p>
    <w:p w14:paraId="0B484D9E">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1、乙方负责搬运，甲方提供必要的工作条件（水电等）。</w:t>
      </w:r>
    </w:p>
    <w:p w14:paraId="6722AD91">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2、甲方对乙方所货物依照国家有关标准和双方确认的标准进行现场验收。质量达到要求的，验收通过；验收不合格的，限期退换。</w:t>
      </w:r>
    </w:p>
    <w:p w14:paraId="04059656">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3、如因货物的质量问题发生争议，由甲方属地质量监督部门进行质量鉴定；货物符合质量标准的，鉴定费由甲方承担；货物不符合质量标准的，鉴定费由乙方承担，同时按本合同第八条第3款处理。</w:t>
      </w:r>
    </w:p>
    <w:p w14:paraId="45B7B11D">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七、付款方式及期限：</w:t>
      </w:r>
    </w:p>
    <w:p w14:paraId="5CC4B9B2">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1、结算单位：采购人结算，在付款前必须开具等额发票给采购人。</w:t>
      </w:r>
    </w:p>
    <w:p w14:paraId="41A67F73">
      <w:pPr>
        <w:pStyle w:val="3"/>
        <w:spacing w:line="360" w:lineRule="auto"/>
        <w:ind w:firstLine="480" w:firstLineChars="200"/>
        <w:rPr>
          <w:rFonts w:hint="eastAsia" w:hAnsi="宋体" w:cs="宋体"/>
          <w:sz w:val="24"/>
          <w:szCs w:val="24"/>
          <w:highlight w:val="none"/>
          <w:lang w:eastAsia="zh-CN"/>
        </w:rPr>
      </w:pPr>
      <w:r>
        <w:rPr>
          <w:rFonts w:hint="eastAsia" w:ascii="宋体" w:hAnsi="宋体" w:eastAsia="宋体" w:cs="宋体"/>
          <w:sz w:val="24"/>
          <w:szCs w:val="24"/>
          <w:highlight w:val="none"/>
        </w:rPr>
        <w:t>2、付款方式</w:t>
      </w:r>
      <w:r>
        <w:rPr>
          <w:rFonts w:hint="eastAsia" w:hAnsi="宋体" w:cs="宋体"/>
          <w:sz w:val="24"/>
          <w:szCs w:val="24"/>
          <w:highlight w:val="none"/>
          <w:lang w:eastAsia="zh-CN"/>
        </w:rPr>
        <w:t>：按月据实结算，次月付上月货款；结算金额以中标人响应下浮率为准，结算数量以实际发放数量为准，达到付款条件起10个工作日内，支付合同总金额的100.0%。</w:t>
      </w:r>
    </w:p>
    <w:p w14:paraId="0143A469">
      <w:pPr>
        <w:pStyle w:val="3"/>
        <w:spacing w:line="360" w:lineRule="auto"/>
        <w:ind w:firstLine="480" w:firstLineChars="200"/>
        <w:rPr>
          <w:rFonts w:hint="default" w:hAnsi="宋体" w:cs="宋体"/>
          <w:sz w:val="24"/>
          <w:szCs w:val="24"/>
          <w:highlight w:val="none"/>
          <w:lang w:val="en-US" w:eastAsia="zh-CN"/>
        </w:rPr>
      </w:pPr>
      <w:r>
        <w:rPr>
          <w:rFonts w:hint="eastAsia" w:hAnsi="宋体" w:cs="宋体"/>
          <w:sz w:val="24"/>
          <w:szCs w:val="24"/>
          <w:highlight w:val="none"/>
          <w:lang w:val="en-US" w:eastAsia="zh-CN"/>
        </w:rPr>
        <w:t>3.定价机制：供应商提供商品的参考价格，由采购方相关科室共同组成询价小组对准备采购商品进行市场询价，采购商品的最终价格由采购方的询价小组确定。</w:t>
      </w:r>
    </w:p>
    <w:p w14:paraId="22785256">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八、违约责任：</w:t>
      </w:r>
    </w:p>
    <w:p w14:paraId="1D546062">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乙方逾期交货，每天应按合同总价的千分之一向甲方支付违约金。如乙方逾期三十天仍未交齐货物的，甲方有权终止合同，乙方须按合同总价的百分之十计算，向甲方支付违约赔偿金，并全额退还甲方已付给乙方的货款。</w:t>
      </w:r>
    </w:p>
    <w:p w14:paraId="389FC7A8">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2、甲方无正当理由拒收货物，应向乙方支付合同总价款10%的违约金。</w:t>
      </w:r>
    </w:p>
    <w:p w14:paraId="5FECFB00">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3、乙方所交的货物品种、规格、质量不符合合同约定、国家标准，所供货物达不到约定质量要求的，乙方必须无条件退回全部货款，并向甲方支付合同总价款10%的赔偿金。</w:t>
      </w:r>
    </w:p>
    <w:p w14:paraId="6601958C">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供应商必须遵守监狱各项规章制度，进监人员和车辆不得违规捎带订购货物以外的任何物品。供应商所属人员和车辆违规捎带订购货物以外的任何物品的、发生食品安全事故的，监狱有权</w:t>
      </w:r>
      <w:r>
        <w:rPr>
          <w:rFonts w:hint="eastAsia" w:ascii="宋体" w:hAnsi="宋体" w:eastAsia="宋体" w:cs="宋体"/>
          <w:sz w:val="24"/>
          <w:szCs w:val="24"/>
          <w:highlight w:val="none"/>
          <w:lang w:val="en-US" w:eastAsia="zh-CN"/>
        </w:rPr>
        <w:t>对违规车辆进行处罚</w:t>
      </w:r>
      <w:r>
        <w:rPr>
          <w:rFonts w:hint="eastAsia" w:ascii="宋体" w:hAnsi="宋体" w:eastAsia="宋体" w:cs="宋体"/>
          <w:sz w:val="24"/>
          <w:szCs w:val="24"/>
          <w:highlight w:val="none"/>
        </w:rPr>
        <w:t>，并按照相关规定进行处理，直到终止合同。</w:t>
      </w:r>
    </w:p>
    <w:p w14:paraId="7DB90257">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九、争议解决方式：</w:t>
      </w:r>
    </w:p>
    <w:p w14:paraId="761603E7">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本合同执行中发生争议的，双方应协商解决。协商达不成一致时，须向采购人所在地人民法院提请诉讼。</w:t>
      </w:r>
    </w:p>
    <w:p w14:paraId="274F792B">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十、其他：</w:t>
      </w:r>
    </w:p>
    <w:p w14:paraId="5E90038B">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本合同自双方签字盖章之日起生效。本合同一式伍份，甲方执</w:t>
      </w:r>
      <w:r>
        <w:rPr>
          <w:rFonts w:hint="eastAsia" w:hAnsi="宋体" w:cs="宋体"/>
          <w:sz w:val="24"/>
          <w:szCs w:val="24"/>
          <w:highlight w:val="none"/>
          <w:lang w:eastAsia="zh-CN"/>
        </w:rPr>
        <w:t>叁</w:t>
      </w:r>
      <w:r>
        <w:rPr>
          <w:rFonts w:hint="eastAsia" w:ascii="宋体" w:hAnsi="宋体" w:eastAsia="宋体" w:cs="宋体"/>
          <w:sz w:val="24"/>
          <w:szCs w:val="24"/>
          <w:highlight w:val="none"/>
        </w:rPr>
        <w:t>份，乙方执</w:t>
      </w:r>
      <w:r>
        <w:rPr>
          <w:rFonts w:hint="eastAsia" w:hAnsi="宋体" w:cs="宋体"/>
          <w:sz w:val="24"/>
          <w:szCs w:val="24"/>
          <w:highlight w:val="none"/>
          <w:lang w:eastAsia="zh-CN"/>
        </w:rPr>
        <w:t>贰</w:t>
      </w:r>
      <w:r>
        <w:rPr>
          <w:rFonts w:hint="eastAsia" w:ascii="宋体" w:hAnsi="宋体" w:eastAsia="宋体" w:cs="宋体"/>
          <w:sz w:val="24"/>
          <w:szCs w:val="24"/>
          <w:highlight w:val="none"/>
        </w:rPr>
        <w:t xml:space="preserve">份，具有同等法律效力。 </w:t>
      </w:r>
    </w:p>
    <w:p w14:paraId="0EFB9066">
      <w:pPr>
        <w:pStyle w:val="3"/>
        <w:spacing w:line="360" w:lineRule="auto"/>
        <w:ind w:firstLine="480" w:firstLineChars="200"/>
        <w:rPr>
          <w:rFonts w:hint="eastAsia" w:ascii="宋体" w:hAnsi="宋体" w:eastAsia="宋体" w:cs="宋体"/>
          <w:sz w:val="24"/>
          <w:szCs w:val="24"/>
          <w:highlight w:val="none"/>
        </w:rPr>
      </w:pPr>
    </w:p>
    <w:p w14:paraId="4E8E6F0A">
      <w:pPr>
        <w:pStyle w:val="3"/>
        <w:tabs>
          <w:tab w:val="left" w:pos="3780"/>
          <w:tab w:val="left" w:pos="462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需方(甲方)：</w:t>
      </w:r>
      <w:r>
        <w:rPr>
          <w:rFonts w:hint="eastAsia" w:ascii="宋体" w:hAnsi="宋体" w:eastAsia="宋体" w:cs="宋体"/>
          <w:sz w:val="24"/>
          <w:szCs w:val="24"/>
          <w:highlight w:val="none"/>
          <w:lang w:eastAsia="zh-CN"/>
        </w:rPr>
        <w:t>陕西省黄陵监狱</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 xml:space="preserve">       </w:t>
      </w:r>
      <w:r>
        <w:rPr>
          <w:rFonts w:hint="eastAsia" w:hAnsi="宋体" w:cs="宋体"/>
          <w:sz w:val="24"/>
          <w:szCs w:val="24"/>
          <w:highlight w:val="none"/>
          <w:lang w:eastAsia="zh-CN"/>
        </w:rPr>
        <w:t>供</w:t>
      </w:r>
      <w:r>
        <w:rPr>
          <w:rFonts w:hint="eastAsia" w:ascii="宋体" w:hAnsi="宋体" w:eastAsia="宋体" w:cs="宋体"/>
          <w:sz w:val="24"/>
          <w:szCs w:val="24"/>
          <w:highlight w:val="none"/>
        </w:rPr>
        <w:t xml:space="preserve">方(乙方)：                       </w:t>
      </w:r>
    </w:p>
    <w:p w14:paraId="4EE8E9A8">
      <w:pPr>
        <w:pStyle w:val="3"/>
        <w:tabs>
          <w:tab w:val="left" w:pos="378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项目负责人：                  </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rPr>
        <w:t xml:space="preserve">法定代表人：    </w:t>
      </w:r>
    </w:p>
    <w:p w14:paraId="5A23E056">
      <w:pPr>
        <w:pStyle w:val="3"/>
        <w:tabs>
          <w:tab w:val="left" w:pos="378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授权代表：                    </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rPr>
        <w:t>授权代表：</w:t>
      </w:r>
    </w:p>
    <w:p w14:paraId="0D3519D1">
      <w:pPr>
        <w:pStyle w:val="3"/>
        <w:tabs>
          <w:tab w:val="left" w:pos="378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电话：                       </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rPr>
        <w:t xml:space="preserve">电    话： </w:t>
      </w:r>
    </w:p>
    <w:p w14:paraId="317B7A38">
      <w:pPr>
        <w:pStyle w:val="3"/>
        <w:tabs>
          <w:tab w:val="left" w:pos="378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传真：                        </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rPr>
        <w:t xml:space="preserve">传    真： </w:t>
      </w:r>
    </w:p>
    <w:p w14:paraId="1FA1DD4F">
      <w:pPr>
        <w:pStyle w:val="3"/>
        <w:tabs>
          <w:tab w:val="left" w:pos="378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开户银行：                    </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rPr>
        <w:t xml:space="preserve">开户银行： </w:t>
      </w:r>
    </w:p>
    <w:p w14:paraId="610F3F25">
      <w:pPr>
        <w:pStyle w:val="3"/>
        <w:tabs>
          <w:tab w:val="left" w:pos="378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帐号：                        </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rPr>
        <w:t xml:space="preserve">帐    号：   </w:t>
      </w:r>
    </w:p>
    <w:p w14:paraId="416625AC">
      <w:pPr>
        <w:pStyle w:val="3"/>
        <w:tabs>
          <w:tab w:val="left" w:pos="378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邮政编码：                    </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rPr>
        <w:t xml:space="preserve">邮政编码： </w:t>
      </w:r>
    </w:p>
    <w:p w14:paraId="6BB3F4C4">
      <w:pPr>
        <w:pStyle w:val="3"/>
        <w:tabs>
          <w:tab w:val="left" w:pos="378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签约时间：20**年  月  日      </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rPr>
        <w:t>签约时间：20**年  月  日</w:t>
      </w:r>
    </w:p>
    <w:p w14:paraId="1ECA0E6B">
      <w:pPr>
        <w:tabs>
          <w:tab w:val="left" w:pos="3780"/>
        </w:tabs>
        <w:spacing w:line="360" w:lineRule="auto"/>
        <w:ind w:firstLine="480" w:firstLineChars="200"/>
        <w:rPr>
          <w:rFonts w:hint="eastAsia" w:ascii="宋体" w:hAnsi="宋体" w:eastAsia="宋体" w:cs="宋体"/>
          <w:lang w:val="en-US" w:eastAsia="zh-Hans"/>
        </w:rPr>
      </w:pPr>
      <w:r>
        <w:rPr>
          <w:rFonts w:hint="eastAsia" w:ascii="宋体" w:hAnsi="宋体" w:eastAsia="宋体" w:cs="宋体"/>
          <w:sz w:val="24"/>
          <w:szCs w:val="24"/>
          <w:highlight w:val="none"/>
        </w:rPr>
        <w:t>签约地点：</w:t>
      </w:r>
    </w:p>
    <w:p w14:paraId="611FE2E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065CC0"/>
    <w:rsid w:val="0A9A0D5B"/>
    <w:rsid w:val="0F56503F"/>
    <w:rsid w:val="170C5908"/>
    <w:rsid w:val="217D46AD"/>
    <w:rsid w:val="2CEA31BF"/>
    <w:rsid w:val="34784F8C"/>
    <w:rsid w:val="3A611777"/>
    <w:rsid w:val="3B3E2FD4"/>
    <w:rsid w:val="3CB80100"/>
    <w:rsid w:val="44275276"/>
    <w:rsid w:val="5D8713A2"/>
    <w:rsid w:val="6384309D"/>
    <w:rsid w:val="63936E3D"/>
    <w:rsid w:val="747D391D"/>
    <w:rsid w:val="78EC1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Plain Text"/>
    <w:basedOn w:val="1"/>
    <w:qFormat/>
    <w:uiPriority w:val="0"/>
    <w:rPr>
      <w:rFonts w:hAnsi="Courier New"/>
      <w:kern w:val="2"/>
      <w:sz w:val="21"/>
    </w:rPr>
  </w:style>
  <w:style w:type="paragraph" w:customStyle="1" w:styleId="6">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1474</Words>
  <Characters>1496</Characters>
  <Lines>0</Lines>
  <Paragraphs>0</Paragraphs>
  <TotalTime>13</TotalTime>
  <ScaleCrop>false</ScaleCrop>
  <LinksUpToDate>false</LinksUpToDate>
  <CharactersWithSpaces>1779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2025-10-22T08:16:00Z</dcterms:created>
  <dc:creator>lenovo</dc:creator>
  <cp:lastModifiedBy>Fluoxetine </cp:lastModifiedBy>
  <dcterms:modified xsi:type="dcterms:W3CDTF">2026-06-25T08:27:21Z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eyJoZGlkIjoiMmJkNDYzZjM1N2RmODk3YWQ2YTA4YTM3ODJiOGVkOTciLCJ1c2VySWQiOiI2NDAxMzMwMTAifQ==</vt:lpwstr>
  </property>
  <property fmtid="{D5CDD505-2E9C-101B-9397-08002B2CF9AE}" pid="4" name="ICV">
    <vt:lpwstr>A992AA359ECC4EFABBA027DCBC15AF88_13</vt:lpwstr>
  </property>
</Properties>
</file>