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版本号：ZDSL26-055Z20260827001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HIS系统维保服务项目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ZDSL26-055Z</w:t>
      </w:r>
      <w:r>
        <w:br/>
      </w:r>
      <w:r>
        <w:br/>
      </w:r>
      <w:r>
        <w:br/>
      </w:r>
    </w:p>
    <w:p>
      <w:pPr>
        <w:pStyle w:val="null3"/>
        <w:jc w:val="center"/>
        <w:outlineLvl w:val="5"/>
      </w:pPr>
      <w:r>
        <w:rPr>
          <w:rFonts w:ascii="仿宋_GB2312" w:hAnsi="仿宋_GB2312" w:cs="仿宋_GB2312" w:eastAsia="仿宋_GB2312"/>
          <w:sz w:val="15"/>
          <w:b/>
        </w:rPr>
        <w:t>商洛市中心医院</w:t>
      </w:r>
    </w:p>
    <w:p>
      <w:pPr>
        <w:pStyle w:val="null3"/>
        <w:jc w:val="center"/>
        <w:outlineLvl w:val="5"/>
      </w:pPr>
      <w:r>
        <w:rPr>
          <w:rFonts w:ascii="仿宋_GB2312" w:hAnsi="仿宋_GB2312" w:cs="仿宋_GB2312" w:eastAsia="仿宋_GB2312"/>
          <w:sz w:val="15"/>
          <w:b/>
        </w:rPr>
        <w:t>正大方略工程咨询有限公司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HIS系统维保服务项目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ZDSL26-055Z</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HIS系统维保服务项目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我院前期采购东华医为HIS系统维保服务已到期，因系统业务流程复杂，须实时根据国家政策/行业规范/医院管理等需求进行定制化调整，需服务方驻场工程师协同远程技术开发支持等开展常态化维保服务。为保障我院信息管理系统（HIS）安全、稳定、持续运行，夯实医院信息化诊疗、收费结算、住院管理、药品管理、医保对接等核心业务工作接触，消除系统运行故障隐患，提升医疗信息化服务质效，现单一来源采购东华医为科技有限公司HIS系统维保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陕西省商洛市商州区民生路全兴紫苑10、11号商铺三楼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开户名称：正大方略工程咨询有限公司商洛分公司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银行账号：61050167450000000287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照《招标代理服务收费管理暂行办法》的通知（计价格[2002]1980号）和《关于招标代理服务收费有关问题的通知》（发改办价格[2003]857号）的有关规定下浮20%收取，具体收费金额将在中标公告中公布，在发出中标通知书前由中标人向代理机构一次性支付。 2、代理服务费可以采取现金、支票、银行汇票、电汇、网银等方式缴纳。 3、代理服务费缴纳信息： 银行户名：正大方略工程咨询有限公司商洛分公司 开户银行：中国建设银行股份有限公司商洛商州支行 账号：61050167410000000144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按照文件、合同约定执行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我院前期采购东华医为HIS系统维保服务已到期，因系统业务流程复杂，须实时根据国家政策/行业规范/医院管理等需求进行定制化调整，需服务方驻场工程师协同远程技术开发支持等开展常态化维保服务。为保障我院信息管理系统（HIS）安全、稳定、持续运行，夯实医院信息化诊疗、收费结算、住院管理、药品管理、医保对接等核心业务工作接触，消除系统运行故障隐患，提升医疗信息化服务质效，现单一来源采购东华医为科技有限公司HIS系统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商洛市中心医院HIS系统维保服务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标的名称：商洛市中心医院HIS系统维保服务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705"/>
              <w:jc w:val="both"/>
              <w:outlineLvl w:val="2"/>
            </w:pPr>
            <w:r>
              <w:rPr>
                <w:rFonts w:ascii="仿宋_GB2312" w:hAnsi="仿宋_GB2312" w:cs="仿宋_GB2312" w:eastAsia="仿宋_GB2312"/>
                <w:sz w:val="18"/>
                <w:b/>
              </w:rPr>
              <w:t>1.1</w:t>
            </w:r>
            <w:r>
              <w:rPr>
                <w:rFonts w:ascii="仿宋_GB2312" w:hAnsi="仿宋_GB2312" w:cs="仿宋_GB2312" w:eastAsia="仿宋_GB2312"/>
                <w:sz w:val="18"/>
                <w:b/>
              </w:rPr>
              <w:t>运维服务范围及目标</w:t>
            </w:r>
          </w:p>
          <w:p>
            <w:pPr>
              <w:pStyle w:val="null3"/>
              <w:ind w:firstLine="640"/>
              <w:jc w:val="both"/>
            </w:pPr>
            <w:r>
              <w:rPr>
                <w:rFonts w:ascii="仿宋_GB2312" w:hAnsi="仿宋_GB2312" w:cs="仿宋_GB2312" w:eastAsia="仿宋_GB2312"/>
                <w:sz w:val="18"/>
              </w:rPr>
              <w:t>服务方</w:t>
            </w:r>
            <w:r>
              <w:rPr>
                <w:rFonts w:ascii="仿宋_GB2312" w:hAnsi="仿宋_GB2312" w:cs="仿宋_GB2312" w:eastAsia="仿宋_GB2312"/>
                <w:sz w:val="18"/>
              </w:rPr>
              <w:t>负责对商洛市中心医院及各个分支机构的信息系统进行监控和运维管理，及时掌握各个信息系统资源现状和配置信息，反映信息系统资源的可用性情况和健康状况，创建一个可知可控的</w:t>
            </w:r>
            <w:r>
              <w:rPr>
                <w:rFonts w:ascii="仿宋_GB2312" w:hAnsi="仿宋_GB2312" w:cs="仿宋_GB2312" w:eastAsia="仿宋_GB2312"/>
                <w:sz w:val="18"/>
              </w:rPr>
              <w:t>IT环境，从而保证用户信息系统的各类业务应用系统的可靠、高效、持续、安全运行。</w:t>
            </w:r>
          </w:p>
          <w:p>
            <w:pPr>
              <w:pStyle w:val="null3"/>
              <w:numPr>
                <w:ilvl w:val="2"/>
                <w:numId w:val="1"/>
              </w:numPr>
            </w:pPr>
            <w:r>
              <w:rPr>
                <w:rFonts w:ascii="仿宋_GB2312" w:hAnsi="仿宋_GB2312" w:cs="仿宋_GB2312" w:eastAsia="仿宋_GB2312"/>
                <w:sz w:val="18"/>
              </w:rPr>
              <w:t>运维服务内容</w:t>
            </w:r>
          </w:p>
          <w:p>
            <w:pPr>
              <w:pStyle w:val="null3"/>
              <w:numPr>
                <w:ilvl w:val="0"/>
                <w:numId w:val="1"/>
              </w:numPr>
              <w:jc w:val="both"/>
            </w:pPr>
            <w:r>
              <w:rPr>
                <w:rFonts w:ascii="仿宋_GB2312" w:hAnsi="仿宋_GB2312" w:cs="仿宋_GB2312" w:eastAsia="仿宋_GB2312"/>
                <w:sz w:val="18"/>
              </w:rPr>
              <w:t>软件的故障维护服务：包括院级系统使用故障，部门级系统使用故障，单点或单用户系统使用故障的维护服务。</w:t>
            </w:r>
          </w:p>
          <w:p>
            <w:pPr>
              <w:pStyle w:val="null3"/>
              <w:numPr>
                <w:ilvl w:val="0"/>
                <w:numId w:val="1"/>
              </w:numPr>
              <w:jc w:val="both"/>
            </w:pPr>
            <w:r>
              <w:rPr>
                <w:rFonts w:ascii="仿宋_GB2312" w:hAnsi="仿宋_GB2312" w:cs="仿宋_GB2312" w:eastAsia="仿宋_GB2312"/>
                <w:sz w:val="18"/>
              </w:rPr>
              <w:t>升级服务：在用户方的业务系统产品上线进行生产性运行后，因医院管理需要或国家政策原因等产生新的需求，乙方负责对其进行升级服务；乙方对所提供的软件产品不定期发布升级版本，用户方可根据自身实际情况自主选用升级模块，乙方免费提供升级许可。</w:t>
            </w:r>
          </w:p>
          <w:p>
            <w:pPr>
              <w:pStyle w:val="null3"/>
              <w:numPr>
                <w:ilvl w:val="2"/>
                <w:numId w:val="1"/>
              </w:numPr>
              <w:jc w:val="both"/>
            </w:pPr>
            <w:r>
              <w:rPr>
                <w:rFonts w:ascii="仿宋_GB2312" w:hAnsi="仿宋_GB2312" w:cs="仿宋_GB2312" w:eastAsia="仿宋_GB2312"/>
                <w:sz w:val="18"/>
              </w:rPr>
              <w:t>运维服务方式</w:t>
            </w:r>
          </w:p>
          <w:p>
            <w:pPr>
              <w:pStyle w:val="null3"/>
              <w:numPr>
                <w:ilvl w:val="0"/>
                <w:numId w:val="1"/>
              </w:numPr>
              <w:jc w:val="both"/>
            </w:pPr>
            <w:r>
              <w:rPr>
                <w:rFonts w:ascii="仿宋_GB2312" w:hAnsi="仿宋_GB2312" w:cs="仿宋_GB2312" w:eastAsia="仿宋_GB2312"/>
                <w:sz w:val="18"/>
              </w:rPr>
              <w:t>现场服务：乙方根据用户方提出的技术问题或需求派遣专业技术工程师长期驻场甲方院内处理解决问题的过程。</w:t>
            </w:r>
          </w:p>
          <w:p>
            <w:pPr>
              <w:pStyle w:val="null3"/>
              <w:numPr>
                <w:ilvl w:val="0"/>
                <w:numId w:val="1"/>
              </w:numPr>
              <w:jc w:val="both"/>
            </w:pPr>
            <w:r>
              <w:rPr>
                <w:rFonts w:ascii="仿宋_GB2312" w:hAnsi="仿宋_GB2312" w:cs="仿宋_GB2312" w:eastAsia="仿宋_GB2312"/>
                <w:sz w:val="18"/>
              </w:rPr>
              <w:t>远程服务：乙方根据甲方提出的技术问题通过电话或远程拨入等方式向用户方提供问题解答和调试解决的过程。</w:t>
            </w:r>
          </w:p>
          <w:p>
            <w:pPr>
              <w:pStyle w:val="null3"/>
              <w:numPr>
                <w:ilvl w:val="0"/>
                <w:numId w:val="1"/>
              </w:numPr>
              <w:jc w:val="both"/>
            </w:pPr>
            <w:r>
              <w:rPr>
                <w:rFonts w:ascii="仿宋_GB2312" w:hAnsi="仿宋_GB2312" w:cs="仿宋_GB2312" w:eastAsia="仿宋_GB2312"/>
                <w:sz w:val="18"/>
              </w:rPr>
              <w:t>电话服务：在服务时间内设固定专用电话，指定专人电话值守，保持电话通畅，乙方专业工程师及时为甲方解答技术问题。</w:t>
            </w:r>
          </w:p>
          <w:p>
            <w:pPr>
              <w:pStyle w:val="null3"/>
              <w:numPr>
                <w:ilvl w:val="0"/>
                <w:numId w:val="1"/>
              </w:numPr>
              <w:jc w:val="both"/>
            </w:pPr>
            <w:r>
              <w:rPr>
                <w:rFonts w:ascii="仿宋_GB2312" w:hAnsi="仿宋_GB2312" w:cs="仿宋_GB2312" w:eastAsia="仿宋_GB2312"/>
                <w:sz w:val="18"/>
              </w:rPr>
              <w:t>远程诊断和拨入分析服务：乙方专业技术工程师通过远程拨入系统提供帮助，并通过远程诊断技术提供解决方案。</w:t>
            </w:r>
          </w:p>
          <w:p>
            <w:pPr>
              <w:pStyle w:val="null3"/>
              <w:numPr>
                <w:ilvl w:val="2"/>
                <w:numId w:val="1"/>
              </w:numPr>
              <w:jc w:val="both"/>
            </w:pPr>
            <w:r>
              <w:rPr>
                <w:rFonts w:ascii="仿宋_GB2312" w:hAnsi="仿宋_GB2312" w:cs="仿宋_GB2312" w:eastAsia="仿宋_GB2312"/>
                <w:sz w:val="18"/>
              </w:rPr>
              <w:t>运维服务技术指标和参数</w:t>
            </w:r>
          </w:p>
          <w:p>
            <w:pPr>
              <w:pStyle w:val="null3"/>
              <w:numPr>
                <w:ilvl w:val="0"/>
                <w:numId w:val="1"/>
              </w:numPr>
              <w:jc w:val="both"/>
            </w:pPr>
            <w:r>
              <w:rPr>
                <w:rFonts w:ascii="仿宋_GB2312" w:hAnsi="仿宋_GB2312" w:cs="仿宋_GB2312" w:eastAsia="仿宋_GB2312"/>
                <w:sz w:val="18"/>
              </w:rPr>
              <w:t>技术服务质量：（1）</w:t>
            </w:r>
            <w:r>
              <w:rPr>
                <w:rFonts w:ascii="仿宋_GB2312" w:hAnsi="仿宋_GB2312" w:cs="仿宋_GB2312" w:eastAsia="仿宋_GB2312"/>
                <w:sz w:val="18"/>
              </w:rPr>
              <w:t>一级响应服务：院级系统使用故障的排除，由乙方专业技术工程师完成。乙方</w:t>
            </w:r>
            <w:r>
              <w:rPr>
                <w:rFonts w:ascii="仿宋_GB2312" w:hAnsi="仿宋_GB2312" w:cs="仿宋_GB2312" w:eastAsia="仿宋_GB2312"/>
                <w:sz w:val="18"/>
              </w:rPr>
              <w:t>5分钟内电话响应，30分钟内专业技术工程师抵达现场实施服务。（2）</w:t>
            </w:r>
            <w:r>
              <w:rPr>
                <w:rFonts w:ascii="仿宋_GB2312" w:hAnsi="仿宋_GB2312" w:cs="仿宋_GB2312" w:eastAsia="仿宋_GB2312"/>
                <w:sz w:val="18"/>
              </w:rPr>
              <w:t>二级响应服务：部门级系统使用故障的排除，由乙方专业技术工程师完成。乙方</w:t>
            </w:r>
            <w:r>
              <w:rPr>
                <w:rFonts w:ascii="仿宋_GB2312" w:hAnsi="仿宋_GB2312" w:cs="仿宋_GB2312" w:eastAsia="仿宋_GB2312"/>
                <w:sz w:val="18"/>
              </w:rPr>
              <w:t>5分钟内电话响应，1小时内专业技术工程师抵达现场实施服务。（3）</w:t>
            </w:r>
            <w:r>
              <w:rPr>
                <w:rFonts w:ascii="仿宋_GB2312" w:hAnsi="仿宋_GB2312" w:cs="仿宋_GB2312" w:eastAsia="仿宋_GB2312"/>
                <w:sz w:val="18"/>
              </w:rPr>
              <w:t>三级响应服务：甲方前端单点或单用户系统使用故障排除，由乙方培训用户方系统管理员完成。当用户方系统管理员无法独立完成时，乙方提供远程指导或现场支持，</w:t>
            </w:r>
            <w:r>
              <w:rPr>
                <w:rFonts w:ascii="仿宋_GB2312" w:hAnsi="仿宋_GB2312" w:cs="仿宋_GB2312" w:eastAsia="仿宋_GB2312"/>
                <w:sz w:val="18"/>
              </w:rPr>
              <w:t>15分钟内电话响应，2小时内专业技术工程师抵达现场实施服务。（4）</w:t>
            </w:r>
            <w:r>
              <w:rPr>
                <w:rFonts w:ascii="仿宋_GB2312" w:hAnsi="仿宋_GB2312" w:cs="仿宋_GB2312" w:eastAsia="仿宋_GB2312"/>
                <w:sz w:val="18"/>
              </w:rPr>
              <w:t>四级响应服务：持续性高级用户应用培训，新增需求分析、管理和咨询，以及业务系统版本更新和升级，由乙方专业技术工程师完成。</w:t>
            </w:r>
          </w:p>
          <w:p>
            <w:pPr>
              <w:pStyle w:val="null3"/>
              <w:numPr>
                <w:ilvl w:val="0"/>
                <w:numId w:val="1"/>
              </w:numPr>
              <w:jc w:val="both"/>
            </w:pPr>
            <w:r>
              <w:rPr>
                <w:rFonts w:ascii="仿宋_GB2312" w:hAnsi="仿宋_GB2312" w:cs="仿宋_GB2312" w:eastAsia="仿宋_GB2312"/>
                <w:sz w:val="18"/>
              </w:rPr>
              <w:t>运维服务期限保证：</w:t>
            </w:r>
            <w:r>
              <w:rPr>
                <w:rFonts w:ascii="仿宋_GB2312" w:hAnsi="仿宋_GB2312" w:cs="仿宋_GB2312" w:eastAsia="仿宋_GB2312"/>
                <w:sz w:val="18"/>
              </w:rPr>
              <w:t>1年</w:t>
            </w:r>
          </w:p>
          <w:p>
            <w:pPr>
              <w:pStyle w:val="null3"/>
              <w:numPr>
                <w:ilvl w:val="0"/>
                <w:numId w:val="1"/>
              </w:numPr>
              <w:jc w:val="both"/>
            </w:pPr>
            <w:r>
              <w:rPr>
                <w:rFonts w:ascii="仿宋_GB2312" w:hAnsi="仿宋_GB2312" w:cs="仿宋_GB2312" w:eastAsia="仿宋_GB2312"/>
                <w:sz w:val="18"/>
              </w:rPr>
              <w:t>运维服务人员保证：</w:t>
            </w:r>
          </w:p>
          <w:p>
            <w:pPr>
              <w:pStyle w:val="null3"/>
              <w:ind w:firstLine="640"/>
              <w:jc w:val="both"/>
            </w:pPr>
            <w:r>
              <w:rPr>
                <w:rFonts w:ascii="仿宋_GB2312" w:hAnsi="仿宋_GB2312" w:cs="仿宋_GB2312" w:eastAsia="仿宋_GB2312"/>
                <w:sz w:val="18"/>
              </w:rPr>
              <w:t>按照医院的人员要求：运维服务期间乙方常驻甲方医院现场运维服务人员配置为</w:t>
            </w:r>
            <w:r>
              <w:rPr>
                <w:rFonts w:ascii="仿宋_GB2312" w:hAnsi="仿宋_GB2312" w:cs="仿宋_GB2312" w:eastAsia="仿宋_GB2312"/>
                <w:sz w:val="18"/>
              </w:rPr>
              <w:t>1人。</w:t>
            </w:r>
          </w:p>
          <w:p>
            <w:pPr>
              <w:pStyle w:val="null3"/>
            </w:pPr>
            <w:r>
              <w:rPr>
                <w:rFonts w:ascii="仿宋_GB2312" w:hAnsi="仿宋_GB2312" w:cs="仿宋_GB2312" w:eastAsia="仿宋_GB2312"/>
                <w:sz w:val="32"/>
                <w:b/>
              </w:rPr>
              <w:t>维保服务包含的系统及新增模块</w:t>
            </w:r>
          </w:p>
          <w:tbl>
            <w:tblPr>
              <w:tblBorders>
                <w:top w:val="none" w:color="000000" w:sz="4"/>
                <w:left w:val="none" w:color="000000" w:sz="4"/>
                <w:bottom w:val="none" w:color="000000" w:sz="4"/>
                <w:right w:val="none" w:color="000000" w:sz="4"/>
                <w:insideH w:val="none"/>
                <w:insideV w:val="none"/>
              </w:tblBorders>
            </w:tblPr>
            <w:tblGrid>
              <w:gridCol w:w="331"/>
              <w:gridCol w:w="1006"/>
              <w:gridCol w:w="1214"/>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系统名称</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子系统名称</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基础数据管理平台</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基础数据维护</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基础数据维护日志管理与审计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产品组配置</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0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票据管理系统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票据管理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系统管理平台</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工作流引擎</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架构管理器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菜单编辑器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列编辑器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界面编辑器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HL7</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规则管理器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门急诊挂号、收费服务</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门诊分诊系统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门急诊挂号系统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门诊收费系统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门急诊应急收费系统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门诊医生工作站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门诊护士工作站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门诊药房系统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急诊收费系统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急诊医生工作站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急诊护士工作站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急诊药房系统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006"/>
                  <w:vMerge/>
                  <w:tcBorders>
                    <w:top w:val="singl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急诊留观系统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住院收费、诊疗服务</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住院出入转系统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住院收费系统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住院医生工作站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住院护士工作站</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科室库存管理系统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住院出入转</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入院办理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出院办理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药房药库</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门诊药房系统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急诊药房系统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住院药房系统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药库管理系统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药库管理系统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药事管理</w:t>
                  </w:r>
                </w:p>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处方点评系统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阳光用药监测系统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合理用药基本功能和过敏管理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抗菌药物管理系统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抗菌药物管理系统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会诊系统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医生会诊</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护理会诊</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医保诊断系统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医保目录系统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医保登记系统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医保结算系统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财务监审系统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财务监审系统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物价管理系统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物价管理系统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物资管理系统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物资管理系统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高值耗材管理系统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高值耗材管理系统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就诊卡管理系统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就诊卡管理系统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rFonts w:ascii="仿宋_GB2312" w:hAnsi="仿宋_GB2312" w:cs="仿宋_GB2312" w:eastAsia="仿宋_GB2312"/>
                      <w:sz w:val="21"/>
                      <w:color w:val="000000"/>
                    </w:rPr>
                    <w:t>综合查询及决策支持</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综合查询系统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医疗统计管理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结构化电子病历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电子病历归档系统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电子病历质控系统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术语集维护系统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门诊电子病历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住院电子病历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护理病历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临床管理</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不良事件管理系统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疾病上报管理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结构化诊断</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临床路径管理系统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传染病管理系统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院内感染系统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单病种管理系统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医务管理系统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预约系统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预约诊疗</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预约手术</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预约挂号</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预约检验检查</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预约床位</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护理信息系统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护理病历系统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不良事件上报系统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护理人力资源管理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手术及手麻重症系统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手麻系统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重症系统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手术申请排班系统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基于医院各类接口对接的医院信息平台</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医院服务总线</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r>
                    <w:rPr>
                      <w:rFonts w:ascii="仿宋_GB2312" w:hAnsi="仿宋_GB2312" w:cs="仿宋_GB2312" w:eastAsia="仿宋_GB2312"/>
                      <w:sz w:val="21"/>
                      <w:color w:val="000000"/>
                    </w:rPr>
                    <w:t xml:space="preserve">     消毒供应系统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消毒供应系统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医院互联网服务建设</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w:t>
                  </w:r>
                  <w:r>
                    <w:rPr>
                      <w:rFonts w:ascii="仿宋_GB2312" w:hAnsi="仿宋_GB2312" w:cs="仿宋_GB2312" w:eastAsia="仿宋_GB2312"/>
                      <w:sz w:val="21"/>
                      <w:color w:val="000000"/>
                    </w:rPr>
                    <w:t>APP</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随访系统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其他模块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临床知识库</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床位预约管理中心</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006"/>
                  <w:vMerge/>
                  <w:tcBorders>
                    <w:top w:val="none" w:color="000000" w:sz="4"/>
                    <w:left w:val="none" w:color="000000" w:sz="4"/>
                    <w:bottom w:val="singl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分级诊疗（双向转诊）</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rFonts w:ascii="仿宋_GB2312" w:hAnsi="仿宋_GB2312" w:cs="仿宋_GB2312" w:eastAsia="仿宋_GB2312"/>
                      <w:sz w:val="21"/>
                      <w:color w:val="000000"/>
                    </w:rPr>
                    <w:t xml:space="preserve">     数据库相关</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数据库日常维护等</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 xml:space="preserve">      医技系统接口类</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病理接口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LIS接口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RIS接口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PACS接口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病理接口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1050"/>
                    <w:jc w:val="both"/>
                  </w:pPr>
                  <w:r>
                    <w:rPr>
                      <w:rFonts w:ascii="仿宋_GB2312" w:hAnsi="仿宋_GB2312" w:cs="仿宋_GB2312" w:eastAsia="仿宋_GB2312"/>
                      <w:sz w:val="21"/>
                      <w:color w:val="000000"/>
                    </w:rPr>
                    <w:t xml:space="preserve">   病房门口机系统接口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840"/>
                    <w:jc w:val="both"/>
                  </w:pPr>
                  <w:r>
                    <w:rPr>
                      <w:rFonts w:ascii="仿宋_GB2312" w:hAnsi="仿宋_GB2312" w:cs="仿宋_GB2312" w:eastAsia="仿宋_GB2312"/>
                      <w:sz w:val="21"/>
                    </w:rPr>
                    <w:t xml:space="preserve">   手麻重症系统及仪器迁移</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体检系统接口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0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color w:val="000000"/>
                    </w:rPr>
                    <w:t xml:space="preserve">     外部数据接口</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血库管理系统</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合理用药接口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门诊发药机</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0"/>
                    <w:jc w:val="left"/>
                  </w:pPr>
                  <w:r>
                    <w:rPr>
                      <w:rFonts w:ascii="仿宋_GB2312" w:hAnsi="仿宋_GB2312" w:cs="仿宋_GB2312" w:eastAsia="仿宋_GB2312"/>
                      <w:sz w:val="21"/>
                    </w:rPr>
                    <w:t xml:space="preserve">  食源性疾病监测上报接口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住院摆药机接口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排队叫号接口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自助机接口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血液透析接口</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006"/>
                  <w:vMerge/>
                  <w:tcBorders>
                    <w:top w:val="none" w:color="000000" w:sz="4"/>
                    <w:left w:val="none" w:color="000000" w:sz="4"/>
                    <w:bottom w:val="none" w:color="000000" w:sz="4"/>
                    <w:right w:val="single" w:color="000000" w:sz="4"/>
                  </w:tcBorders>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输血接口</w:t>
                  </w:r>
                </w:p>
              </w:tc>
            </w:tr>
          </w:tbl>
          <w:tbl>
            <w:tblPr>
              <w:tblBorders>
                <w:top w:val="none" w:color="000000" w:sz="4"/>
                <w:left w:val="none" w:color="000000" w:sz="4"/>
                <w:bottom w:val="none" w:color="000000" w:sz="4"/>
                <w:right w:val="none" w:color="000000" w:sz="4"/>
                <w:insideH w:val="none"/>
                <w:insideV w:val="none"/>
              </w:tblBorders>
            </w:tblPr>
            <w:tblGrid>
              <w:gridCol w:w="315"/>
              <w:gridCol w:w="1296"/>
              <w:gridCol w:w="941"/>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产品模块</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产品线</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HQMS接口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MisPOS支付服务接口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窗口第三方支付服务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微信扫描付服务接口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窗口第三方支付服务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国家抗肿瘤药物监测数据上报</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药房药库对外接口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国家抗肿瘤药物监测数据上报</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综合查询对外接口服务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发热门诊医疗服务检测数据报送</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NCC接口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NCC接口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随访模块</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健康乐</w:t>
                  </w:r>
                  <w:r>
                    <w:rPr>
                      <w:rFonts w:ascii="仿宋_GB2312" w:hAnsi="仿宋_GB2312" w:cs="仿宋_GB2312" w:eastAsia="仿宋_GB2312"/>
                      <w:sz w:val="21"/>
                      <w:color w:val="000000"/>
                    </w:rPr>
                    <w:t>App（患者端）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随访模块</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健康管理系统（云端）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随访模块</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健康管理系统（云端）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随访模块</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健康乐</w:t>
                  </w:r>
                  <w:r>
                    <w:rPr>
                      <w:rFonts w:ascii="仿宋_GB2312" w:hAnsi="仿宋_GB2312" w:cs="仿宋_GB2312" w:eastAsia="仿宋_GB2312"/>
                      <w:sz w:val="21"/>
                      <w:color w:val="000000"/>
                    </w:rPr>
                    <w:t>App（患者端）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医保住院结算</w:t>
                  </w:r>
                  <w:r>
                    <w:rPr>
                      <w:rFonts w:ascii="仿宋_GB2312" w:hAnsi="仿宋_GB2312" w:cs="仿宋_GB2312" w:eastAsia="仿宋_GB2312"/>
                      <w:sz w:val="21"/>
                      <w:color w:val="000000"/>
                    </w:rPr>
                    <w:t>(跨省异地)</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医保门诊结算</w:t>
                  </w:r>
                  <w:r>
                    <w:rPr>
                      <w:rFonts w:ascii="仿宋_GB2312" w:hAnsi="仿宋_GB2312" w:cs="仿宋_GB2312" w:eastAsia="仿宋_GB2312"/>
                      <w:sz w:val="21"/>
                      <w:color w:val="000000"/>
                    </w:rPr>
                    <w:t>(省内异地)</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医保住院结算</w:t>
                  </w:r>
                  <w:r>
                    <w:rPr>
                      <w:rFonts w:ascii="仿宋_GB2312" w:hAnsi="仿宋_GB2312" w:cs="仿宋_GB2312" w:eastAsia="仿宋_GB2312"/>
                      <w:sz w:val="21"/>
                      <w:color w:val="000000"/>
                    </w:rPr>
                    <w:t>(省内异地)</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医保编码贯标系统</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医保电子凭证接口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两定接口数据上报</w:t>
                  </w:r>
                  <w:r>
                    <w:rPr>
                      <w:rFonts w:ascii="仿宋_GB2312" w:hAnsi="仿宋_GB2312" w:cs="仿宋_GB2312" w:eastAsia="仿宋_GB2312"/>
                      <w:sz w:val="21"/>
                      <w:color w:val="000000"/>
                    </w:rPr>
                    <w:t>(信息采集上传)</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药品库存业务监管接口（医保部门）</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药房药库对外接口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医疗保障基金结算清单</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新冠核酸检测信息上报接口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新冠核酸检测信息上报接口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核酸检测标本混检</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检验信息管理系统</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核酸检测标本混检</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检验信息管理系统</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自助机微信扫描付服务接口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患者第三方支付服务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自助机支付宝扫描付服务接口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患者第三方支付服务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第三方互联网医院接口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第三方互联网医院接口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商业保险直赔（人保）</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商业保险快赔（人保）</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商业保险快赔（人保）</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双通道电子处方流转</w:t>
                  </w:r>
                  <w:r>
                    <w:rPr>
                      <w:rFonts w:ascii="仿宋_GB2312" w:hAnsi="仿宋_GB2312" w:cs="仿宋_GB2312" w:eastAsia="仿宋_GB2312"/>
                      <w:sz w:val="21"/>
                      <w:color w:val="000000"/>
                    </w:rPr>
                    <w:t>-备案</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处方流转平台接口</w:t>
                  </w:r>
                  <w:r>
                    <w:rPr>
                      <w:rFonts w:ascii="仿宋_GB2312" w:hAnsi="仿宋_GB2312" w:cs="仿宋_GB2312" w:eastAsia="仿宋_GB2312"/>
                      <w:sz w:val="21"/>
                      <w:color w:val="000000"/>
                    </w:rPr>
                    <w:t>(计费)</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计费接口服务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国家标准共享文档生成和解析</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国家标准共享文档生成和解析</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数据库及应用系统迁移</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数据库及应用系统迁移</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省医保线上支付</w:t>
                  </w:r>
                  <w:r>
                    <w:rPr>
                      <w:rFonts w:ascii="仿宋_GB2312" w:hAnsi="仿宋_GB2312" w:cs="仿宋_GB2312" w:eastAsia="仿宋_GB2312"/>
                      <w:sz w:val="21"/>
                      <w:color w:val="000000"/>
                    </w:rPr>
                    <w:t>(APP)</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市医保线上支付（</w:t>
                  </w:r>
                  <w:r>
                    <w:rPr>
                      <w:rFonts w:ascii="仿宋_GB2312" w:hAnsi="仿宋_GB2312" w:cs="仿宋_GB2312" w:eastAsia="仿宋_GB2312"/>
                      <w:sz w:val="21"/>
                      <w:color w:val="000000"/>
                    </w:rPr>
                    <w:t>App）</w:t>
                  </w:r>
                </w:p>
              </w:tc>
              <w:tc>
                <w:tcPr>
                  <w:tcW w:type="dxa" w:w="941"/>
                  <w:vMerge/>
                  <w:tcBorders>
                    <w:top w:val="none" w:color="000000" w:sz="4"/>
                    <w:left w:val="none" w:color="000000" w:sz="4"/>
                    <w:bottom w:val="singl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医保移动支付（门诊收费）</w:t>
                  </w:r>
                </w:p>
              </w:tc>
              <w:tc>
                <w:tcPr>
                  <w:tcW w:type="dxa" w:w="941"/>
                  <w:vMerge/>
                  <w:tcBorders>
                    <w:top w:val="none" w:color="000000" w:sz="4"/>
                    <w:left w:val="none" w:color="000000" w:sz="4"/>
                    <w:bottom w:val="singl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挂号医保接口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医生站对外接口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抗肿瘤药物临床合理应用管理指标</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抗肿瘤药物临床合理应用管理指标</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住院医生工作站</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住院医生工作站</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住院中心药房系统</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住院中心药房系统</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抗菌抗肿瘤药物分级管理系统</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抗菌抗肿瘤药物分级管理系统</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医保服务</w:t>
                  </w:r>
                  <w:r>
                    <w:rPr>
                      <w:rFonts w:ascii="仿宋_GB2312" w:hAnsi="仿宋_GB2312" w:cs="仿宋_GB2312" w:eastAsia="仿宋_GB2312"/>
                      <w:sz w:val="21"/>
                      <w:color w:val="000000"/>
                    </w:rPr>
                    <w:t>(城镇职工)</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临床路径执行情况监控平台数据上报</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临床路径管理系统</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临床路径管理系统</w:t>
                  </w:r>
                </w:p>
              </w:tc>
              <w:tc>
                <w:tcPr>
                  <w:tcW w:type="dxa" w:w="941"/>
                  <w:vMerge/>
                  <w:tcBorders>
                    <w:top w:val="none" w:color="000000" w:sz="4"/>
                    <w:left w:val="none" w:color="000000" w:sz="4"/>
                    <w:bottom w:val="singl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基础平台</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基础平台</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第三方医保智能审核接口（计费）</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计费接口服务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国家医保智能审核接口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医生站对外接口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病案首页接口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第三方医保智能审核接口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医保监控住院病历信息</w:t>
                  </w:r>
                </w:p>
              </w:tc>
              <w:tc>
                <w:tcPr>
                  <w:tcW w:type="dxa" w:w="94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医保审核</w:t>
                  </w:r>
                  <w:r>
                    <w:rPr>
                      <w:rFonts w:ascii="仿宋_GB2312" w:hAnsi="仿宋_GB2312" w:cs="仿宋_GB2312" w:eastAsia="仿宋_GB2312"/>
                      <w:sz w:val="21"/>
                      <w:color w:val="000000"/>
                    </w:rPr>
                    <w:t>(事前)</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医保监控住院医嘱信息</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医保监控手术信息接口</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医保审核分析</w:t>
                  </w:r>
                  <w:r>
                    <w:rPr>
                      <w:rFonts w:ascii="仿宋_GB2312" w:hAnsi="仿宋_GB2312" w:cs="仿宋_GB2312" w:eastAsia="仿宋_GB2312"/>
                      <w:sz w:val="21"/>
                      <w:color w:val="000000"/>
                    </w:rPr>
                    <w:t>(事后)</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医保监控检验报告信息</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医保审核</w:t>
                  </w:r>
                  <w:r>
                    <w:rPr>
                      <w:rFonts w:ascii="仿宋_GB2312" w:hAnsi="仿宋_GB2312" w:cs="仿宋_GB2312" w:eastAsia="仿宋_GB2312"/>
                      <w:sz w:val="21"/>
                      <w:color w:val="000000"/>
                    </w:rPr>
                    <w:t>(事中)</w:t>
                  </w:r>
                </w:p>
              </w:tc>
              <w:tc>
                <w:tcPr>
                  <w:tcW w:type="dxa" w:w="941"/>
                  <w:vMerge/>
                  <w:tcBorders>
                    <w:top w:val="none" w:color="000000" w:sz="4"/>
                    <w:left w:val="none" w:color="000000" w:sz="4"/>
                    <w:bottom w:val="non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医保平台接口</w:t>
                  </w:r>
                  <w:r>
                    <w:rPr>
                      <w:rFonts w:ascii="仿宋_GB2312" w:hAnsi="仿宋_GB2312" w:cs="仿宋_GB2312" w:eastAsia="仿宋_GB2312"/>
                      <w:sz w:val="21"/>
                      <w:color w:val="000000"/>
                    </w:rPr>
                    <w:t>-护理</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护理组对外接口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第三方配液中心系统接口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药房药库对外接口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配液中心接口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临床服务类集成接口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两定接口数据上报</w:t>
                  </w:r>
                  <w:r>
                    <w:rPr>
                      <w:rFonts w:ascii="仿宋_GB2312" w:hAnsi="仿宋_GB2312" w:cs="仿宋_GB2312" w:eastAsia="仿宋_GB2312"/>
                      <w:sz w:val="21"/>
                      <w:color w:val="000000"/>
                    </w:rPr>
                    <w:t>(信息采集上传)</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国家药品追溯管理系统</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药房药库对外接口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国家传染病智能监测预警接口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院外平台类集成接口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医生站对外接口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医生站对外接口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电子病历组对外接口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电子病历组对外接口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基础平台接口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基础平台接口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护理组对外接口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护理组对外接口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r>
                    <w:rPr>
                      <w:rFonts w:ascii="仿宋_GB2312" w:hAnsi="仿宋_GB2312" w:cs="仿宋_GB2312" w:eastAsia="仿宋_GB2312"/>
                      <w:sz w:val="21"/>
                      <w:color w:val="000000"/>
                    </w:rPr>
                    <w:t>(急)诊诊疗信息页</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电子病历对外接口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电子病历组对外接口</w:t>
                  </w:r>
                </w:p>
              </w:tc>
              <w:tc>
                <w:tcPr>
                  <w:tcW w:type="dxa" w:w="941"/>
                  <w:vMerge/>
                  <w:tcBorders>
                    <w:top w:val="none" w:color="000000" w:sz="4"/>
                    <w:left w:val="none" w:color="000000" w:sz="4"/>
                    <w:bottom w:val="single" w:color="000000" w:sz="4"/>
                    <w:right w:val="single" w:color="000000" w:sz="4"/>
                  </w:tcBorders>
                </w:tc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用血减免接口</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运营管理类集成接口</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人脸识别接口</w:t>
                  </w:r>
                  <w:r>
                    <w:rPr>
                      <w:rFonts w:ascii="仿宋_GB2312" w:hAnsi="仿宋_GB2312" w:cs="仿宋_GB2312" w:eastAsia="仿宋_GB2312"/>
                      <w:sz w:val="21"/>
                      <w:color w:val="000000"/>
                    </w:rPr>
                    <w:t>(医保)</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医保对外接口服务</w:t>
                  </w:r>
                </w:p>
              </w:tc>
            </w:tr>
          </w:tbl>
          <w:p>
            <w:pPr>
              <w:pStyle w:val="null3"/>
              <w:spacing w:after="12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运维服务期间乙方常驻甲方医院现场运维服务人员配置为1人。</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进度款，双方签订合同，维保服务期限满半年后，达到付款条件起90个工作日内，支付合同总金额的50.0%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进度款，一年服务期满后，甲方依据对乙方维保服务质量的考核结果，双方无争议前提下，按照医院财务流程支付剩余款项，达到付款条件起90个工作日内，支付合同总金额的50.0%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二、解决争议的方法：1.在执行本合同中发生的或与本合同有关的争端，双方应通过友好协商解决，经协商在30天内不能达成协议时，则采取以下第（1）种方式解决争议： （1）向甲方所在地有管辖权的人民法院提起诉讼；（2）向商洛仲裁委员会按其仲裁规则申请仲裁。2.在仲裁期间，本合同应继续履行。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为保障政府采购电子化交易平台项目实施，供应商需要在线提交所有通过电子化交易平台实施的政府采购项目的响应文件，成交供应商在中标(成交)结果公示期结束后须向代理机构提交纸质版响应文件正本1套、副本2套、电子版(U盘2份)。纸质响应文件应与电子响应文件保持一致。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符合《中华人民共和国政府采购法》第二十二条第一款规定，并按照《政府采购法实施条例》第十七条规定提供下列材料：（1）供应商应具有独立承担民事责任的能力：提供营业执照等证明文件；（2）提供法定代表人身份证明及授权委托书（法定代表人参与投标的无须提供授权委托书）；（3）税收缴纳证明：提供供应商自投标前1年以来已缴纳的任意时段的完税凭证或税务机关开具的完税证明（任意税种）；依法免税的应提供相关文件证明；（4）社会保障资金缴纳证明：提供供应商自投标前1年以来已缴存的任意时段的社会保障资金缴存单据或社保机构开具的社会保险参保缴费情况证明；依法不需要缴纳社会保障资金的投标人应提供相关文件证明；（5）具备履行合同所必需的专业技术能力的证明；（6）供应商参加本次投标前3年内，在经营活动中没有重大违法记录的书面声明；（7）提供供应商缴纳的投标保证金凭证。</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供应商财务报告（包括“四表一注”即《资产负债表》《利润表》《现金流量表》《所有者权益变动表》及其附注）或者提供响应文件截止时间3个月内其基本账户开户银行出具的资信证明；供应商成立不到1年的，可提供企业任意时段财务报表（注：供应商提供的经审计的财务报告应具有注册会计师行业统一监管平台赋予的验证码，并可通过统一监管平台或手机“扫一扫”等方式进行查验）</w:t>
            </w:r>
          </w:p>
        </w:tc>
        <w:tc>
          <w:tcPr>
            <w:tcW w:type="dxa" w:w="1661"/>
          </w:tcPr>
          <w:p>
            <w:pPr>
              <w:pStyle w:val="null3"/>
            </w:pPr>
            <w:r>
              <w:rPr>
                <w:rFonts w:ascii="仿宋_GB2312" w:hAnsi="仿宋_GB2312" w:cs="仿宋_GB2312" w:eastAsia="仿宋_GB2312"/>
              </w:rPr>
              <w:t>财务状况报告.docx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分项报价明细价表.docx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售后服务方案.docx 投标人近3年完成的类似业绩证明材料.docx 商务应答表 服务方案 服务内容及服务要求应答表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符合采购文件签字盖章的规定</w:t>
            </w:r>
          </w:p>
        </w:tc>
        <w:tc>
          <w:tcPr>
            <w:tcW w:type="dxa" w:w="1661"/>
          </w:tcPr>
          <w:p>
            <w:pPr>
              <w:pStyle w:val="null3"/>
            </w:pPr>
            <w:r>
              <w:rPr>
                <w:rFonts w:ascii="仿宋_GB2312" w:hAnsi="仿宋_GB2312" w:cs="仿宋_GB2312" w:eastAsia="仿宋_GB2312"/>
              </w:rPr>
              <w:t>开标一览表.docx 售后服务方案.docx 分项报价明细价表.docx 中小企业声明函 商务应答表 一般资格要求.docx 服务内容及服务要求应答表 报价表 财务状况报告.docx 投标人认为有必要补充说明的事项.docx 响应文件封面 投标人近3年完成的类似业绩证明材料.docx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售后服务方案.docx 分项报价明细价表.docx 中小企业声明函 商务应答表 一般资格要求.docx 服务内容及服务要求应答表 报价表 财务状况报告.docx 投标人认为有必要补充说明的事项.docx 响应文件封面 投标人近3年完成的类似业绩证明材料.docx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开标一览表.docx 分项报价明细价表.docx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符合采购文件投标有效期的规定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符合采购文件服务期限的规定</w:t>
            </w:r>
          </w:p>
        </w:tc>
        <w:tc>
          <w:tcPr>
            <w:tcW w:type="dxa" w:w="1661"/>
          </w:tcPr>
          <w:p>
            <w:pPr>
              <w:pStyle w:val="null3"/>
            </w:pPr>
            <w:r>
              <w:rPr>
                <w:rFonts w:ascii="仿宋_GB2312" w:hAnsi="仿宋_GB2312" w:cs="仿宋_GB2312" w:eastAsia="仿宋_GB2312"/>
              </w:rPr>
              <w:t>开标一览表.docx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详见附件：分项报价明细价表.docx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详见附件：投标人近3年完成的类似业绩证明材料.docx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lvl w:ilvl="2">
      <w:start w:val="1"/>
      <w:numFmt w:val="decimal"/>
      <w:lvlText w:val="%3."/>
      <w:lvlJc w:val="left"/>
      <w:pPr>
        <w:ind w:left="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