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364976">
      <w:pPr>
        <w:jc w:val="center"/>
        <w:rPr>
          <w:rFonts w:hint="eastAsia"/>
          <w:sz w:val="40"/>
          <w:szCs w:val="48"/>
          <w:lang w:val="en-US" w:eastAsia="zh-CN"/>
        </w:rPr>
      </w:pPr>
      <w:r>
        <w:rPr>
          <w:rFonts w:hint="eastAsia"/>
          <w:sz w:val="40"/>
          <w:szCs w:val="48"/>
          <w:lang w:val="en-US" w:eastAsia="zh-CN"/>
        </w:rPr>
        <w:t>采购清单</w:t>
      </w:r>
    </w:p>
    <w:tbl>
      <w:tblPr>
        <w:tblStyle w:val="6"/>
        <w:tblW w:w="907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939"/>
        <w:gridCol w:w="4288"/>
        <w:gridCol w:w="854"/>
        <w:gridCol w:w="1238"/>
      </w:tblGrid>
      <w:tr w14:paraId="1FECCE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F3780B">
            <w:pPr>
              <w:pStyle w:val="11"/>
              <w:jc w:val="center"/>
              <w:rPr>
                <w:rFonts w:ascii="仿宋_GB2312" w:hAnsi="仿宋_GB2312" w:eastAsia="仿宋_GB2312" w:cs="仿宋_GB2312"/>
                <w:sz w:val="21"/>
              </w:rPr>
            </w:pPr>
            <w:bookmarkStart w:id="0" w:name="_GoBack"/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设备详细清单</w:t>
            </w:r>
          </w:p>
        </w:tc>
      </w:tr>
      <w:tr w14:paraId="78149D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6656C4">
            <w:pPr>
              <w:pStyle w:val="11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一、卡口设备（主卡口3进3出集装箱货车通道+1进1出行政车道,内卡口2进2出货车通道+1进1出行政车道）</w:t>
            </w:r>
          </w:p>
        </w:tc>
      </w:tr>
      <w:tr w14:paraId="5B048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0FEF8E">
            <w:pPr>
              <w:pStyle w:val="11"/>
              <w:jc w:val="center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序号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E1DFD9">
            <w:pPr>
              <w:pStyle w:val="11"/>
              <w:jc w:val="center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项目名称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DF003A">
            <w:pPr>
              <w:pStyle w:val="11"/>
              <w:jc w:val="center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规格技术参数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008487">
            <w:pPr>
              <w:pStyle w:val="11"/>
              <w:jc w:val="center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单位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0D6C1F">
            <w:pPr>
              <w:pStyle w:val="11"/>
              <w:jc w:val="center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数量</w:t>
            </w:r>
          </w:p>
        </w:tc>
      </w:tr>
      <w:tr w14:paraId="25316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C808A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（一）集装箱箱号自动识别系统（4套）</w:t>
            </w:r>
          </w:p>
        </w:tc>
      </w:tr>
      <w:tr w14:paraId="3C0E2E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0E59B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33F93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红外对射传感器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FDE5C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输出最大电流不小于100mA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KABEK  2m,  4(3)*0.34 mm ；供电电压：10－30VDC 20-253VAC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典型最大检测范围：0－20m；操作范围：0-14m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检测范围/配反射镜：0.05－3m/C 110；典型最大检测范围/配反射镜：0.05－3.7m/C 110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偏光滤镜/光源：有/红光；响应时间：≤2ms；最大转变频率：250/s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工作温度：-25℃~+70%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2B9B6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B45E4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16</w:t>
            </w:r>
          </w:p>
        </w:tc>
      </w:tr>
      <w:tr w14:paraId="273396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DF612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FEE02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摄像机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DBB2D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200万像素 1/3" 逐行扫描CCD；最大分辨率可达1600×1200帧率25帧；快门1/30秒至1/10，000秒；最低照度0.1Lux@(F1.2,AGC ON)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应支持双码流，须采用H.264编码视频压缩技术,可同时支持MJPEG编码，抓拍帧采用JPEG编码，图片质量可设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应支持抓拍同步闪光灯输出，可支持3路闪光灯同步输出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应支持独立闪、不闪、关联闪、轮闪和频闪等多种补光方式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D4C9B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8072A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16</w:t>
            </w:r>
          </w:p>
        </w:tc>
      </w:tr>
      <w:tr w14:paraId="605B3B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B5102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B233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IO信号控制器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E7112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实现对箱号识别相关设备信号的采集及控制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D165B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E5D02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</w:tr>
      <w:tr w14:paraId="25FD6F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58114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BCD30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集装箱箱号自动识别系统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BD65A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能够可靠、高效地识别GB/T 1836-1997标准的集装箱号码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2A9CC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F1C3C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</w:tr>
      <w:tr w14:paraId="464D38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36F86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CCA6C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箱号识别狗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CB4E4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符合海关标准要求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8CA71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624F1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</w:tr>
      <w:tr w14:paraId="30BF1D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77296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A607D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室外交换机含固定架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1899C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设备类型：工业级以太网交换机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传输速率：10Mbps/100Mbps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传输模式：全/半双工自适应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网络标准：IEEE 802.3，IEEE 802.3u，IEEE 802.3ab，IEEE 802.3z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端口数：8/16口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功率：最大输入功率为24VA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电源：24V直流输入（12VDC~36VDC）内置过流保护 支持双电源备份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工作温度：-25℃ - 70℃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6B4DA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598CF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</w:tr>
      <w:tr w14:paraId="70C15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50263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7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3318A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卡口识别服务器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F898C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处理器：配置 2 颗服务器处理器，单颗处理器≥6 核，总线程≥12 线程。 内存：≥32GB ECC 服务器内存；硬盘：标配 2 块≥300GB 企业级硬盘，配置硬件 RAID 卡，支持 RAID0、RAID1。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DC3AE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F0FDF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3EBB7F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860EC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8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A9DD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操作系统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880D0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windows 2008 Server R2版 64位系统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3D46F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DDA58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360737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CF9FE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（二）电子地磅采集系统（6套）</w:t>
            </w:r>
          </w:p>
        </w:tc>
      </w:tr>
      <w:tr w14:paraId="7D2A9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9C83F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A136E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电子地磅称台缺失金属件补充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DB5D8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地磅缺失高强度螺丝螺栓，及其护面称台缺失变形件等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C911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F8E13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</w:t>
            </w:r>
          </w:p>
        </w:tc>
      </w:tr>
      <w:tr w14:paraId="459FA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3A17B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9B2BC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电子地磅压力传感器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01D5B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额定容量100T ,灵敏度：数字式内置高分辨率模数转换器，常见为 24bit，精度：衡量传感器综合性能的指标，常以综合误差表示，典型值为 ±0.02% F.S，数字式：数字式：通常为 9-24V DC，输入阻抗：常见值为 750±5Ω 或 700±10Ω。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输出阻抗：常见值为 703±2Ω 或 700±5Ω。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77305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B0F5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48</w:t>
            </w:r>
          </w:p>
        </w:tc>
      </w:tr>
      <w:tr w14:paraId="558D6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B72A1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7B169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电子地磅称重仪表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B35C7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仪表配备6位VFD数码管显示，支持1/2/5/10/20/50/100分度值选择，显示范围覆盖-99990至320000（分度值10）。内置存储模块可保存255个车号皮重、100个货号及512组称重记录，配备RS-232通讯口、20mA电流环大屏幕接口及标准并行打印接口。支持零位跟踪、手动置零、5点非线性修正功能，兼容自动/手动打印设置及快速填充式过磅单打印，适配8个350Ω传感器并具备50米内长线自动补偿能力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46F26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96C1F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</w:tr>
      <w:tr w14:paraId="06AB04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3A661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38CAB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电子地磅检修口金属件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4D0A7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金属加工件 长50厘米 宽20 高40厘米（6套，每个通道8个）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FED64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0BBF9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48</w:t>
            </w:r>
          </w:p>
        </w:tc>
      </w:tr>
      <w:tr w14:paraId="66B35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FD9BB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（三）高清光学车牌自动识别系统（10套）</w:t>
            </w:r>
          </w:p>
        </w:tc>
      </w:tr>
      <w:tr w14:paraId="5D019F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4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D3FDB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CDC1A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车牌识别摄像机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83814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 200万像素 1/3" 逐行扫描CCD智能网络摄像机；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最大分辨率：1600*1200；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帧率：25帧；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快门：1/25秒至1/10，000秒；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最低照度：0.1Lux@(F1.2,AGC ON)；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支持双码流，采用H.264编码视频压缩技术,可同时支持7.MJPEG编码，抓拍帧采用JPEG编码，图片质量可设；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支持抓拍同步闪光灯输出，可支持3路闪光灯同步输出；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支持独立闪、不闪、关联闪、轮闪和频闪等多种补光方式；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电源供应 DC12V±10%；功耗 10W MAX；工作温度湿度 -30℃~70℃；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湿度小于90%(无凝结)。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A4D4D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196BF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10</w:t>
            </w:r>
          </w:p>
        </w:tc>
      </w:tr>
      <w:tr w14:paraId="56853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4878C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3A61C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高清光学车牌自动识别软件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B11BA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符合海关标准要求,实现车辆过卡时自动抓拍车牌图像并识别，抓拍车头图片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1F013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58BB1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10</w:t>
            </w:r>
          </w:p>
        </w:tc>
      </w:tr>
      <w:tr w14:paraId="6BA5B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5D226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（四）自动放行控制系统（10套）</w:t>
            </w:r>
          </w:p>
        </w:tc>
      </w:tr>
      <w:tr w14:paraId="1FDB08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07FB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DA413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IO信号控制器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FDA55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实现对通道相关设备信号的采集及控制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工业级PLC控制设备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输入：6路以上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输出：6路以上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信号输入电压：24VDC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输入响应时间：10ms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继电器输出电压：240VAC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输出响应时间：10ms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通信接口：RS232、RS422、RS485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工作温度：-20℃ -50℃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工作湿度：小于90%(无凝结)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C2F3C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B39AE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10</w:t>
            </w:r>
          </w:p>
        </w:tc>
      </w:tr>
      <w:tr w14:paraId="7BF76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C2E4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CA6CF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车辆检测器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83436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能稳定检测到通过的速度不大于60公里/小时的二轮以上各种车辆；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车辆检测器Ø具有抗电磁干扰能力，互相无干扰。金属物体在两车道之间的隔离岛上移动时，不影响检测器的性能和精度；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Ø具有与电动栏杆及车道控制计算机连接的控制口，除了环形线圈外，所有控制电子器件均放置在自动栏杆机箱内，构成一个整体；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灵敏度至少4级可调，频率至少4级可调；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检测拖挂车、集装箱车辆时，主车与挂车部分应判为同一辆车；当两辆车快速、慢速或相距很近地通过检测器时，应判为两辆车；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平均使用寿命Ø大于800万辆次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3E364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15312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14</w:t>
            </w:r>
          </w:p>
        </w:tc>
      </w:tr>
      <w:tr w14:paraId="52E147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2B4EA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7BD1F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室外交换机含固定架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F59E8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设备类型：工业级以太网交换机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传输速率：10Mbps/100Mbps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传输模式：全/半双工自适应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网络标准：IEEE 802.3，IEEE 802.3u，IEEE 802.3ab，IEEE 802.3z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端口数：8/16口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功率：最大输入功率为24VA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电源：24V直流输入（12VDC~36VDC）内置过流保护 支持双电源备份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工作温度：-25℃ - 70℃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D2CDC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487F4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10</w:t>
            </w:r>
          </w:p>
        </w:tc>
      </w:tr>
      <w:tr w14:paraId="33CF0B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42217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608B9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挡车器及挡杆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9BBD9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栏杆的断面100mm×55mm，杆长≥3.0米;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杆体上喷有红白相间反光漆，栏杆臂使用高强度铝合金材料;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栏杆的更换简单、方便；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自动挡杆单次起/降时间≤1.5s，寿命大于150万往复次；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电动栏杆配有遥控器，具有手动应急控制功能。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CF864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47305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14</w:t>
            </w:r>
          </w:p>
        </w:tc>
      </w:tr>
      <w:tr w14:paraId="5A30E4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BDE39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DB6C2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高速变频电机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34E4C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功率200-1500W，法兰100mm。额定转矩4.77N·m，瞬时最大转矩14.3N·m，额定电流8.2A，最高转速5000rpm。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FC72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0B1E7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14</w:t>
            </w:r>
          </w:p>
        </w:tc>
      </w:tr>
      <w:tr w14:paraId="61008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2C4E1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5322F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道闸变频控制器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B9D3A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持Modbus RTU协议，通过RS485串口进行通讯。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控制实现：开发者可通过编程（例如C#语言）调用NModbus库等工具，向控制器发送指令来实现抬杆等操作。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关键参数：一个已知的通讯配置是波特率9600，数据位8，停止位1，无奇偶校验。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15E75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CB46B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14</w:t>
            </w:r>
          </w:p>
        </w:tc>
      </w:tr>
      <w:tr w14:paraId="02A613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373AA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7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F8198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网络协议转换模块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0048D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tcp转232协议模块：标准RJ45接口  ；网络协议：TCP/IP、UDP、IGMP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功耗：&lt; 2W ； 输入电源：DC12V～18V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工作温度：-10℃～+70℃ ； 工作湿度：10%～90%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尺寸：195x125x43mm(LxWxH) 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05BFD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8DDE7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14</w:t>
            </w:r>
          </w:p>
        </w:tc>
      </w:tr>
      <w:tr w14:paraId="21A50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4754B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8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66204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小型变压器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D5582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频变压器通常采用优质冷轧硅钢片作为铁芯，绕组为纯铜漆包线。效率一般在87% - 98% 之间。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外形与散热：常见E型，多为干式自冷。工作温度范围通常在 -15℃ 到 +70℃。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安全防护：通常具备过载、短路保护，并有金属屏蔽外壳以降低电磁干扰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BA163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501FD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14</w:t>
            </w:r>
          </w:p>
        </w:tc>
      </w:tr>
      <w:tr w14:paraId="33322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8EC1F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9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208E6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道口红绿灯及配件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948A2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LED颜色：红 绿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发光亮度：5000-12000 mcd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中心波长：613-618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输入电源：AC180-250V 50-60Hz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最大功率：30W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使用寿命：100000 Hr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尺寸：250X250 mm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B04A5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7E813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14</w:t>
            </w:r>
          </w:p>
        </w:tc>
      </w:tr>
      <w:tr w14:paraId="00D0DF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67AF8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（五）可视对讲系统</w:t>
            </w:r>
          </w:p>
        </w:tc>
      </w:tr>
      <w:tr w14:paraId="220AC6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56DA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BAC0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室外分机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76FB3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接口方式：RJ45网络接口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供电方式：外接直流电源供电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3D62C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0D9C8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10</w:t>
            </w:r>
          </w:p>
        </w:tc>
      </w:tr>
      <w:tr w14:paraId="657969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9AF22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59134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对讲控制主机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08B6C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接口方式：RJ45网络接口。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供电方式：外接直流电源。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控制方式：Webservice、TCP指令、UDP指令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54DEB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55614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</w:tr>
      <w:tr w14:paraId="03F5AB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DE3F4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467F1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IP地址盒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14375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网络接口：标准RJ45接口  ；网络协议：TCP/IP、UDP、IGMP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功耗：&lt; 2W ； 输入电源：DC12V～18V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工作温度：-10℃～+70℃ ； 工作湿度：10%～90%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尺寸：195x125x43mm(LxWxH) 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22348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D30C7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</w:tr>
      <w:tr w14:paraId="7CD0B7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AEADF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97422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室外网络音柱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09481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40W—60W，IP65，防水防尘，防雨防晒，壁挂安装。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A9733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8408E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</w:tr>
      <w:tr w14:paraId="6AEAE2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7EB86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CF675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网络交换机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08D1D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设备类型：工业级以太网交换机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传输速率：100Mbps/1000Mbps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传输模式：全/半双工自适应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网络标准：IEEE 802.3，IEEE 802.3u，IEEE 802.3ab，IEEE 802.3z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端口数：16口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功率：最大输入功率为24VA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电源：24V直流输入（12VDC~36VDC）内置过流保护 支持双电源备份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工作温度：-25℃ - 70℃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9A48A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8FC25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71876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B571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（六）平台管理系统</w:t>
            </w:r>
          </w:p>
        </w:tc>
      </w:tr>
      <w:tr w14:paraId="0A52E4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6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3BE28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34C49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网管型交换机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E44C7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二层带网管交换机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端口：24个10/100Base-TX以太网端口，2个10/100/1000Base-T以太网端口，2个复用的100/1000Base-X SFP端口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控制端口：1个Console口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传输模式：全双工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堆叠功能：可堆叠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网络标准：IEEE802.3, 802.3u, 802.3z, 802.3ab, 802.3x, 802.1D, 802.1Q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网管功能：支持命令行接口(CLI), Telnet, Console口配置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支持SNMP、支持静态路由、支持WEB网管、支持系统日志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堆叠功能：可堆叠,最大支持16台设备的堆叠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电源电压：AC 100-240V，50-60Hz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电源功率：13W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环境标准工作温度：0-45℃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工作湿度：10%-90%（非凝露）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E432C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B00F9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1678B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9A415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38C5C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值班室卡口业务PC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1B40B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CPU:I5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内存：16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硬盘：256+1T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显示器：19"LED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3CE80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46E4F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</w:tr>
      <w:tr w14:paraId="1DF65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B5412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F94AC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值班室显示大屏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D89A1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55“液晶显示屏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41B0F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68F44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</w:tr>
      <w:tr w14:paraId="590E2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1EAF3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3F037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吊装支架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DF578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配套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C56AF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135A9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</w:tr>
      <w:tr w14:paraId="5F493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E3B62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E6B45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15-20米HDMI 2.1线缆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32DEE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HDMI2.1版光纤线 8K60Hz高清发烧级视频线 连接电脑电视显示器投影仪影院工程布线 15米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0B440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条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3893F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</w:tr>
      <w:tr w14:paraId="47E94B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6EF77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（七）通道监控（8套）</w:t>
            </w:r>
          </w:p>
        </w:tc>
      </w:tr>
      <w:tr w14:paraId="560226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6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67F40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2296F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内卡球机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5CE33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光学变焦：20 倍；焦距 4.8～115mm；数字变焦 16 倍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视场角：广角 57.6°，长焦 2.5°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水平：360° 连续旋转；垂直：-15°～90°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水平键控速度：0.1°~160°/s；预置点最大速度 240°/s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预置点：256 个，支持巡航、守望、自动扫描、轨迹记忆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红外距离：**100 米**阵列红外灯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传感器：1/2.8" 逐行扫描 CMOS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分辨率：200 万像素，1920×1080@25fps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编码：H.265 / H.264，支持三码流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最低照度：彩色 0.005Lux@F1.6；黑白 0.001Lux；红外 0Lux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快门：1/1s ~ 1/30000s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日夜：ICR 自动彩转黑，3D 降噪、120dB 宽动态、强光抑制、透雾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B7FD1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FB85D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2515DE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FDCFD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324BA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球机电源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D4F10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专用电源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CE1DC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BF6DA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098457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9E1C5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68638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网桥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0F875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空旷可视距离 2km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频段：5GHz（5.15~5.85GHz）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无线协议：IEEE802.11a/n，MIMO 2×2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理论无线速率：300Mbps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内置天线：12dBi 双极化定向天线；水平波束角 30°，垂直 30°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发射功率：26dBm（国内合规）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接收灵敏度：-96dBm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网口：1×100/1000M 自适应 LAN 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供电：24V 被动 PoE / DC12V；整机功耗≤6.3W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防护等级：IP65，室外防水防尘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工作温度：-40℃ ~ +65℃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功能：点对点桥接、一键配对、信号指示灯、防雷、组播抑制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D543E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对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B8C81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773838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99B07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B3F27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监控硬盘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51B14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4T企业级监控硬盘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E85B8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378C3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24</w:t>
            </w:r>
          </w:p>
        </w:tc>
      </w:tr>
      <w:tr w14:paraId="4B0926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718AD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F4402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监控PC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83D6A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CPU:I5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内存：16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硬盘：256+1T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显示器：≥19"LED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8FF86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C63C3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</w:tr>
      <w:tr w14:paraId="57D9A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3AE96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0AF3B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卡口货物通道监控摄像头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95FC3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工作电压：220V 50HZ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工作电流：≤0.15A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摄像机：200万高清网络摄像机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补光类型：智能睡眠型同步补光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构造材质：钢体结构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使用环境：户内/户外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防护等级：IP67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工作温度：-25℃至60℃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E6C81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55F6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16</w:t>
            </w:r>
          </w:p>
        </w:tc>
      </w:tr>
      <w:tr w14:paraId="5CDC7E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E776B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7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84179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摄像机电源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609A5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配套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E1470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A39F5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16</w:t>
            </w:r>
          </w:p>
        </w:tc>
      </w:tr>
      <w:tr w14:paraId="573ED7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7A3F8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8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8BD61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摄像机支架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5E44F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配套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A9A65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BD76D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16</w:t>
            </w:r>
          </w:p>
        </w:tc>
      </w:tr>
      <w:tr w14:paraId="2A5F27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A7343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9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E796E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接入交换机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A3A71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二层带网管交换机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端口：24个10/100Base-TX以太网端口，2个10/100/1000Base-T以太网端口，2个复用的100/1000Base-X SFP端口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控制端口：1个Console口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传输模式：全双工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堆叠功能：可堆叠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网络标准：IEEE802.3, 802.3u, 802.3z, 802.3ab, 802.3x, 802.1D, 802.1Q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网管功能：支持命令行接口(CLI), Telnet, Console口配置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支持SNMP、支持静态路由、支持WEB网管、支持系统日志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堆叠功能：可堆叠,最大支持16台设备的堆叠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电源电压：AC 100-240V，50-60Hz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电源功率：13W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环境标准工作温度：0-45℃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工作湿度：10%-90%（非凝露）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62C53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856C1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</w:tr>
      <w:tr w14:paraId="1F453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5C1FD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10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C266F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汇聚交换机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28E04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三层带网管交换机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端口：24个10/100Base-TX以太网端口，2个10/100/1000Base-T以太网端口，2个复用的100/1000Base-X SFP端口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控制端口：1个Console口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传输模式：全双工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 xml:space="preserve">堆叠功能：可堆叠 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网络标准：IEEE802.3, 802.3u, 802.3z, 802.3ab, 802.3x, 802.1D, 802.1Q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网管功能：支持命令行接口(CLI), Telnet, Console口配置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支持SNMP、支持静态路由、支持WEB网管、支持系统日志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堆叠功能：可堆叠,最大支持16台设备的堆叠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电源电压：AC 100-240V，50-60Hz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电源功率：13W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环境标准工作温度：0-45℃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工作湿度：10%-90%（非凝露）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B4E50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6AEBF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</w:tr>
      <w:tr w14:paraId="570D89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0A2EE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（八）UPS不间断电源系统</w:t>
            </w:r>
          </w:p>
        </w:tc>
      </w:tr>
      <w:tr w14:paraId="26A82F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58296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4AC0E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UPS主机（主卡）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7171F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额定容量：30KVA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电压：300~480VAC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频率：45~55Hz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相线：三相四线＋地线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输入功因：≥0.99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市电输入：支持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形式：阀控式密封铅酸免维护蓄电池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6FDEC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774FF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77C1F3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896D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937FF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电池柜（主卡、内卡）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B876D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UPS配套电池柜，可放置32块电池。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4037B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1319B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</w:tr>
      <w:tr w14:paraId="20F08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D3C5E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854B5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电池（主卡、内卡）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A1672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额定电压（V）：12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额定容量（AH）：100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外形尺寸（MM）（长×宽×高）：412×172.5×237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总高：237mm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9F0B0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4922C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64</w:t>
            </w:r>
          </w:p>
        </w:tc>
      </w:tr>
      <w:tr w14:paraId="3FD478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01A0C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2BF3C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4*16+1*10平方电缆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5E3B2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用于UPS主电缆4*16+1*10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7A6F5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米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DA8ED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50</w:t>
            </w:r>
          </w:p>
        </w:tc>
      </w:tr>
      <w:tr w14:paraId="70E91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E17D2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266FF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UPS主机（内卡）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207EA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额定容量：15KVA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电压：300~480VAC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频率：45~55Hz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相线：三相四线＋地线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输入功因：≥0.99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市电输入：支持</w:t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形式：阀控式密封铅酸免维护蓄电池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D069A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A962B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1E244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1FD7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1B7D7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机房空调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291D2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3P立柜式空调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A657F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D5B2F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2E326E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7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A29FF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（九）围网改造</w:t>
            </w:r>
          </w:p>
        </w:tc>
      </w:tr>
      <w:tr w14:paraId="6C7437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1C4C5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527BF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光缆敷设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FB188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24芯室外光缆、光缆敷设、光缆熔接等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300BA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米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5D26E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5000</w:t>
            </w:r>
          </w:p>
        </w:tc>
      </w:tr>
      <w:tr w14:paraId="1E6B5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F3E03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46D39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电缆敷设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A5F6A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3*4平方室外电缆、电缆敷设、电缆头制作安装。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1C008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米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31E71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2500</w:t>
            </w:r>
          </w:p>
        </w:tc>
      </w:tr>
      <w:tr w14:paraId="7D8835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120F0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0F600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室外边界摄像头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C7DAB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200万室外6MM 红外边界摄像头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F1003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FCD89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300</w:t>
            </w:r>
          </w:p>
        </w:tc>
      </w:tr>
      <w:tr w14:paraId="077870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D563A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63DCE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拆除、挪移、安装摄像头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41A5B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拆除原来围网监控摄像头、然后挪移到新围网上安装、调试等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81FF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8FE8A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120</w:t>
            </w:r>
          </w:p>
        </w:tc>
      </w:tr>
      <w:tr w14:paraId="2BCA84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5AAAC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85497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室外防水箱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18FFE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包括配电空开、插线板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AB080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B1C62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15</w:t>
            </w:r>
          </w:p>
        </w:tc>
      </w:tr>
      <w:tr w14:paraId="0DD94D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CC5E0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30923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围网T型支架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901EA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围网专用T型支架，俩枪一球或者 3枪支架等包含万向节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F3C69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6175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50</w:t>
            </w:r>
          </w:p>
        </w:tc>
      </w:tr>
      <w:tr w14:paraId="0F6ED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2CAA7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7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EB69B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8口千兆POE交换机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5D5ED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656CA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4F2CF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40</w:t>
            </w:r>
          </w:p>
        </w:tc>
      </w:tr>
      <w:tr w14:paraId="3A3638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92FE1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8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14C4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16口千兆交换机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5869D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D5F2C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台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CE6B0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</w:tr>
      <w:tr w14:paraId="0AD1F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922CB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9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89AB3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室外汇聚机柜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E6317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600*600*1000（含空开、插排等）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D16D8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CA38A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</w:tr>
      <w:tr w14:paraId="736800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E7D59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10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2AA5C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存储服务器硬盘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4924A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4T企业级监控硬盘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19304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块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53D2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72</w:t>
            </w:r>
          </w:p>
        </w:tc>
      </w:tr>
      <w:tr w14:paraId="18FE4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9720E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11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485F9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72芯光纤配线架SC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3F79C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包含配线架、接头、熔接等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69BB8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架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24B77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</w:t>
            </w:r>
          </w:p>
        </w:tc>
      </w:tr>
      <w:tr w14:paraId="72F0C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191B8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12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4A81F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网线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0A827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6类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6BC13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米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6463D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15000</w:t>
            </w:r>
          </w:p>
        </w:tc>
      </w:tr>
      <w:tr w14:paraId="2E006D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CE415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CCEB7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光钎收发器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1DCE2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千兆3公里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E466F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对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D3A74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30</w:t>
            </w:r>
          </w:p>
        </w:tc>
      </w:tr>
      <w:tr w14:paraId="62B29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3DA830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14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C85A3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光钎收发器集中供电槽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795F8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7D8CE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BA03E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</w:tr>
      <w:tr w14:paraId="284054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B51F5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15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4A42A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4芯光钎终端盒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C34A6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满配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033F3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0181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45</w:t>
            </w:r>
          </w:p>
        </w:tc>
      </w:tr>
      <w:tr w14:paraId="10675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F0D70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16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999E5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12芯光钎终端盒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B1D2C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满配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99323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A1425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</w:t>
            </w:r>
          </w:p>
        </w:tc>
      </w:tr>
      <w:tr w14:paraId="5C24E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DB72C2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17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9CF0F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24芯光钎终端盒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E09D8E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满配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E987D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个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0D4E1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</w:t>
            </w:r>
          </w:p>
        </w:tc>
      </w:tr>
      <w:tr w14:paraId="29282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144CD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18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A5D2F6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光钎跳线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7566FA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FC-SC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E1C1A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根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89E86D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100</w:t>
            </w:r>
          </w:p>
        </w:tc>
      </w:tr>
      <w:tr w14:paraId="2A24F3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229513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19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97A9AF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PA波纹管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1CB35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DN32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F22159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米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6E718B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500</w:t>
            </w:r>
          </w:p>
        </w:tc>
      </w:tr>
      <w:tr w14:paraId="12A0F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B0B6F4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20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04365C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PE管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3FFC78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DN32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C2CA01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米</w:t>
            </w:r>
          </w:p>
        </w:tc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4F2D45">
            <w:pPr>
              <w:pStyle w:val="11"/>
              <w:rPr>
                <w:rFonts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lang w:eastAsia="zh-CN"/>
              </w:rPr>
              <w:t>3000</w:t>
            </w:r>
          </w:p>
        </w:tc>
      </w:tr>
      <w:bookmarkEnd w:id="0"/>
    </w:tbl>
    <w:p w14:paraId="334557AC">
      <w:pPr>
        <w:jc w:val="center"/>
        <w:rPr>
          <w:rFonts w:hint="eastAsia"/>
          <w:sz w:val="40"/>
          <w:szCs w:val="48"/>
          <w:lang w:val="en-US" w:eastAsia="zh-CN"/>
        </w:rPr>
      </w:pPr>
    </w:p>
    <w:p w14:paraId="63EAA909">
      <w:pPr>
        <w:jc w:val="center"/>
        <w:rPr>
          <w:rFonts w:hint="default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5D15ED"/>
    <w:multiLevelType w:val="multilevel"/>
    <w:tmpl w:val="565D15ED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eastAsia" w:ascii="Times New Roman" w:hAnsi="Times New Roman" w:eastAsia="宋体"/>
        <w:b/>
        <w:i w:val="0"/>
        <w:sz w:val="32"/>
      </w:rPr>
    </w:lvl>
    <w:lvl w:ilvl="1" w:tentative="0">
      <w:start w:val="1"/>
      <w:numFmt w:val="decimal"/>
      <w:isLgl/>
      <w:suff w:val="nothing"/>
      <w:lvlText w:val="%1.%2、"/>
      <w:lvlJc w:val="left"/>
      <w:pPr>
        <w:ind w:left="3828" w:firstLine="0"/>
      </w:pPr>
      <w:rPr>
        <w:rFonts w:hint="eastAsia" w:ascii="Times New Roman" w:hAnsi="Times New Roman" w:eastAsia="宋体" w:cs="Times New Roman"/>
        <w:b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position w:val="0"/>
        <w:sz w:val="30"/>
        <w:u w:val="none"/>
        <w:vertAlign w:val="baseline"/>
      </w:rPr>
    </w:lvl>
    <w:lvl w:ilvl="2" w:tentative="0">
      <w:start w:val="1"/>
      <w:numFmt w:val="decimal"/>
      <w:pStyle w:val="4"/>
      <w:isLgl/>
      <w:suff w:val="nothing"/>
      <w:lvlText w:val="%1.%2.%3、"/>
      <w:lvlJc w:val="left"/>
      <w:pPr>
        <w:ind w:left="-2" w:firstLine="0"/>
      </w:pPr>
      <w:rPr>
        <w:rFonts w:hint="eastAsia" w:ascii="Times New Roman" w:hAnsi="Times New Roman" w:eastAsia="宋体"/>
        <w:b/>
        <w:i w:val="0"/>
        <w:sz w:val="28"/>
      </w:rPr>
    </w:lvl>
    <w:lvl w:ilvl="3" w:tentative="0">
      <w:start w:val="1"/>
      <w:numFmt w:val="decimal"/>
      <w:isLgl/>
      <w:suff w:val="nothing"/>
      <w:lvlText w:val="%1.%2.%3.%4、"/>
      <w:lvlJc w:val="left"/>
      <w:pPr>
        <w:ind w:left="0" w:firstLine="0"/>
      </w:pPr>
      <w:rPr>
        <w:rFonts w:hint="eastAsia" w:ascii="Times New Roman" w:hAnsi="Times New Roman" w:eastAsia="宋体"/>
        <w:b/>
        <w:i w:val="0"/>
        <w:sz w:val="24"/>
      </w:rPr>
    </w:lvl>
    <w:lvl w:ilvl="4" w:tentative="0">
      <w:start w:val="1"/>
      <w:numFmt w:val="decimal"/>
      <w:isLgl/>
      <w:suff w:val="nothing"/>
      <w:lvlText w:val="%1.%2.%3.%4.%5、"/>
      <w:lvlJc w:val="left"/>
      <w:pPr>
        <w:ind w:left="0" w:firstLine="0"/>
      </w:pPr>
      <w:rPr>
        <w:rFonts w:hint="eastAsia" w:ascii="Times New Roman" w:hAnsi="Times New Roman" w:eastAsia="宋体"/>
        <w:b/>
        <w:i w:val="0"/>
        <w:sz w:val="21"/>
      </w:rPr>
    </w:lvl>
    <w:lvl w:ilvl="5" w:tentative="0">
      <w:start w:val="1"/>
      <w:numFmt w:val="decimal"/>
      <w:isLgl/>
      <w:suff w:val="nothing"/>
      <w:lvlText w:val="%1.%2.%3.%4.%5.%6、"/>
      <w:lvlJc w:val="left"/>
      <w:pPr>
        <w:ind w:left="0" w:firstLine="0"/>
      </w:pPr>
      <w:rPr>
        <w:rFonts w:hint="eastAsia" w:ascii="Times New Roman" w:hAnsi="Times New Roman" w:eastAsia="宋体"/>
        <w:b/>
        <w:i w:val="0"/>
        <w:sz w:val="21"/>
      </w:rPr>
    </w:lvl>
    <w:lvl w:ilvl="6" w:tentative="0">
      <w:start w:val="1"/>
      <w:numFmt w:val="decimal"/>
      <w:isLgl/>
      <w:suff w:val="nothing"/>
      <w:lvlText w:val="%1.%2.%3.%4.%5.%6.%7、"/>
      <w:lvlJc w:val="left"/>
      <w:pPr>
        <w:ind w:left="0" w:firstLine="0"/>
      </w:pPr>
      <w:rPr>
        <w:rFonts w:hint="eastAsia" w:ascii="Times New Roman" w:hAnsi="Times New Roman" w:eastAsia="宋体"/>
        <w:b/>
        <w:i w:val="0"/>
        <w:sz w:val="21"/>
      </w:rPr>
    </w:lvl>
    <w:lvl w:ilvl="7" w:tentative="0">
      <w:start w:val="1"/>
      <w:numFmt w:val="decimal"/>
      <w:isLgl/>
      <w:suff w:val="nothing"/>
      <w:lvlText w:val="%1.%2.%3.%4.%5.%6.%7.%8、"/>
      <w:lvlJc w:val="left"/>
      <w:pPr>
        <w:ind w:left="0" w:firstLine="0"/>
      </w:pPr>
      <w:rPr>
        <w:rFonts w:hint="eastAsia" w:ascii="Times New Roman" w:hAnsi="Times New Roman" w:eastAsia="宋体"/>
        <w:b/>
        <w:i w:val="0"/>
        <w:sz w:val="21"/>
      </w:rPr>
    </w:lvl>
    <w:lvl w:ilvl="8" w:tentative="0">
      <w:start w:val="1"/>
      <w:numFmt w:val="decimal"/>
      <w:isLgl/>
      <w:suff w:val="nothing"/>
      <w:lvlText w:val="%1.%2.%3.%4.%5.%6.%7.%8.%9、"/>
      <w:lvlJc w:val="left"/>
      <w:pPr>
        <w:ind w:left="0" w:firstLine="0"/>
      </w:pPr>
      <w:rPr>
        <w:rFonts w:hint="eastAsia" w:ascii="Times New Roman" w:hAnsi="Times New Roman" w:eastAsia="宋体"/>
        <w:b/>
        <w:i w:val="0"/>
        <w:sz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F7622"/>
    <w:rsid w:val="12CB79DD"/>
    <w:rsid w:val="1DD63602"/>
    <w:rsid w:val="26A61FB0"/>
    <w:rsid w:val="26B03FF2"/>
    <w:rsid w:val="2E98722B"/>
    <w:rsid w:val="305E56A9"/>
    <w:rsid w:val="317A3B23"/>
    <w:rsid w:val="32392915"/>
    <w:rsid w:val="3B332D85"/>
    <w:rsid w:val="3B61278D"/>
    <w:rsid w:val="483D1D78"/>
    <w:rsid w:val="4C4E30AC"/>
    <w:rsid w:val="4D9E092E"/>
    <w:rsid w:val="54784522"/>
    <w:rsid w:val="54A84FC1"/>
    <w:rsid w:val="5AFC4128"/>
    <w:rsid w:val="5C641313"/>
    <w:rsid w:val="63EE6919"/>
    <w:rsid w:val="64F2393F"/>
    <w:rsid w:val="69F06324"/>
    <w:rsid w:val="6B4C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spacing w:line="360" w:lineRule="auto"/>
      <w:jc w:val="center"/>
      <w:outlineLvl w:val="0"/>
    </w:pPr>
    <w:rPr>
      <w:rFonts w:ascii="Times New Roman" w:hAnsi="Times New Roman" w:eastAsia="宋体"/>
      <w:b/>
      <w:sz w:val="36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spacing w:line="360" w:lineRule="auto"/>
      <w:jc w:val="center"/>
      <w:outlineLvl w:val="1"/>
    </w:pPr>
    <w:rPr>
      <w:rFonts w:ascii="Arial" w:hAnsi="Arial" w:eastAsia="宋体" w:cs="Times New Roman"/>
      <w:b/>
      <w:sz w:val="32"/>
    </w:rPr>
  </w:style>
  <w:style w:type="paragraph" w:styleId="4">
    <w:name w:val="heading 3"/>
    <w:basedOn w:val="1"/>
    <w:next w:val="1"/>
    <w:link w:val="8"/>
    <w:semiHidden/>
    <w:unhideWhenUsed/>
    <w:qFormat/>
    <w:uiPriority w:val="0"/>
    <w:pPr>
      <w:keepNext/>
      <w:keepLines/>
      <w:numPr>
        <w:ilvl w:val="2"/>
        <w:numId w:val="1"/>
      </w:numPr>
      <w:spacing w:before="120" w:after="120" w:line="360" w:lineRule="auto"/>
      <w:jc w:val="center"/>
      <w:outlineLvl w:val="2"/>
    </w:pPr>
    <w:rPr>
      <w:rFonts w:ascii="Times New Roman" w:hAnsi="Times New Roman" w:eastAsia="宋体"/>
      <w:b/>
      <w:bCs/>
      <w:sz w:val="28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30"/>
      <w:szCs w:val="24"/>
      <w:lang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标题 3 Char"/>
    <w:link w:val="4"/>
    <w:qFormat/>
    <w:uiPriority w:val="0"/>
    <w:rPr>
      <w:rFonts w:ascii="Times New Roman" w:hAnsi="Times New Roman" w:eastAsia="宋体" w:cs="Times New Roman"/>
      <w:b/>
      <w:sz w:val="24"/>
    </w:rPr>
  </w:style>
  <w:style w:type="character" w:customStyle="1" w:styleId="9">
    <w:name w:val="标题 2 字符"/>
    <w:basedOn w:val="7"/>
    <w:link w:val="3"/>
    <w:autoRedefine/>
    <w:qFormat/>
    <w:uiPriority w:val="0"/>
    <w:rPr>
      <w:rFonts w:ascii="Arial" w:hAnsi="Arial" w:eastAsia="宋体" w:cs="Times New Roman"/>
      <w:b/>
      <w:sz w:val="32"/>
    </w:rPr>
  </w:style>
  <w:style w:type="character" w:customStyle="1" w:styleId="10">
    <w:name w:val="标题 1 Char"/>
    <w:link w:val="2"/>
    <w:qFormat/>
    <w:uiPriority w:val="0"/>
    <w:rPr>
      <w:rFonts w:ascii="Times New Roman" w:hAnsi="Times New Roman" w:eastAsia="宋体" w:cs="Times New Roman"/>
      <w:b/>
      <w:kern w:val="2"/>
      <w:sz w:val="32"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2024-05-23T10:25:00Z</dcterms:created>
  <dc:creator>Administrator</dc:creator>
  <cp:lastModifiedBy>雨</cp:lastModifiedBy>
  <dcterms:modified xsi:type="dcterms:W3CDTF">2026-10-16T13:29:25Z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AA26AE102E8646E2BEAA89B73F0BC0A1_12</vt:lpwstr>
  </property>
  <property fmtid="{D5CDD505-2E9C-101B-9397-08002B2CF9AE}" pid="4" name="KSOTemplateDocerSaveRecord">
    <vt:lpwstr>eyJoZGlkIjoiNTdiNTgyMDM1NjNiNjU1Mzg0MGJjMzU5YWY5ZGRhNWQiLCJ1c2VySWQiOiIxMzg1NjY0MTcxIn0=</vt:lpwstr>
  </property>
</Properties>
</file>