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FDDBEF">
      <w:pPr>
        <w:pStyle w:val="2"/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firstLine="476" w:firstLineChars="200"/>
        <w:jc w:val="center"/>
        <w:textAlignment w:val="auto"/>
        <w:rPr>
          <w:rFonts w:hint="eastAsia" w:ascii="黑体" w:hAnsi="黑体" w:eastAsia="黑体" w:cs="黑体"/>
          <w:color w:val="auto"/>
          <w:spacing w:val="-1"/>
          <w:sz w:val="24"/>
          <w:szCs w:val="24"/>
          <w:highlight w:val="none"/>
          <w:lang w:eastAsia="zh-CN"/>
        </w:rPr>
      </w:pPr>
      <w:bookmarkStart w:id="0" w:name="_Toc17744"/>
      <w:bookmarkStart w:id="1" w:name="_Toc4042"/>
      <w:bookmarkStart w:id="2" w:name="_Toc32058"/>
      <w:bookmarkStart w:id="3" w:name="_Toc12885"/>
      <w:bookmarkStart w:id="4" w:name="_Toc7951"/>
      <w:bookmarkStart w:id="5" w:name="_Toc10355"/>
      <w:bookmarkStart w:id="6" w:name="_Toc25064"/>
      <w:bookmarkStart w:id="7" w:name="_Toc20613"/>
      <w:bookmarkStart w:id="8" w:name="_Toc4909"/>
      <w:bookmarkStart w:id="9" w:name="_Toc31164"/>
    </w:p>
    <w:p w14:paraId="670DA54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firstLine="480" w:firstLineChars="200"/>
        <w:textAlignment w:val="auto"/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CN"/>
        </w:rPr>
      </w:pPr>
    </w:p>
    <w:p w14:paraId="3ED95454">
      <w:pPr>
        <w:pStyle w:val="2"/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color w:val="auto"/>
          <w:spacing w:val="-1"/>
          <w:sz w:val="24"/>
          <w:szCs w:val="24"/>
          <w:highlight w:val="none"/>
          <w:lang w:eastAsia="zh-CN"/>
        </w:rPr>
      </w:pPr>
    </w:p>
    <w:p w14:paraId="1E562E78">
      <w:pPr>
        <w:pStyle w:val="2"/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b/>
          <w:bCs/>
          <w:color w:val="auto"/>
          <w:spacing w:val="-1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b/>
          <w:bCs/>
          <w:color w:val="auto"/>
          <w:spacing w:val="-1"/>
          <w:sz w:val="44"/>
          <w:szCs w:val="44"/>
          <w:highlight w:val="none"/>
          <w:lang w:eastAsia="zh-CN"/>
        </w:rPr>
        <w:t>咸阳市中小企业数字化转型试点城市综合服务(评测验收服务)项目</w:t>
      </w:r>
      <w:r>
        <w:rPr>
          <w:rFonts w:hint="eastAsia" w:ascii="黑体" w:hAnsi="黑体" w:eastAsia="黑体" w:cs="黑体"/>
          <w:b/>
          <w:bCs/>
          <w:color w:val="auto"/>
          <w:spacing w:val="-1"/>
          <w:sz w:val="44"/>
          <w:szCs w:val="44"/>
          <w:highlight w:val="none"/>
        </w:rPr>
        <w:t>合同</w:t>
      </w:r>
    </w:p>
    <w:p w14:paraId="35E5038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textAlignment w:val="auto"/>
        <w:rPr>
          <w:rFonts w:hint="eastAsia" w:ascii="黑体" w:hAnsi="黑体" w:eastAsia="黑体" w:cs="黑体"/>
        </w:rPr>
      </w:pPr>
    </w:p>
    <w:p w14:paraId="343ACEA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textAlignment w:val="auto"/>
        <w:rPr>
          <w:rFonts w:hint="eastAsia" w:ascii="黑体" w:hAnsi="黑体" w:eastAsia="黑体" w:cs="黑体"/>
        </w:rPr>
      </w:pPr>
    </w:p>
    <w:p w14:paraId="497567D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textAlignment w:val="auto"/>
        <w:rPr>
          <w:rFonts w:hint="eastAsia" w:ascii="黑体" w:hAnsi="黑体" w:eastAsia="黑体" w:cs="黑体"/>
        </w:rPr>
      </w:pPr>
    </w:p>
    <w:p w14:paraId="613D0BD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textAlignment w:val="auto"/>
        <w:rPr>
          <w:rFonts w:hint="eastAsia" w:ascii="黑体" w:hAnsi="黑体" w:eastAsia="黑体" w:cs="黑体"/>
        </w:rPr>
      </w:pPr>
    </w:p>
    <w:p w14:paraId="52CA2AC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textAlignment w:val="auto"/>
        <w:rPr>
          <w:rFonts w:hint="eastAsia" w:ascii="黑体" w:hAnsi="黑体" w:eastAsia="黑体" w:cs="黑体"/>
        </w:rPr>
      </w:pPr>
    </w:p>
    <w:p w14:paraId="4FFDD74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textAlignment w:val="auto"/>
        <w:rPr>
          <w:rFonts w:hint="eastAsia" w:ascii="黑体" w:hAnsi="黑体" w:eastAsia="黑体" w:cs="黑体"/>
        </w:rPr>
      </w:pPr>
    </w:p>
    <w:p w14:paraId="58B0CCF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textAlignment w:val="auto"/>
        <w:rPr>
          <w:rFonts w:hint="eastAsia" w:ascii="黑体" w:hAnsi="黑体" w:eastAsia="黑体" w:cs="黑体"/>
        </w:rPr>
      </w:pPr>
      <w:bookmarkStart w:id="22" w:name="_GoBack"/>
      <w:bookmarkEnd w:id="22"/>
    </w:p>
    <w:p w14:paraId="6FE23A8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textAlignment w:val="auto"/>
        <w:rPr>
          <w:rFonts w:hint="eastAsia" w:ascii="黑体" w:hAnsi="黑体" w:eastAsia="黑体" w:cs="黑体"/>
        </w:rPr>
      </w:pPr>
    </w:p>
    <w:p w14:paraId="623E916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textAlignment w:val="auto"/>
        <w:rPr>
          <w:rFonts w:hint="eastAsia" w:ascii="黑体" w:hAnsi="黑体" w:eastAsia="黑体" w:cs="黑体"/>
        </w:rPr>
      </w:pPr>
    </w:p>
    <w:p w14:paraId="5365325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textAlignment w:val="auto"/>
        <w:rPr>
          <w:rFonts w:hint="eastAsia" w:ascii="黑体" w:hAnsi="黑体" w:eastAsia="黑体" w:cs="黑体"/>
        </w:rPr>
      </w:pPr>
    </w:p>
    <w:p w14:paraId="3EC545C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textAlignment w:val="auto"/>
        <w:rPr>
          <w:rFonts w:hint="eastAsia" w:ascii="黑体" w:hAnsi="黑体" w:eastAsia="黑体" w:cs="黑体"/>
        </w:rPr>
      </w:pPr>
    </w:p>
    <w:p w14:paraId="5BD80FC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textAlignment w:val="auto"/>
        <w:rPr>
          <w:rFonts w:hint="eastAsia" w:ascii="黑体" w:hAnsi="黑体" w:eastAsia="黑体" w:cs="黑体"/>
        </w:rPr>
      </w:pPr>
    </w:p>
    <w:p w14:paraId="1FD488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color w:val="auto"/>
          <w:spacing w:val="-1"/>
          <w:sz w:val="30"/>
          <w:szCs w:val="30"/>
          <w:highlight w:val="none"/>
        </w:rPr>
      </w:pPr>
      <w:r>
        <w:rPr>
          <w:rFonts w:hint="eastAsia" w:ascii="黑体" w:hAnsi="黑体" w:eastAsia="黑体" w:cs="黑体"/>
          <w:color w:val="auto"/>
          <w:spacing w:val="-1"/>
          <w:sz w:val="30"/>
          <w:szCs w:val="30"/>
          <w:highlight w:val="none"/>
        </w:rPr>
        <w:t>二○二</w:t>
      </w:r>
      <w:r>
        <w:rPr>
          <w:rFonts w:hint="eastAsia" w:ascii="黑体" w:hAnsi="黑体" w:eastAsia="黑体" w:cs="黑体"/>
          <w:color w:val="auto"/>
          <w:spacing w:val="-1"/>
          <w:sz w:val="30"/>
          <w:szCs w:val="30"/>
          <w:highlight w:val="none"/>
          <w:lang w:val="en-US" w:eastAsia="zh-CN"/>
        </w:rPr>
        <w:t>六</w:t>
      </w:r>
      <w:r>
        <w:rPr>
          <w:rFonts w:hint="eastAsia" w:ascii="黑体" w:hAnsi="黑体" w:eastAsia="黑体" w:cs="黑体"/>
          <w:color w:val="auto"/>
          <w:spacing w:val="-1"/>
          <w:sz w:val="30"/>
          <w:szCs w:val="30"/>
          <w:highlight w:val="none"/>
        </w:rPr>
        <w:t>年</w:t>
      </w:r>
      <w:r>
        <w:rPr>
          <w:rFonts w:hint="eastAsia" w:ascii="黑体" w:hAnsi="黑体" w:eastAsia="黑体" w:cs="黑体"/>
          <w:color w:val="auto"/>
          <w:spacing w:val="-1"/>
          <w:sz w:val="30"/>
          <w:szCs w:val="30"/>
          <w:highlight w:val="none"/>
          <w:lang w:val="en-US" w:eastAsia="zh-CN"/>
        </w:rPr>
        <w:t>X</w:t>
      </w:r>
      <w:r>
        <w:rPr>
          <w:rFonts w:hint="eastAsia" w:ascii="黑体" w:hAnsi="黑体" w:eastAsia="黑体" w:cs="黑体"/>
          <w:color w:val="auto"/>
          <w:spacing w:val="-1"/>
          <w:sz w:val="30"/>
          <w:szCs w:val="30"/>
          <w:highlight w:val="none"/>
        </w:rPr>
        <w:t>月</w:t>
      </w:r>
    </w:p>
    <w:p w14:paraId="1FFEBD6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textAlignment w:val="auto"/>
        <w:rPr>
          <w:rFonts w:hint="eastAsia" w:ascii="黑体" w:hAnsi="黑体" w:eastAsia="黑体" w:cs="黑体"/>
        </w:rPr>
      </w:pPr>
    </w:p>
    <w:p w14:paraId="55233EB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both"/>
        <w:textAlignment w:val="auto"/>
        <w:rPr>
          <w:rFonts w:hint="eastAsia" w:ascii="黑体" w:hAnsi="黑体" w:eastAsia="黑体" w:cs="黑体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br w:type="page"/>
      </w:r>
      <w:r>
        <w:rPr>
          <w:rFonts w:hint="eastAsia" w:ascii="黑体" w:hAnsi="黑体" w:eastAsia="黑体" w:cs="黑体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甲方：</w:t>
      </w:r>
    </w:p>
    <w:p w14:paraId="697EFC8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both"/>
        <w:textAlignment w:val="auto"/>
        <w:rPr>
          <w:rFonts w:hint="eastAsia" w:ascii="黑体" w:hAnsi="黑体" w:eastAsia="黑体" w:cs="黑体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乙方：</w:t>
      </w:r>
    </w:p>
    <w:p w14:paraId="0C96B78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依据《中华人民共和国民法典》和《中华人民共和国政府采购法》，甲方委托陕西长德项目管理有限公司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采取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CN"/>
        </w:rPr>
        <w:t>公开招标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方式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  <w:t>确定乙方</w:t>
      </w:r>
      <w:r>
        <w:rPr>
          <w:rFonts w:hint="eastAsia" w:ascii="黑体" w:hAnsi="黑体" w:eastAsia="黑体" w:cs="黑体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为</w:t>
      </w:r>
      <w:r>
        <w:rPr>
          <w:rFonts w:hint="eastAsia" w:ascii="黑体" w:hAnsi="黑体" w:eastAsia="黑体" w:cs="黑体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本项目供</w:t>
      </w:r>
      <w:r>
        <w:rPr>
          <w:rFonts w:hint="eastAsia" w:ascii="黑体" w:hAnsi="黑体" w:eastAsia="黑体" w:cs="黑体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应商。甲乙双方经平等协商，订立本合同，共同遵照执行。</w:t>
      </w:r>
    </w:p>
    <w:p w14:paraId="01081C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bookmarkStart w:id="10" w:name="_Toc24336"/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24"/>
          <w:szCs w:val="24"/>
          <w:highlight w:val="none"/>
          <w:lang w:val="zh-CN" w:eastAsia="zh-CN" w:bidi="ar-SA"/>
        </w:rPr>
        <w:t>一、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szCs w:val="24"/>
          <w:highlight w:val="none"/>
        </w:rPr>
        <w:t>服务内容</w:t>
      </w:r>
      <w:bookmarkEnd w:id="10"/>
      <w:r>
        <w:rPr>
          <w:rFonts w:hint="eastAsia" w:ascii="黑体" w:hAnsi="黑体" w:eastAsia="黑体" w:cs="黑体"/>
          <w:b w:val="0"/>
          <w:bCs w:val="0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szCs w:val="24"/>
          <w:highlight w:val="none"/>
          <w:lang w:val="en-US" w:eastAsia="zh-CN"/>
        </w:rPr>
        <w:t>服务标准</w:t>
      </w:r>
    </w:p>
    <w:p w14:paraId="125DC67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firstLine="480"/>
        <w:textAlignment w:val="auto"/>
        <w:rPr>
          <w:rFonts w:hint="eastAsia" w:ascii="黑体" w:hAnsi="黑体" w:eastAsia="黑体" w:cs="黑体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bookmarkStart w:id="11" w:name="_Toc19967"/>
      <w:r>
        <w:rPr>
          <w:rFonts w:hint="eastAsia" w:ascii="黑体" w:hAnsi="黑体" w:eastAsia="黑体" w:cs="黑体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本合同为咸阳市中小企业数字化转型试点城市综合服务（评测验收服务）项目，具体服务内容、服务标准、工作要求以招标文件、乙方投标文件及双方确认的采购需求为准。</w:t>
      </w:r>
    </w:p>
    <w:p w14:paraId="4ACFB5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szCs w:val="24"/>
          <w:highlight w:val="none"/>
        </w:rPr>
        <w:t>、合同价款</w:t>
      </w:r>
      <w:bookmarkEnd w:id="11"/>
    </w:p>
    <w:p w14:paraId="2329C1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（一）合同总价款为人民币（大写）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（￥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）。</w:t>
      </w:r>
    </w:p>
    <w:p w14:paraId="4A5449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（二）合同总价包含服务费、人员费、税金等乙方完成本合同全部义务产生的一切费用。</w:t>
      </w:r>
    </w:p>
    <w:p w14:paraId="5D7E93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auto"/>
          <w:sz w:val="24"/>
          <w:szCs w:val="24"/>
          <w:highlight w:val="none"/>
        </w:rPr>
      </w:pPr>
      <w:bookmarkStart w:id="12" w:name="_Toc6381"/>
      <w:r>
        <w:rPr>
          <w:rFonts w:hint="eastAsia" w:ascii="黑体" w:hAnsi="黑体" w:eastAsia="黑体" w:cs="黑体"/>
          <w:b w:val="0"/>
          <w:bCs w:val="0"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szCs w:val="24"/>
          <w:highlight w:val="none"/>
        </w:rPr>
        <w:t>、付款方式及条件</w:t>
      </w:r>
      <w:bookmarkEnd w:id="12"/>
    </w:p>
    <w:p w14:paraId="5D6357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黑体" w:hAnsi="黑体" w:eastAsia="黑体" w:cs="黑体"/>
          <w:bCs/>
          <w:color w:val="auto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="黑体" w:hAnsi="黑体" w:eastAsia="黑体" w:cs="黑体"/>
          <w:bCs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黑体" w:hAnsi="黑体" w:eastAsia="黑体" w:cs="黑体"/>
          <w:bCs/>
          <w:color w:val="auto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黑体" w:hAnsi="黑体" w:eastAsia="黑体" w:cs="黑体"/>
          <w:bCs/>
          <w:color w:val="auto"/>
          <w:sz w:val="24"/>
          <w:szCs w:val="24"/>
          <w:highlight w:val="none"/>
        </w:rPr>
        <w:t>付款</w:t>
      </w:r>
      <w:r>
        <w:rPr>
          <w:rFonts w:hint="eastAsia" w:ascii="黑体" w:hAnsi="黑体" w:eastAsia="黑体" w:cs="黑体"/>
          <w:bCs/>
          <w:color w:val="auto"/>
          <w:sz w:val="24"/>
          <w:szCs w:val="24"/>
          <w:highlight w:val="none"/>
          <w:lang w:val="en-US" w:eastAsia="zh-CN"/>
        </w:rPr>
        <w:t>方式：</w:t>
      </w:r>
    </w:p>
    <w:p w14:paraId="14BE94E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黑体" w:hAnsi="黑体" w:eastAsia="黑体" w:cs="黑体"/>
          <w:bCs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  <w:t>1.本合同签订生效后，达到付款条件后，</w:t>
      </w:r>
      <w:r>
        <w:rPr>
          <w:rFonts w:hint="eastAsia" w:ascii="黑体" w:hAnsi="黑体" w:eastAsia="黑体" w:cs="黑体"/>
          <w:bCs/>
          <w:color w:val="auto"/>
          <w:sz w:val="24"/>
          <w:szCs w:val="24"/>
          <w:highlight w:val="none"/>
          <w:lang w:val="en-US"/>
        </w:rPr>
        <w:t>按照</w:t>
      </w:r>
      <w:r>
        <w:rPr>
          <w:rFonts w:hint="eastAsia" w:ascii="黑体" w:hAnsi="黑体" w:eastAsia="黑体" w:cs="黑体"/>
          <w:bCs/>
          <w:color w:val="auto"/>
          <w:sz w:val="24"/>
          <w:szCs w:val="24"/>
          <w:highlight w:val="none"/>
        </w:rPr>
        <w:t>甲方</w:t>
      </w:r>
      <w:r>
        <w:rPr>
          <w:rFonts w:hint="eastAsia" w:ascii="黑体" w:hAnsi="黑体" w:eastAsia="黑体" w:cs="黑体"/>
          <w:bCs/>
          <w:color w:val="auto"/>
          <w:sz w:val="24"/>
          <w:szCs w:val="24"/>
          <w:highlight w:val="none"/>
          <w:lang w:val="en-US"/>
        </w:rPr>
        <w:t>财务制度</w:t>
      </w:r>
      <w:r>
        <w:rPr>
          <w:rFonts w:hint="eastAsia" w:ascii="黑体" w:hAnsi="黑体" w:eastAsia="黑体" w:cs="黑体"/>
          <w:bCs/>
          <w:color w:val="auto"/>
          <w:sz w:val="24"/>
          <w:szCs w:val="24"/>
          <w:highlight w:val="none"/>
          <w:lang w:val="en-US" w:eastAsia="zh-CN"/>
        </w:rPr>
        <w:t>向乙方</w:t>
      </w:r>
      <w:r>
        <w:rPr>
          <w:rFonts w:hint="eastAsia" w:ascii="黑体" w:hAnsi="黑体" w:eastAsia="黑体" w:cs="黑体"/>
          <w:bCs/>
          <w:color w:val="auto"/>
          <w:sz w:val="24"/>
          <w:szCs w:val="24"/>
          <w:highlight w:val="none"/>
          <w:lang w:eastAsia="zh-CN"/>
        </w:rPr>
        <w:t>支付合同总额</w:t>
      </w:r>
      <w:r>
        <w:rPr>
          <w:rFonts w:hint="eastAsia" w:ascii="黑体" w:hAnsi="黑体" w:eastAsia="黑体" w:cs="黑体"/>
          <w:bCs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黑体" w:hAnsi="黑体" w:eastAsia="黑体" w:cs="黑体"/>
          <w:bCs/>
          <w:color w:val="auto"/>
          <w:sz w:val="24"/>
          <w:szCs w:val="24"/>
          <w:highlight w:val="none"/>
        </w:rPr>
        <w:t>0%</w:t>
      </w:r>
      <w:r>
        <w:rPr>
          <w:rFonts w:hint="eastAsia" w:ascii="黑体" w:hAnsi="黑体" w:eastAsia="黑体" w:cs="黑体"/>
          <w:bCs/>
          <w:color w:val="auto"/>
          <w:sz w:val="24"/>
          <w:szCs w:val="24"/>
          <w:highlight w:val="none"/>
          <w:lang w:eastAsia="zh-CN"/>
        </w:rPr>
        <w:t>款项；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  <w:t xml:space="preserve"> </w:t>
      </w:r>
    </w:p>
    <w:p w14:paraId="7592FC4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  <w:t>2.乙方</w:t>
      </w:r>
      <w:r>
        <w:rPr>
          <w:rFonts w:hint="eastAsia" w:ascii="黑体" w:hAnsi="黑体" w:eastAsia="黑体" w:cs="黑体"/>
          <w:bCs/>
          <w:color w:val="auto"/>
          <w:sz w:val="24"/>
          <w:szCs w:val="24"/>
          <w:highlight w:val="none"/>
        </w:rPr>
        <w:t>支撑完成试点城市中期绩效评价工作后，</w:t>
      </w:r>
      <w:r>
        <w:rPr>
          <w:rFonts w:hint="eastAsia" w:ascii="黑体" w:hAnsi="黑体" w:eastAsia="黑体" w:cs="黑体"/>
          <w:bCs/>
          <w:color w:val="auto"/>
          <w:sz w:val="24"/>
          <w:szCs w:val="24"/>
          <w:highlight w:val="none"/>
          <w:lang w:eastAsia="zh-CN"/>
        </w:rPr>
        <w:t>达到付款条件后，</w:t>
      </w:r>
      <w:r>
        <w:rPr>
          <w:rFonts w:hint="eastAsia" w:ascii="黑体" w:hAnsi="黑体" w:eastAsia="黑体" w:cs="黑体"/>
          <w:bCs/>
          <w:color w:val="auto"/>
          <w:sz w:val="24"/>
          <w:szCs w:val="24"/>
          <w:highlight w:val="none"/>
        </w:rPr>
        <w:t>按照甲方财务制度</w:t>
      </w:r>
      <w:r>
        <w:rPr>
          <w:rFonts w:hint="eastAsia" w:ascii="黑体" w:hAnsi="黑体" w:eastAsia="黑体" w:cs="黑体"/>
          <w:bCs/>
          <w:color w:val="auto"/>
          <w:sz w:val="24"/>
          <w:szCs w:val="24"/>
          <w:highlight w:val="none"/>
          <w:lang w:val="en-US" w:eastAsia="zh-CN"/>
        </w:rPr>
        <w:t>向乙方</w:t>
      </w:r>
      <w:r>
        <w:rPr>
          <w:rFonts w:hint="eastAsia" w:ascii="黑体" w:hAnsi="黑体" w:eastAsia="黑体" w:cs="黑体"/>
          <w:bCs/>
          <w:color w:val="auto"/>
          <w:sz w:val="24"/>
          <w:szCs w:val="24"/>
          <w:highlight w:val="none"/>
          <w:lang w:eastAsia="zh-CN"/>
        </w:rPr>
        <w:t>支付合同总额</w:t>
      </w:r>
      <w:r>
        <w:rPr>
          <w:rFonts w:hint="eastAsia" w:ascii="黑体" w:hAnsi="黑体" w:eastAsia="黑体" w:cs="黑体"/>
          <w:bCs/>
          <w:color w:val="auto"/>
          <w:sz w:val="24"/>
          <w:szCs w:val="24"/>
          <w:highlight w:val="none"/>
        </w:rPr>
        <w:t>30%</w:t>
      </w:r>
      <w:r>
        <w:rPr>
          <w:rFonts w:hint="eastAsia" w:ascii="黑体" w:hAnsi="黑体" w:eastAsia="黑体" w:cs="黑体"/>
          <w:bCs/>
          <w:color w:val="auto"/>
          <w:sz w:val="24"/>
          <w:szCs w:val="24"/>
          <w:highlight w:val="none"/>
          <w:lang w:eastAsia="zh-CN"/>
        </w:rPr>
        <w:t>款项；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  <w:t xml:space="preserve"> </w:t>
      </w:r>
    </w:p>
    <w:p w14:paraId="44CCCE9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  <w:t>3.服务内容全部完成后，并顺利完成国家、省市各项验收评价支撑工作，经甲方审核验收后，甲方</w:t>
      </w:r>
      <w:r>
        <w:rPr>
          <w:rFonts w:hint="eastAsia" w:ascii="黑体" w:hAnsi="黑体" w:eastAsia="黑体" w:cs="黑体"/>
          <w:bCs/>
          <w:color w:val="auto"/>
          <w:sz w:val="24"/>
          <w:szCs w:val="24"/>
          <w:highlight w:val="none"/>
          <w:lang w:val="en-US" w:eastAsia="zh-CN"/>
        </w:rPr>
        <w:t>向乙方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  <w:t>支付剩余30%合同款项。如因非乙方原因造成国家、省市验收评价工作滞后，甲方不得以此拒绝或拖延本合同款项支付。</w:t>
      </w:r>
    </w:p>
    <w:p w14:paraId="048A2D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黑体" w:hAnsi="黑体" w:eastAsia="黑体" w:cs="黑体"/>
          <w:color w:val="auto"/>
          <w:sz w:val="24"/>
          <w:szCs w:val="24"/>
          <w:highlight w:val="none"/>
          <w:u w:val="none" w:color="auto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u w:val="none" w:color="auto"/>
        </w:rPr>
        <w:t>乙方银行账户信息如下：</w:t>
      </w:r>
    </w:p>
    <w:p w14:paraId="47D8A784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黑体" w:hAnsi="黑体" w:eastAsia="黑体" w:cs="黑体"/>
          <w:color w:val="auto"/>
          <w:w w:val="86"/>
          <w:sz w:val="24"/>
          <w:szCs w:val="24"/>
          <w:highlight w:val="none"/>
          <w:u w:val="single" w:color="auto"/>
          <w:lang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u w:val="none" w:color="auto"/>
        </w:rPr>
        <w:t>开户名称：</w:t>
      </w:r>
    </w:p>
    <w:p w14:paraId="51E9DD1B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黑体" w:hAnsi="黑体" w:eastAsia="黑体" w:cs="黑体"/>
          <w:color w:val="auto"/>
          <w:sz w:val="24"/>
          <w:szCs w:val="24"/>
          <w:highlight w:val="none"/>
          <w:u w:val="single" w:color="auto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u w:val="none" w:color="auto"/>
        </w:rPr>
        <w:t>银行账户：</w:t>
      </w:r>
    </w:p>
    <w:p w14:paraId="548C2F6E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黑体" w:hAnsi="黑体" w:eastAsia="黑体" w:cs="黑体"/>
          <w:b w:val="0"/>
          <w:color w:val="auto"/>
          <w:kern w:val="2"/>
          <w:sz w:val="24"/>
          <w:szCs w:val="24"/>
          <w:highlight w:val="none"/>
          <w:u w:val="none" w:color="auto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u w:val="none" w:color="auto"/>
        </w:rPr>
        <w:t xml:space="preserve">开户行名称：  </w:t>
      </w:r>
    </w:p>
    <w:p w14:paraId="267EC030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leftChars="0" w:right="0" w:rightChars="0" w:firstLine="480" w:firstLineChars="200"/>
        <w:jc w:val="both"/>
        <w:textAlignment w:val="auto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color w:val="auto"/>
          <w:kern w:val="2"/>
          <w:sz w:val="24"/>
          <w:szCs w:val="24"/>
          <w:highlight w:val="none"/>
          <w:lang w:val="en-US" w:eastAsia="zh-CN" w:bidi="ar-SA"/>
        </w:rPr>
        <w:t>（二）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乙方应在甲方支付费用前，先行向甲方提供足额合法且符合税法规定的增值税普通发票，并在增值税普通发票开具后的3个工作日内送达甲方，甲方在收到乙方提供的增值税普通发票后支付相应款项。</w:t>
      </w:r>
    </w:p>
    <w:p w14:paraId="4E8E0DDA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leftChars="0" w:right="0" w:rightChars="0" w:firstLine="480" w:firstLineChars="200"/>
        <w:jc w:val="both"/>
        <w:textAlignment w:val="auto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color w:val="auto"/>
          <w:kern w:val="2"/>
          <w:sz w:val="24"/>
          <w:szCs w:val="24"/>
          <w:highlight w:val="none"/>
          <w:lang w:val="en-US" w:eastAsia="zh-CN" w:bidi="ar-SA"/>
        </w:rPr>
        <w:t>（三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  <w:t>）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乙方存在服务滞后、成果不合格、拒不整改、人员擅自离岗、泄露保密信息、知识产权侵权等违约行为的，甲方有权暂缓支付当期全部款项，直至乙方完成整改并承担对应违约责任。</w:t>
      </w:r>
    </w:p>
    <w:p w14:paraId="0130F6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auto"/>
          <w:sz w:val="24"/>
          <w:szCs w:val="24"/>
          <w:highlight w:val="none"/>
          <w:lang w:eastAsia="zh-CN"/>
        </w:rPr>
      </w:pPr>
      <w:bookmarkStart w:id="13" w:name="_Toc1378"/>
      <w:r>
        <w:rPr>
          <w:rFonts w:hint="eastAsia" w:ascii="黑体" w:hAnsi="黑体" w:eastAsia="黑体" w:cs="黑体"/>
          <w:b w:val="0"/>
          <w:bCs w:val="0"/>
          <w:color w:val="auto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szCs w:val="24"/>
          <w:highlight w:val="none"/>
          <w:lang w:eastAsia="zh-CN"/>
        </w:rPr>
        <w:t>、服务期限及服务地点</w:t>
      </w:r>
      <w:bookmarkEnd w:id="13"/>
    </w:p>
    <w:p w14:paraId="535D1EA4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480" w:firstLineChars="200"/>
        <w:jc w:val="both"/>
        <w:textAlignment w:val="auto"/>
        <w:rPr>
          <w:rFonts w:hint="eastAsia" w:ascii="黑体" w:hAnsi="黑体" w:eastAsia="黑体" w:cs="黑体"/>
          <w:b w:val="0"/>
          <w:color w:val="auto"/>
          <w:kern w:val="2"/>
          <w:sz w:val="24"/>
          <w:szCs w:val="24"/>
          <w:highlight w:val="none"/>
          <w:lang w:val="en-US" w:eastAsia="zh-CN"/>
        </w:rPr>
      </w:pPr>
      <w:bookmarkStart w:id="14" w:name="_Toc23281"/>
      <w:r>
        <w:rPr>
          <w:rFonts w:hint="eastAsia" w:ascii="黑体" w:hAnsi="黑体" w:eastAsia="黑体" w:cs="黑体"/>
          <w:b w:val="0"/>
          <w:color w:val="auto"/>
          <w:kern w:val="2"/>
          <w:sz w:val="24"/>
          <w:szCs w:val="24"/>
          <w:highlight w:val="none"/>
          <w:lang w:val="en-US" w:eastAsia="zh-CN"/>
        </w:rPr>
        <w:t xml:space="preserve">（一）服务期限：合同签订之日起至甲方验收止。 </w:t>
      </w:r>
    </w:p>
    <w:p w14:paraId="77CAFE1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480" w:firstLineChars="200"/>
        <w:jc w:val="both"/>
        <w:textAlignment w:val="auto"/>
        <w:rPr>
          <w:rFonts w:hint="eastAsia" w:ascii="黑体" w:hAnsi="黑体" w:eastAsia="黑体" w:cs="黑体"/>
          <w:b w:val="0"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color w:val="auto"/>
          <w:kern w:val="2"/>
          <w:sz w:val="24"/>
          <w:szCs w:val="24"/>
          <w:highlight w:val="none"/>
          <w:lang w:val="en-US" w:eastAsia="zh-CN"/>
        </w:rPr>
        <w:t>（二）服务地点：陕西省咸阳市，且与履约合同服务内容有关区域。</w:t>
      </w:r>
    </w:p>
    <w:p w14:paraId="7E7979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szCs w:val="24"/>
          <w:highlight w:val="none"/>
          <w:lang w:eastAsia="zh-CN"/>
        </w:rPr>
        <w:t>、</w:t>
      </w:r>
      <w:bookmarkEnd w:id="14"/>
      <w:bookmarkStart w:id="15" w:name="_Toc16750"/>
      <w:r>
        <w:rPr>
          <w:rFonts w:hint="eastAsia" w:ascii="黑体" w:hAnsi="黑体" w:eastAsia="黑体" w:cs="黑体"/>
          <w:b w:val="0"/>
          <w:bCs w:val="0"/>
          <w:color w:val="auto"/>
          <w:sz w:val="24"/>
          <w:szCs w:val="24"/>
          <w:highlight w:val="none"/>
          <w:lang w:eastAsia="zh-CN"/>
        </w:rPr>
        <w:t>双方的权利和义务</w:t>
      </w:r>
      <w:bookmarkEnd w:id="15"/>
    </w:p>
    <w:p w14:paraId="78270C4A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在本合同有效期内，甲乙双方各指定 1 名项目联系人，负责项目沟通协调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  <w:t>。</w:t>
      </w:r>
    </w:p>
    <w:p w14:paraId="03ECBA75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黑体" w:hAnsi="黑体" w:eastAsia="黑体" w:cs="黑体"/>
          <w:b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b w:val="0"/>
          <w:bCs/>
          <w:color w:val="auto"/>
          <w:sz w:val="24"/>
          <w:szCs w:val="24"/>
          <w:highlight w:val="none"/>
        </w:rPr>
        <w:t>（一）甲方的权利和义务</w:t>
      </w:r>
    </w:p>
    <w:p w14:paraId="0BF2687A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  <w:t>1.为乙方履约提供必要工作条件与政策支持，协助乙方开展项目工作。</w:t>
      </w:r>
    </w:p>
    <w:p w14:paraId="7736F938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  <w:t>2.按合同约定及时支付合同价款。</w:t>
      </w:r>
    </w:p>
    <w:p w14:paraId="0B16B626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  <w:t>3.可对乙方实施方案提出修改建议，对乙方工作开展监督检查。</w:t>
      </w:r>
    </w:p>
    <w:p w14:paraId="0F64BB44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  <w:t>4.查实乙方专业人员履职不到位、与第三方串通造成甲方损失的，有权要求乙方限期更换人员；逾期不更换或致使合同目的不能实现，甲方可解除合同并索赔。</w:t>
      </w:r>
    </w:p>
    <w:p w14:paraId="17ED66F1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b w:val="0"/>
          <w:bCs/>
          <w:color w:val="auto"/>
          <w:sz w:val="24"/>
          <w:szCs w:val="24"/>
          <w:highlight w:val="none"/>
        </w:rPr>
        <w:t>（二）乙方的权利和义务</w:t>
      </w:r>
    </w:p>
    <w:p w14:paraId="51F2FEF2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  <w:t>1.在甲方统筹下开展工作，保质保量完成服务并交付成果，成果以甲方组织专家评审通过为认定标准。</w:t>
      </w:r>
    </w:p>
    <w:p w14:paraId="4CBF59FF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  <w:t>2.按约定派遣专业人员按时到岗开展服务；就第三方提出的项目相关问题负责核查处置。</w:t>
      </w:r>
    </w:p>
    <w:p w14:paraId="2C05F320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  <w:t>3.自行落实自身工作条件，向甲方报送项目人员名单、资质、工作计划等资料，按合同开展工作，甲方予以必要配合。</w:t>
      </w:r>
    </w:p>
    <w:p w14:paraId="14A50EF7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  <w:t>4.保证全部服务符合法律法规要求。</w:t>
      </w:r>
    </w:p>
    <w:p w14:paraId="153652E9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  <w:t>5.本项目使用中央财政专项资金，乙方严格遵守财政绩效、审计、督查管理规定，全力配合各类检查考评。</w:t>
      </w:r>
    </w:p>
    <w:p w14:paraId="138711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4"/>
          <w:szCs w:val="24"/>
          <w:highlight w:val="none"/>
          <w:lang w:val="en-US" w:eastAsia="zh-CN"/>
        </w:rPr>
        <w:t>六、安全责任</w:t>
      </w:r>
    </w:p>
    <w:p w14:paraId="5DA69C8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黑体" w:hAnsi="黑体" w:eastAsia="黑体" w:cs="黑体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  <w:highlight w:val="none"/>
          <w:lang w:val="en-US" w:eastAsia="zh-CN" w:bidi="ar-SA"/>
        </w:rPr>
        <w:t>（一）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highlight w:val="none"/>
          <w:lang w:val="en-US" w:eastAsia="zh-CN" w:bidi="ar-SA"/>
        </w:rPr>
        <w:t>乙方所拟派的工作人员，若在服务期间发生侵害第三方或被第三方侵害，甲方概不负责，由乙方自行处理并承担相应损失。</w:t>
      </w:r>
    </w:p>
    <w:p w14:paraId="20BDBA5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黑体" w:hAnsi="黑体" w:eastAsia="黑体" w:cs="黑体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  <w:highlight w:val="none"/>
          <w:lang w:val="en-US" w:eastAsia="zh-CN" w:bidi="ar-SA"/>
        </w:rPr>
        <w:t>（二）乙方对其工作人员现场全部行为负责，发生安全事故、人身损害赔偿等全部费用由乙方承担；造成甲方损失的，乙方予以赔偿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highlight w:val="none"/>
          <w:lang w:val="en-US" w:eastAsia="zh-CN" w:bidi="ar-SA"/>
        </w:rPr>
        <w:t>。</w:t>
      </w:r>
    </w:p>
    <w:p w14:paraId="5AD49F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4"/>
          <w:szCs w:val="24"/>
          <w:highlight w:val="none"/>
          <w:lang w:val="en-US" w:eastAsia="zh-CN"/>
        </w:rPr>
        <w:t>七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szCs w:val="24"/>
          <w:highlight w:val="none"/>
          <w:lang w:val="en-US" w:eastAsia="zh-CN"/>
        </w:rPr>
        <w:t>保密与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szCs w:val="24"/>
          <w:highlight w:val="none"/>
          <w:lang w:eastAsia="zh-CN"/>
        </w:rPr>
        <w:t>知识产权</w:t>
      </w:r>
    </w:p>
    <w:p w14:paraId="6E611ED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黑体" w:hAnsi="黑体" w:eastAsia="黑体" w:cs="黑体"/>
          <w:color w:val="auto"/>
          <w:kern w:val="0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  <w:highlight w:val="none"/>
          <w:lang w:eastAsia="zh-CN"/>
        </w:rPr>
        <w:t>（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highlight w:val="none"/>
          <w:lang w:val="en-US" w:eastAsia="zh-CN"/>
        </w:rPr>
        <w:t>一）甲乙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highlight w:val="none"/>
        </w:rPr>
        <w:t>双方对合作过程中获取的对方涉密信息、工作资料、企业数据、项目信息负有永久保密义务。</w:t>
      </w:r>
    </w:p>
    <w:p w14:paraId="2831FFF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黑体" w:hAnsi="黑体" w:eastAsia="黑体" w:cs="黑体"/>
          <w:color w:val="auto"/>
          <w:kern w:val="0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  <w:highlight w:val="none"/>
          <w:lang w:eastAsia="zh-CN"/>
        </w:rPr>
        <w:t>（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highlight w:val="none"/>
          <w:lang w:val="en-US" w:eastAsia="zh-CN"/>
        </w:rPr>
        <w:t>二）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highlight w:val="none"/>
        </w:rPr>
        <w:t>本项目所有服务成果、文字资料、数据台账、案例成果、制度文件等全部知识产权归甲方独家所有，乙方不得擅自复用、传播、出版、商用。</w:t>
      </w:r>
    </w:p>
    <w:p w14:paraId="01D974D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黑体" w:hAnsi="黑体" w:eastAsia="黑体" w:cs="黑体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  <w:highlight w:val="none"/>
          <w:lang w:eastAsia="zh-CN"/>
        </w:rPr>
        <w:t>（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highlight w:val="none"/>
          <w:lang w:eastAsia="zh-CN"/>
        </w:rPr>
        <w:t>）乙方保证服务不侵害第三方知识产权；如发生第三方侵权追责，由乙方对接交涉并承担全部法律责任与费用。</w:t>
      </w:r>
    </w:p>
    <w:p w14:paraId="03E5ED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4"/>
          <w:szCs w:val="24"/>
          <w:highlight w:val="none"/>
          <w:lang w:val="en-US" w:eastAsia="zh-CN"/>
        </w:rPr>
        <w:t>八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szCs w:val="24"/>
          <w:highlight w:val="none"/>
          <w:lang w:eastAsia="zh-CN"/>
        </w:rPr>
        <w:t>、验收</w:t>
      </w:r>
    </w:p>
    <w:p w14:paraId="15E5F5E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（一）本项目专家评审验收费用由乙方承担；甲方组织项目验收，验收合格后乙方移交全部项目资料。验收依据为本合同、招标文件、响应文件、澄清文件、国家现行标准规范、国家验收结果；前述文件与本合同冲突的，以本合同为准。</w:t>
      </w:r>
    </w:p>
    <w:p w14:paraId="6B74699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（二）验收流程：乙方完成全部履约并交付成果、项目通过国家终期验收后，向甲方提交验收申请。甲方收到申请后 30 日内组织验收并出具书面意见。 若因乙方原因验收不合格，乙方应 15 日内完成整改重新申请验收；因外部政策、上级评审规则变化等非乙方原因产生验收异议，不属于乙方整改责任，双方协商处置。</w:t>
      </w:r>
    </w:p>
    <w:p w14:paraId="6DA476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bookmarkStart w:id="16" w:name="_Toc28844"/>
      <w:r>
        <w:rPr>
          <w:rFonts w:hint="eastAsia" w:ascii="黑体" w:hAnsi="黑体" w:eastAsia="黑体" w:cs="黑体"/>
          <w:b w:val="0"/>
          <w:bCs w:val="0"/>
          <w:color w:val="auto"/>
          <w:sz w:val="24"/>
          <w:szCs w:val="24"/>
          <w:highlight w:val="none"/>
          <w:lang w:val="en-US" w:eastAsia="zh-CN"/>
        </w:rPr>
        <w:t>九、违约责任</w:t>
      </w:r>
      <w:bookmarkEnd w:id="16"/>
    </w:p>
    <w:p w14:paraId="612B053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CN"/>
        </w:rPr>
      </w:pPr>
      <w:bookmarkStart w:id="17" w:name="auto_fouce_13"/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CN"/>
        </w:rPr>
        <w:t>）甲方违约</w:t>
      </w:r>
    </w:p>
    <w:p w14:paraId="1096BC9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CN"/>
        </w:rPr>
        <w:t>1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CN"/>
        </w:rPr>
        <w:t>合同期限内，未经乙方同意单方解除、终止合同，属于甲方违约，乙方有权要求继续履行并索赔。</w:t>
      </w:r>
    </w:p>
    <w:p w14:paraId="58D5106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CN"/>
        </w:rPr>
        <w:t>2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  <w:t>.甲方不履行合同义务，收到乙方书面通知 15 个工作日内未纠正，乙方可终止合同，并要求甲方赔偿实际经济损失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CN"/>
        </w:rPr>
        <w:t>。</w:t>
      </w:r>
    </w:p>
    <w:p w14:paraId="1584939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  <w:t>二）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CN"/>
        </w:rPr>
        <w:t>乙方违约</w:t>
      </w:r>
    </w:p>
    <w:p w14:paraId="39B449A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CN"/>
        </w:rPr>
        <w:t>1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CN"/>
        </w:rPr>
        <w:t>合同期限内，未经甲方同意单方解除、终止合同，甲方有权要求继续履行并索赔。</w:t>
      </w:r>
    </w:p>
    <w:p w14:paraId="6847FC7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CN"/>
        </w:rPr>
        <w:t>2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  <w:t>.服务成果不符合合同约定，乙方无偿返工；拒不返工的，甲方可另行委托第三方实施，合理必要的返工费用由乙方承担（超出原合同对应价款部分乙方不承担）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CN"/>
        </w:rPr>
        <w:t>。</w:t>
      </w:r>
    </w:p>
    <w:p w14:paraId="208F38B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CN"/>
        </w:rPr>
        <w:t>3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  <w:t>.乙方过错不履行合同义务，收到甲方书面通知 15 个工作日内未整改，甲方有权终止合同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CN"/>
        </w:rPr>
        <w:t>。</w:t>
      </w:r>
    </w:p>
    <w:p w14:paraId="1F1C16A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CN"/>
        </w:rPr>
        <w:t>4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  <w:t>.乙方无正当理由，关键节点工作逾期超过 30 日，甲方可单方解除合同并索赔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CN"/>
        </w:rPr>
        <w:t>。</w:t>
      </w:r>
    </w:p>
    <w:p w14:paraId="0303B00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  <w:t>三）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CN"/>
        </w:rPr>
        <w:t>任何一方违约的，违约方还应承担守约方维权产生的全部合理费用，包括但不限于律师费、诉讼费、保全费、保函费、鉴定费。</w:t>
      </w:r>
    </w:p>
    <w:bookmarkEnd w:id="17"/>
    <w:p w14:paraId="3B5B1C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bookmarkStart w:id="18" w:name="_Toc12861"/>
      <w:r>
        <w:rPr>
          <w:rFonts w:hint="eastAsia" w:ascii="黑体" w:hAnsi="黑体" w:eastAsia="黑体" w:cs="黑体"/>
          <w:b w:val="0"/>
          <w:bCs w:val="0"/>
          <w:color w:val="auto"/>
          <w:sz w:val="24"/>
          <w:szCs w:val="24"/>
          <w:highlight w:val="none"/>
          <w:lang w:val="en-US" w:eastAsia="zh-CN"/>
        </w:rPr>
        <w:t>十、争议解决方式</w:t>
      </w:r>
      <w:bookmarkEnd w:id="18"/>
    </w:p>
    <w:p w14:paraId="5F2A5D8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  <w:bookmarkStart w:id="19" w:name="auto_fouce_16"/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因本合同产生争议，双方优先友好协商；协商不成，任意一方向甲方所在地有管辖权人民法院提起诉讼。</w:t>
      </w:r>
      <w:bookmarkEnd w:id="19"/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 xml:space="preserve"> </w:t>
      </w:r>
    </w:p>
    <w:p w14:paraId="3AB912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bookmarkStart w:id="20" w:name="_Toc22876"/>
      <w:r>
        <w:rPr>
          <w:rFonts w:hint="eastAsia" w:ascii="黑体" w:hAnsi="黑体" w:eastAsia="黑体" w:cs="黑体"/>
          <w:b w:val="0"/>
          <w:bCs w:val="0"/>
          <w:color w:val="auto"/>
          <w:sz w:val="24"/>
          <w:szCs w:val="24"/>
          <w:highlight w:val="none"/>
          <w:lang w:val="en-US" w:eastAsia="zh-CN"/>
        </w:rPr>
        <w:t>十一、其他事项</w:t>
      </w:r>
      <w:bookmarkEnd w:id="20"/>
    </w:p>
    <w:p w14:paraId="6485737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（一）本合同未尽事宜由双方协商解决，经甲、乙双方协商一致可另行签署书面补充协议；补充协议与本协议具有同等法律效力。</w:t>
      </w:r>
    </w:p>
    <w:p w14:paraId="72D26FC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（二）本合同所有附件、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CN"/>
        </w:rPr>
        <w:t>招标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文件、成交通知书均为本合同的有效组成部分，与本合同具有同等法律效力。</w:t>
      </w:r>
    </w:p>
    <w:p w14:paraId="5C5BAF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bookmarkStart w:id="21" w:name="_Toc21375"/>
      <w:r>
        <w:rPr>
          <w:rFonts w:hint="eastAsia" w:ascii="黑体" w:hAnsi="黑体" w:eastAsia="黑体" w:cs="黑体"/>
          <w:b w:val="0"/>
          <w:bCs w:val="0"/>
          <w:color w:val="auto"/>
          <w:sz w:val="24"/>
          <w:szCs w:val="24"/>
          <w:highlight w:val="none"/>
          <w:lang w:val="en-US" w:eastAsia="zh-CN"/>
        </w:rPr>
        <w:t>十二、合同生效</w:t>
      </w:r>
      <w:bookmarkEnd w:id="21"/>
    </w:p>
    <w:p w14:paraId="796FDD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（一）本合同经甲、乙双方法定代表人或授权代表签字并加盖公章或合同专用章后生效。</w:t>
      </w:r>
    </w:p>
    <w:p w14:paraId="225EFE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（二）本合同一式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u w:val="single"/>
          <w:lang w:val="en-US" w:eastAsia="zh-CN"/>
        </w:rPr>
        <w:t>伍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份，甲方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u w:val="single"/>
          <w:lang w:val="en-US" w:eastAsia="zh-CN"/>
        </w:rPr>
        <w:t>贰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份，乙方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u w:val="single"/>
          <w:lang w:val="en-US" w:eastAsia="zh-CN"/>
        </w:rPr>
        <w:t>贰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份，代理机构留存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u w:val="single"/>
        </w:rPr>
        <w:t>壹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份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具有同等法律效力。</w:t>
      </w:r>
    </w:p>
    <w:p w14:paraId="370E9B1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</w:p>
    <w:p w14:paraId="22650F8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</w:p>
    <w:p w14:paraId="3EBEC11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（以下无正文）</w:t>
      </w:r>
    </w:p>
    <w:p w14:paraId="309C605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6"/>
        <w:gridCol w:w="4881"/>
      </w:tblGrid>
      <w:tr w14:paraId="5537C1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  <w:jc w:val="center"/>
        </w:trPr>
        <w:tc>
          <w:tcPr>
            <w:tcW w:w="4366" w:type="dxa"/>
            <w:noWrap w:val="0"/>
            <w:vAlign w:val="center"/>
          </w:tcPr>
          <w:p w14:paraId="511F36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snapToGrid w:val="0"/>
              <w:spacing w:line="360" w:lineRule="auto"/>
              <w:ind w:firstLine="400" w:firstLineChars="200"/>
              <w:jc w:val="both"/>
              <w:textAlignment w:val="auto"/>
              <w:rPr>
                <w:rFonts w:hint="eastAsia" w:ascii="黑体" w:hAnsi="黑体" w:eastAsia="黑体" w:cs="黑体"/>
                <w:color w:val="auto"/>
                <w:spacing w:val="-2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pacing w:val="-20"/>
                <w:kern w:val="0"/>
                <w:sz w:val="24"/>
                <w:szCs w:val="24"/>
                <w:highlight w:val="none"/>
              </w:rPr>
              <w:t>甲方：</w:t>
            </w:r>
          </w:p>
        </w:tc>
        <w:tc>
          <w:tcPr>
            <w:tcW w:w="4881" w:type="dxa"/>
            <w:noWrap w:val="0"/>
            <w:vAlign w:val="center"/>
          </w:tcPr>
          <w:p w14:paraId="7502FE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snapToGrid w:val="0"/>
              <w:spacing w:line="360" w:lineRule="auto"/>
              <w:ind w:firstLine="400" w:firstLineChars="200"/>
              <w:jc w:val="both"/>
              <w:textAlignment w:val="auto"/>
              <w:rPr>
                <w:rFonts w:hint="eastAsia" w:ascii="黑体" w:hAnsi="黑体" w:eastAsia="黑体" w:cs="黑体"/>
                <w:color w:val="auto"/>
                <w:spacing w:val="-20"/>
                <w:kern w:val="0"/>
                <w:sz w:val="24"/>
                <w:szCs w:val="24"/>
                <w:highlight w:val="none"/>
              </w:rPr>
            </w:pPr>
          </w:p>
          <w:p w14:paraId="4F00A6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snapToGrid w:val="0"/>
              <w:spacing w:line="360" w:lineRule="auto"/>
              <w:ind w:firstLine="400" w:firstLineChars="200"/>
              <w:jc w:val="both"/>
              <w:textAlignment w:val="auto"/>
              <w:rPr>
                <w:rFonts w:hint="eastAsia" w:ascii="黑体" w:hAnsi="黑体" w:eastAsia="黑体" w:cs="黑体"/>
                <w:color w:val="auto"/>
                <w:spacing w:val="-2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pacing w:val="-20"/>
                <w:kern w:val="0"/>
                <w:sz w:val="24"/>
                <w:szCs w:val="24"/>
                <w:highlight w:val="none"/>
              </w:rPr>
              <w:t>乙方：</w:t>
            </w:r>
          </w:p>
        </w:tc>
      </w:tr>
      <w:tr w14:paraId="121790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4366" w:type="dxa"/>
            <w:noWrap w:val="0"/>
            <w:vAlign w:val="center"/>
          </w:tcPr>
          <w:p w14:paraId="2B7B84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snapToGrid w:val="0"/>
              <w:spacing w:line="360" w:lineRule="auto"/>
              <w:ind w:firstLine="400" w:firstLineChars="200"/>
              <w:jc w:val="both"/>
              <w:textAlignment w:val="auto"/>
              <w:rPr>
                <w:rFonts w:hint="eastAsia" w:ascii="黑体" w:hAnsi="黑体" w:eastAsia="黑体" w:cs="黑体"/>
                <w:color w:val="auto"/>
                <w:spacing w:val="-2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pacing w:val="-20"/>
                <w:kern w:val="0"/>
                <w:sz w:val="24"/>
                <w:szCs w:val="24"/>
                <w:highlight w:val="none"/>
              </w:rPr>
              <w:t>地址：</w:t>
            </w:r>
          </w:p>
        </w:tc>
        <w:tc>
          <w:tcPr>
            <w:tcW w:w="4881" w:type="dxa"/>
            <w:noWrap w:val="0"/>
            <w:vAlign w:val="center"/>
          </w:tcPr>
          <w:p w14:paraId="20608E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snapToGrid w:val="0"/>
              <w:spacing w:line="360" w:lineRule="auto"/>
              <w:ind w:firstLine="400" w:firstLineChars="200"/>
              <w:jc w:val="both"/>
              <w:textAlignment w:val="auto"/>
              <w:rPr>
                <w:rFonts w:hint="eastAsia" w:ascii="黑体" w:hAnsi="黑体" w:eastAsia="黑体" w:cs="黑体"/>
                <w:color w:val="auto"/>
                <w:spacing w:val="-2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pacing w:val="-20"/>
                <w:kern w:val="0"/>
                <w:sz w:val="24"/>
                <w:szCs w:val="24"/>
                <w:highlight w:val="none"/>
              </w:rPr>
              <w:t>地址：</w:t>
            </w:r>
          </w:p>
        </w:tc>
      </w:tr>
      <w:tr w14:paraId="1595E6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4366" w:type="dxa"/>
            <w:noWrap w:val="0"/>
            <w:vAlign w:val="center"/>
          </w:tcPr>
          <w:p w14:paraId="2BCA59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snapToGrid w:val="0"/>
              <w:spacing w:line="360" w:lineRule="auto"/>
              <w:ind w:firstLine="400" w:firstLineChars="200"/>
              <w:jc w:val="both"/>
              <w:textAlignment w:val="auto"/>
              <w:rPr>
                <w:rFonts w:hint="eastAsia" w:ascii="黑体" w:hAnsi="黑体" w:eastAsia="黑体" w:cs="黑体"/>
                <w:color w:val="auto"/>
                <w:spacing w:val="-2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pacing w:val="-20"/>
                <w:kern w:val="0"/>
                <w:sz w:val="24"/>
                <w:szCs w:val="24"/>
                <w:highlight w:val="none"/>
              </w:rPr>
              <w:t xml:space="preserve">法定代表人或授权代表： </w:t>
            </w:r>
          </w:p>
        </w:tc>
        <w:tc>
          <w:tcPr>
            <w:tcW w:w="4881" w:type="dxa"/>
            <w:noWrap w:val="0"/>
            <w:vAlign w:val="center"/>
          </w:tcPr>
          <w:p w14:paraId="08B24C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snapToGrid w:val="0"/>
              <w:spacing w:line="360" w:lineRule="auto"/>
              <w:ind w:firstLine="400" w:firstLineChars="200"/>
              <w:jc w:val="both"/>
              <w:textAlignment w:val="auto"/>
              <w:rPr>
                <w:rFonts w:hint="eastAsia" w:ascii="黑体" w:hAnsi="黑体" w:eastAsia="黑体" w:cs="黑体"/>
                <w:color w:val="auto"/>
                <w:spacing w:val="-2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pacing w:val="-20"/>
                <w:kern w:val="0"/>
                <w:sz w:val="24"/>
                <w:szCs w:val="24"/>
                <w:highlight w:val="none"/>
              </w:rPr>
              <w:t>法定代表人或授权代表：</w:t>
            </w:r>
          </w:p>
        </w:tc>
      </w:tr>
      <w:tr w14:paraId="3E3E1B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4366" w:type="dxa"/>
            <w:noWrap w:val="0"/>
            <w:vAlign w:val="center"/>
          </w:tcPr>
          <w:p w14:paraId="6FDCD5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snapToGrid w:val="0"/>
              <w:spacing w:line="360" w:lineRule="auto"/>
              <w:ind w:firstLine="400" w:firstLineChars="200"/>
              <w:jc w:val="both"/>
              <w:textAlignment w:val="auto"/>
              <w:rPr>
                <w:rFonts w:hint="eastAsia" w:ascii="黑体" w:hAnsi="黑体" w:eastAsia="黑体" w:cs="黑体"/>
                <w:color w:val="auto"/>
                <w:spacing w:val="-2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881" w:type="dxa"/>
            <w:noWrap w:val="0"/>
            <w:vAlign w:val="center"/>
          </w:tcPr>
          <w:p w14:paraId="6B7A9D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snapToGrid w:val="0"/>
              <w:spacing w:line="360" w:lineRule="auto"/>
              <w:ind w:left="960" w:firstLine="400" w:firstLineChars="200"/>
              <w:jc w:val="both"/>
              <w:textAlignment w:val="auto"/>
              <w:rPr>
                <w:rFonts w:hint="eastAsia" w:ascii="黑体" w:hAnsi="黑体" w:eastAsia="黑体" w:cs="黑体"/>
                <w:color w:val="auto"/>
                <w:spacing w:val="-20"/>
                <w:kern w:val="0"/>
                <w:sz w:val="24"/>
                <w:szCs w:val="24"/>
                <w:highlight w:val="none"/>
              </w:rPr>
            </w:pPr>
          </w:p>
        </w:tc>
      </w:tr>
      <w:tr w14:paraId="0BD94C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4366" w:type="dxa"/>
            <w:noWrap w:val="0"/>
            <w:vAlign w:val="center"/>
          </w:tcPr>
          <w:p w14:paraId="319DBC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snapToGrid w:val="0"/>
              <w:spacing w:line="360" w:lineRule="auto"/>
              <w:ind w:firstLine="400" w:firstLineChars="200"/>
              <w:jc w:val="both"/>
              <w:textAlignment w:val="auto"/>
              <w:rPr>
                <w:rFonts w:hint="eastAsia" w:ascii="黑体" w:hAnsi="黑体" w:eastAsia="黑体" w:cs="黑体"/>
                <w:color w:val="auto"/>
                <w:spacing w:val="-2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pacing w:val="-20"/>
                <w:kern w:val="0"/>
                <w:sz w:val="24"/>
                <w:szCs w:val="24"/>
                <w:highlight w:val="none"/>
              </w:rPr>
              <w:t>日期：</w:t>
            </w:r>
            <w:r>
              <w:rPr>
                <w:rFonts w:hint="eastAsia" w:ascii="黑体" w:hAnsi="黑体" w:eastAsia="黑体" w:cs="黑体"/>
                <w:color w:val="auto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  <w:color w:val="auto"/>
                <w:spacing w:val="-20"/>
                <w:kern w:val="0"/>
                <w:sz w:val="24"/>
                <w:szCs w:val="24"/>
                <w:highlight w:val="none"/>
                <w:lang w:eastAsia="zh-CN"/>
              </w:rPr>
              <w:t>年</w:t>
            </w:r>
            <w:r>
              <w:rPr>
                <w:rFonts w:hint="eastAsia" w:ascii="黑体" w:hAnsi="黑体" w:eastAsia="黑体" w:cs="黑体"/>
                <w:color w:val="auto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color w:val="auto"/>
                <w:spacing w:val="-20"/>
                <w:kern w:val="0"/>
                <w:sz w:val="24"/>
                <w:szCs w:val="24"/>
                <w:highlight w:val="none"/>
                <w:lang w:eastAsia="zh-CN"/>
              </w:rPr>
              <w:t>月</w:t>
            </w:r>
            <w:r>
              <w:rPr>
                <w:rFonts w:hint="eastAsia" w:ascii="黑体" w:hAnsi="黑体" w:eastAsia="黑体" w:cs="黑体"/>
                <w:color w:val="auto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color w:val="auto"/>
                <w:spacing w:val="-20"/>
                <w:kern w:val="0"/>
                <w:sz w:val="24"/>
                <w:szCs w:val="24"/>
                <w:highlight w:val="none"/>
                <w:lang w:eastAsia="zh-CN"/>
              </w:rPr>
              <w:t>日</w:t>
            </w:r>
          </w:p>
        </w:tc>
        <w:tc>
          <w:tcPr>
            <w:tcW w:w="4881" w:type="dxa"/>
            <w:noWrap w:val="0"/>
            <w:vAlign w:val="center"/>
          </w:tcPr>
          <w:p w14:paraId="47273E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snapToGrid w:val="0"/>
              <w:spacing w:line="360" w:lineRule="auto"/>
              <w:ind w:firstLine="400" w:firstLineChars="200"/>
              <w:jc w:val="both"/>
              <w:textAlignment w:val="auto"/>
              <w:rPr>
                <w:rFonts w:hint="eastAsia" w:ascii="黑体" w:hAnsi="黑体" w:eastAsia="黑体" w:cs="黑体"/>
                <w:color w:val="auto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pacing w:val="-20"/>
                <w:kern w:val="0"/>
                <w:sz w:val="24"/>
                <w:szCs w:val="24"/>
                <w:highlight w:val="none"/>
              </w:rPr>
              <w:t>日期：</w:t>
            </w:r>
            <w:r>
              <w:rPr>
                <w:rFonts w:hint="eastAsia" w:ascii="黑体" w:hAnsi="黑体" w:eastAsia="黑体" w:cs="黑体"/>
                <w:color w:val="auto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   年   月  日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11B2E98B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ind w:firstLine="482" w:firstLineChars="200"/>
        <w:jc w:val="both"/>
        <w:textAlignment w:val="auto"/>
        <w:rPr>
          <w:rFonts w:hint="eastAsia" w:ascii="黑体" w:hAnsi="黑体" w:eastAsia="黑体" w:cs="黑体"/>
          <w:b/>
          <w:color w:val="auto"/>
          <w:sz w:val="24"/>
          <w:szCs w:val="24"/>
          <w:highlight w:val="none"/>
        </w:rPr>
      </w:pPr>
    </w:p>
    <w:sectPr>
      <w:headerReference r:id="rId5" w:type="default"/>
      <w:footerReference r:id="rId6" w:type="default"/>
      <w:pgSz w:w="11907" w:h="16840"/>
      <w:pgMar w:top="1701" w:right="1276" w:bottom="1417" w:left="1701" w:header="737" w:footer="964" w:gutter="0"/>
      <w:pgNumType w:start="1"/>
      <w:cols w:space="720" w:num="1"/>
      <w:rtlGutter w:val="0"/>
      <w:docGrid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0B5BF9">
    <w:pPr>
      <w:spacing w:line="280" w:lineRule="exact"/>
      <w:ind w:firstLine="735" w:firstLineChars="350"/>
      <w:jc w:val="center"/>
      <w:rPr>
        <w:rFonts w:hint="eastAsia" w:ascii="楷体" w:hAnsi="楷体" w:eastAsia="楷体"/>
        <w:b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96850"/>
              <wp:effectExtent l="0" t="0" r="0" b="0"/>
              <wp:wrapNone/>
              <wp:docPr id="4097" name="矩形 40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4934" cy="196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4E87C27D">
                          <w:pPr>
                            <w:pStyle w:val="3"/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</w:rPr>
                            <w:t>3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5.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KeMUXLRAAAAAwEAAA8AAAAAAAAAAQAgAAAAIgAAAGRycy9kb3du&#10;cmV2LnhtbFBLAQIUABQAAAAIAIdO4kArFLE4zQEAAJ4DAAAOAAAAAAAAAAEAIAAAACABAABkcnMv&#10;ZTJvRG9jLnhtbFBLBQYAAAAABgAGAFkBAABfBQAAAAA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E87C27D">
                    <w:pPr>
                      <w:pStyle w:val="3"/>
                      <w:rPr>
                        <w:rFonts w:hint="eastAsia" w:ascii="仿宋" w:hAnsi="仿宋" w:eastAsia="仿宋" w:cs="仿宋"/>
                        <w:sz w:val="24"/>
                        <w:szCs w:val="24"/>
                      </w:rPr>
                    </w:pP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</w:rPr>
                      <w:t>3</w:t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8CF0F9">
    <w:pPr>
      <w:pStyle w:val="4"/>
      <w:pBdr>
        <w:bottom w:val="none" w:color="auto" w:sz="0" w:space="1"/>
      </w:pBdr>
      <w:jc w:val="both"/>
      <w:rPr>
        <w:rFonts w:hint="eastAsia" w:ascii="仿宋" w:hAnsi="仿宋" w:cs="仿宋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02D1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uto"/>
      <w:jc w:val="both"/>
    </w:pPr>
    <w:rPr>
      <w:rFonts w:ascii="Times New Roman" w:hAnsi="Times New Roman" w:eastAsia="仿宋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 w:hAnsi="Times New Roman"/>
      <w:sz w:val="21"/>
      <w:szCs w:val="24"/>
    </w:rPr>
  </w:style>
  <w:style w:type="paragraph" w:styleId="3">
    <w:name w:val="footer"/>
    <w:basedOn w:val="1"/>
    <w:next w:val="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paragraph" w:styleId="8">
    <w:name w:val="List Paragraph"/>
    <w:basedOn w:val="1"/>
    <w:qFormat/>
    <w:uiPriority w:val="99"/>
    <w:pPr>
      <w:ind w:firstLine="420" w:firstLineChars="200"/>
    </w:pPr>
    <w:rPr>
      <w:rFonts w:ascii="Times New Roman" w:hAnsi="Times New Roman" w:eastAsia="宋体" w:cs="Times New Roman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2026-09-08T07:48:43Z</dcterms:created>
  <dc:creator>Administrator</dc:creator>
  <cp:lastModifiedBy>威严的大胡子</cp:lastModifiedBy>
  <dcterms:modified xsi:type="dcterms:W3CDTF">2026-09-08T07:49:11Z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eyJoZGlkIjoiY2Q3NTA2NWE1OGVjYzMyZjJjYWVkYTk3M2M0YjJkM2YiLCJ1c2VySWQiOiI5NzIxNTU2OTYifQ==</vt:lpwstr>
  </property>
  <property fmtid="{D5CDD505-2E9C-101B-9397-08002B2CF9AE}" pid="4" name="ICV">
    <vt:lpwstr>1F96C830586A4302AF3DD9FA92CCF833_12</vt:lpwstr>
  </property>
</Properties>
</file>