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版本号：JXZB2026-W2047.1B120260721001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2026年西安市城六区道路保洁员意外伤害保险(二次)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JXZB2026-W2047.1B1</w:t>
      </w:r>
      <w:r>
        <w:br/>
      </w:r>
      <w:r>
        <w:br/>
      </w:r>
      <w:r>
        <w:br/>
      </w:r>
    </w:p>
    <w:p>
      <w:pPr>
        <w:pStyle w:val="null3"/>
        <w:jc w:val="center"/>
        <w:outlineLvl w:val="2"/>
      </w:pPr>
      <w:r>
        <w:rPr>
          <w:rFonts w:ascii="仿宋_GB2312" w:hAnsi="仿宋_GB2312" w:cs="仿宋_GB2312" w:eastAsia="仿宋_GB2312"/>
          <w:sz w:val="28"/>
          <w:b/>
        </w:rPr>
        <w:t>西安市城市管理和综合执法局</w:t>
      </w:r>
    </w:p>
    <w:p>
      <w:pPr>
        <w:pStyle w:val="null3"/>
        <w:jc w:val="center"/>
        <w:outlineLvl w:val="2"/>
      </w:pPr>
      <w:r>
        <w:rPr>
          <w:rFonts w:ascii="仿宋_GB2312" w:hAnsi="仿宋_GB2312" w:cs="仿宋_GB2312" w:eastAsia="仿宋_GB2312"/>
          <w:sz w:val="28"/>
          <w:b/>
        </w:rPr>
        <w:t>中天久信（陕西）管理咨询有限公司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中天久信（陕西）管理咨询有限公司</w:t>
      </w:r>
      <w:r>
        <w:rPr>
          <w:rFonts w:ascii="仿宋_GB2312" w:hAnsi="仿宋_GB2312" w:cs="仿宋_GB2312" w:eastAsia="仿宋_GB2312"/>
        </w:rPr>
        <w:t>（以下简称“代理机构”）受</w:t>
      </w:r>
      <w:r>
        <w:rPr>
          <w:rFonts w:ascii="仿宋_GB2312" w:hAnsi="仿宋_GB2312" w:cs="仿宋_GB2312" w:eastAsia="仿宋_GB2312"/>
        </w:rPr>
        <w:t>西安市城市管理和综合执法局</w:t>
      </w:r>
      <w:r>
        <w:rPr>
          <w:rFonts w:ascii="仿宋_GB2312" w:hAnsi="仿宋_GB2312" w:cs="仿宋_GB2312" w:eastAsia="仿宋_GB2312"/>
        </w:rPr>
        <w:t>委托，拟对</w:t>
      </w:r>
      <w:r>
        <w:rPr>
          <w:rFonts w:ascii="仿宋_GB2312" w:hAnsi="仿宋_GB2312" w:cs="仿宋_GB2312" w:eastAsia="仿宋_GB2312"/>
        </w:rPr>
        <w:t>2026年西安市城六区道路保洁员意外伤害保险(二次)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JXZB2026-W2047.1B1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2026年西安市城六区道路保洁员意外伤害保险(二次)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城六区道路清扫保洁员意外伤害险是按照市政府办公厅《关于进一步加强市容环卫行业管理工作实施意见的通知》（市政办发〔2016〕35号）要求，为切实解决区城管部门道路清扫保洁员作业中可能出现意外或交通事故造成人员受伤或身故后的赔偿问题，使受伤本人或身故家人得到应有的经济赔偿。因上一期保险即将到期（2025年8月1日至2026年7月31日），本次采购城六区道路清扫保洁员下一年度人身意外伤害险。</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1、营业执照：具有独立承担民事责任能力的法人、其他组织或自然人：法人或者其他组织提供营业执照等证明文件，自然人提供身份证件。</w:t>
      </w:r>
    </w:p>
    <w:p>
      <w:pPr>
        <w:pStyle w:val="null3"/>
      </w:pPr>
      <w:r>
        <w:rPr>
          <w:rFonts w:ascii="仿宋_GB2312" w:hAnsi="仿宋_GB2312" w:cs="仿宋_GB2312" w:eastAsia="仿宋_GB2312"/>
        </w:rPr>
        <w:t>2、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w:t>
      </w:r>
    </w:p>
    <w:p>
      <w:pPr>
        <w:pStyle w:val="null3"/>
      </w:pPr>
      <w:r>
        <w:rPr>
          <w:rFonts w:ascii="仿宋_GB2312" w:hAnsi="仿宋_GB2312" w:cs="仿宋_GB2312" w:eastAsia="仿宋_GB2312"/>
        </w:rPr>
        <w:t>3、财务状况报告：提供2024年度或2025年度经审计的财务报告，审计报告须在注册会计师行业统一监管平台报备并附验证码（包括审计报告、资产负债表、利润表、现金流量表、所有者权益变动表及其附注，成立时间至提交响应文件截止时间不足一年的可提供成立后任意时段的资产负债表）或开标前3个月内基本存款账户开户银行出具的资信证明及基本存款账户开户许可证（基本账户信息）或财政部门认可的政府采购专业担保机构出具的担保函；</w:t>
      </w:r>
    </w:p>
    <w:p>
      <w:pPr>
        <w:pStyle w:val="null3"/>
      </w:pPr>
      <w:r>
        <w:rPr>
          <w:rFonts w:ascii="仿宋_GB2312" w:hAnsi="仿宋_GB2312" w:cs="仿宋_GB2312" w:eastAsia="仿宋_GB2312"/>
        </w:rPr>
        <w:t>4、供应商授权合法的人员参加投标全过程：法定代表人授权委托书（附法定代表人身份证复印件）及被授权委托人身份证。</w:t>
      </w:r>
    </w:p>
    <w:p>
      <w:pPr>
        <w:pStyle w:val="null3"/>
      </w:pPr>
      <w:r>
        <w:rPr>
          <w:rFonts w:ascii="仿宋_GB2312" w:hAnsi="仿宋_GB2312" w:cs="仿宋_GB2312" w:eastAsia="仿宋_GB2312"/>
        </w:rPr>
        <w:t>5、信用截图：供应商未被“信用中国”网站 (www.creditchina.gov.cn) 列入失信被执行人和重大税收违法失信主体，未被中国政府采购网(www.ccgp.gov.cn) 列入政府采购严重违法失信行为记录名单；</w:t>
      </w:r>
    </w:p>
    <w:p>
      <w:pPr>
        <w:pStyle w:val="null3"/>
      </w:pPr>
      <w:r>
        <w:rPr>
          <w:rFonts w:ascii="仿宋_GB2312" w:hAnsi="仿宋_GB2312" w:cs="仿宋_GB2312" w:eastAsia="仿宋_GB2312"/>
        </w:rPr>
        <w:t>6、资格证明：供应商必须是经国家金融监管总局（原中国银行保险监督管理委员会、中国保险监督管理委员会视同）批准成立的保险公司。提供有关投标人法律地位的原始文件（保险经营许可证），总公司取得的相关资质和指标，分支机构经总公司有效授权视为拥有同等资质和指标)；</w:t>
      </w:r>
    </w:p>
    <w:p>
      <w:pPr>
        <w:pStyle w:val="null3"/>
      </w:pPr>
      <w:r>
        <w:rPr>
          <w:rFonts w:ascii="仿宋_GB2312" w:hAnsi="仿宋_GB2312" w:cs="仿宋_GB2312" w:eastAsia="仿宋_GB2312"/>
        </w:rPr>
        <w:t>7、控股关系：单位负责人为同一人或者存在直接控股、管理关系的不同供应商，不得参加本次采购活动（提供书面承诺）；</w:t>
      </w:r>
    </w:p>
    <w:p>
      <w:pPr>
        <w:pStyle w:val="null3"/>
      </w:pPr>
      <w:r>
        <w:rPr>
          <w:rFonts w:ascii="仿宋_GB2312" w:hAnsi="仿宋_GB2312" w:cs="仿宋_GB2312" w:eastAsia="仿宋_GB2312"/>
        </w:rPr>
        <w:t>8、联合体投标：本项目不接受联合体投标(提供非联合体声明)。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西安市城市管理和综合执法局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029-86787259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中天久信（陕西）管理咨询有限公司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陕西省西安市高新区锦业路38号粤汉国际C座14层（F层）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029-89525802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行办法&gt;的通知》（计价格[2002]1980号）规定下浮23%收取。中标单位在领取中标通知书前，须向招标代理机构一次性支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西安市城市管理和综合执法局</w:t>
      </w:r>
      <w:r>
        <w:rPr>
          <w:rFonts w:ascii="仿宋_GB2312" w:hAnsi="仿宋_GB2312" w:cs="仿宋_GB2312" w:eastAsia="仿宋_GB2312"/>
        </w:rPr>
        <w:t>和</w:t>
      </w:r>
      <w:r>
        <w:rPr>
          <w:rFonts w:ascii="仿宋_GB2312" w:hAnsi="仿宋_GB2312" w:cs="仿宋_GB2312" w:eastAsia="仿宋_GB2312"/>
        </w:rPr>
        <w:t>中天久信（陕西）管理咨询有限公司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西安市城市管理和综合执法局</w:t>
      </w:r>
      <w:r>
        <w:rPr>
          <w:rFonts w:ascii="仿宋_GB2312" w:hAnsi="仿宋_GB2312" w:cs="仿宋_GB2312" w:eastAsia="仿宋_GB2312"/>
        </w:rPr>
        <w:t>负责解释。除上述磋商文件内容，其他内容由</w:t>
      </w:r>
      <w:r>
        <w:rPr>
          <w:rFonts w:ascii="仿宋_GB2312" w:hAnsi="仿宋_GB2312" w:cs="仿宋_GB2312" w:eastAsia="仿宋_GB2312"/>
        </w:rPr>
        <w:t>中天久信（陕西）管理咨询有限公司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西安市城市管理和综合执法局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中天久信（陕西）管理咨询有限公司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按照相关规定执行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中天久信（陕西）管理咨询有限公司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中天久信（陕西）管理咨询有限公司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中天久信（陕西）管理咨询有限公司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联系人：李堃</w:t>
      </w:r>
    </w:p>
    <w:p>
      <w:pPr>
        <w:pStyle w:val="null3"/>
      </w:pPr>
      <w:r>
        <w:rPr>
          <w:rFonts w:ascii="仿宋_GB2312" w:hAnsi="仿宋_GB2312" w:cs="仿宋_GB2312" w:eastAsia="仿宋_GB2312"/>
        </w:rPr>
        <w:t>联系电话：029-89525802</w:t>
      </w:r>
    </w:p>
    <w:p>
      <w:pPr>
        <w:pStyle w:val="null3"/>
      </w:pPr>
      <w:r>
        <w:rPr>
          <w:rFonts w:ascii="仿宋_GB2312" w:hAnsi="仿宋_GB2312" w:cs="仿宋_GB2312" w:eastAsia="仿宋_GB2312"/>
        </w:rPr>
        <w:t>地址：陕西省西安市高新区锦业路38号粤汉国际C座14层（F层）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城六区道路清扫保洁员意外伤害险是按照市政府办公厅《关于进一步加强市容环卫行业管理工作实施意见的通知》（市政办发〔2016〕35号）要求，为切实解决区城管部门道路清扫保洁员作业中可能出现意外或交通事故造成人员受伤或身故后的赔偿问题，使受伤本人或身故家人得到应有的经济赔偿。因上一期保险即将到期（2025年8月1日至2026年7月31日），本次采购城六区道路清扫保洁员下一年度人身意外伤害险。</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西安市城六区道路保洁员意外伤害保险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标的名称：西安市城六区道路保洁员意外伤害保险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200"/>
              <w:jc w:val="both"/>
            </w:pPr>
            <w:r>
              <w:rPr>
                <w:rFonts w:ascii="仿宋_GB2312" w:hAnsi="仿宋_GB2312" w:cs="仿宋_GB2312" w:eastAsia="仿宋_GB2312"/>
                <w:sz w:val="24"/>
              </w:rPr>
              <w:t>一、项目概况</w:t>
            </w:r>
          </w:p>
          <w:p>
            <w:pPr>
              <w:pStyle w:val="null3"/>
            </w:pPr>
            <w:r>
              <w:rPr>
                <w:rFonts w:ascii="仿宋_GB2312" w:hAnsi="仿宋_GB2312" w:cs="仿宋_GB2312" w:eastAsia="仿宋_GB2312"/>
                <w:sz w:val="24"/>
              </w:rPr>
              <w:t>城六区道路清扫保洁员意外伤害险是按照市政府办公厅《关于进一步加强市容环卫行业管理工作实施意见的通知》（市政办发〔</w:t>
            </w:r>
            <w:r>
              <w:rPr>
                <w:rFonts w:ascii="仿宋_GB2312" w:hAnsi="仿宋_GB2312" w:cs="仿宋_GB2312" w:eastAsia="仿宋_GB2312"/>
                <w:sz w:val="24"/>
              </w:rPr>
              <w:t>2016</w:t>
            </w:r>
            <w:r>
              <w:rPr>
                <w:rFonts w:ascii="仿宋_GB2312" w:hAnsi="仿宋_GB2312" w:cs="仿宋_GB2312" w:eastAsia="仿宋_GB2312"/>
                <w:sz w:val="24"/>
              </w:rPr>
              <w:t>〕35号）要求，为切实解决区城管部门道路清扫保洁员作业中可能出现意外或交通事故造成人员受伤或身故后的赔偿问题，使受伤本人或身故家人得到应有的经济赔偿。因上一期保险即将到期（2025年8月1日至2026年7月31日），本次采购城六区道路清扫保洁员下一年度人身意外伤害险。</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rPr>
              <w:t>二、服务内容</w:t>
            </w:r>
          </w:p>
          <w:p>
            <w:pPr>
              <w:pStyle w:val="null3"/>
            </w:pPr>
            <w:r>
              <w:rPr>
                <w:rFonts w:ascii="仿宋_GB2312" w:hAnsi="仿宋_GB2312" w:cs="仿宋_GB2312" w:eastAsia="仿宋_GB2312"/>
                <w:sz w:val="24"/>
              </w:rPr>
              <w:t>提供2026年8月1日至2027年7月31日期间内的城六区道路保洁员因意外引起的身故、伤残、医疗的理赔服务。</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rPr>
              <w:t>三、技术要求</w:t>
            </w:r>
          </w:p>
          <w:p>
            <w:pPr>
              <w:pStyle w:val="null3"/>
            </w:pPr>
            <w:r>
              <w:rPr>
                <w:rFonts w:ascii="仿宋_GB2312" w:hAnsi="仿宋_GB2312" w:cs="仿宋_GB2312" w:eastAsia="仿宋_GB2312"/>
                <w:sz w:val="24"/>
              </w:rPr>
              <w:t>（一）城六区道路保洁人员因意外引起的身故、伤残、医疗的赔付。</w:t>
            </w:r>
          </w:p>
          <w:p>
            <w:pPr>
              <w:pStyle w:val="null3"/>
            </w:pPr>
            <w:r>
              <w:rPr>
                <w:rFonts w:ascii="仿宋_GB2312" w:hAnsi="仿宋_GB2312" w:cs="仿宋_GB2312" w:eastAsia="仿宋_GB2312"/>
                <w:sz w:val="24"/>
              </w:rPr>
              <w:t>（二）投保人数：城六区道路保洁员约15000人（以合同确认的人数为准）。</w:t>
            </w:r>
          </w:p>
          <w:p>
            <w:pPr>
              <w:pStyle w:val="null3"/>
            </w:pPr>
            <w:r>
              <w:rPr>
                <w:rFonts w:ascii="仿宋_GB2312" w:hAnsi="仿宋_GB2312" w:cs="仿宋_GB2312" w:eastAsia="仿宋_GB2312"/>
                <w:sz w:val="24"/>
              </w:rPr>
              <w:t>（三）保险费每人每年200元，其中市级财政承担100元，城六区财政承担100元。</w:t>
            </w:r>
          </w:p>
          <w:p>
            <w:pPr>
              <w:pStyle w:val="null3"/>
            </w:pPr>
            <w:r>
              <w:rPr>
                <w:rFonts w:ascii="仿宋_GB2312" w:hAnsi="仿宋_GB2312" w:cs="仿宋_GB2312" w:eastAsia="仿宋_GB2312"/>
                <w:sz w:val="24"/>
              </w:rPr>
              <w:t>（三）服务商必须承诺24小时承保。</w:t>
            </w:r>
          </w:p>
          <w:p>
            <w:pPr>
              <w:pStyle w:val="null3"/>
            </w:pPr>
            <w:r>
              <w:rPr>
                <w:rFonts w:ascii="仿宋_GB2312" w:hAnsi="仿宋_GB2312" w:cs="仿宋_GB2312" w:eastAsia="仿宋_GB2312"/>
                <w:sz w:val="24"/>
              </w:rPr>
              <w:t>（四）服务商必须承诺因热射病引起的高血压、心肌梗塞、脑梗等疾病导致身故或伤残的承保。</w:t>
            </w:r>
          </w:p>
          <w:p>
            <w:pPr>
              <w:pStyle w:val="null3"/>
            </w:pPr>
            <w:r>
              <w:rPr>
                <w:rFonts w:ascii="仿宋_GB2312" w:hAnsi="仿宋_GB2312" w:cs="仿宋_GB2312" w:eastAsia="仿宋_GB2312"/>
                <w:sz w:val="24"/>
              </w:rPr>
              <w:t>（五）意外身故、意外伤残不受第三方赔付限制，按照合同约定正常赔付。</w:t>
            </w:r>
          </w:p>
          <w:p>
            <w:pPr>
              <w:pStyle w:val="null3"/>
            </w:pPr>
            <w:r>
              <w:rPr>
                <w:rFonts w:ascii="仿宋_GB2312" w:hAnsi="仿宋_GB2312" w:cs="仿宋_GB2312" w:eastAsia="仿宋_GB2312"/>
                <w:sz w:val="24"/>
              </w:rPr>
              <w:t>（六）理赔金额要求大于等于以下数额。</w:t>
            </w:r>
          </w:p>
          <w:p>
            <w:pPr>
              <w:pStyle w:val="null3"/>
            </w:pPr>
            <w:r>
              <w:rPr>
                <w:rFonts w:ascii="仿宋_GB2312" w:hAnsi="仿宋_GB2312" w:cs="仿宋_GB2312" w:eastAsia="仿宋_GB2312"/>
                <w:sz w:val="24"/>
              </w:rPr>
              <w:t>1.意外伤害医疗：金额5万元/人起。</w:t>
            </w:r>
          </w:p>
          <w:p>
            <w:pPr>
              <w:pStyle w:val="null3"/>
            </w:pPr>
            <w:r>
              <w:rPr>
                <w:rFonts w:ascii="仿宋_GB2312" w:hAnsi="仿宋_GB2312" w:cs="仿宋_GB2312" w:eastAsia="仿宋_GB2312"/>
                <w:sz w:val="24"/>
              </w:rPr>
              <w:t>2.意外伤害伤残：金额35万元/人起（按伤残程度给付）。</w:t>
            </w:r>
          </w:p>
          <w:p>
            <w:pPr>
              <w:pStyle w:val="null3"/>
            </w:pPr>
            <w:r>
              <w:rPr>
                <w:rFonts w:ascii="仿宋_GB2312" w:hAnsi="仿宋_GB2312" w:cs="仿宋_GB2312" w:eastAsia="仿宋_GB2312"/>
                <w:sz w:val="24"/>
              </w:rPr>
              <w:t>3.意外伤害身故：金额35万元/人起。</w:t>
            </w:r>
          </w:p>
          <w:p>
            <w:pPr>
              <w:pStyle w:val="null3"/>
            </w:pPr>
            <w:r>
              <w:rPr>
                <w:rFonts w:ascii="仿宋_GB2312" w:hAnsi="仿宋_GB2312" w:cs="仿宋_GB2312" w:eastAsia="仿宋_GB2312"/>
                <w:sz w:val="24"/>
              </w:rPr>
              <w:t>注：在总保险费不变的情况下，各服务商应根据自身情况确定保险赔偿限额。</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rPr>
              <w:t>四、服务要求</w:t>
            </w:r>
          </w:p>
          <w:p>
            <w:pPr>
              <w:pStyle w:val="null3"/>
            </w:pPr>
            <w:r>
              <w:rPr>
                <w:rFonts w:ascii="仿宋_GB2312" w:hAnsi="仿宋_GB2312" w:cs="仿宋_GB2312" w:eastAsia="仿宋_GB2312"/>
                <w:sz w:val="24"/>
              </w:rPr>
              <w:t>承保企业需成立服务小组，负责在保险期限内为西安市城六区道路清扫保洁员因意外伤害提供及时、全面的承保服务，指派专人为本项目客户服务经理，主动上门办理投保、承保手续，指导填制投保单，上门递送保险单，并保证城六区城管执法局第三方环卫保洁企业获得优先服务的权利。为保障服务质量，设立24小时热线服务电话，专人接听，接受业务咨询、报案登记、投诉举报等服务。在保险有效期内，负责为城六区城管执法局及第三方环卫保洁企业分别举办至少两次无偿保险理赔和安全风险管理的培训，以提高道路清扫保洁员或其他相关人员的安全意识、风险管理知识和防损等技能。</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4"/>
              </w:rPr>
              <w:t>五、商务要求</w:t>
            </w:r>
          </w:p>
          <w:p>
            <w:pPr>
              <w:pStyle w:val="null3"/>
            </w:pPr>
            <w:r>
              <w:rPr>
                <w:rFonts w:ascii="仿宋_GB2312" w:hAnsi="仿宋_GB2312" w:cs="仿宋_GB2312" w:eastAsia="仿宋_GB2312"/>
                <w:sz w:val="24"/>
              </w:rPr>
              <w:t>（一）服务期限</w:t>
            </w:r>
          </w:p>
          <w:p>
            <w:pPr>
              <w:pStyle w:val="null3"/>
            </w:pPr>
            <w:r>
              <w:rPr>
                <w:rFonts w:ascii="仿宋_GB2312" w:hAnsi="仿宋_GB2312" w:cs="仿宋_GB2312" w:eastAsia="仿宋_GB2312"/>
                <w:sz w:val="24"/>
              </w:rPr>
              <w:t>承保时间：自2026年8月1日零时至2027年7月31日24时止。</w:t>
            </w:r>
          </w:p>
          <w:p>
            <w:pPr>
              <w:pStyle w:val="null3"/>
            </w:pPr>
            <w:r>
              <w:rPr>
                <w:rFonts w:ascii="仿宋_GB2312" w:hAnsi="仿宋_GB2312" w:cs="仿宋_GB2312" w:eastAsia="仿宋_GB2312"/>
                <w:sz w:val="24"/>
              </w:rPr>
              <w:t>（二）款项结算</w:t>
            </w:r>
          </w:p>
          <w:p>
            <w:pPr>
              <w:pStyle w:val="null3"/>
            </w:pPr>
            <w:r>
              <w:rPr>
                <w:rFonts w:ascii="仿宋_GB2312" w:hAnsi="仿宋_GB2312" w:cs="仿宋_GB2312" w:eastAsia="仿宋_GB2312"/>
                <w:sz w:val="24"/>
              </w:rPr>
              <w:t>支付方式：签订合同后一个月内银行转账，西安市城市管理和综合执法局支付保险金额：大写人民币：壹佰伍拾万元整（小写：1500000元）；城六区城市管理和综合执法局合计支付保险金额：大写人民币：壹佰伍拾万元整（小写1500000元）。最终以合同确认的人数为准支付相关费用。</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4"/>
              </w:rPr>
              <w:t>六、其他</w:t>
            </w:r>
          </w:p>
          <w:p>
            <w:pPr>
              <w:pStyle w:val="null3"/>
            </w:pPr>
            <w:r>
              <w:rPr>
                <w:rFonts w:ascii="仿宋_GB2312" w:hAnsi="仿宋_GB2312" w:cs="仿宋_GB2312" w:eastAsia="仿宋_GB2312"/>
                <w:sz w:val="24"/>
              </w:rPr>
              <w:t>无</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自2026年8月1日零时至2027年7月31日24时止。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合同签订后，达到付款条件起30个工作日内，支付合同总金额的100.0%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在履行本合同过程中发生争议，双方当事人和解或调解不成，双方同意任一方均可向甲方所在地人民法院起诉。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1.投标单位须无偿提供盖章齐全的纸质版投标文件两套（正本1套、副本1套），纸质版投标文件内容须与电子投标文件保持一致。 纸质版投标文件递交地址：陕西省西安市高新区锦业路38号粤汉国际C座14层(F层) 2.本项目磋商报价(理赔金额合计价格))不受磋商文件中最高限价约束。理赔金额报价请以附件中磋商一览表格式提交。 3、供应商二次报价时应填报总价和各理赔金额报价(分项报价以附件形式上传至报价系统，格式自拟)。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具有独立承担民事责任能力的法人、其他组织或自然人：法人或者其他组织提供营业执照等证明文件，自然人提供身份证件。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审计报告须在注册会计师行业统一监管平台报备并附验证码（包括审计报告、资产负债表、利润表、现金流量表、所有者权益变动表及其附注，成立时间至提交响应文件截止时间不足一年的可提供成立后任意时段的资产负债表）或开标前3个月内基本存款账户开户银行出具的资信证明及基本存款账户开户许可证（基本账户信息）或财政部门认可的政府采购专业担保机构出具的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供应商未被“信用中国”网站 (www.creditchina.gov.cn) 列入失信被执行人和重大税收违法失信主体，未被中国政府采购网(www.ccgp.gov.cn) 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资格证明</w:t>
            </w:r>
          </w:p>
        </w:tc>
        <w:tc>
          <w:tcPr>
            <w:tcW w:type="dxa" w:w="3322"/>
          </w:tcPr>
          <w:p>
            <w:pPr>
              <w:pStyle w:val="null3"/>
            </w:pPr>
            <w:r>
              <w:rPr>
                <w:rFonts w:ascii="仿宋_GB2312" w:hAnsi="仿宋_GB2312" w:cs="仿宋_GB2312" w:eastAsia="仿宋_GB2312"/>
              </w:rPr>
              <w:t>供应商必须是经国家金融监管总局（原中国银行保险监督管理委员会、中国保险监督管理委员会视同）批准成立的保险公司。提供有关投标人法律地位的原始文件（保险经营许可证），总公司取得的相关资质和指标，分支机构经总公司有效授权视为拥有同等资质和指标)；</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单位负责人为同一人或者存在直接控股、管理关系的不同供应商，不得参加本次采购活动（提供书面承诺）；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本项目不接受联合体投标(提供非联合体声明)。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服务内容及服务要求应答表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服务内容及服务要求应答表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报价唯一且未超过采购预算</w:t>
            </w:r>
          </w:p>
        </w:tc>
        <w:tc>
          <w:tcPr>
            <w:tcW w:type="dxa" w:w="1661"/>
          </w:tcPr>
          <w:p>
            <w:pPr>
              <w:pStyle w:val="null3"/>
            </w:pPr>
            <w:r>
              <w:rPr>
                <w:rFonts w:ascii="仿宋_GB2312" w:hAnsi="仿宋_GB2312" w:cs="仿宋_GB2312" w:eastAsia="仿宋_GB2312"/>
              </w:rPr>
              <w:t>响应文件封面 商务应答表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响应文件无无效响应情形</w:t>
            </w:r>
          </w:p>
        </w:tc>
        <w:tc>
          <w:tcPr>
            <w:tcW w:type="dxa" w:w="1661"/>
          </w:tcPr>
          <w:p>
            <w:pPr>
              <w:pStyle w:val="null3"/>
            </w:pPr>
            <w:r>
              <w:rPr>
                <w:rFonts w:ascii="仿宋_GB2312" w:hAnsi="仿宋_GB2312" w:cs="仿宋_GB2312" w:eastAsia="仿宋_GB2312"/>
              </w:rPr>
              <w:t>响应文件封面 商务应答表 服务内容及服务要求应答表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理赔金额得分</w:t>
            </w:r>
          </w:p>
        </w:tc>
        <w:tc>
          <w:tcPr>
            <w:tcW w:type="dxa" w:w="2492"/>
          </w:tcPr>
          <w:p>
            <w:pPr>
              <w:pStyle w:val="null3"/>
            </w:pPr>
            <w:r>
              <w:rPr>
                <w:rFonts w:ascii="仿宋_GB2312" w:hAnsi="仿宋_GB2312" w:cs="仿宋_GB2312" w:eastAsia="仿宋_GB2312"/>
              </w:rPr>
              <w:t>身故报价：满足磋商文件要求最高的磋商报价（理赔金额价格）为评标基准价，其价格分为满分。其他招标供应商的价格分统一按照下列公式计算： 报价得分=（磋商报价（理赔金额价格）/评标基准价）×价格权值。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理赔金额得分</w:t>
            </w:r>
          </w:p>
        </w:tc>
        <w:tc>
          <w:tcPr>
            <w:tcW w:type="dxa" w:w="2492"/>
          </w:tcPr>
          <w:p>
            <w:pPr>
              <w:pStyle w:val="null3"/>
            </w:pPr>
            <w:r>
              <w:rPr>
                <w:rFonts w:ascii="仿宋_GB2312" w:hAnsi="仿宋_GB2312" w:cs="仿宋_GB2312" w:eastAsia="仿宋_GB2312"/>
              </w:rPr>
              <w:t>伤残报价： 满足磋商文件要求最高的磋商报价（理赔金额价格）为评标基准价，其价格分为满分。其他招标供应商的价格分统一按照下列公式计算： 报价得分=（磋商报价（理赔金额价格）/评标基准价）×价格权值。</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理赔金额得分</w:t>
            </w:r>
          </w:p>
        </w:tc>
        <w:tc>
          <w:tcPr>
            <w:tcW w:type="dxa" w:w="2492"/>
          </w:tcPr>
          <w:p>
            <w:pPr>
              <w:pStyle w:val="null3"/>
            </w:pPr>
            <w:r>
              <w:rPr>
                <w:rFonts w:ascii="仿宋_GB2312" w:hAnsi="仿宋_GB2312" w:cs="仿宋_GB2312" w:eastAsia="仿宋_GB2312"/>
              </w:rPr>
              <w:t>医疗报价： 满足磋商文件要求最高的磋商报价（理赔金额价格）为评标基准价，其价格分为满分。其他招标供应商的价格分统一按照下列公式计算： 报价得分=（磋商报价（理赔金额价格）/评标基准价）×价格权值。</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综合偿付能力</w:t>
            </w:r>
          </w:p>
        </w:tc>
        <w:tc>
          <w:tcPr>
            <w:tcW w:type="dxa" w:w="2492"/>
          </w:tcPr>
          <w:p>
            <w:pPr>
              <w:pStyle w:val="null3"/>
            </w:pPr>
            <w:r>
              <w:rPr>
                <w:rFonts w:ascii="仿宋_GB2312" w:hAnsi="仿宋_GB2312" w:cs="仿宋_GB2312" w:eastAsia="仿宋_GB2312"/>
              </w:rPr>
              <w:t>供应商2025年度的偿付能力充足率，根据响应程度计0-10分。 (1)供应商偿付能力充足率在210%及以上，得10分； (2)供应商偿付能力充足率[190%-209%），得8分； (3)供应商偿付能力充足率[170%-189%），得6分； (4)供应商偿付能力充足率[150%-169%），得4分； (5)供应商偿付能力充足率[130%-149%），得2分； (6)供应商偿付能力充足率不足130%，得1分； 需提供相关证明材料，否则该项不得分。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1.针对承保服务和理赔服务成立专门小组，分管领导亲自负责，分工明确，提供具体成员名单，包括姓名、所在公司、职务、职称、工作职责、联系方式等。根据响应程度计0-5分。 （1）专业人员配备合理、响应内容全面，分管领导有丰富的服务经验，证明材料细致清楚，能直接体现的，得5分； （2）专业人员配备合理、响应内容较全面的，分管领导可以基本满足项目要求，有足够的证明材料证明其可行性的，得4分； （3）专业人员配备合理、响应内容基本全面的，分管领导勉强可以满足项目要求，证明材料基本完善的，得3分； （4）专业人员配备较不够合理、响应内容较不够全面的，分管领导较难满足项目要求的，得2分； （5）专业人员配备不够合理、响应内容不够全面的，分管领导无法满足项目要求的，得1分； （6）未提供不计分。 2.承诺配备具有法律知识背景的专业接待人员，积极协调保险纠纷，有效控制服务对象的投诉。根据响应程度计0-5分。 （1）有具体的对接人员，附人员简历、业务经历丰富（经历包含协调保险纠纷和有效控制服务对象的投诉的）且描述等能直接体现其专业能力的，得5分； （2）有具体的对接人员，附人员简历、业务经历描述等能基本体现专业能力的，得4分； （3）有具体的对接人员，附人员简历、业务经历描述等勉强能体现专业能力的，得3分； （4）有具体的对接人员，附人员简历、业务经历描述等无法体现专业能力的，得2分； （5）具体对接人员不足，附人员简历、业务经历描述等无法体现专业能力的，得1分； （6）未提供不计分。 3.安排专人指导被保险人全程办理相关的索赔手续。根据响应程度计0-5分。 （1）所安排人员有充足的保险专业知识，有指导被保险人全程办理相关的索赔手续的经验，得5分； （2）所安排人员有充足的保险专业知识可以满足指导要求，得4分； （3）所安排人员有充足的保险专业知识可以基本满足指导要求，得3分； （4）所安排人员有基本的保险专业知识可以勉强满足指导要求，得2分； （5）所安排人员无法满足指导要求，得1分； （6）未提供不计分。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服务水平</w:t>
            </w:r>
          </w:p>
        </w:tc>
        <w:tc>
          <w:tcPr>
            <w:tcW w:type="dxa" w:w="2492"/>
          </w:tcPr>
          <w:p>
            <w:pPr>
              <w:pStyle w:val="null3"/>
            </w:pPr>
            <w:r>
              <w:rPr>
                <w:rFonts w:ascii="仿宋_GB2312" w:hAnsi="仿宋_GB2312" w:cs="仿宋_GB2312" w:eastAsia="仿宋_GB2312"/>
              </w:rPr>
              <w:t>1.具有完善详尽的服务方案及措施，根据响应程度计0-5分。 （1）服务方案及措施完善详尽的，其可行性强，得5分； （2）服务方案及措施满足本项目需求，得4分； (3) 服务方案及措施基本满足本项目需求，得3分； （4）服务方案及措施勉强满足本项目需求，得2分； （5）服务方案及措施无法满足本项目需求，得1分； （6）未提供不计分。 2.保险理赔流程详尽合理，具有方便快捷的特点，根据响应程度计0-5分。 （1）保险理赔流程清晰、详尽，具有方便快捷的特点，得5分； （2）保险理赔流程详尽，可以满足本项目需求，得4分； （3）保险理赔流程基本详尽，可以基本满足本项目需求，得3分； （4）保险理赔流程不够详尽，勉强满足本项目需求，得2分； （5）保险理赔流程不够详尽，无法满足本项目需求，得1分； （6）未提供不计分。 3.对保洁人员的理赔措施及附加条款承诺，根据响应程度计0-5分。 （1）承诺的理赔措施及附加条款科学、合理，可以更好的保障整个服务的实施，得5分。 （2）承诺的理赔措施及附加条款合理，可以满足基本要求，得4分。 （3）承诺的理赔措施及附加条款合理，可以基本满足要求，得3分。 （4）承诺的理赔措施及附加条款基本合理，可以勉强满足要求，得2分。 （5）承诺的理赔措施及附加条款不够合理，难以满足基本要求，得1分。 （6）不提供不得分。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1.承诺建议保险理赔服务绿色通道，支持快速处理手段，能够先行垫付赔款，根据响应程度计0-5分。 （1）所承诺的保险理赔服务绿色通道，支持快速处理手段，能够先行垫付赔款，措施完善，可实施性强，得5分。 （2）承诺建立保险理赔服务绿色通道，支持快速处理手段，能够先行垫付赔款，基本可以实施的，得4分。 （3）承诺建立保险理赔服务绿色通道，支持快速处理手段，能够先行垫付赔款，勉强可以实施的，得3分。 （4）承诺建立保险理赔服务绿色通道，支持快速处理手段，能够先行垫付赔款，但方案难以实施的，得2分。 （5）承诺建立保险理赔服务绿色通道，支持快速处理手段，不能够先行垫付赔款，得1分。 （6）不提供不得分。 2.承诺个别特殊（重大）理赔服务措施。根据响应程度计0-5分。 （1）所承诺的个别特殊（重大）理赔服务计划完善，可实施性强，得5分。 （2）所承诺的个别特殊（重大）理赔具有说明，可实施，得4分。 （3）所承诺的个别特殊（重大）理赔具有说明，基本可实施，得3分。 （4）所承诺的个别特殊（重大）理赔说明不够完善，勉强可实施，得2分。 （5）所承诺的个别特殊（重大）理赔说明不完善，难以实施，得1分。 （6）不提供不得分。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详见附件：城六区道路保洁员意外伤害保险合同（最终）(2).docx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