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D1475">
      <w:pPr>
        <w:jc w:val="center"/>
        <w:rPr>
          <w:rFonts w:hint="eastAsia" w:ascii="宋体" w:hAnsi="宋体" w:eastAsia="宋体" w:cs="宋体"/>
          <w:b/>
          <w:bCs/>
          <w:color w:val="auto"/>
          <w:spacing w:val="0"/>
          <w:position w:val="0"/>
          <w:sz w:val="44"/>
          <w:szCs w:val="44"/>
          <w:lang w:val="en-US" w:eastAsia="zh-CN"/>
        </w:rPr>
      </w:pPr>
    </w:p>
    <w:p w14:paraId="25B8FE18">
      <w:pPr>
        <w:jc w:val="center"/>
        <w:rPr>
          <w:rFonts w:hint="eastAsia" w:ascii="宋体" w:hAnsi="宋体" w:eastAsia="宋体" w:cs="宋体"/>
          <w:b/>
          <w:bCs/>
          <w:color w:val="auto"/>
          <w:spacing w:val="0"/>
          <w:position w:val="0"/>
          <w:sz w:val="44"/>
          <w:szCs w:val="44"/>
          <w:lang w:val="en-US" w:eastAsia="zh-CN"/>
        </w:rPr>
      </w:pPr>
    </w:p>
    <w:p w14:paraId="6603458A">
      <w:pPr>
        <w:jc w:val="center"/>
        <w:rPr>
          <w:rFonts w:hint="eastAsia" w:ascii="宋体" w:hAnsi="宋体" w:eastAsia="宋体" w:cs="宋体"/>
          <w:b/>
          <w:bCs/>
          <w:color w:val="auto"/>
          <w:spacing w:val="0"/>
          <w:position w:val="0"/>
          <w:sz w:val="44"/>
          <w:szCs w:val="44"/>
          <w:lang w:val="en-US" w:eastAsia="zh-CN"/>
        </w:rPr>
      </w:pPr>
    </w:p>
    <w:p w14:paraId="0F6DBD55">
      <w:pPr>
        <w:jc w:val="center"/>
        <w:rPr>
          <w:rFonts w:hint="eastAsia" w:ascii="宋体" w:hAnsi="宋体" w:eastAsia="宋体" w:cs="宋体"/>
          <w:b/>
          <w:bCs/>
          <w:color w:val="auto"/>
          <w:spacing w:val="0"/>
          <w:position w:val="0"/>
          <w:sz w:val="44"/>
          <w:szCs w:val="44"/>
          <w:lang w:val="en-US" w:eastAsia="zh-CN"/>
        </w:rPr>
      </w:pPr>
    </w:p>
    <w:p w14:paraId="3CF67022">
      <w:pPr>
        <w:jc w:val="center"/>
        <w:rPr>
          <w:rFonts w:hint="eastAsia" w:ascii="宋体" w:hAnsi="宋体" w:eastAsia="宋体" w:cs="宋体"/>
          <w:b/>
          <w:bCs/>
          <w:color w:val="auto"/>
          <w:spacing w:val="0"/>
          <w:position w:val="0"/>
          <w:sz w:val="44"/>
          <w:szCs w:val="44"/>
          <w:lang w:val="en-US" w:eastAsia="zh-CN"/>
        </w:rPr>
      </w:pPr>
    </w:p>
    <w:p w14:paraId="57EB1EF6">
      <w:pPr>
        <w:jc w:val="center"/>
        <w:rPr>
          <w:rFonts w:hint="eastAsia" w:ascii="宋体" w:hAnsi="宋体" w:eastAsia="宋体" w:cs="宋体"/>
          <w:b/>
          <w:bCs/>
          <w:color w:val="auto"/>
          <w:spacing w:val="0"/>
          <w:position w:val="0"/>
          <w:sz w:val="44"/>
          <w:szCs w:val="44"/>
          <w:lang w:val="en-US" w:eastAsia="zh-CN"/>
        </w:rPr>
      </w:pPr>
    </w:p>
    <w:p w14:paraId="00D75912">
      <w:pPr>
        <w:widowControl w:val="0"/>
        <w:kinsoku/>
        <w:autoSpaceDE/>
        <w:autoSpaceDN/>
        <w:adjustRightInd/>
        <w:snapToGrid/>
        <w:spacing w:before="143" w:line="219" w:lineRule="auto"/>
        <w:jc w:val="center"/>
        <w:textAlignment w:val="auto"/>
        <w:outlineLvl w:val="0"/>
        <w:rPr>
          <w:rFonts w:hint="eastAsia" w:ascii="宋体" w:hAnsi="宋体" w:eastAsia="宋体" w:cs="宋体"/>
          <w:b/>
          <w:bCs/>
          <w:snapToGrid/>
          <w:color w:val="auto"/>
          <w:spacing w:val="11"/>
          <w:kern w:val="2"/>
          <w:sz w:val="44"/>
          <w:szCs w:val="44"/>
          <w:lang w:val="en-US" w:eastAsia="zh-CN" w:bidi="ar-SA"/>
        </w:rPr>
      </w:pPr>
      <w:r>
        <w:rPr>
          <w:rFonts w:hint="eastAsia" w:ascii="宋体" w:hAnsi="宋体" w:eastAsia="宋体" w:cs="宋体"/>
          <w:b/>
          <w:bCs/>
          <w:snapToGrid/>
          <w:color w:val="auto"/>
          <w:spacing w:val="11"/>
          <w:kern w:val="2"/>
          <w:sz w:val="44"/>
          <w:szCs w:val="44"/>
          <w:lang w:val="en-US" w:eastAsia="zh-CN" w:bidi="ar-SA"/>
        </w:rPr>
        <w:t>西安市城市管理和综合执法局城六区道路保洁员意外伤害保险合同</w:t>
      </w:r>
    </w:p>
    <w:p w14:paraId="6C249303">
      <w:pPr>
        <w:jc w:val="center"/>
        <w:rPr>
          <w:rFonts w:hint="eastAsia" w:ascii="宋体" w:hAnsi="宋体" w:eastAsia="宋体" w:cs="宋体"/>
          <w:b/>
          <w:bCs/>
          <w:color w:val="auto"/>
          <w:spacing w:val="0"/>
          <w:position w:val="0"/>
          <w:sz w:val="36"/>
          <w:szCs w:val="36"/>
          <w:lang w:val="en-US" w:eastAsia="zh-CN"/>
        </w:rPr>
      </w:pPr>
    </w:p>
    <w:p w14:paraId="1E5CC970">
      <w:pPr>
        <w:jc w:val="center"/>
        <w:rPr>
          <w:rFonts w:hint="eastAsia" w:ascii="宋体" w:hAnsi="宋体" w:eastAsia="宋体" w:cs="宋体"/>
          <w:b/>
          <w:bCs/>
          <w:color w:val="auto"/>
          <w:spacing w:val="0"/>
          <w:position w:val="0"/>
          <w:sz w:val="36"/>
          <w:szCs w:val="36"/>
          <w:lang w:val="en-US" w:eastAsia="zh-CN"/>
        </w:rPr>
      </w:pPr>
    </w:p>
    <w:p w14:paraId="2C2F8B07">
      <w:pPr>
        <w:jc w:val="center"/>
        <w:rPr>
          <w:rFonts w:hint="eastAsia" w:ascii="宋体" w:hAnsi="宋体" w:eastAsia="宋体" w:cs="宋体"/>
          <w:b/>
          <w:bCs/>
          <w:color w:val="auto"/>
          <w:spacing w:val="0"/>
          <w:position w:val="0"/>
          <w:sz w:val="36"/>
          <w:szCs w:val="36"/>
          <w:lang w:val="en-US" w:eastAsia="zh-CN"/>
        </w:rPr>
      </w:pPr>
    </w:p>
    <w:p w14:paraId="4C78BC2E">
      <w:pPr>
        <w:jc w:val="center"/>
        <w:rPr>
          <w:rFonts w:hint="eastAsia" w:ascii="宋体" w:hAnsi="宋体" w:eastAsia="宋体" w:cs="宋体"/>
          <w:b/>
          <w:bCs/>
          <w:color w:val="auto"/>
          <w:spacing w:val="0"/>
          <w:position w:val="0"/>
          <w:sz w:val="36"/>
          <w:szCs w:val="36"/>
          <w:lang w:val="en-US" w:eastAsia="zh-CN"/>
        </w:rPr>
      </w:pPr>
    </w:p>
    <w:p w14:paraId="6EA9483E">
      <w:pPr>
        <w:jc w:val="center"/>
        <w:rPr>
          <w:rFonts w:hint="eastAsia" w:ascii="宋体" w:hAnsi="宋体" w:eastAsia="宋体" w:cs="宋体"/>
          <w:b/>
          <w:bCs/>
          <w:color w:val="auto"/>
          <w:spacing w:val="0"/>
          <w:position w:val="0"/>
          <w:sz w:val="36"/>
          <w:szCs w:val="36"/>
          <w:lang w:val="en-US" w:eastAsia="zh-CN"/>
        </w:rPr>
      </w:pPr>
    </w:p>
    <w:p w14:paraId="353BCB7B">
      <w:pPr>
        <w:jc w:val="center"/>
        <w:rPr>
          <w:rFonts w:hint="eastAsia" w:ascii="宋体" w:hAnsi="宋体" w:eastAsia="宋体" w:cs="宋体"/>
          <w:b/>
          <w:bCs/>
          <w:color w:val="auto"/>
          <w:spacing w:val="0"/>
          <w:position w:val="0"/>
          <w:sz w:val="36"/>
          <w:szCs w:val="36"/>
          <w:lang w:val="en-US" w:eastAsia="zh-CN"/>
        </w:rPr>
      </w:pPr>
    </w:p>
    <w:p w14:paraId="47961771">
      <w:pPr>
        <w:pStyle w:val="4"/>
        <w:rPr>
          <w:rFonts w:hint="eastAsia" w:ascii="宋体" w:hAnsi="宋体" w:eastAsia="宋体" w:cs="宋体"/>
          <w:color w:val="auto"/>
          <w:lang w:val="en-US" w:eastAsia="zh-CN"/>
        </w:rPr>
      </w:pPr>
    </w:p>
    <w:p w14:paraId="0082A1C9">
      <w:pPr>
        <w:jc w:val="center"/>
        <w:rPr>
          <w:rFonts w:hint="eastAsia" w:ascii="宋体" w:hAnsi="宋体" w:eastAsia="宋体" w:cs="宋体"/>
          <w:b/>
          <w:bCs/>
          <w:color w:val="auto"/>
          <w:spacing w:val="0"/>
          <w:position w:val="0"/>
          <w:sz w:val="36"/>
          <w:szCs w:val="36"/>
          <w:lang w:val="en-US" w:eastAsia="zh-CN"/>
        </w:rPr>
      </w:pPr>
    </w:p>
    <w:p w14:paraId="7BF3C5FE">
      <w:pPr>
        <w:jc w:val="center"/>
        <w:rPr>
          <w:rFonts w:hint="eastAsia" w:ascii="宋体" w:hAnsi="宋体" w:eastAsia="宋体" w:cs="宋体"/>
          <w:b/>
          <w:bCs/>
          <w:color w:val="auto"/>
          <w:spacing w:val="0"/>
          <w:position w:val="0"/>
          <w:sz w:val="36"/>
          <w:szCs w:val="36"/>
          <w:lang w:val="en-US" w:eastAsia="zh-CN"/>
        </w:rPr>
      </w:pPr>
    </w:p>
    <w:p w14:paraId="27221F65">
      <w:pPr>
        <w:widowControl w:val="0"/>
        <w:kinsoku/>
        <w:autoSpaceDE/>
        <w:autoSpaceDN/>
        <w:adjustRightInd/>
        <w:snapToGrid/>
        <w:spacing w:before="84" w:line="221" w:lineRule="auto"/>
        <w:ind w:firstLine="384" w:firstLineChars="100"/>
        <w:jc w:val="left"/>
        <w:textAlignment w:val="auto"/>
        <w:rPr>
          <w:rFonts w:hint="eastAsia" w:ascii="宋体" w:hAnsi="宋体" w:eastAsia="宋体" w:cs="宋体"/>
          <w:snapToGrid/>
          <w:color w:val="auto"/>
          <w:spacing w:val="42"/>
          <w:kern w:val="2"/>
          <w:sz w:val="30"/>
          <w:szCs w:val="30"/>
          <w:lang w:val="en-US" w:eastAsia="zh-CN" w:bidi="ar-SA"/>
        </w:rPr>
      </w:pPr>
      <w:r>
        <w:rPr>
          <w:rFonts w:hint="eastAsia" w:ascii="宋体" w:hAnsi="宋体" w:eastAsia="宋体" w:cs="宋体"/>
          <w:snapToGrid/>
          <w:color w:val="auto"/>
          <w:spacing w:val="42"/>
          <w:kern w:val="2"/>
          <w:sz w:val="30"/>
          <w:szCs w:val="30"/>
          <w:lang w:val="en-US" w:eastAsia="zh-CN" w:bidi="ar-SA"/>
        </w:rPr>
        <w:t>甲方：西安市城市管理和综合执法局</w:t>
      </w:r>
    </w:p>
    <w:p w14:paraId="7D01F5C2">
      <w:pPr>
        <w:widowControl w:val="0"/>
        <w:kinsoku/>
        <w:autoSpaceDE/>
        <w:autoSpaceDN/>
        <w:adjustRightInd/>
        <w:snapToGrid/>
        <w:spacing w:before="84" w:line="221" w:lineRule="auto"/>
        <w:jc w:val="left"/>
        <w:textAlignment w:val="auto"/>
        <w:rPr>
          <w:rFonts w:hint="eastAsia" w:ascii="宋体" w:hAnsi="宋体" w:eastAsia="宋体" w:cs="宋体"/>
          <w:snapToGrid/>
          <w:color w:val="auto"/>
          <w:spacing w:val="40"/>
          <w:w w:val="90"/>
          <w:kern w:val="2"/>
          <w:sz w:val="30"/>
          <w:szCs w:val="30"/>
          <w:lang w:val="en-US" w:eastAsia="zh-CN" w:bidi="ar-SA"/>
        </w:rPr>
      </w:pPr>
      <w:r>
        <w:rPr>
          <w:rFonts w:hint="eastAsia" w:ascii="宋体" w:hAnsi="宋体" w:eastAsia="宋体" w:cs="宋体"/>
          <w:snapToGrid/>
          <w:color w:val="auto"/>
          <w:spacing w:val="42"/>
          <w:kern w:val="2"/>
          <w:sz w:val="30"/>
          <w:szCs w:val="30"/>
          <w:lang w:val="en-US" w:eastAsia="zh-CN" w:bidi="ar-SA"/>
        </w:rPr>
        <w:t xml:space="preserve">  乙方：</w:t>
      </w:r>
    </w:p>
    <w:p w14:paraId="1DA4AB9B">
      <w:pPr>
        <w:widowControl w:val="0"/>
        <w:kinsoku/>
        <w:autoSpaceDE/>
        <w:autoSpaceDN/>
        <w:adjustRightInd/>
        <w:snapToGrid/>
        <w:spacing w:before="84" w:line="221" w:lineRule="auto"/>
        <w:ind w:firstLine="1212" w:firstLineChars="300"/>
        <w:jc w:val="left"/>
        <w:textAlignment w:val="auto"/>
        <w:rPr>
          <w:rFonts w:hint="eastAsia" w:ascii="宋体" w:hAnsi="宋体" w:eastAsia="宋体" w:cs="宋体"/>
          <w:snapToGrid/>
          <w:color w:val="auto"/>
          <w:spacing w:val="42"/>
          <w:kern w:val="2"/>
          <w:sz w:val="32"/>
          <w:szCs w:val="32"/>
          <w:lang w:val="en-US" w:eastAsia="zh-CN" w:bidi="ar-SA"/>
        </w:rPr>
      </w:pPr>
    </w:p>
    <w:p w14:paraId="059C3415">
      <w:pPr>
        <w:widowControl w:val="0"/>
        <w:kinsoku/>
        <w:autoSpaceDE/>
        <w:autoSpaceDN/>
        <w:adjustRightInd/>
        <w:snapToGrid/>
        <w:spacing w:before="84" w:line="221" w:lineRule="auto"/>
        <w:jc w:val="center"/>
        <w:textAlignment w:val="auto"/>
        <w:rPr>
          <w:rFonts w:hint="eastAsia" w:ascii="宋体" w:hAnsi="宋体" w:eastAsia="宋体" w:cs="宋体"/>
          <w:snapToGrid/>
          <w:color w:val="auto"/>
          <w:spacing w:val="42"/>
          <w:kern w:val="2"/>
          <w:sz w:val="30"/>
          <w:szCs w:val="30"/>
          <w:lang w:val="en-US" w:eastAsia="zh-CN" w:bidi="ar-SA"/>
        </w:rPr>
      </w:pPr>
      <w:r>
        <w:rPr>
          <w:rFonts w:hint="eastAsia" w:ascii="宋体" w:hAnsi="宋体" w:eastAsia="宋体" w:cs="宋体"/>
          <w:snapToGrid/>
          <w:color w:val="auto"/>
          <w:spacing w:val="42"/>
          <w:kern w:val="2"/>
          <w:sz w:val="32"/>
          <w:szCs w:val="32"/>
          <w:lang w:val="en-US" w:eastAsia="zh-CN" w:bidi="ar-SA"/>
        </w:rPr>
        <w:t>二〇二六年   月</w:t>
      </w:r>
      <w:r>
        <w:rPr>
          <w:rFonts w:hint="eastAsia" w:ascii="宋体" w:hAnsi="宋体" w:eastAsia="宋体" w:cs="宋体"/>
          <w:snapToGrid/>
          <w:color w:val="auto"/>
          <w:spacing w:val="42"/>
          <w:kern w:val="2"/>
          <w:sz w:val="30"/>
          <w:szCs w:val="30"/>
          <w:lang w:val="en-US" w:eastAsia="zh-CN" w:bidi="ar-SA"/>
        </w:rPr>
        <w:br w:type="page"/>
      </w:r>
    </w:p>
    <w:p w14:paraId="6595F3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b w:val="0"/>
          <w:bCs w:val="0"/>
          <w:color w:val="auto"/>
          <w:spacing w:val="0"/>
          <w:position w:val="0"/>
          <w:sz w:val="36"/>
          <w:szCs w:val="36"/>
          <w:lang w:val="en-US" w:eastAsia="zh-CN"/>
        </w:rPr>
      </w:pPr>
      <w:r>
        <w:rPr>
          <w:rFonts w:hint="eastAsia" w:ascii="宋体" w:hAnsi="宋体" w:eastAsia="宋体" w:cs="宋体"/>
          <w:b/>
          <w:bCs/>
          <w:color w:val="auto"/>
          <w:spacing w:val="0"/>
          <w:position w:val="0"/>
          <w:sz w:val="36"/>
          <w:szCs w:val="36"/>
          <w:lang w:val="en-US" w:eastAsia="zh-CN"/>
        </w:rPr>
        <w:t>保险合同构成</w:t>
      </w:r>
    </w:p>
    <w:p w14:paraId="2FA2280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0"/>
        <w:rPr>
          <w:rFonts w:hint="eastAsia" w:ascii="宋体" w:hAnsi="宋体" w:eastAsia="宋体" w:cs="宋体"/>
          <w:b w:val="0"/>
          <w:bCs w:val="0"/>
          <w:color w:val="auto"/>
          <w:spacing w:val="0"/>
          <w:position w:val="0"/>
          <w:sz w:val="32"/>
          <w:szCs w:val="32"/>
        </w:rPr>
      </w:pPr>
      <w:r>
        <w:rPr>
          <w:rFonts w:hint="eastAsia" w:ascii="宋体" w:hAnsi="宋体" w:eastAsia="宋体" w:cs="宋体"/>
          <w:b w:val="0"/>
          <w:bCs w:val="0"/>
          <w:color w:val="auto"/>
          <w:spacing w:val="0"/>
          <w:position w:val="0"/>
          <w:sz w:val="32"/>
          <w:szCs w:val="32"/>
        </w:rPr>
        <w:t>一、合同内容</w:t>
      </w:r>
    </w:p>
    <w:p w14:paraId="003A9C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default"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1、根据</w:t>
      </w:r>
      <w:r>
        <w:rPr>
          <w:rFonts w:hint="eastAsia" w:ascii="宋体" w:hAnsi="宋体" w:eastAsia="宋体" w:cs="宋体"/>
          <w:color w:val="auto"/>
          <w:spacing w:val="0"/>
          <w:position w:val="0"/>
          <w:sz w:val="32"/>
          <w:szCs w:val="32"/>
          <w:lang w:val="en-US" w:eastAsia="zh-CN"/>
        </w:rPr>
        <w:t>2026年西安市城六区道路保洁员意外伤害保险</w:t>
      </w:r>
      <w:r>
        <w:rPr>
          <w:rFonts w:hint="eastAsia" w:ascii="宋体" w:hAnsi="宋体" w:eastAsia="宋体" w:cs="宋体"/>
          <w:color w:val="auto"/>
          <w:spacing w:val="0"/>
          <w:position w:val="0"/>
          <w:sz w:val="32"/>
          <w:szCs w:val="32"/>
        </w:rPr>
        <w:t>的评审结果，确定乙方为</w:t>
      </w:r>
      <w:r>
        <w:rPr>
          <w:rFonts w:hint="eastAsia" w:ascii="宋体" w:hAnsi="宋体" w:eastAsia="宋体" w:cs="宋体"/>
          <w:color w:val="auto"/>
          <w:spacing w:val="0"/>
          <w:position w:val="0"/>
          <w:sz w:val="32"/>
          <w:szCs w:val="32"/>
          <w:lang w:val="en-US" w:eastAsia="zh-CN"/>
        </w:rPr>
        <w:t>2026年西安市城六区道路保洁员意外伤害保险</w:t>
      </w:r>
      <w:r>
        <w:rPr>
          <w:rFonts w:hint="eastAsia" w:ascii="宋体" w:hAnsi="宋体" w:eastAsia="宋体" w:cs="宋体"/>
          <w:color w:val="auto"/>
          <w:spacing w:val="0"/>
          <w:position w:val="0"/>
          <w:sz w:val="32"/>
          <w:szCs w:val="32"/>
        </w:rPr>
        <w:t>的保险单位，保险期为202</w:t>
      </w:r>
      <w:r>
        <w:rPr>
          <w:rFonts w:hint="eastAsia" w:ascii="宋体" w:hAnsi="宋体" w:eastAsia="宋体" w:cs="宋体"/>
          <w:color w:val="auto"/>
          <w:spacing w:val="0"/>
          <w:position w:val="0"/>
          <w:sz w:val="32"/>
          <w:szCs w:val="32"/>
          <w:lang w:val="en-US" w:eastAsia="zh-CN"/>
        </w:rPr>
        <w:t>6</w:t>
      </w:r>
      <w:r>
        <w:rPr>
          <w:rFonts w:hint="eastAsia" w:ascii="宋体" w:hAnsi="宋体" w:eastAsia="宋体" w:cs="宋体"/>
          <w:color w:val="auto"/>
          <w:spacing w:val="0"/>
          <w:position w:val="0"/>
          <w:sz w:val="32"/>
          <w:szCs w:val="32"/>
        </w:rPr>
        <w:t>年08月01日零时至202</w:t>
      </w:r>
      <w:r>
        <w:rPr>
          <w:rFonts w:hint="eastAsia" w:ascii="宋体" w:hAnsi="宋体" w:eastAsia="宋体" w:cs="宋体"/>
          <w:color w:val="auto"/>
          <w:spacing w:val="0"/>
          <w:position w:val="0"/>
          <w:sz w:val="32"/>
          <w:szCs w:val="32"/>
          <w:lang w:val="en-US" w:eastAsia="zh-CN"/>
        </w:rPr>
        <w:t>7</w:t>
      </w:r>
      <w:r>
        <w:rPr>
          <w:rFonts w:hint="eastAsia" w:ascii="宋体" w:hAnsi="宋体" w:eastAsia="宋体" w:cs="宋体"/>
          <w:color w:val="auto"/>
          <w:spacing w:val="0"/>
          <w:position w:val="0"/>
          <w:sz w:val="32"/>
          <w:szCs w:val="32"/>
        </w:rPr>
        <w:t>年07月</w:t>
      </w:r>
      <w:r>
        <w:rPr>
          <w:rFonts w:hint="eastAsia" w:ascii="宋体" w:hAnsi="宋体" w:eastAsia="宋体" w:cs="宋体"/>
          <w:color w:val="auto"/>
          <w:spacing w:val="0"/>
          <w:position w:val="0"/>
          <w:sz w:val="32"/>
          <w:szCs w:val="32"/>
          <w:lang w:val="en-US" w:eastAsia="zh-CN"/>
        </w:rPr>
        <w:t>31</w:t>
      </w:r>
      <w:r>
        <w:rPr>
          <w:rFonts w:hint="eastAsia" w:ascii="宋体" w:hAnsi="宋体" w:eastAsia="宋体" w:cs="宋体"/>
          <w:color w:val="auto"/>
          <w:spacing w:val="0"/>
          <w:position w:val="0"/>
          <w:sz w:val="32"/>
          <w:szCs w:val="32"/>
        </w:rPr>
        <w:t>日24时止。实现7X24小时</w:t>
      </w:r>
      <w:r>
        <w:rPr>
          <w:rFonts w:hint="eastAsia" w:ascii="宋体" w:hAnsi="宋体" w:eastAsia="宋体" w:cs="宋体"/>
          <w:color w:val="auto"/>
          <w:spacing w:val="0"/>
          <w:position w:val="0"/>
          <w:sz w:val="32"/>
          <w:szCs w:val="32"/>
          <w:lang w:val="en-US" w:eastAsia="zh-CN"/>
        </w:rPr>
        <w:t>服务。</w:t>
      </w:r>
      <w:r>
        <w:rPr>
          <w:rFonts w:hint="eastAsia" w:ascii="宋体" w:hAnsi="宋体" w:eastAsia="宋体" w:cs="宋体"/>
          <w:color w:val="auto"/>
          <w:spacing w:val="0"/>
          <w:position w:val="0"/>
          <w:sz w:val="32"/>
          <w:szCs w:val="32"/>
        </w:rPr>
        <w:t>乙方“承担 202</w:t>
      </w:r>
      <w:r>
        <w:rPr>
          <w:rFonts w:hint="eastAsia" w:ascii="宋体" w:hAnsi="宋体" w:eastAsia="宋体" w:cs="宋体"/>
          <w:color w:val="auto"/>
          <w:spacing w:val="0"/>
          <w:position w:val="0"/>
          <w:sz w:val="32"/>
          <w:szCs w:val="32"/>
          <w:lang w:val="en-US" w:eastAsia="zh-CN"/>
        </w:rPr>
        <w:t>6</w:t>
      </w:r>
      <w:r>
        <w:rPr>
          <w:rFonts w:hint="eastAsia" w:ascii="宋体" w:hAnsi="宋体" w:eastAsia="宋体" w:cs="宋体"/>
          <w:color w:val="auto"/>
          <w:spacing w:val="0"/>
          <w:position w:val="0"/>
          <w:sz w:val="32"/>
          <w:szCs w:val="32"/>
        </w:rPr>
        <w:t>年08月01日零时起至合同正式生效之间的保险服务”</w:t>
      </w:r>
      <w:r>
        <w:rPr>
          <w:rFonts w:hint="eastAsia" w:ascii="宋体" w:hAnsi="宋体" w:eastAsia="宋体" w:cs="宋体"/>
          <w:color w:val="auto"/>
          <w:spacing w:val="0"/>
          <w:position w:val="0"/>
          <w:sz w:val="32"/>
          <w:szCs w:val="32"/>
          <w:lang w:eastAsia="zh-CN"/>
        </w:rPr>
        <w:t>。</w:t>
      </w:r>
    </w:p>
    <w:p w14:paraId="1F4041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default"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2、甲方投保数量为</w:t>
      </w:r>
      <w:r>
        <w:rPr>
          <w:rFonts w:hint="eastAsia" w:ascii="宋体" w:hAnsi="宋体" w:eastAsia="宋体" w:cs="宋体"/>
          <w:i/>
          <w:iCs/>
          <w:color w:val="auto"/>
          <w:spacing w:val="0"/>
          <w:position w:val="0"/>
          <w:sz w:val="32"/>
          <w:szCs w:val="32"/>
          <w:u w:val="single"/>
          <w:lang w:val="en-US" w:eastAsia="zh-CN"/>
        </w:rPr>
        <w:t xml:space="preserve">       </w:t>
      </w:r>
      <w:r>
        <w:rPr>
          <w:rFonts w:hint="eastAsia" w:ascii="宋体" w:hAnsi="宋体" w:eastAsia="宋体" w:cs="宋体"/>
          <w:color w:val="auto"/>
          <w:spacing w:val="0"/>
          <w:position w:val="0"/>
          <w:sz w:val="32"/>
          <w:szCs w:val="32"/>
        </w:rPr>
        <w:t>人。</w:t>
      </w:r>
    </w:p>
    <w:p w14:paraId="52D573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3、保险责任：</w:t>
      </w:r>
    </w:p>
    <w:tbl>
      <w:tblPr>
        <w:tblStyle w:val="9"/>
        <w:tblpPr w:leftFromText="180" w:rightFromText="180" w:vertAnchor="text" w:horzAnchor="page" w:tblpX="1499" w:tblpY="156"/>
        <w:tblOverlap w:val="never"/>
        <w:tblW w:w="92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4"/>
        <w:gridCol w:w="4002"/>
        <w:gridCol w:w="3450"/>
      </w:tblGrid>
      <w:tr w14:paraId="0D753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 w:hRule="atLeast"/>
        </w:trPr>
        <w:tc>
          <w:tcPr>
            <w:tcW w:w="1814" w:type="dxa"/>
            <w:vAlign w:val="center"/>
          </w:tcPr>
          <w:p w14:paraId="2F000B8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保险责任</w:t>
            </w:r>
          </w:p>
        </w:tc>
        <w:tc>
          <w:tcPr>
            <w:tcW w:w="4002" w:type="dxa"/>
            <w:vAlign w:val="center"/>
          </w:tcPr>
          <w:p w14:paraId="01129ACE">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保险金额</w:t>
            </w:r>
          </w:p>
        </w:tc>
        <w:tc>
          <w:tcPr>
            <w:tcW w:w="3450" w:type="dxa"/>
            <w:vAlign w:val="center"/>
          </w:tcPr>
          <w:p w14:paraId="194849A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备注</w:t>
            </w:r>
          </w:p>
        </w:tc>
      </w:tr>
      <w:tr w14:paraId="78D1B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1814" w:type="dxa"/>
            <w:vAlign w:val="center"/>
          </w:tcPr>
          <w:p w14:paraId="22121DD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意外伤害身故</w:t>
            </w:r>
          </w:p>
        </w:tc>
        <w:tc>
          <w:tcPr>
            <w:tcW w:w="4002" w:type="dxa"/>
            <w:vMerge w:val="restart"/>
            <w:vAlign w:val="center"/>
          </w:tcPr>
          <w:p w14:paraId="5341F1A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p>
        </w:tc>
        <w:tc>
          <w:tcPr>
            <w:tcW w:w="3450" w:type="dxa"/>
            <w:vAlign w:val="center"/>
          </w:tcPr>
          <w:p w14:paraId="392AA00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r>
      <w:tr w14:paraId="56C78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 w:hRule="atLeast"/>
        </w:trPr>
        <w:tc>
          <w:tcPr>
            <w:tcW w:w="1814" w:type="dxa"/>
            <w:shd w:val="clear" w:color="auto" w:fill="auto"/>
            <w:vAlign w:val="center"/>
          </w:tcPr>
          <w:p w14:paraId="339E1662">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rPr>
            </w:pPr>
            <w:r>
              <w:rPr>
                <w:rFonts w:hint="eastAsia" w:ascii="宋体" w:hAnsi="宋体" w:eastAsia="宋体" w:cs="宋体"/>
                <w:color w:val="auto"/>
                <w:spacing w:val="0"/>
                <w:position w:val="0"/>
                <w:sz w:val="28"/>
                <w:szCs w:val="28"/>
              </w:rPr>
              <w:t>意外伤害伤残</w:t>
            </w:r>
          </w:p>
        </w:tc>
        <w:tc>
          <w:tcPr>
            <w:tcW w:w="4002" w:type="dxa"/>
            <w:vMerge w:val="continue"/>
            <w:shd w:val="clear" w:color="auto" w:fill="auto"/>
            <w:vAlign w:val="center"/>
          </w:tcPr>
          <w:p w14:paraId="23713884">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c>
          <w:tcPr>
            <w:tcW w:w="3450" w:type="dxa"/>
            <w:shd w:val="clear" w:color="auto" w:fill="auto"/>
            <w:vAlign w:val="center"/>
          </w:tcPr>
          <w:p w14:paraId="2BB82BA3">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r>
      <w:tr w14:paraId="57F95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814" w:type="dxa"/>
            <w:shd w:val="clear" w:color="auto" w:fill="auto"/>
            <w:vAlign w:val="center"/>
          </w:tcPr>
          <w:p w14:paraId="415A3A2A">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rPr>
            </w:pPr>
            <w:r>
              <w:rPr>
                <w:rFonts w:hint="eastAsia" w:ascii="宋体" w:hAnsi="宋体" w:eastAsia="宋体" w:cs="宋体"/>
                <w:color w:val="auto"/>
                <w:spacing w:val="0"/>
                <w:position w:val="0"/>
                <w:sz w:val="28"/>
                <w:szCs w:val="28"/>
              </w:rPr>
              <w:t>意外医疗</w:t>
            </w:r>
          </w:p>
        </w:tc>
        <w:tc>
          <w:tcPr>
            <w:tcW w:w="4002" w:type="dxa"/>
            <w:shd w:val="clear" w:color="auto" w:fill="auto"/>
            <w:vAlign w:val="center"/>
          </w:tcPr>
          <w:p w14:paraId="630240C1">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c>
          <w:tcPr>
            <w:tcW w:w="3450" w:type="dxa"/>
            <w:shd w:val="clear" w:color="auto" w:fill="auto"/>
            <w:vAlign w:val="center"/>
          </w:tcPr>
          <w:p w14:paraId="07352B31">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r>
      <w:tr w14:paraId="51B14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trPr>
        <w:tc>
          <w:tcPr>
            <w:tcW w:w="1814" w:type="dxa"/>
            <w:vAlign w:val="center"/>
          </w:tcPr>
          <w:p w14:paraId="6FF4A99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意外住院津贴</w:t>
            </w:r>
          </w:p>
        </w:tc>
        <w:tc>
          <w:tcPr>
            <w:tcW w:w="4002" w:type="dxa"/>
            <w:vAlign w:val="center"/>
          </w:tcPr>
          <w:p w14:paraId="4F117DD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c>
          <w:tcPr>
            <w:tcW w:w="3450" w:type="dxa"/>
            <w:vAlign w:val="center"/>
          </w:tcPr>
          <w:p w14:paraId="1F3F8AD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r>
      <w:tr w14:paraId="54F8E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 w:hRule="atLeast"/>
        </w:trPr>
        <w:tc>
          <w:tcPr>
            <w:tcW w:w="9266" w:type="dxa"/>
            <w:gridSpan w:val="3"/>
            <w:vAlign w:val="center"/>
          </w:tcPr>
          <w:p w14:paraId="29DABAC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r>
    </w:tbl>
    <w:p w14:paraId="27EDE3B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color w:val="auto"/>
          <w:spacing w:val="0"/>
          <w:position w:val="0"/>
          <w:sz w:val="24"/>
          <w:szCs w:val="24"/>
        </w:rPr>
      </w:pPr>
    </w:p>
    <w:p w14:paraId="352FCB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具体条款内容见附件，若附件内容与本合同不一致的，以本合同为准。</w:t>
      </w:r>
    </w:p>
    <w:p w14:paraId="526587D8">
      <w:pPr>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br w:type="page"/>
      </w:r>
    </w:p>
    <w:p w14:paraId="63BC36B7">
      <w:pPr>
        <w:pStyle w:val="4"/>
        <w:rPr>
          <w:rFonts w:hint="eastAsia"/>
          <w:color w:val="auto"/>
        </w:rPr>
      </w:pPr>
    </w:p>
    <w:p w14:paraId="1AFB61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二、结算</w:t>
      </w:r>
    </w:p>
    <w:p w14:paraId="18AC68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1、保险费以</w:t>
      </w:r>
      <w:r>
        <w:rPr>
          <w:rFonts w:hint="eastAsia" w:ascii="宋体" w:hAnsi="宋体" w:eastAsia="宋体" w:cs="宋体"/>
          <w:color w:val="auto"/>
          <w:spacing w:val="0"/>
          <w:position w:val="0"/>
          <w:sz w:val="32"/>
          <w:szCs w:val="32"/>
          <w:lang w:val="en-US" w:eastAsia="zh-CN"/>
        </w:rPr>
        <w:t>采购</w:t>
      </w:r>
      <w:r>
        <w:rPr>
          <w:rFonts w:hint="eastAsia" w:ascii="宋体" w:hAnsi="宋体" w:eastAsia="宋体" w:cs="宋体"/>
          <w:color w:val="auto"/>
          <w:spacing w:val="0"/>
          <w:position w:val="0"/>
          <w:sz w:val="32"/>
          <w:szCs w:val="32"/>
        </w:rPr>
        <w:t>文件第</w:t>
      </w:r>
      <w:r>
        <w:rPr>
          <w:rFonts w:hint="eastAsia" w:ascii="宋体" w:hAnsi="宋体" w:eastAsia="宋体" w:cs="宋体"/>
          <w:color w:val="auto"/>
          <w:spacing w:val="0"/>
          <w:position w:val="0"/>
          <w:sz w:val="32"/>
          <w:szCs w:val="32"/>
          <w:lang w:val="en-US" w:eastAsia="zh-CN"/>
        </w:rPr>
        <w:t>三章</w:t>
      </w:r>
      <w:r>
        <w:rPr>
          <w:rFonts w:hint="eastAsia" w:ascii="宋体" w:hAnsi="宋体" w:eastAsia="宋体" w:cs="宋体"/>
          <w:color w:val="auto"/>
          <w:spacing w:val="0"/>
          <w:position w:val="0"/>
          <w:sz w:val="32"/>
          <w:szCs w:val="32"/>
        </w:rPr>
        <w:t>载明的保险费合计为准。城六区道路保洁员共</w:t>
      </w:r>
      <w:r>
        <w:rPr>
          <w:rFonts w:hint="eastAsia" w:ascii="宋体" w:hAnsi="宋体" w:eastAsia="宋体" w:cs="宋体"/>
          <w:color w:val="auto"/>
          <w:spacing w:val="0"/>
          <w:position w:val="0"/>
          <w:sz w:val="32"/>
          <w:szCs w:val="32"/>
          <w:u w:val="single"/>
          <w:lang w:val="en-US" w:eastAsia="zh-CN"/>
        </w:rPr>
        <w:t xml:space="preserve">    </w:t>
      </w:r>
      <w:r>
        <w:rPr>
          <w:rFonts w:hint="eastAsia" w:ascii="宋体" w:hAnsi="宋体" w:eastAsia="宋体" w:cs="宋体"/>
          <w:color w:val="auto"/>
          <w:spacing w:val="0"/>
          <w:position w:val="0"/>
          <w:sz w:val="32"/>
          <w:szCs w:val="32"/>
        </w:rPr>
        <w:t>人，保险费每人每年</w:t>
      </w:r>
      <w:r>
        <w:rPr>
          <w:rFonts w:hint="eastAsia" w:ascii="宋体" w:hAnsi="宋体" w:eastAsia="宋体" w:cs="宋体"/>
          <w:color w:val="auto"/>
          <w:spacing w:val="0"/>
          <w:position w:val="0"/>
          <w:sz w:val="32"/>
          <w:szCs w:val="32"/>
          <w:u w:val="single"/>
          <w:lang w:val="en-US" w:eastAsia="zh-CN"/>
        </w:rPr>
        <w:t xml:space="preserve">    </w:t>
      </w:r>
      <w:r>
        <w:rPr>
          <w:rFonts w:hint="eastAsia" w:ascii="宋体" w:hAnsi="宋体" w:eastAsia="宋体" w:cs="宋体"/>
          <w:color w:val="auto"/>
          <w:spacing w:val="0"/>
          <w:position w:val="0"/>
          <w:sz w:val="32"/>
          <w:szCs w:val="32"/>
        </w:rPr>
        <w:t>元，合计</w:t>
      </w:r>
      <w:r>
        <w:rPr>
          <w:rFonts w:hint="eastAsia" w:ascii="宋体" w:hAnsi="宋体" w:eastAsia="宋体" w:cs="宋体"/>
          <w:color w:val="auto"/>
          <w:spacing w:val="0"/>
          <w:position w:val="0"/>
          <w:sz w:val="32"/>
          <w:szCs w:val="32"/>
          <w:u w:val="single"/>
          <w:lang w:val="en-US" w:eastAsia="zh-CN"/>
        </w:rPr>
        <w:t xml:space="preserve">  </w:t>
      </w:r>
      <w:r>
        <w:rPr>
          <w:rFonts w:hint="eastAsia" w:ascii="宋体" w:hAnsi="宋体" w:eastAsia="宋体" w:cs="宋体"/>
          <w:color w:val="auto"/>
          <w:spacing w:val="0"/>
          <w:position w:val="0"/>
          <w:sz w:val="32"/>
          <w:szCs w:val="32"/>
        </w:rPr>
        <w:t>元。</w:t>
      </w:r>
    </w:p>
    <w:p w14:paraId="104F1A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支付方式：银行转账。签订合同后一个月内银行转账，西安市城市管理和综合执法局支付保险金额：大写人民币：壹佰伍拾万元整（小写：1500000元）；城六区城市管理和综合执法局合计支付保险金额：大写人民币：壹佰伍拾万元整（小写1500000元）。最终以合同确认的人数为准支付相关费用。</w:t>
      </w:r>
    </w:p>
    <w:p w14:paraId="7FAF38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3、乙方需要在甲方付款前出具有效增值税专用发票，因乙方逾期提供发票导致的付款延后，甲方不承担责任。因此给甲方造成的损失，由乙方承担赔偿责任。</w:t>
      </w:r>
    </w:p>
    <w:p w14:paraId="2F1777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3" w:firstLineChars="200"/>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三、本次合同采购的保险期限及承保责任</w:t>
      </w:r>
    </w:p>
    <w:p w14:paraId="551722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本次甲方采购的保险期限为12个月，即自202</w:t>
      </w:r>
      <w:r>
        <w:rPr>
          <w:rFonts w:hint="eastAsia" w:ascii="宋体" w:hAnsi="宋体" w:eastAsia="宋体" w:cs="宋体"/>
          <w:color w:val="auto"/>
          <w:spacing w:val="0"/>
          <w:position w:val="0"/>
          <w:sz w:val="32"/>
          <w:szCs w:val="32"/>
          <w:lang w:val="en-US" w:eastAsia="zh-CN"/>
        </w:rPr>
        <w:t>6</w:t>
      </w:r>
      <w:r>
        <w:rPr>
          <w:rFonts w:hint="eastAsia" w:ascii="宋体" w:hAnsi="宋体" w:eastAsia="宋体" w:cs="宋体"/>
          <w:color w:val="auto"/>
          <w:spacing w:val="0"/>
          <w:position w:val="0"/>
          <w:sz w:val="32"/>
          <w:szCs w:val="32"/>
        </w:rPr>
        <w:t>年08月01日零时至202</w:t>
      </w:r>
      <w:r>
        <w:rPr>
          <w:rFonts w:hint="eastAsia" w:ascii="宋体" w:hAnsi="宋体" w:eastAsia="宋体" w:cs="宋体"/>
          <w:color w:val="auto"/>
          <w:spacing w:val="0"/>
          <w:position w:val="0"/>
          <w:sz w:val="32"/>
          <w:szCs w:val="32"/>
          <w:lang w:val="en-US" w:eastAsia="zh-CN"/>
        </w:rPr>
        <w:t>7</w:t>
      </w:r>
      <w:r>
        <w:rPr>
          <w:rFonts w:hint="eastAsia" w:ascii="宋体" w:hAnsi="宋体" w:eastAsia="宋体" w:cs="宋体"/>
          <w:color w:val="auto"/>
          <w:spacing w:val="0"/>
          <w:position w:val="0"/>
          <w:sz w:val="32"/>
          <w:szCs w:val="32"/>
        </w:rPr>
        <w:t>年07月31日24时止。实现7X24 小时服务。承保责任详见乙方投标文件和附</w:t>
      </w:r>
      <w:r>
        <w:rPr>
          <w:rFonts w:hint="eastAsia" w:ascii="宋体" w:hAnsi="宋体" w:eastAsia="宋体" w:cs="宋体"/>
          <w:color w:val="auto"/>
          <w:spacing w:val="0"/>
          <w:position w:val="0"/>
          <w:sz w:val="32"/>
          <w:szCs w:val="32"/>
          <w:lang w:val="en-US" w:eastAsia="zh-CN"/>
        </w:rPr>
        <w:t>件</w:t>
      </w:r>
      <w:r>
        <w:rPr>
          <w:rFonts w:hint="eastAsia" w:ascii="宋体" w:hAnsi="宋体" w:eastAsia="宋体" w:cs="宋体"/>
          <w:color w:val="auto"/>
          <w:spacing w:val="0"/>
          <w:position w:val="0"/>
          <w:sz w:val="32"/>
          <w:szCs w:val="32"/>
        </w:rPr>
        <w:t>。</w:t>
      </w:r>
    </w:p>
    <w:p w14:paraId="7419EE65">
      <w:pPr>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br w:type="page"/>
      </w:r>
    </w:p>
    <w:p w14:paraId="6522CBE3">
      <w:pPr>
        <w:pStyle w:val="4"/>
        <w:rPr>
          <w:rFonts w:hint="eastAsia"/>
          <w:color w:val="auto"/>
        </w:rPr>
      </w:pPr>
    </w:p>
    <w:p w14:paraId="0B3F1BC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四、承保服务</w:t>
      </w:r>
    </w:p>
    <w:p w14:paraId="443C9E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乙方具体负责上述项目的承保工作，并派专人负责本合同所涉及的承保和理赔工作。</w:t>
      </w:r>
    </w:p>
    <w:p w14:paraId="345BCD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1、乙方承保服务专员负责到甲方收集材料；熟悉甲方地址及联系人，双方交换电话及联系方式，为履行合同和保险服务做好准备，同时应做好保险培训工作。</w:t>
      </w:r>
    </w:p>
    <w:p w14:paraId="43BF85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 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局在业务投保时须提供正确的所有保洁员名单和身份证号码，以便乙方输入业务承保系统实名制承保。甲方各区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局如有人员变更、调整，应填写相应的批改申请表并加盖公章 (原件甲方各区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局妥善保管，乙方按时上门收取) ，在工作时间内以文本形式邮寄或通过传真或者电子邮件通知乙方，乙方接到通知后</w:t>
      </w:r>
      <w:r>
        <w:rPr>
          <w:rFonts w:hint="eastAsia" w:ascii="宋体" w:hAnsi="宋体" w:eastAsia="宋体" w:cs="宋体"/>
          <w:color w:val="auto"/>
          <w:spacing w:val="0"/>
          <w:position w:val="0"/>
          <w:sz w:val="32"/>
          <w:szCs w:val="32"/>
          <w:lang w:val="en-US" w:eastAsia="zh-CN"/>
        </w:rPr>
        <w:t>一个工作日内进行批改</w:t>
      </w:r>
      <w:r>
        <w:rPr>
          <w:rFonts w:hint="eastAsia" w:ascii="宋体" w:hAnsi="宋体" w:eastAsia="宋体" w:cs="宋体"/>
          <w:color w:val="auto"/>
          <w:spacing w:val="0"/>
          <w:position w:val="0"/>
          <w:sz w:val="32"/>
          <w:szCs w:val="32"/>
        </w:rPr>
        <w:t>，变更完毕并以书面的形式反馈给变更单位，批单生效时间为收到完整批改资料之日起次日零时开始。甲方如有新增保洁员，应填写相应的批改申请表并加盖公章 (原件甲方各区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局妥善保管，乙方按时上门收取) ，根据前述程序，如需补缴保险费，需按本项目标准交纳保险费，乙方接到甲方各区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局新增人员通知和保险费后</w:t>
      </w:r>
      <w:r>
        <w:rPr>
          <w:rFonts w:hint="eastAsia" w:ascii="宋体" w:hAnsi="宋体" w:eastAsia="宋体" w:cs="宋体"/>
          <w:color w:val="auto"/>
          <w:spacing w:val="0"/>
          <w:position w:val="0"/>
          <w:sz w:val="32"/>
          <w:szCs w:val="32"/>
          <w:lang w:val="en-US" w:eastAsia="zh-CN"/>
        </w:rPr>
        <w:t>一个工作日内</w:t>
      </w:r>
      <w:r>
        <w:rPr>
          <w:rFonts w:hint="eastAsia" w:ascii="宋体" w:hAnsi="宋体" w:eastAsia="宋体" w:cs="宋体"/>
          <w:color w:val="auto"/>
          <w:spacing w:val="0"/>
          <w:position w:val="0"/>
          <w:sz w:val="32"/>
          <w:szCs w:val="32"/>
        </w:rPr>
        <w:t>办理完相关保险批增手续，仍以书面形式反馈给变更单位，批单生效时间为收到完整批改资料之日起次日零时</w:t>
      </w:r>
      <w:r>
        <w:rPr>
          <w:rFonts w:hint="eastAsia" w:ascii="宋体" w:hAnsi="宋体" w:eastAsia="宋体" w:cs="宋体"/>
          <w:color w:val="auto"/>
          <w:spacing w:val="0"/>
          <w:position w:val="0"/>
          <w:sz w:val="32"/>
          <w:szCs w:val="32"/>
          <w:lang w:val="en-US" w:eastAsia="zh-CN"/>
        </w:rPr>
        <w:t>开始。</w:t>
      </w:r>
      <w:r>
        <w:rPr>
          <w:rFonts w:hint="eastAsia" w:ascii="宋体" w:hAnsi="宋体" w:eastAsia="宋体" w:cs="宋体"/>
          <w:color w:val="auto"/>
          <w:spacing w:val="0"/>
          <w:position w:val="0"/>
          <w:sz w:val="32"/>
          <w:szCs w:val="32"/>
        </w:rPr>
        <w:t>本条款其它内容按乙方磋商响应文件中的各项承诺执行；甲方如减少保洁员，且需乙方退还保险费的，应填写相应的批改申请表并加盖公章 (原件甲方和甲方各区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w:t>
      </w:r>
      <w:r>
        <w:rPr>
          <w:rFonts w:hint="eastAsia" w:ascii="宋体" w:hAnsi="宋体" w:eastAsia="宋体" w:cs="宋体"/>
          <w:color w:val="auto"/>
          <w:spacing w:val="0"/>
          <w:position w:val="0"/>
          <w:sz w:val="32"/>
          <w:szCs w:val="32"/>
          <w:lang w:val="en-US" w:eastAsia="zh-CN"/>
        </w:rPr>
        <w:t>妥善</w:t>
      </w:r>
      <w:r>
        <w:rPr>
          <w:rFonts w:hint="eastAsia" w:ascii="宋体" w:hAnsi="宋体" w:eastAsia="宋体" w:cs="宋体"/>
          <w:color w:val="auto"/>
          <w:spacing w:val="0"/>
          <w:position w:val="0"/>
          <w:sz w:val="32"/>
          <w:szCs w:val="32"/>
        </w:rPr>
        <w:t>保管，乙方按时上门收取) ，乙方接到甲方减少人员通知后及时退还保险费。</w:t>
      </w:r>
    </w:p>
    <w:p w14:paraId="5FF522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3、承保服务工作计划</w:t>
      </w:r>
    </w:p>
    <w:p w14:paraId="681082D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 为了保证保险服务方案有效实施，乙方采用跨部门组合方式，成立了专项业务“西安市城六区道路保洁员</w:t>
      </w:r>
      <w:r>
        <w:rPr>
          <w:rFonts w:hint="eastAsia" w:ascii="宋体" w:hAnsi="宋体" w:eastAsia="宋体" w:cs="宋体"/>
          <w:color w:val="auto"/>
          <w:spacing w:val="0"/>
          <w:position w:val="0"/>
          <w:sz w:val="32"/>
          <w:szCs w:val="32"/>
          <w:lang w:val="en-US" w:eastAsia="zh-CN"/>
        </w:rPr>
        <w:t>意外伤害险</w:t>
      </w:r>
      <w:r>
        <w:rPr>
          <w:rFonts w:hint="eastAsia" w:ascii="宋体" w:hAnsi="宋体" w:eastAsia="宋体" w:cs="宋体"/>
          <w:color w:val="auto"/>
          <w:spacing w:val="0"/>
          <w:position w:val="0"/>
          <w:sz w:val="32"/>
          <w:szCs w:val="32"/>
        </w:rPr>
        <w:t>项目”承保服务小组、理赔服务小组，分管领导亲自挂帅，所有小组成员均由资深保险专家、相关负责人、业务骨干组成。各小组职责清晰，强化协调，构成一个全方位的承保、理赔服务体系，提高服务效率，并郑重承诺：乙方项目服务团队人员原则上不予变动，如遇特殊情况发生变动</w:t>
      </w:r>
      <w:r>
        <w:rPr>
          <w:rFonts w:hint="eastAsia" w:ascii="宋体" w:hAnsi="宋体" w:eastAsia="宋体" w:cs="宋体"/>
          <w:color w:val="auto"/>
          <w:spacing w:val="0"/>
          <w:position w:val="0"/>
          <w:sz w:val="32"/>
          <w:szCs w:val="32"/>
          <w:lang w:val="en-US" w:eastAsia="zh-CN"/>
        </w:rPr>
        <w:t>的，</w:t>
      </w:r>
      <w:r>
        <w:rPr>
          <w:rFonts w:hint="eastAsia" w:ascii="宋体" w:hAnsi="宋体" w:eastAsia="宋体" w:cs="宋体"/>
          <w:color w:val="auto"/>
          <w:spacing w:val="0"/>
          <w:position w:val="0"/>
          <w:sz w:val="32"/>
          <w:szCs w:val="32"/>
        </w:rPr>
        <w:t>乙方将在变动之日起3个工作日内书面通知甲方各区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局；甲方各区局对乙方所指定的项目人员的服务不满意，提出书面要求之后，乙方将予以更换，并将新更换的人员名单于3个工作日内书面通知甲方和甲方各区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w:t>
      </w:r>
    </w:p>
    <w:p w14:paraId="3973ED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 乙方服务小组联络人每月至少与甲方联系一次，了解相关意见或要求。</w:t>
      </w:r>
    </w:p>
    <w:p w14:paraId="74C706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(3) 在反应速度上，对甲方的函件，乙方的专项业务服务小组将在收到函件起三个工作日内做出答复。有结论的，明确答复；暂时无法解决的，及时说明进展情况。</w:t>
      </w:r>
    </w:p>
    <w:p w14:paraId="2BCE49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(4) 提供保险培训服务</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在保险有效期内，乙方负责为甲方各区</w:t>
      </w:r>
      <w:r>
        <w:rPr>
          <w:rFonts w:hint="eastAsia" w:ascii="宋体" w:hAnsi="宋体" w:eastAsia="宋体" w:cs="宋体"/>
          <w:color w:val="auto"/>
          <w:spacing w:val="0"/>
          <w:position w:val="0"/>
          <w:sz w:val="32"/>
          <w:szCs w:val="32"/>
          <w:lang w:eastAsia="zh-CN"/>
        </w:rPr>
        <w:t>城管执法</w:t>
      </w:r>
      <w:r>
        <w:rPr>
          <w:rFonts w:hint="eastAsia" w:ascii="宋体" w:hAnsi="宋体" w:eastAsia="宋体" w:cs="宋体"/>
          <w:color w:val="auto"/>
          <w:spacing w:val="0"/>
          <w:position w:val="0"/>
          <w:sz w:val="32"/>
          <w:szCs w:val="32"/>
        </w:rPr>
        <w:t>局举办至少两次保险和风险管理培训，以提高甲方或其他相关人员的安全意识、风险管理知识和防灾防损技能。培训费用由乙方承担，具体举办时间、地点及内容由甲乙双方共同协商确定。培训的主要内容：保险基础知识、现行主要保险条款及条款解释、承保及理赔实务、专线的各项服务功能、服务优势、针对城六区保洁员</w:t>
      </w:r>
      <w:r>
        <w:rPr>
          <w:rFonts w:hint="eastAsia" w:ascii="宋体" w:hAnsi="宋体" w:eastAsia="宋体" w:cs="宋体"/>
          <w:color w:val="auto"/>
          <w:spacing w:val="0"/>
          <w:position w:val="0"/>
          <w:sz w:val="32"/>
          <w:szCs w:val="32"/>
          <w:lang w:val="en-US" w:eastAsia="zh-CN"/>
        </w:rPr>
        <w:t>意外伤害</w:t>
      </w:r>
      <w:r>
        <w:rPr>
          <w:rFonts w:hint="eastAsia" w:ascii="宋体" w:hAnsi="宋体" w:eastAsia="宋体" w:cs="宋体"/>
          <w:color w:val="auto"/>
          <w:spacing w:val="0"/>
          <w:position w:val="0"/>
          <w:sz w:val="32"/>
          <w:szCs w:val="32"/>
        </w:rPr>
        <w:t>险的专项服务措施及遇到疑难问题及出现紧急情况时的解决方案。培训方式：采用上门集中培训和分散培训相结合的方式。</w:t>
      </w:r>
    </w:p>
    <w:p w14:paraId="6AF871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4、承保服务小组</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针对本项目乙方成立了承保服务小组，负责在保险期限内为西安市城市管理和综合执法局城六区道路保洁员</w:t>
      </w:r>
      <w:r>
        <w:rPr>
          <w:rFonts w:hint="eastAsia" w:ascii="宋体" w:hAnsi="宋体" w:eastAsia="宋体" w:cs="宋体"/>
          <w:color w:val="auto"/>
          <w:spacing w:val="0"/>
          <w:position w:val="0"/>
          <w:sz w:val="32"/>
          <w:szCs w:val="32"/>
          <w:lang w:val="en-US" w:eastAsia="zh-CN"/>
        </w:rPr>
        <w:t>意外伤害</w:t>
      </w:r>
      <w:r>
        <w:rPr>
          <w:rFonts w:hint="eastAsia" w:ascii="宋体" w:hAnsi="宋体" w:eastAsia="宋体" w:cs="宋体"/>
          <w:color w:val="auto"/>
          <w:spacing w:val="0"/>
          <w:position w:val="0"/>
          <w:sz w:val="32"/>
          <w:szCs w:val="32"/>
        </w:rPr>
        <w:t>险项目提供及时、全面的承保服。乙方指派专人为西安市城六区道路保洁员</w:t>
      </w:r>
      <w:r>
        <w:rPr>
          <w:rFonts w:hint="eastAsia" w:ascii="宋体" w:hAnsi="宋体" w:eastAsia="宋体" w:cs="宋体"/>
          <w:color w:val="auto"/>
          <w:spacing w:val="0"/>
          <w:position w:val="0"/>
          <w:sz w:val="32"/>
          <w:szCs w:val="32"/>
          <w:lang w:val="en-US" w:eastAsia="zh-CN"/>
        </w:rPr>
        <w:t>意外伤害</w:t>
      </w:r>
      <w:r>
        <w:rPr>
          <w:rFonts w:hint="eastAsia" w:ascii="宋体" w:hAnsi="宋体" w:eastAsia="宋体" w:cs="宋体"/>
          <w:color w:val="auto"/>
          <w:spacing w:val="0"/>
          <w:position w:val="0"/>
          <w:sz w:val="32"/>
          <w:szCs w:val="32"/>
        </w:rPr>
        <w:t>险项目客户服务经理，主动上门办理投保、承保手续，指导填制投保单，上门递送保险单，并保证甲方获得优先服务的权利。</w:t>
      </w:r>
    </w:p>
    <w:p w14:paraId="25756E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 xml:space="preserve">服务经理： </w:t>
      </w:r>
      <w:r>
        <w:rPr>
          <w:rFonts w:hint="eastAsia" w:ascii="宋体" w:hAnsi="宋体" w:eastAsia="宋体" w:cs="宋体"/>
          <w:color w:val="auto"/>
          <w:spacing w:val="0"/>
          <w:position w:val="0"/>
          <w:sz w:val="32"/>
          <w:szCs w:val="32"/>
          <w:lang w:val="en-US" w:eastAsia="zh-CN"/>
        </w:rPr>
        <w:t xml:space="preserve"> </w:t>
      </w:r>
    </w:p>
    <w:p w14:paraId="7C0DCE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联系电话：</w:t>
      </w:r>
    </w:p>
    <w:p w14:paraId="49E0C7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5、乙方承诺：按照甲方的要求在3个工作日内出具正式保险单，并上门送达。</w:t>
      </w:r>
    </w:p>
    <w:p w14:paraId="685DDB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6、24小时热线电话受理甲方的咨询、投诉等服务</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 xml:space="preserve">为保障服务质量，提升服务水平，乙方设立7X24小时热线服务电话 </w:t>
      </w:r>
      <w:r>
        <w:rPr>
          <w:rFonts w:hint="eastAsia" w:ascii="宋体" w:hAnsi="宋体" w:eastAsia="宋体" w:cs="宋体"/>
          <w:color w:val="auto"/>
          <w:spacing w:val="0"/>
          <w:position w:val="0"/>
          <w:sz w:val="32"/>
          <w:szCs w:val="32"/>
          <w:lang w:val="en-US" w:eastAsia="zh-CN"/>
        </w:rPr>
        <w:t>95511</w:t>
      </w:r>
      <w:r>
        <w:rPr>
          <w:rFonts w:hint="eastAsia" w:ascii="宋体" w:hAnsi="宋体" w:eastAsia="宋体" w:cs="宋体"/>
          <w:color w:val="auto"/>
          <w:spacing w:val="0"/>
          <w:position w:val="0"/>
          <w:sz w:val="32"/>
          <w:szCs w:val="32"/>
        </w:rPr>
        <w:t>，专人接听，接受业务咨询、报案登记、投诉举报等服务，一经接通将由专人负责记录及受理，电话系统同时进行自动录音。</w:t>
      </w:r>
    </w:p>
    <w:p w14:paraId="43BA63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7、建立监督机制</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乙方建立完备的监控体系，按照《客户投诉管理流程》和《投诉处罚办法》有关规定，对工作人员违反承诺将给予行政上、经济上的严厉处罚，并按甲方的实际损失给予 相应的经济补偿；情节严重的，视情节处罚相关责任人，直至解聘。同时为体现公开、公正、公平的处理原则，特此公布举报电话。</w:t>
      </w:r>
    </w:p>
    <w:p w14:paraId="019921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default"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监督电话：</w:t>
      </w:r>
    </w:p>
    <w:p w14:paraId="600D27F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五、理赔</w:t>
      </w:r>
    </w:p>
    <w:p w14:paraId="17451D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1、</w:t>
      </w:r>
      <w:r>
        <w:rPr>
          <w:rFonts w:hint="eastAsia" w:ascii="宋体" w:hAnsi="宋体" w:eastAsia="宋体" w:cs="宋体"/>
          <w:color w:val="auto"/>
          <w:spacing w:val="0"/>
          <w:position w:val="0"/>
          <w:sz w:val="32"/>
          <w:szCs w:val="32"/>
          <w:lang w:val="en-US" w:eastAsia="zh-CN"/>
        </w:rPr>
        <w:t>通知</w:t>
      </w:r>
    </w:p>
    <w:p w14:paraId="386FC6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投保人或受益人应当在知道保险事故后10个工作日内通知保险公司。</w:t>
      </w:r>
    </w:p>
    <w:p w14:paraId="110F38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lang w:val="en-US" w:eastAsia="zh-CN"/>
        </w:rPr>
        <w:t>1</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如果投保人或受益人故意或者因重大过失未及时通知，致使保险事故的性质、原因、损失程度等难以确定</w:t>
      </w:r>
      <w:r>
        <w:rPr>
          <w:rFonts w:hint="eastAsia" w:ascii="宋体" w:hAnsi="宋体" w:eastAsia="宋体" w:cs="宋体"/>
          <w:color w:val="auto"/>
          <w:spacing w:val="0"/>
          <w:position w:val="0"/>
          <w:sz w:val="32"/>
          <w:szCs w:val="32"/>
          <w:lang w:val="en-US" w:eastAsia="zh-CN"/>
        </w:rPr>
        <w:t>的，</w:t>
      </w:r>
      <w:r>
        <w:rPr>
          <w:rFonts w:hint="eastAsia" w:ascii="宋体" w:hAnsi="宋体" w:eastAsia="宋体" w:cs="宋体"/>
          <w:color w:val="auto"/>
          <w:spacing w:val="0"/>
          <w:position w:val="0"/>
          <w:sz w:val="32"/>
          <w:szCs w:val="32"/>
        </w:rPr>
        <w:t>保险公司对无法确定的部分，不承担给付保险金的责任，但保险公司通过其它途径已经及时知道或者应当及时知道</w:t>
      </w:r>
      <w:r>
        <w:rPr>
          <w:rFonts w:hint="eastAsia" w:ascii="宋体" w:hAnsi="宋体" w:eastAsia="宋体" w:cs="宋体"/>
          <w:color w:val="auto"/>
          <w:spacing w:val="0"/>
          <w:position w:val="0"/>
          <w:sz w:val="32"/>
          <w:szCs w:val="32"/>
          <w:lang w:val="en-US" w:eastAsia="zh-CN"/>
        </w:rPr>
        <w:t>保</w:t>
      </w:r>
      <w:r>
        <w:rPr>
          <w:rFonts w:hint="eastAsia" w:ascii="宋体" w:hAnsi="宋体" w:eastAsia="宋体" w:cs="宋体"/>
          <w:color w:val="auto"/>
          <w:spacing w:val="0"/>
          <w:position w:val="0"/>
          <w:sz w:val="32"/>
          <w:szCs w:val="32"/>
        </w:rPr>
        <w:t>险事故发生或者虽未及时通知但不影响保险公司确定保险事故的性质、原因、损失程度的除外。</w:t>
      </w:r>
    </w:p>
    <w:p w14:paraId="04180C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lang w:val="en-US" w:eastAsia="zh-CN"/>
        </w:rPr>
        <w:t>2</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rPr>
        <w:t>被保险人应在投保人与保险公司约定的医院就</w:t>
      </w:r>
      <w:r>
        <w:rPr>
          <w:rFonts w:hint="eastAsia" w:ascii="宋体" w:hAnsi="宋体" w:eastAsia="宋体" w:cs="宋体"/>
          <w:color w:val="auto"/>
          <w:spacing w:val="0"/>
          <w:position w:val="0"/>
          <w:sz w:val="32"/>
          <w:szCs w:val="32"/>
          <w:lang w:val="en-US" w:eastAsia="zh-CN"/>
        </w:rPr>
        <w:t>诊，</w:t>
      </w:r>
      <w:r>
        <w:rPr>
          <w:rFonts w:hint="eastAsia" w:ascii="宋体" w:hAnsi="宋体" w:eastAsia="宋体" w:cs="宋体"/>
          <w:color w:val="auto"/>
          <w:spacing w:val="0"/>
          <w:position w:val="0"/>
          <w:sz w:val="32"/>
          <w:szCs w:val="32"/>
        </w:rPr>
        <w:t>若因急诊未在约定医院就诊的，应在就诊后3个工作日内通知保险公司，并根据病情好转情况及时转入约定的医院。若确需在非约定的医院就诊的，应向保险公司提出书面申请，保险公司在接到申请后3个工作日内给予答复，对于保险公司同意在非约定的医院就诊的，保险公司按约定承担给付保险金的责任。</w:t>
      </w:r>
    </w:p>
    <w:p w14:paraId="655460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为保证赔案处理连续性，乙方将安排</w:t>
      </w:r>
      <w:r>
        <w:rPr>
          <w:rFonts w:hint="eastAsia" w:ascii="宋体" w:hAnsi="宋体" w:eastAsia="宋体" w:cs="宋体"/>
          <w:color w:val="auto"/>
          <w:spacing w:val="0"/>
          <w:position w:val="0"/>
          <w:sz w:val="32"/>
          <w:szCs w:val="32"/>
          <w:lang w:val="en-US" w:eastAsia="zh-CN"/>
        </w:rPr>
        <w:t>2</w:t>
      </w:r>
      <w:r>
        <w:rPr>
          <w:rFonts w:hint="eastAsia" w:ascii="宋体" w:hAnsi="宋体" w:eastAsia="宋体" w:cs="宋体"/>
          <w:color w:val="auto"/>
          <w:spacing w:val="0"/>
          <w:position w:val="0"/>
          <w:sz w:val="32"/>
          <w:szCs w:val="32"/>
        </w:rPr>
        <w:t>名理赔服务小组成员为理赔服务指定联系人，指导被保险人全程办理索赔手续，参与赔案处理的全过程，全权负责与赔案各关系方的沟通联络直到结案，同时要求其严格执行首问责任制。</w:t>
      </w:r>
    </w:p>
    <w:p w14:paraId="65B99DE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 xml:space="preserve">联系专员：    </w:t>
      </w:r>
    </w:p>
    <w:p w14:paraId="7568F1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2、理赔</w:t>
      </w:r>
    </w:p>
    <w:p w14:paraId="003F42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根据西安市城六区城市管理和综合执法局道路保洁员的工作性质，易发小事故的特点，乙方制定“赔付处理办法”。</w:t>
      </w:r>
    </w:p>
    <w:p w14:paraId="5254DA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val="en-US" w:eastAsia="zh-CN"/>
        </w:rPr>
        <w:t>（1）乙方在收到保险金给付申请书及上述有关证明和资料后，对于理赔案件符合保险责任且无需进行物流与调查的，将在5日内作出核定；情形复杂的，在30日内作出核定。自索赔资料接受齐全时间起，超过30日（除因不可抗力因素导致）未核定结果的案件，支付逾期利息（不包括赔款逾期利息）。对属于保险责任的，乙方在与受益人达成给付保险金的协议后10日内，履行给付保险金义务。</w:t>
      </w:r>
    </w:p>
    <w:p w14:paraId="61A88B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（2）对不属于保险责任的，保险人自作出核定之日起3日内向受益人发出拒绝给付保险金通知书并说明理由。</w:t>
      </w:r>
    </w:p>
    <w:p w14:paraId="71806A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（3）乙方在收到保险金给付申请书及有关证明和资料之日起60日内，对给付保险金的数额不能确定的，根据已有证明和资料可以确定的数额先予支付；保险人最终确定给付保险金的数额后，将支付相应的差额。</w:t>
      </w:r>
    </w:p>
    <w:p w14:paraId="6340D1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3、</w:t>
      </w:r>
      <w:r>
        <w:rPr>
          <w:rFonts w:hint="eastAsia" w:ascii="宋体" w:hAnsi="宋体" w:eastAsia="宋体" w:cs="宋体"/>
          <w:color w:val="auto"/>
          <w:spacing w:val="0"/>
          <w:position w:val="0"/>
          <w:sz w:val="32"/>
          <w:szCs w:val="32"/>
          <w:lang w:val="en-US" w:eastAsia="zh-CN"/>
        </w:rPr>
        <w:t>理赔金给付方式</w:t>
      </w:r>
    </w:p>
    <w:p w14:paraId="7310BF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（1）在投保期内的属于乙方保险责任内的事故索赔事宜， 由甲方委托城六区城市管理和综合执法局持相关索赔单证直接与乙方联系办理索赔。乙方专项服务小组成员和服务专员将具体业务指导被保险单位，并全程陪同办理相关的业务承保和事故索赔手续。城六区各城市管理和综合执法局享有合同履行中的甲方合同权利。在投保期内的属于乙方保险责任内的保险理赔事宜由被保险人所属的城六区各城市管理和综合执法局负责对接。</w:t>
      </w:r>
    </w:p>
    <w:p w14:paraId="3D55C5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（2）乙方在理赔期限内完成理赔后，直接委托银行将赔款划入受益人本人的银行账户。</w:t>
      </w:r>
    </w:p>
    <w:p w14:paraId="3DED87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3）根据我国银行储蓄存款实名制规定，若被保险人的银行卡遗失，须在第一时间到银行办理挂失，申请补卡或重新办卡，并立即书面告知保险人如下信息：姓名、身份证号码、原账号和新账号，经保险人书面确认后，其后的理赔金保险人将划入新的账户。</w:t>
      </w:r>
    </w:p>
    <w:p w14:paraId="4F2975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4、理赔过程中的服务</w:t>
      </w:r>
    </w:p>
    <w:p w14:paraId="200C37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lang w:val="en-US" w:eastAsia="zh-CN"/>
        </w:rPr>
        <w:t>意外身故、意外伤残不受第三方赔付限制，按照协议约定审核确认；乙方在收到保险金给付申请书及上述有关证明和资料后，对于理赔案件符合保险责任且无需进行物流与调查的，将在5日内作出核定；情形复杂的，在30日内作出核定。对属于保险责任的，乙方在与受益人达成给付保险金的协议后10日内，履行给付保险金义务。</w:t>
      </w:r>
    </w:p>
    <w:p w14:paraId="51B90F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5、被保险人在保险期间内，乙方承担二十四小时对因意外事故发生人身伤残或死亡 (或自发生该人身伤残后</w:t>
      </w:r>
      <w:r>
        <w:rPr>
          <w:rFonts w:hint="eastAsia" w:ascii="宋体" w:hAnsi="宋体" w:eastAsia="宋体" w:cs="宋体"/>
          <w:color w:val="auto"/>
          <w:spacing w:val="0"/>
          <w:position w:val="0"/>
          <w:sz w:val="32"/>
          <w:szCs w:val="32"/>
          <w:lang w:val="en-US" w:eastAsia="zh-CN"/>
        </w:rPr>
        <w:t>180</w:t>
      </w:r>
      <w:r>
        <w:rPr>
          <w:rFonts w:hint="eastAsia" w:ascii="宋体" w:hAnsi="宋体" w:eastAsia="宋体" w:cs="宋体"/>
          <w:color w:val="auto"/>
          <w:spacing w:val="0"/>
          <w:position w:val="0"/>
          <w:sz w:val="32"/>
          <w:szCs w:val="32"/>
        </w:rPr>
        <w:t>天内发生的死亡) 的经济赔偿责任，扩展工作时间或在工作岗位因热射病导致</w:t>
      </w:r>
      <w:r>
        <w:rPr>
          <w:rFonts w:hint="eastAsia" w:ascii="宋体" w:hAnsi="宋体" w:eastAsia="宋体" w:cs="宋体"/>
          <w:color w:val="auto"/>
          <w:spacing w:val="0"/>
          <w:position w:val="0"/>
          <w:sz w:val="32"/>
          <w:szCs w:val="32"/>
          <w:lang w:val="en-US" w:eastAsia="zh-CN"/>
        </w:rPr>
        <w:t>48</w:t>
      </w:r>
      <w:r>
        <w:rPr>
          <w:rFonts w:hint="eastAsia" w:ascii="宋体" w:hAnsi="宋体" w:eastAsia="宋体" w:cs="宋体"/>
          <w:color w:val="auto"/>
          <w:spacing w:val="0"/>
          <w:position w:val="0"/>
          <w:sz w:val="32"/>
          <w:szCs w:val="32"/>
        </w:rPr>
        <w:t>小时内抢救无效身故或伤残的赔偿；被保险人在报案和病例中对意外伤害的原因、经过和时间、地点如有意隐瞒、谎报、私了或叙述不清，无法确定意外伤害保险责任的乙方将拒绝赔偿；乙方若经调查发现的假、骗保险赔案也将拒绝赔偿，并书面通报甲方或酌情依法报案，并追求其刑事责任。</w:t>
      </w:r>
    </w:p>
    <w:p w14:paraId="2B66E8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6、住院津贴：被保险人因保险内的事故 (住院治疗期间) ，乙方按</w:t>
      </w:r>
      <w:r>
        <w:rPr>
          <w:rFonts w:hint="eastAsia" w:ascii="宋体" w:hAnsi="宋体" w:eastAsia="宋体" w:cs="宋体"/>
          <w:color w:val="auto"/>
          <w:spacing w:val="0"/>
          <w:position w:val="0"/>
          <w:sz w:val="32"/>
          <w:szCs w:val="32"/>
          <w:lang w:val="en-US" w:eastAsia="zh-CN"/>
        </w:rPr>
        <w:t>50</w:t>
      </w:r>
      <w:r>
        <w:rPr>
          <w:rFonts w:hint="eastAsia" w:ascii="宋体" w:hAnsi="宋体" w:eastAsia="宋体" w:cs="宋体"/>
          <w:color w:val="auto"/>
          <w:spacing w:val="0"/>
          <w:position w:val="0"/>
          <w:sz w:val="32"/>
          <w:szCs w:val="32"/>
        </w:rPr>
        <w:t>元/天(免赔天数0天，每次最长</w:t>
      </w:r>
      <w:r>
        <w:rPr>
          <w:rFonts w:hint="eastAsia" w:ascii="宋体" w:hAnsi="宋体" w:eastAsia="宋体" w:cs="宋体"/>
          <w:color w:val="auto"/>
          <w:spacing w:val="0"/>
          <w:position w:val="0"/>
          <w:sz w:val="32"/>
          <w:szCs w:val="32"/>
          <w:lang w:val="en-US" w:eastAsia="zh-CN"/>
        </w:rPr>
        <w:t>180</w:t>
      </w:r>
      <w:r>
        <w:rPr>
          <w:rFonts w:hint="eastAsia" w:ascii="宋体" w:hAnsi="宋体" w:eastAsia="宋体" w:cs="宋体"/>
          <w:color w:val="auto"/>
          <w:spacing w:val="0"/>
          <w:position w:val="0"/>
          <w:sz w:val="32"/>
          <w:szCs w:val="32"/>
        </w:rPr>
        <w:t>天，全年累计不超过</w:t>
      </w:r>
      <w:r>
        <w:rPr>
          <w:rFonts w:hint="eastAsia" w:ascii="宋体" w:hAnsi="宋体" w:eastAsia="宋体" w:cs="宋体"/>
          <w:color w:val="auto"/>
          <w:spacing w:val="0"/>
          <w:position w:val="0"/>
          <w:sz w:val="32"/>
          <w:szCs w:val="32"/>
          <w:lang w:val="en-US" w:eastAsia="zh-CN"/>
        </w:rPr>
        <w:t>180</w:t>
      </w:r>
      <w:r>
        <w:rPr>
          <w:rFonts w:hint="eastAsia" w:ascii="宋体" w:hAnsi="宋体" w:eastAsia="宋体" w:cs="宋体"/>
          <w:color w:val="auto"/>
          <w:spacing w:val="0"/>
          <w:position w:val="0"/>
          <w:sz w:val="32"/>
          <w:szCs w:val="32"/>
        </w:rPr>
        <w:t>天)给予补偿。</w:t>
      </w:r>
    </w:p>
    <w:p w14:paraId="307B90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eastAsia="zh-CN"/>
        </w:rPr>
      </w:pPr>
      <w:r>
        <w:rPr>
          <w:rFonts w:hint="eastAsia" w:ascii="宋体" w:hAnsi="宋体" w:eastAsia="宋体" w:cs="宋体"/>
          <w:color w:val="auto"/>
          <w:spacing w:val="0"/>
          <w:position w:val="0"/>
          <w:sz w:val="32"/>
          <w:szCs w:val="32"/>
          <w:lang w:val="en-US" w:eastAsia="zh-CN"/>
        </w:rPr>
        <w:t>7</w:t>
      </w:r>
      <w:r>
        <w:rPr>
          <w:rFonts w:hint="eastAsia" w:ascii="宋体" w:hAnsi="宋体" w:eastAsia="宋体" w:cs="宋体"/>
          <w:color w:val="auto"/>
          <w:spacing w:val="0"/>
          <w:position w:val="0"/>
          <w:sz w:val="32"/>
          <w:szCs w:val="32"/>
        </w:rPr>
        <w:t>、因医疗事故致使被保险人死亡、残疾以及产生的医疗费用为除外责任；高风险运动包括但不仅限于：滑翔、潜水、打猎、跳伞、探险、田径运动、特技表演、赛马、赛车、滑雪、冰上运动、登山、攀岩、攀崖、跳水、滑水、水上竞技、航空飞行 (但乘坐民航客运飞机除外) 、拳击、武术、摔跤、柔道、空手道和其他任何形式的赤手空拳的竞赛、驾驶游艇离开海岸5公里及以上为除外责任；从事打猎、爬山、滑雪、拳击、田径运动、极限运动或因打架斗殴、酗酒、吸毒、煤气中毒以及神志不清直接或间接导致的人身伤残或死亡为除外责任。</w:t>
      </w:r>
      <w:r>
        <w:rPr>
          <w:rFonts w:hint="eastAsia" w:ascii="宋体" w:hAnsi="宋体" w:eastAsia="宋体" w:cs="宋体"/>
          <w:color w:val="auto"/>
          <w:spacing w:val="0"/>
          <w:position w:val="0"/>
          <w:sz w:val="32"/>
          <w:szCs w:val="32"/>
          <w:lang w:eastAsia="zh-CN"/>
        </w:rPr>
        <w:t>（</w:t>
      </w:r>
      <w:r>
        <w:rPr>
          <w:rFonts w:hint="eastAsia" w:ascii="宋体" w:hAnsi="宋体" w:eastAsia="宋体" w:cs="宋体"/>
          <w:color w:val="auto"/>
          <w:spacing w:val="0"/>
          <w:position w:val="0"/>
          <w:sz w:val="32"/>
          <w:szCs w:val="32"/>
          <w:lang w:val="en-US" w:eastAsia="zh-CN"/>
        </w:rPr>
        <w:t>具体除外责任详见附件1</w:t>
      </w:r>
      <w:r>
        <w:rPr>
          <w:rFonts w:hint="eastAsia" w:ascii="宋体" w:hAnsi="宋体" w:eastAsia="宋体" w:cs="宋体"/>
          <w:color w:val="auto"/>
          <w:spacing w:val="0"/>
          <w:position w:val="0"/>
          <w:sz w:val="32"/>
          <w:szCs w:val="32"/>
          <w:lang w:eastAsia="zh-CN"/>
        </w:rPr>
        <w:t>）</w:t>
      </w:r>
    </w:p>
    <w:p w14:paraId="2CFAE2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val="en-US" w:eastAsia="zh-CN"/>
        </w:rPr>
        <w:t>8</w:t>
      </w:r>
      <w:r>
        <w:rPr>
          <w:rFonts w:hint="eastAsia" w:ascii="宋体" w:hAnsi="宋体" w:eastAsia="宋体" w:cs="宋体"/>
          <w:color w:val="auto"/>
          <w:spacing w:val="0"/>
          <w:position w:val="0"/>
          <w:sz w:val="32"/>
          <w:szCs w:val="32"/>
        </w:rPr>
        <w:t>、甲方投保人员应该是1</w:t>
      </w:r>
      <w:r>
        <w:rPr>
          <w:rFonts w:hint="eastAsia" w:ascii="宋体" w:hAnsi="宋体" w:eastAsia="宋体" w:cs="宋体"/>
          <w:color w:val="auto"/>
          <w:spacing w:val="0"/>
          <w:position w:val="0"/>
          <w:sz w:val="32"/>
          <w:szCs w:val="32"/>
          <w:lang w:val="en-US" w:eastAsia="zh-CN"/>
        </w:rPr>
        <w:t>8</w:t>
      </w:r>
      <w:r>
        <w:rPr>
          <w:rFonts w:hint="eastAsia" w:ascii="宋体" w:hAnsi="宋体" w:eastAsia="宋体" w:cs="宋体"/>
          <w:color w:val="auto"/>
          <w:spacing w:val="0"/>
          <w:position w:val="0"/>
          <w:sz w:val="32"/>
          <w:szCs w:val="32"/>
        </w:rPr>
        <w:t>周岁—6</w:t>
      </w:r>
      <w:r>
        <w:rPr>
          <w:rFonts w:hint="eastAsia" w:ascii="宋体" w:hAnsi="宋体" w:eastAsia="宋体" w:cs="宋体"/>
          <w:color w:val="auto"/>
          <w:spacing w:val="0"/>
          <w:position w:val="0"/>
          <w:sz w:val="32"/>
          <w:szCs w:val="32"/>
          <w:lang w:val="en-US" w:eastAsia="zh-CN"/>
        </w:rPr>
        <w:t>5</w:t>
      </w:r>
      <w:r>
        <w:rPr>
          <w:rFonts w:hint="eastAsia" w:ascii="宋体" w:hAnsi="宋体" w:eastAsia="宋体" w:cs="宋体"/>
          <w:color w:val="auto"/>
          <w:spacing w:val="0"/>
          <w:position w:val="0"/>
          <w:sz w:val="32"/>
          <w:szCs w:val="32"/>
        </w:rPr>
        <w:t>周岁，身体健康、智力健全的人员，并应有公民身份证件。非保洁员不得借机、冒名享受本保险保障；无有效身份证件的保洁员不享受本保险保障。鉴于我市保洁员队伍年龄普遍偏大的实际状况，经双方友好协商，乙方可酌情扩大投保年龄上限至68周岁以下。68周岁以上不予赔偿。</w:t>
      </w:r>
    </w:p>
    <w:p w14:paraId="18A11A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strike w:val="0"/>
          <w:dstrike w:val="0"/>
          <w:color w:val="auto"/>
          <w:spacing w:val="0"/>
          <w:position w:val="0"/>
          <w:sz w:val="32"/>
          <w:szCs w:val="32"/>
          <w:highlight w:val="none"/>
          <w:lang w:eastAsia="zh-CN"/>
        </w:rPr>
      </w:pPr>
      <w:r>
        <w:rPr>
          <w:rFonts w:hint="eastAsia" w:ascii="宋体" w:hAnsi="宋体" w:eastAsia="宋体" w:cs="宋体"/>
          <w:strike w:val="0"/>
          <w:dstrike w:val="0"/>
          <w:color w:val="auto"/>
          <w:spacing w:val="0"/>
          <w:position w:val="0"/>
          <w:sz w:val="32"/>
          <w:szCs w:val="32"/>
          <w:highlight w:val="none"/>
          <w:lang w:val="en-US" w:eastAsia="zh-CN"/>
        </w:rPr>
        <w:t>9</w:t>
      </w:r>
      <w:r>
        <w:rPr>
          <w:rFonts w:hint="eastAsia" w:ascii="宋体" w:hAnsi="宋体" w:eastAsia="宋体" w:cs="宋体"/>
          <w:strike w:val="0"/>
          <w:dstrike w:val="0"/>
          <w:color w:val="auto"/>
          <w:spacing w:val="0"/>
          <w:position w:val="0"/>
          <w:sz w:val="32"/>
          <w:szCs w:val="32"/>
          <w:highlight w:val="none"/>
        </w:rPr>
        <w:t>、本保险项下的赔偿责任不因被保险人非故意的延迟、错误或遗漏向保险人申报有关雇员的人数、变更或其它有关信息而被拒绝，一旦被保险人明白其疏忽或遗漏，应在合理的时间内向被保险人申报。</w:t>
      </w:r>
    </w:p>
    <w:p w14:paraId="524C278B">
      <w:pPr>
        <w:pStyle w:val="4"/>
        <w:jc w:val="both"/>
        <w:rPr>
          <w:rFonts w:hint="eastAsia"/>
          <w:color w:val="auto"/>
        </w:rPr>
      </w:pPr>
    </w:p>
    <w:p w14:paraId="68AF648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六、 甲、乙双方的权利和义务</w:t>
      </w:r>
    </w:p>
    <w:p w14:paraId="0637A8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1、乙方必须严格履行各项服务承诺，当甲方被保险人出险时乙方应及时响应处理。甲方在合同有效期内有权对乙方进行监督、检查，在合同期内，若一年当中乙方被有效投诉 (经查确属乙方责任的5次以后(含5次) ，乙方有下列情形之一者，取消其保险资格，解除合同。解除合同后，乙方应将保险标的未受损失部分的保险费，按照保险责任开始之日起至合同解除之日止期间与保险期间的日比例计收保险费，并退还剩余部分保险费。</w:t>
      </w:r>
    </w:p>
    <w:p w14:paraId="4F499D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 服务态度差造成恶劣影响的；</w:t>
      </w:r>
    </w:p>
    <w:p w14:paraId="3FBFC7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 一年内被有效投诉5次以上的；</w:t>
      </w:r>
    </w:p>
    <w:p w14:paraId="6BE822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lang w:val="en-US" w:eastAsia="zh-CN"/>
        </w:rPr>
      </w:pPr>
      <w:r>
        <w:rPr>
          <w:rFonts w:hint="eastAsia" w:ascii="宋体" w:hAnsi="宋体" w:eastAsia="宋体" w:cs="宋体"/>
          <w:color w:val="auto"/>
          <w:spacing w:val="0"/>
          <w:position w:val="0"/>
          <w:sz w:val="32"/>
          <w:szCs w:val="32"/>
        </w:rPr>
        <w:t>(3) 发生属于保险责任内的意外事故、有关部门已做出结论，乙方不能及时理赔</w:t>
      </w:r>
      <w:r>
        <w:rPr>
          <w:rFonts w:hint="eastAsia" w:ascii="宋体" w:hAnsi="宋体" w:eastAsia="宋体" w:cs="宋体"/>
          <w:color w:val="auto"/>
          <w:spacing w:val="0"/>
          <w:position w:val="0"/>
          <w:sz w:val="32"/>
          <w:szCs w:val="32"/>
          <w:lang w:val="en-US" w:eastAsia="zh-CN"/>
        </w:rPr>
        <w:t>的；</w:t>
      </w:r>
    </w:p>
    <w:p w14:paraId="625997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2、对疑难案件的处理，双方应本着互谅互让的精神，以解决问题的原则友好协商。</w:t>
      </w:r>
    </w:p>
    <w:p w14:paraId="448596F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七、本合同有效期至202</w:t>
      </w:r>
      <w:r>
        <w:rPr>
          <w:rFonts w:hint="eastAsia" w:ascii="宋体" w:hAnsi="宋体" w:eastAsia="宋体" w:cs="宋体"/>
          <w:b/>
          <w:bCs/>
          <w:color w:val="auto"/>
          <w:spacing w:val="0"/>
          <w:position w:val="0"/>
          <w:sz w:val="32"/>
          <w:szCs w:val="32"/>
          <w:lang w:val="en-US" w:eastAsia="zh-CN"/>
        </w:rPr>
        <w:t>7</w:t>
      </w:r>
      <w:r>
        <w:rPr>
          <w:rFonts w:hint="eastAsia" w:ascii="宋体" w:hAnsi="宋体" w:eastAsia="宋体" w:cs="宋体"/>
          <w:b/>
          <w:bCs/>
          <w:color w:val="auto"/>
          <w:spacing w:val="0"/>
          <w:position w:val="0"/>
          <w:sz w:val="32"/>
          <w:szCs w:val="32"/>
        </w:rPr>
        <w:t>年7月31日24时终止。</w:t>
      </w:r>
    </w:p>
    <w:p w14:paraId="23E0E6D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八、本合同在履行过程中发生的争议，由双方当事人协商解决。协商不成的，向甲方所在地有管辖权的人民法院起诉。</w:t>
      </w:r>
    </w:p>
    <w:p w14:paraId="64CF4897">
      <w:pPr>
        <w:pStyle w:val="4"/>
        <w:jc w:val="both"/>
        <w:rPr>
          <w:rFonts w:hint="eastAsia"/>
          <w:color w:val="auto"/>
        </w:rPr>
      </w:pPr>
    </w:p>
    <w:p w14:paraId="0D7372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lang w:val="en-US" w:eastAsia="zh-CN"/>
        </w:rPr>
        <w:t>九</w:t>
      </w:r>
      <w:r>
        <w:rPr>
          <w:rFonts w:hint="eastAsia" w:ascii="宋体" w:hAnsi="宋体" w:eastAsia="宋体" w:cs="宋体"/>
          <w:b/>
          <w:bCs/>
          <w:color w:val="auto"/>
          <w:spacing w:val="0"/>
          <w:position w:val="0"/>
          <w:sz w:val="32"/>
          <w:szCs w:val="32"/>
        </w:rPr>
        <w:t>、本合同在履行过程中发生的争议，由双方当事人协商解决，协商不成的提交西安市仲裁机构裁定。</w:t>
      </w:r>
    </w:p>
    <w:p w14:paraId="75106E5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lang w:val="en-US" w:eastAsia="zh-CN"/>
        </w:rPr>
        <w:t>十</w:t>
      </w:r>
      <w:r>
        <w:rPr>
          <w:rFonts w:hint="eastAsia" w:ascii="宋体" w:hAnsi="宋体" w:eastAsia="宋体" w:cs="宋体"/>
          <w:b/>
          <w:bCs/>
          <w:color w:val="auto"/>
          <w:spacing w:val="0"/>
          <w:position w:val="0"/>
          <w:sz w:val="32"/>
          <w:szCs w:val="32"/>
        </w:rPr>
        <w:t>、乙方投标文件中的服务方案及措施为本合同附件，具有同等的法律效力。</w:t>
      </w:r>
    </w:p>
    <w:p w14:paraId="473E335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十</w:t>
      </w:r>
      <w:r>
        <w:rPr>
          <w:rFonts w:hint="eastAsia" w:ascii="宋体" w:hAnsi="宋体" w:eastAsia="宋体" w:cs="宋体"/>
          <w:b/>
          <w:bCs/>
          <w:color w:val="auto"/>
          <w:spacing w:val="0"/>
          <w:position w:val="0"/>
          <w:sz w:val="32"/>
          <w:szCs w:val="32"/>
          <w:lang w:val="en-US" w:eastAsia="zh-CN"/>
        </w:rPr>
        <w:t>一</w:t>
      </w:r>
      <w:r>
        <w:rPr>
          <w:rFonts w:hint="eastAsia" w:ascii="宋体" w:hAnsi="宋体" w:eastAsia="宋体" w:cs="宋体"/>
          <w:b/>
          <w:bCs/>
          <w:color w:val="auto"/>
          <w:spacing w:val="0"/>
          <w:position w:val="0"/>
          <w:sz w:val="32"/>
          <w:szCs w:val="32"/>
        </w:rPr>
        <w:t>、违约责任</w:t>
      </w:r>
    </w:p>
    <w:p w14:paraId="376A34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val="en-US" w:eastAsia="zh-CN"/>
        </w:rPr>
        <w:t>1、</w:t>
      </w:r>
      <w:r>
        <w:rPr>
          <w:rFonts w:hint="eastAsia" w:ascii="宋体" w:hAnsi="宋体" w:eastAsia="宋体" w:cs="宋体"/>
          <w:color w:val="auto"/>
          <w:spacing w:val="0"/>
          <w:position w:val="0"/>
          <w:sz w:val="32"/>
          <w:szCs w:val="32"/>
        </w:rPr>
        <w:t xml:space="preserve"> 按《中华人民共和国民法典》、《保险法》中的相关条款执行。</w:t>
      </w:r>
    </w:p>
    <w:p w14:paraId="2DEAB6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lang w:val="en-US" w:eastAsia="zh-CN"/>
        </w:rPr>
        <w:t>2、</w:t>
      </w:r>
      <w:r>
        <w:rPr>
          <w:rFonts w:hint="eastAsia" w:ascii="宋体" w:hAnsi="宋体" w:eastAsia="宋体" w:cs="宋体"/>
          <w:color w:val="auto"/>
          <w:spacing w:val="0"/>
          <w:position w:val="0"/>
          <w:sz w:val="32"/>
          <w:szCs w:val="32"/>
        </w:rPr>
        <w:t>未按合同要求提供承保、理赔服务或服务质量不能满足合同技术要求，采购人会同谈判组织机构有权终止合同和对供应商的违约行为进行追究，同时按《中华人民共和国政府采购法》处罚条款报监管机构进行相应的处罚。</w:t>
      </w:r>
    </w:p>
    <w:p w14:paraId="2054A87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643" w:firstLineChars="200"/>
        <w:jc w:val="both"/>
        <w:textAlignment w:val="baseline"/>
        <w:outlineLvl w:val="0"/>
        <w:rPr>
          <w:rFonts w:hint="eastAsia" w:ascii="宋体" w:hAnsi="宋体" w:eastAsia="宋体" w:cs="宋体"/>
          <w:b/>
          <w:bCs/>
          <w:color w:val="auto"/>
          <w:spacing w:val="0"/>
          <w:position w:val="0"/>
          <w:sz w:val="32"/>
          <w:szCs w:val="32"/>
        </w:rPr>
      </w:pPr>
      <w:r>
        <w:rPr>
          <w:rFonts w:hint="eastAsia" w:ascii="宋体" w:hAnsi="宋体" w:eastAsia="宋体" w:cs="宋体"/>
          <w:b/>
          <w:bCs/>
          <w:color w:val="auto"/>
          <w:spacing w:val="0"/>
          <w:position w:val="0"/>
          <w:sz w:val="32"/>
          <w:szCs w:val="32"/>
        </w:rPr>
        <w:t>十</w:t>
      </w:r>
      <w:r>
        <w:rPr>
          <w:rFonts w:hint="eastAsia" w:ascii="宋体" w:hAnsi="宋体" w:eastAsia="宋体" w:cs="宋体"/>
          <w:b/>
          <w:bCs/>
          <w:color w:val="auto"/>
          <w:spacing w:val="0"/>
          <w:position w:val="0"/>
          <w:sz w:val="32"/>
          <w:szCs w:val="32"/>
          <w:lang w:val="en-US" w:eastAsia="zh-CN"/>
        </w:rPr>
        <w:t>二</w:t>
      </w:r>
      <w:r>
        <w:rPr>
          <w:rFonts w:hint="eastAsia" w:ascii="宋体" w:hAnsi="宋体" w:eastAsia="宋体" w:cs="宋体"/>
          <w:b/>
          <w:bCs/>
          <w:color w:val="auto"/>
          <w:spacing w:val="0"/>
          <w:position w:val="0"/>
          <w:sz w:val="32"/>
          <w:szCs w:val="32"/>
        </w:rPr>
        <w:t>、其他事项</w:t>
      </w:r>
    </w:p>
    <w:p w14:paraId="420C6C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1、投标文件、投标响应文件、澄清表、合同附件均成为合同不可分割的部分。</w:t>
      </w:r>
    </w:p>
    <w:p w14:paraId="2BD1E2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rPr>
        <w:t>2、合同未尽事宜，由甲、乙双方协商，经鉴证方确定后，作为合同补充，与原合同具有同等法律效力。</w:t>
      </w:r>
    </w:p>
    <w:p w14:paraId="752940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0" w:firstLineChars="200"/>
        <w:jc w:val="both"/>
        <w:textAlignment w:val="baseline"/>
        <w:rPr>
          <w:rFonts w:hint="eastAsia" w:ascii="宋体" w:hAnsi="宋体" w:eastAsia="宋体" w:cs="宋体"/>
          <w:color w:val="auto"/>
          <w:spacing w:val="0"/>
          <w:position w:val="0"/>
          <w:sz w:val="32"/>
          <w:szCs w:val="32"/>
        </w:rPr>
      </w:pPr>
      <w:r>
        <w:rPr>
          <w:rFonts w:hint="eastAsia" w:ascii="宋体" w:hAnsi="宋体" w:eastAsia="宋体" w:cs="宋体"/>
          <w:color w:val="auto"/>
          <w:spacing w:val="0"/>
          <w:position w:val="0"/>
          <w:sz w:val="32"/>
          <w:szCs w:val="32"/>
          <w:highlight w:val="none"/>
        </w:rPr>
        <w:t>3、本合同一式</w:t>
      </w:r>
      <w:r>
        <w:rPr>
          <w:rFonts w:hint="eastAsia" w:ascii="宋体" w:hAnsi="宋体" w:eastAsia="宋体" w:cs="宋体"/>
          <w:color w:val="auto"/>
          <w:spacing w:val="0"/>
          <w:position w:val="0"/>
          <w:sz w:val="32"/>
          <w:szCs w:val="32"/>
          <w:highlight w:val="none"/>
          <w:lang w:val="en-US" w:eastAsia="zh-CN"/>
        </w:rPr>
        <w:t>13</w:t>
      </w:r>
      <w:r>
        <w:rPr>
          <w:rFonts w:hint="eastAsia" w:ascii="宋体" w:hAnsi="宋体" w:eastAsia="宋体" w:cs="宋体"/>
          <w:color w:val="auto"/>
          <w:spacing w:val="0"/>
          <w:position w:val="0"/>
          <w:sz w:val="32"/>
          <w:szCs w:val="32"/>
          <w:highlight w:val="none"/>
        </w:rPr>
        <w:t>份，采购人</w:t>
      </w:r>
      <w:r>
        <w:rPr>
          <w:rFonts w:hint="eastAsia" w:ascii="宋体" w:hAnsi="宋体" w:eastAsia="宋体" w:cs="宋体"/>
          <w:color w:val="auto"/>
          <w:spacing w:val="0"/>
          <w:position w:val="0"/>
          <w:sz w:val="32"/>
          <w:szCs w:val="32"/>
          <w:highlight w:val="none"/>
          <w:lang w:val="en-US" w:eastAsia="zh-CN"/>
        </w:rPr>
        <w:t>12份</w:t>
      </w:r>
      <w:r>
        <w:rPr>
          <w:rFonts w:hint="eastAsia" w:ascii="宋体" w:hAnsi="宋体" w:eastAsia="宋体" w:cs="宋体"/>
          <w:color w:val="auto"/>
          <w:spacing w:val="0"/>
          <w:position w:val="0"/>
          <w:sz w:val="32"/>
          <w:szCs w:val="32"/>
          <w:highlight w:val="none"/>
        </w:rPr>
        <w:t>、成交供应商</w:t>
      </w:r>
      <w:r>
        <w:rPr>
          <w:rFonts w:hint="eastAsia" w:ascii="宋体" w:hAnsi="宋体" w:eastAsia="宋体" w:cs="宋体"/>
          <w:color w:val="auto"/>
          <w:spacing w:val="0"/>
          <w:position w:val="0"/>
          <w:sz w:val="32"/>
          <w:szCs w:val="32"/>
          <w:highlight w:val="none"/>
          <w:lang w:val="en-US" w:eastAsia="zh-CN"/>
        </w:rPr>
        <w:t>1</w:t>
      </w:r>
      <w:r>
        <w:rPr>
          <w:rFonts w:hint="eastAsia" w:ascii="宋体" w:hAnsi="宋体" w:eastAsia="宋体" w:cs="宋体"/>
          <w:color w:val="auto"/>
          <w:spacing w:val="0"/>
          <w:position w:val="0"/>
          <w:sz w:val="32"/>
          <w:szCs w:val="32"/>
          <w:highlight w:val="none"/>
        </w:rPr>
        <w:t>份；甲、乙方确认各方签字盖章后生效，合同执行完毕后，自动失效 (延续的保险相关业务除外) 。</w:t>
      </w:r>
    </w:p>
    <w:tbl>
      <w:tblPr>
        <w:tblStyle w:val="9"/>
        <w:tblpPr w:leftFromText="180" w:rightFromText="180" w:vertAnchor="text" w:horzAnchor="page" w:tblpX="1433" w:tblpY="16"/>
        <w:tblOverlap w:val="never"/>
        <w:tblW w:w="917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58"/>
        <w:gridCol w:w="4721"/>
      </w:tblGrid>
      <w:tr w14:paraId="489D0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458" w:type="dxa"/>
            <w:vAlign w:val="center"/>
          </w:tcPr>
          <w:p w14:paraId="4C443DAA">
            <w:pPr>
              <w:spacing w:before="180" w:line="227" w:lineRule="auto"/>
              <w:ind w:left="115"/>
              <w:jc w:val="center"/>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甲  方</w:t>
            </w:r>
          </w:p>
        </w:tc>
        <w:tc>
          <w:tcPr>
            <w:tcW w:w="4721" w:type="dxa"/>
            <w:vAlign w:val="center"/>
          </w:tcPr>
          <w:p w14:paraId="14038308">
            <w:pPr>
              <w:spacing w:before="180" w:line="227" w:lineRule="auto"/>
              <w:ind w:left="115"/>
              <w:jc w:val="center"/>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乙  方</w:t>
            </w:r>
          </w:p>
        </w:tc>
      </w:tr>
      <w:tr w14:paraId="05DEB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3" w:hRule="atLeast"/>
        </w:trPr>
        <w:tc>
          <w:tcPr>
            <w:tcW w:w="4458" w:type="dxa"/>
            <w:vAlign w:val="top"/>
          </w:tcPr>
          <w:p w14:paraId="08460496">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采购人名称：西安市城市管理和综合执法局 (盖章)</w:t>
            </w:r>
          </w:p>
        </w:tc>
        <w:tc>
          <w:tcPr>
            <w:tcW w:w="4721" w:type="dxa"/>
            <w:vAlign w:val="top"/>
          </w:tcPr>
          <w:p w14:paraId="06F06F84">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保险供应商全称：（</w:t>
            </w:r>
            <w:r>
              <w:rPr>
                <w:rFonts w:hint="eastAsia" w:ascii="宋体" w:hAnsi="宋体" w:eastAsia="宋体" w:cs="宋体"/>
                <w:color w:val="auto"/>
                <w:spacing w:val="8"/>
                <w:sz w:val="28"/>
                <w:szCs w:val="28"/>
                <w:lang w:val="en-US" w:eastAsia="zh-CN"/>
              </w:rPr>
              <w:t>盖章</w:t>
            </w:r>
            <w:r>
              <w:rPr>
                <w:rFonts w:hint="eastAsia" w:ascii="宋体" w:hAnsi="宋体" w:eastAsia="宋体" w:cs="宋体"/>
                <w:color w:val="auto"/>
                <w:spacing w:val="8"/>
                <w:sz w:val="28"/>
                <w:szCs w:val="28"/>
                <w:lang w:eastAsia="zh-CN"/>
              </w:rPr>
              <w:t>）</w:t>
            </w:r>
          </w:p>
        </w:tc>
      </w:tr>
      <w:tr w14:paraId="142CC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0" w:hRule="atLeast"/>
        </w:trPr>
        <w:tc>
          <w:tcPr>
            <w:tcW w:w="4458" w:type="dxa"/>
            <w:vAlign w:val="top"/>
          </w:tcPr>
          <w:p w14:paraId="07B784CC">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地址： 陕西省西安市凤城八路109号</w:t>
            </w:r>
          </w:p>
        </w:tc>
        <w:tc>
          <w:tcPr>
            <w:tcW w:w="4721" w:type="dxa"/>
            <w:vAlign w:val="top"/>
          </w:tcPr>
          <w:p w14:paraId="23FD4C96">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地址：</w:t>
            </w:r>
          </w:p>
        </w:tc>
      </w:tr>
      <w:tr w14:paraId="1CBC7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trPr>
        <w:tc>
          <w:tcPr>
            <w:tcW w:w="4458" w:type="dxa"/>
            <w:vAlign w:val="top"/>
          </w:tcPr>
          <w:p w14:paraId="30946179">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邮编：</w:t>
            </w:r>
            <w:r>
              <w:rPr>
                <w:rFonts w:hint="eastAsia" w:ascii="宋体" w:hAnsi="宋体" w:eastAsia="宋体" w:cs="宋体"/>
                <w:color w:val="auto"/>
                <w:spacing w:val="8"/>
                <w:sz w:val="28"/>
                <w:szCs w:val="28"/>
                <w:lang w:val="en-US" w:eastAsia="zh-CN"/>
              </w:rPr>
              <w:t>710000</w:t>
            </w:r>
          </w:p>
        </w:tc>
        <w:tc>
          <w:tcPr>
            <w:tcW w:w="4721" w:type="dxa"/>
            <w:vAlign w:val="top"/>
          </w:tcPr>
          <w:p w14:paraId="31F0984F">
            <w:pPr>
              <w:spacing w:before="180" w:line="227" w:lineRule="auto"/>
              <w:ind w:left="115"/>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eastAsia="zh-CN"/>
              </w:rPr>
              <w:t>邮编：</w:t>
            </w:r>
          </w:p>
        </w:tc>
      </w:tr>
      <w:tr w14:paraId="6271B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5" w:hRule="atLeast"/>
        </w:trPr>
        <w:tc>
          <w:tcPr>
            <w:tcW w:w="4458" w:type="dxa"/>
            <w:vAlign w:val="top"/>
          </w:tcPr>
          <w:p w14:paraId="29EB609F">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val="en-US" w:eastAsia="zh-CN"/>
              </w:rPr>
              <w:t>法定代表人：</w:t>
            </w:r>
          </w:p>
        </w:tc>
        <w:tc>
          <w:tcPr>
            <w:tcW w:w="4721" w:type="dxa"/>
            <w:vAlign w:val="top"/>
          </w:tcPr>
          <w:p w14:paraId="1CA6AE8A">
            <w:pPr>
              <w:spacing w:before="180" w:line="227" w:lineRule="auto"/>
              <w:ind w:left="115"/>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eastAsia="zh-CN"/>
              </w:rPr>
              <w:t>法定代表人 (主要负责人) ：</w:t>
            </w:r>
          </w:p>
        </w:tc>
      </w:tr>
      <w:tr w14:paraId="13520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4458" w:type="dxa"/>
            <w:shd w:val="clear" w:color="auto" w:fill="auto"/>
            <w:vAlign w:val="top"/>
          </w:tcPr>
          <w:p w14:paraId="47659146">
            <w:pPr>
              <w:spacing w:before="180" w:line="227" w:lineRule="auto"/>
              <w:ind w:left="115" w:leftChars="0"/>
              <w:rPr>
                <w:rFonts w:hint="eastAsia" w:ascii="宋体" w:hAnsi="宋体" w:eastAsia="宋体" w:cs="宋体"/>
                <w:snapToGrid w:val="0"/>
                <w:color w:val="auto"/>
                <w:spacing w:val="8"/>
                <w:kern w:val="0"/>
                <w:sz w:val="28"/>
                <w:szCs w:val="28"/>
                <w:lang w:eastAsia="zh-CN"/>
              </w:rPr>
            </w:pPr>
            <w:r>
              <w:rPr>
                <w:rFonts w:hint="eastAsia" w:ascii="宋体" w:hAnsi="宋体" w:eastAsia="宋体" w:cs="宋体"/>
                <w:color w:val="auto"/>
                <w:spacing w:val="8"/>
                <w:sz w:val="28"/>
                <w:szCs w:val="28"/>
                <w:lang w:eastAsia="zh-CN"/>
              </w:rPr>
              <w:t>授权代</w:t>
            </w:r>
            <w:r>
              <w:rPr>
                <w:rFonts w:hint="eastAsia" w:ascii="宋体" w:hAnsi="宋体" w:eastAsia="宋体" w:cs="宋体"/>
                <w:color w:val="auto"/>
                <w:spacing w:val="8"/>
                <w:sz w:val="28"/>
                <w:szCs w:val="28"/>
                <w:lang w:val="en-US" w:eastAsia="zh-CN"/>
              </w:rPr>
              <w:t>理人</w:t>
            </w:r>
            <w:r>
              <w:rPr>
                <w:rFonts w:hint="eastAsia" w:ascii="宋体" w:hAnsi="宋体" w:eastAsia="宋体" w:cs="宋体"/>
                <w:color w:val="auto"/>
                <w:spacing w:val="8"/>
                <w:sz w:val="28"/>
                <w:szCs w:val="28"/>
                <w:lang w:eastAsia="zh-CN"/>
              </w:rPr>
              <w:t xml:space="preserve">：  </w:t>
            </w:r>
          </w:p>
        </w:tc>
        <w:tc>
          <w:tcPr>
            <w:tcW w:w="4721" w:type="dxa"/>
            <w:vAlign w:val="top"/>
          </w:tcPr>
          <w:p w14:paraId="767AF75D">
            <w:pPr>
              <w:spacing w:before="180" w:line="227" w:lineRule="auto"/>
              <w:ind w:left="115"/>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eastAsia="zh-CN"/>
              </w:rPr>
              <w:t>授权代</w:t>
            </w:r>
            <w:r>
              <w:rPr>
                <w:rFonts w:hint="eastAsia" w:ascii="宋体" w:hAnsi="宋体" w:eastAsia="宋体" w:cs="宋体"/>
                <w:color w:val="auto"/>
                <w:spacing w:val="8"/>
                <w:sz w:val="28"/>
                <w:szCs w:val="28"/>
                <w:lang w:val="en-US" w:eastAsia="zh-CN"/>
              </w:rPr>
              <w:t>理人</w:t>
            </w:r>
            <w:r>
              <w:rPr>
                <w:rFonts w:hint="eastAsia" w:ascii="宋体" w:hAnsi="宋体" w:eastAsia="宋体" w:cs="宋体"/>
                <w:color w:val="auto"/>
                <w:spacing w:val="8"/>
                <w:sz w:val="28"/>
                <w:szCs w:val="28"/>
                <w:lang w:eastAsia="zh-CN"/>
              </w:rPr>
              <w:t>：</w:t>
            </w:r>
          </w:p>
        </w:tc>
      </w:tr>
      <w:tr w14:paraId="072E9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4458" w:type="dxa"/>
            <w:shd w:val="clear" w:color="auto" w:fill="auto"/>
            <w:vAlign w:val="top"/>
          </w:tcPr>
          <w:p w14:paraId="5092D88B">
            <w:pPr>
              <w:spacing w:before="180" w:line="227" w:lineRule="auto"/>
              <w:ind w:left="115" w:leftChars="0"/>
              <w:rPr>
                <w:rFonts w:hint="eastAsia" w:ascii="宋体" w:hAnsi="宋体" w:eastAsia="宋体" w:cs="宋体"/>
                <w:snapToGrid w:val="0"/>
                <w:color w:val="auto"/>
                <w:spacing w:val="8"/>
                <w:kern w:val="0"/>
                <w:sz w:val="28"/>
                <w:szCs w:val="28"/>
                <w:lang w:val="en-US" w:eastAsia="zh-CN"/>
              </w:rPr>
            </w:pPr>
            <w:r>
              <w:rPr>
                <w:rFonts w:hint="eastAsia" w:ascii="宋体" w:hAnsi="宋体" w:eastAsia="宋体" w:cs="宋体"/>
                <w:color w:val="auto"/>
                <w:spacing w:val="8"/>
                <w:sz w:val="28"/>
                <w:szCs w:val="28"/>
                <w:lang w:eastAsia="zh-CN"/>
              </w:rPr>
              <w:t>电话：</w:t>
            </w:r>
            <w:r>
              <w:rPr>
                <w:rFonts w:hint="eastAsia" w:ascii="宋体" w:hAnsi="宋体" w:eastAsia="宋体" w:cs="宋体"/>
                <w:color w:val="auto"/>
                <w:spacing w:val="8"/>
                <w:sz w:val="28"/>
                <w:szCs w:val="28"/>
                <w:lang w:val="en-US" w:eastAsia="zh-CN"/>
              </w:rPr>
              <w:t>029-86787259</w:t>
            </w:r>
          </w:p>
        </w:tc>
        <w:tc>
          <w:tcPr>
            <w:tcW w:w="4721" w:type="dxa"/>
            <w:vAlign w:val="top"/>
          </w:tcPr>
          <w:p w14:paraId="545EAEFE">
            <w:pPr>
              <w:spacing w:before="180" w:line="227" w:lineRule="auto"/>
              <w:ind w:left="115"/>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eastAsia="zh-CN"/>
              </w:rPr>
              <w:t>电话：</w:t>
            </w:r>
          </w:p>
        </w:tc>
      </w:tr>
      <w:tr w14:paraId="1BBC7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trPr>
        <w:tc>
          <w:tcPr>
            <w:tcW w:w="4458" w:type="dxa"/>
            <w:vAlign w:val="top"/>
          </w:tcPr>
          <w:p w14:paraId="053D2AA4">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日期：   年   月    日</w:t>
            </w:r>
          </w:p>
        </w:tc>
        <w:tc>
          <w:tcPr>
            <w:tcW w:w="4721" w:type="dxa"/>
            <w:vAlign w:val="top"/>
          </w:tcPr>
          <w:p w14:paraId="79F050FE">
            <w:pPr>
              <w:spacing w:before="180" w:line="227" w:lineRule="auto"/>
              <w:ind w:left="115"/>
              <w:rPr>
                <w:rFonts w:hint="eastAsia" w:ascii="宋体" w:hAnsi="宋体" w:eastAsia="宋体" w:cs="宋体"/>
                <w:color w:val="auto"/>
                <w:spacing w:val="8"/>
                <w:sz w:val="28"/>
                <w:szCs w:val="28"/>
                <w:lang w:eastAsia="zh-CN"/>
              </w:rPr>
            </w:pPr>
            <w:r>
              <w:rPr>
                <w:rFonts w:hint="eastAsia" w:ascii="宋体" w:hAnsi="宋体" w:eastAsia="宋体" w:cs="宋体"/>
                <w:color w:val="auto"/>
                <w:spacing w:val="8"/>
                <w:sz w:val="28"/>
                <w:szCs w:val="28"/>
                <w:lang w:eastAsia="zh-CN"/>
              </w:rPr>
              <w:t xml:space="preserve">日期：   年 </w:t>
            </w:r>
            <w:r>
              <w:rPr>
                <w:rFonts w:hint="eastAsia" w:ascii="宋体" w:hAnsi="宋体" w:eastAsia="宋体" w:cs="宋体"/>
                <w:color w:val="auto"/>
                <w:spacing w:val="8"/>
                <w:sz w:val="28"/>
                <w:szCs w:val="28"/>
                <w:lang w:val="en-US" w:eastAsia="zh-CN"/>
              </w:rPr>
              <w:t xml:space="preserve"> </w:t>
            </w:r>
            <w:r>
              <w:rPr>
                <w:rFonts w:hint="eastAsia" w:ascii="宋体" w:hAnsi="宋体" w:eastAsia="宋体" w:cs="宋体"/>
                <w:color w:val="auto"/>
                <w:spacing w:val="8"/>
                <w:sz w:val="28"/>
                <w:szCs w:val="28"/>
                <w:lang w:eastAsia="zh-CN"/>
              </w:rPr>
              <w:t>月  日</w:t>
            </w:r>
          </w:p>
        </w:tc>
      </w:tr>
    </w:tbl>
    <w:p w14:paraId="5210FD40">
      <w:pPr>
        <w:rPr>
          <w:rFonts w:hint="eastAsia" w:ascii="宋体" w:hAnsi="宋体" w:eastAsia="宋体" w:cs="宋体"/>
          <w:b/>
          <w:bCs/>
          <w:color w:val="auto"/>
          <w:spacing w:val="8"/>
          <w:sz w:val="28"/>
          <w:szCs w:val="28"/>
          <w:lang w:val="en-US" w:eastAsia="zh-CN"/>
        </w:rPr>
      </w:pPr>
      <w:r>
        <w:rPr>
          <w:rFonts w:hint="eastAsia" w:ascii="宋体" w:hAnsi="宋体" w:eastAsia="宋体" w:cs="宋体"/>
          <w:b/>
          <w:bCs/>
          <w:color w:val="auto"/>
          <w:spacing w:val="8"/>
          <w:sz w:val="28"/>
          <w:szCs w:val="28"/>
          <w:lang w:val="en-US" w:eastAsia="zh-CN"/>
        </w:rPr>
        <w:br w:type="page"/>
      </w:r>
    </w:p>
    <w:p w14:paraId="75C87013">
      <w:pPr>
        <w:spacing w:before="180" w:line="227" w:lineRule="auto"/>
        <w:ind w:left="115"/>
        <w:jc w:val="left"/>
        <w:outlineLvl w:val="1"/>
        <w:rPr>
          <w:rFonts w:hint="eastAsia" w:ascii="宋体" w:hAnsi="宋体" w:eastAsia="宋体" w:cs="宋体"/>
          <w:b/>
          <w:bCs/>
          <w:color w:val="auto"/>
          <w:spacing w:val="8"/>
          <w:sz w:val="28"/>
          <w:szCs w:val="28"/>
          <w:lang w:val="en-US" w:eastAsia="zh-CN"/>
        </w:rPr>
      </w:pPr>
      <w:r>
        <w:rPr>
          <w:rFonts w:hint="eastAsia" w:ascii="宋体" w:hAnsi="宋体" w:eastAsia="宋体" w:cs="宋体"/>
          <w:b/>
          <w:bCs/>
          <w:color w:val="auto"/>
          <w:spacing w:val="8"/>
          <w:sz w:val="28"/>
          <w:szCs w:val="28"/>
          <w:lang w:val="en-US" w:eastAsia="zh-CN"/>
        </w:rPr>
        <w:t>附件1</w:t>
      </w:r>
    </w:p>
    <w:p w14:paraId="1739AB48">
      <w:pPr>
        <w:spacing w:before="180" w:line="227" w:lineRule="auto"/>
        <w:ind w:left="115"/>
        <w:jc w:val="center"/>
        <w:outlineLvl w:val="1"/>
        <w:rPr>
          <w:rFonts w:hint="eastAsia" w:ascii="宋体" w:hAnsi="宋体" w:eastAsia="宋体" w:cs="宋体"/>
          <w:b/>
          <w:bCs/>
          <w:color w:val="auto"/>
          <w:spacing w:val="8"/>
          <w:sz w:val="28"/>
          <w:szCs w:val="28"/>
          <w:lang w:val="en-US" w:eastAsia="zh-CN"/>
        </w:rPr>
      </w:pPr>
      <w:r>
        <w:rPr>
          <w:rFonts w:hint="eastAsia" w:ascii="宋体" w:hAnsi="宋体" w:eastAsia="宋体" w:cs="宋体"/>
          <w:b/>
          <w:bCs/>
          <w:color w:val="auto"/>
          <w:spacing w:val="8"/>
          <w:sz w:val="28"/>
          <w:szCs w:val="28"/>
          <w:lang w:val="en-US" w:eastAsia="zh-CN"/>
        </w:rPr>
        <w:t>一、被保险人的保险计划</w:t>
      </w:r>
    </w:p>
    <w:p w14:paraId="237761FF">
      <w:pPr>
        <w:spacing w:before="180" w:line="227" w:lineRule="auto"/>
        <w:ind w:left="115" w:firstLine="296" w:firstLineChars="100"/>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val="en-US" w:eastAsia="zh-CN"/>
        </w:rPr>
        <w:t>1.1被保险人每人每保险年度保险方案如下表：</w:t>
      </w:r>
    </w:p>
    <w:tbl>
      <w:tblPr>
        <w:tblStyle w:val="9"/>
        <w:tblpPr w:leftFromText="180" w:rightFromText="180" w:vertAnchor="text" w:horzAnchor="page" w:tblpX="1499" w:tblpY="156"/>
        <w:tblOverlap w:val="never"/>
        <w:tblW w:w="926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2"/>
        <w:gridCol w:w="3764"/>
        <w:gridCol w:w="3450"/>
      </w:tblGrid>
      <w:tr w14:paraId="3D591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 w:hRule="atLeast"/>
        </w:trPr>
        <w:tc>
          <w:tcPr>
            <w:tcW w:w="2052" w:type="dxa"/>
            <w:vAlign w:val="center"/>
          </w:tcPr>
          <w:p w14:paraId="46C4DB1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保险责任</w:t>
            </w:r>
          </w:p>
        </w:tc>
        <w:tc>
          <w:tcPr>
            <w:tcW w:w="3764" w:type="dxa"/>
            <w:vAlign w:val="center"/>
          </w:tcPr>
          <w:p w14:paraId="79A496B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保险金额</w:t>
            </w:r>
          </w:p>
        </w:tc>
        <w:tc>
          <w:tcPr>
            <w:tcW w:w="3450" w:type="dxa"/>
            <w:vAlign w:val="center"/>
          </w:tcPr>
          <w:p w14:paraId="2C71E3A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rPr>
              <w:t>备注</w:t>
            </w:r>
          </w:p>
        </w:tc>
      </w:tr>
      <w:tr w14:paraId="4A239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2052" w:type="dxa"/>
            <w:shd w:val="clear" w:color="auto" w:fill="auto"/>
            <w:vAlign w:val="center"/>
          </w:tcPr>
          <w:p w14:paraId="0FE81F18">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rPr>
            </w:pPr>
          </w:p>
        </w:tc>
        <w:tc>
          <w:tcPr>
            <w:tcW w:w="3764" w:type="dxa"/>
            <w:shd w:val="clear" w:color="auto" w:fill="auto"/>
            <w:vAlign w:val="center"/>
          </w:tcPr>
          <w:p w14:paraId="60C60C66">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c>
          <w:tcPr>
            <w:tcW w:w="3450" w:type="dxa"/>
            <w:shd w:val="clear" w:color="auto" w:fill="auto"/>
            <w:vAlign w:val="center"/>
          </w:tcPr>
          <w:p w14:paraId="358B3EBB">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snapToGrid w:val="0"/>
                <w:color w:val="auto"/>
                <w:spacing w:val="0"/>
                <w:kern w:val="0"/>
                <w:position w:val="0"/>
                <w:sz w:val="28"/>
                <w:szCs w:val="28"/>
                <w:lang w:val="en-US" w:eastAsia="zh-CN"/>
              </w:rPr>
            </w:pPr>
          </w:p>
        </w:tc>
      </w:tr>
      <w:tr w14:paraId="24A50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trPr>
        <w:tc>
          <w:tcPr>
            <w:tcW w:w="2052" w:type="dxa"/>
            <w:vAlign w:val="center"/>
          </w:tcPr>
          <w:p w14:paraId="7882A22D">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rPr>
            </w:pPr>
          </w:p>
        </w:tc>
        <w:tc>
          <w:tcPr>
            <w:tcW w:w="3764" w:type="dxa"/>
            <w:vAlign w:val="center"/>
          </w:tcPr>
          <w:p w14:paraId="280A53D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c>
          <w:tcPr>
            <w:tcW w:w="3450" w:type="dxa"/>
            <w:vAlign w:val="center"/>
          </w:tcPr>
          <w:p w14:paraId="3971299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color w:val="auto"/>
                <w:spacing w:val="0"/>
                <w:position w:val="0"/>
                <w:sz w:val="28"/>
                <w:szCs w:val="28"/>
                <w:lang w:val="en-US" w:eastAsia="zh-CN"/>
              </w:rPr>
            </w:pPr>
          </w:p>
        </w:tc>
      </w:tr>
      <w:tr w14:paraId="293FA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 w:hRule="atLeast"/>
        </w:trPr>
        <w:tc>
          <w:tcPr>
            <w:tcW w:w="9266" w:type="dxa"/>
            <w:gridSpan w:val="3"/>
            <w:vAlign w:val="center"/>
          </w:tcPr>
          <w:p w14:paraId="6846A5A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color w:val="auto"/>
                <w:spacing w:val="0"/>
                <w:position w:val="0"/>
                <w:sz w:val="28"/>
                <w:szCs w:val="28"/>
                <w:lang w:val="en-US" w:eastAsia="zh-CN"/>
              </w:rPr>
            </w:pPr>
          </w:p>
        </w:tc>
      </w:tr>
    </w:tbl>
    <w:p w14:paraId="723837ED">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color w:val="auto"/>
          <w:spacing w:val="0"/>
          <w:position w:val="0"/>
          <w:sz w:val="28"/>
          <w:szCs w:val="28"/>
          <w:lang w:val="en-US" w:eastAsia="zh-CN"/>
        </w:rPr>
      </w:pPr>
      <w:r>
        <w:rPr>
          <w:rFonts w:hint="eastAsia" w:ascii="宋体" w:hAnsi="宋体" w:eastAsia="宋体" w:cs="宋体"/>
          <w:b/>
          <w:bCs/>
          <w:color w:val="auto"/>
          <w:spacing w:val="0"/>
          <w:position w:val="0"/>
          <w:sz w:val="28"/>
          <w:szCs w:val="28"/>
        </w:rPr>
        <w:t>注：上述保险</w:t>
      </w:r>
      <w:r>
        <w:rPr>
          <w:rFonts w:hint="eastAsia" w:ascii="宋体" w:hAnsi="宋体" w:eastAsia="宋体" w:cs="宋体"/>
          <w:b/>
          <w:bCs/>
          <w:color w:val="auto"/>
          <w:spacing w:val="0"/>
          <w:position w:val="0"/>
          <w:sz w:val="28"/>
          <w:szCs w:val="28"/>
          <w:lang w:val="en-US" w:eastAsia="zh-CN"/>
        </w:rPr>
        <w:t>责任承担在</w:t>
      </w:r>
      <w:r>
        <w:rPr>
          <w:rFonts w:hint="eastAsia" w:ascii="宋体" w:hAnsi="宋体" w:eastAsia="宋体" w:cs="宋体"/>
          <w:b/>
          <w:bCs/>
          <w:color w:val="auto"/>
          <w:spacing w:val="0"/>
          <w:position w:val="0"/>
          <w:sz w:val="28"/>
          <w:szCs w:val="28"/>
        </w:rPr>
        <w:t>中</w:t>
      </w:r>
      <w:r>
        <w:rPr>
          <w:rFonts w:hint="eastAsia" w:ascii="宋体" w:hAnsi="宋体" w:eastAsia="宋体" w:cs="宋体"/>
          <w:b/>
          <w:bCs/>
          <w:color w:val="auto"/>
          <w:spacing w:val="0"/>
          <w:position w:val="0"/>
          <w:sz w:val="28"/>
          <w:szCs w:val="28"/>
          <w:lang w:val="en-US" w:eastAsia="zh-CN"/>
        </w:rPr>
        <w:t>国大陆境内</w:t>
      </w:r>
      <w:r>
        <w:rPr>
          <w:rFonts w:hint="eastAsia" w:ascii="宋体" w:hAnsi="宋体" w:eastAsia="宋体" w:cs="宋体"/>
          <w:b/>
          <w:bCs/>
          <w:color w:val="auto"/>
          <w:spacing w:val="0"/>
          <w:position w:val="0"/>
          <w:sz w:val="28"/>
          <w:szCs w:val="28"/>
        </w:rPr>
        <w:t>（不含港澳台）</w:t>
      </w:r>
      <w:r>
        <w:rPr>
          <w:rFonts w:hint="eastAsia" w:ascii="宋体" w:hAnsi="宋体" w:eastAsia="宋体" w:cs="宋体"/>
          <w:b/>
          <w:bCs/>
          <w:color w:val="auto"/>
          <w:spacing w:val="0"/>
          <w:position w:val="0"/>
          <w:sz w:val="28"/>
          <w:szCs w:val="28"/>
          <w:lang w:eastAsia="zh-CN"/>
        </w:rPr>
        <w:t>、</w:t>
      </w:r>
      <w:r>
        <w:rPr>
          <w:rFonts w:hint="eastAsia" w:ascii="宋体" w:hAnsi="宋体" w:eastAsia="宋体" w:cs="宋体"/>
          <w:b/>
          <w:bCs/>
          <w:color w:val="auto"/>
          <w:spacing w:val="0"/>
          <w:position w:val="0"/>
          <w:sz w:val="28"/>
          <w:szCs w:val="28"/>
          <w:lang w:val="en-US" w:eastAsia="zh-CN"/>
        </w:rPr>
        <w:t>保险期间内24小时发生的保险事故责任。</w:t>
      </w:r>
    </w:p>
    <w:p w14:paraId="21EA884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lang w:val="en-US" w:eastAsia="zh-CN"/>
        </w:rPr>
        <w:t>1.2</w:t>
      </w:r>
      <w:r>
        <w:rPr>
          <w:rFonts w:hint="eastAsia" w:ascii="宋体" w:hAnsi="宋体" w:eastAsia="宋体" w:cs="宋体"/>
          <w:color w:val="auto"/>
          <w:spacing w:val="0"/>
          <w:position w:val="0"/>
          <w:sz w:val="28"/>
          <w:szCs w:val="28"/>
        </w:rPr>
        <w:t>被保险人保险责任具体描述：</w:t>
      </w:r>
    </w:p>
    <w:p w14:paraId="4CCF20F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color w:val="auto"/>
          <w:spacing w:val="0"/>
          <w:position w:val="0"/>
          <w:sz w:val="28"/>
          <w:szCs w:val="28"/>
        </w:rPr>
      </w:pPr>
      <w:r>
        <w:rPr>
          <w:rFonts w:hint="eastAsia" w:ascii="宋体" w:hAnsi="宋体" w:eastAsia="宋体" w:cs="宋体"/>
          <w:color w:val="auto"/>
          <w:spacing w:val="0"/>
          <w:position w:val="0"/>
          <w:sz w:val="28"/>
          <w:szCs w:val="28"/>
          <w:lang w:val="en-US" w:eastAsia="zh-CN"/>
        </w:rPr>
        <w:t>（1）意外身故保障</w:t>
      </w:r>
      <w:r>
        <w:rPr>
          <w:rFonts w:hint="eastAsia" w:ascii="宋体" w:hAnsi="宋体" w:eastAsia="宋体" w:cs="宋体"/>
          <w:color w:val="auto"/>
          <w:spacing w:val="0"/>
          <w:position w:val="0"/>
          <w:sz w:val="28"/>
          <w:szCs w:val="28"/>
        </w:rPr>
        <w:t>：</w:t>
      </w:r>
    </w:p>
    <w:p w14:paraId="1722C8D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被保险人</w:t>
      </w:r>
      <w:r>
        <w:rPr>
          <w:rFonts w:hint="eastAsia" w:ascii="宋体" w:hAnsi="宋体" w:eastAsia="宋体" w:cs="宋体"/>
          <w:color w:val="auto"/>
          <w:sz w:val="28"/>
          <w:szCs w:val="28"/>
          <w:highlight w:val="none"/>
          <w:lang w:val="en-US" w:eastAsia="zh-CN"/>
        </w:rPr>
        <w:t>在保险期内</w:t>
      </w:r>
      <w:r>
        <w:rPr>
          <w:rFonts w:hint="eastAsia" w:ascii="宋体" w:hAnsi="宋体" w:eastAsia="宋体" w:cs="宋体"/>
          <w:color w:val="auto"/>
          <w:sz w:val="28"/>
          <w:szCs w:val="28"/>
          <w:highlight w:val="none"/>
        </w:rPr>
        <w:t>因遭受意外事故，并自事故发生之日起 180 日内（含第 180 日）因该事故身故的，保险人按约定的意外伤害保险金额扣除已给付的意外伤残保险金（如有）后的余额给付意外身故保险金，对该被保险人的保险责任终止</w:t>
      </w:r>
      <w:r>
        <w:rPr>
          <w:rFonts w:hint="eastAsia" w:ascii="宋体" w:hAnsi="宋体" w:eastAsia="宋体" w:cs="宋体"/>
          <w:color w:val="auto"/>
          <w:sz w:val="28"/>
          <w:szCs w:val="28"/>
          <w:highlight w:val="none"/>
          <w:lang w:eastAsia="zh-CN"/>
        </w:rPr>
        <w:t>。</w:t>
      </w:r>
    </w:p>
    <w:p w14:paraId="5148939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保险人在保险期内，在工作时间或工作岗位因热射病出现症状后48小时内抢救无效身故的，保险人按约定的意外伤害保险金额扣除已给付的意外伤残保险金（如有）后的余额给付意外身故保险金，对该被保险人的保险责任终止。</w:t>
      </w:r>
    </w:p>
    <w:p w14:paraId="44733DE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snapToGrid w:val="0"/>
          <w:color w:val="auto"/>
          <w:spacing w:val="0"/>
          <w:kern w:val="0"/>
          <w:position w:val="0"/>
          <w:sz w:val="28"/>
          <w:szCs w:val="28"/>
          <w:lang w:eastAsia="zh-CN"/>
        </w:rPr>
        <w:t>（2）</w:t>
      </w:r>
      <w:r>
        <w:rPr>
          <w:rFonts w:hint="eastAsia" w:ascii="宋体" w:hAnsi="宋体" w:eastAsia="宋体" w:cs="宋体"/>
          <w:color w:val="auto"/>
          <w:spacing w:val="0"/>
          <w:position w:val="0"/>
          <w:sz w:val="28"/>
          <w:szCs w:val="28"/>
          <w:lang w:eastAsia="zh-CN"/>
        </w:rPr>
        <w:t>意外伤残保障：</w:t>
      </w:r>
    </w:p>
    <w:p w14:paraId="2D32BCA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被保险人在保险期内因遭受意外事故，并自事故发生之日起 180 日内（含第 180 日）因该事故造成《人身保险伤残评定标准及代码》（JR/T 0083-2013）（国务院保险监督管理机构发布，保监发〔2014〕6 号）所列伤残项目的，保险人依照该标准规定的评定原则对伤残项目进行评定，并按评定结果所对应该标准规定的给付比例乘以意外伤害保险金额给付意外伤残保险金。如自该次意外事故发生之日起第 180 日治疗仍未结束的，按事故发生之日起第 180 日的身体情况进行伤残鉴定，并据此给付意外伤残保险金。</w:t>
      </w:r>
    </w:p>
    <w:p w14:paraId="359E6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0"/>
          <w:position w:val="0"/>
          <w:sz w:val="28"/>
          <w:szCs w:val="28"/>
          <w:highlight w:val="none"/>
          <w:lang w:eastAsia="zh-CN"/>
        </w:rPr>
      </w:pPr>
      <w:r>
        <w:rPr>
          <w:rFonts w:hint="eastAsia" w:ascii="宋体" w:hAnsi="宋体" w:eastAsia="宋体" w:cs="宋体"/>
          <w:color w:val="auto"/>
          <w:sz w:val="28"/>
          <w:szCs w:val="28"/>
          <w:highlight w:val="none"/>
        </w:rPr>
        <w:t>被保险人在保险期内，在工作时间或工作岗位因热射病出现症状后48小时内</w:t>
      </w:r>
      <w:r>
        <w:rPr>
          <w:rFonts w:hint="eastAsia" w:ascii="宋体" w:hAnsi="宋体" w:eastAsia="宋体" w:cs="宋体"/>
          <w:color w:val="auto"/>
          <w:sz w:val="28"/>
          <w:szCs w:val="28"/>
          <w:highlight w:val="none"/>
          <w:lang w:val="en-US" w:eastAsia="zh-CN"/>
        </w:rPr>
        <w:t>致残的</w:t>
      </w:r>
      <w:r>
        <w:rPr>
          <w:rFonts w:hint="eastAsia" w:ascii="宋体" w:hAnsi="宋体" w:eastAsia="宋体" w:cs="宋体"/>
          <w:color w:val="auto"/>
          <w:sz w:val="28"/>
          <w:szCs w:val="28"/>
          <w:highlight w:val="none"/>
        </w:rPr>
        <w:t>，</w:t>
      </w:r>
      <w:r>
        <w:rPr>
          <w:rFonts w:hint="eastAsia" w:ascii="宋体" w:hAnsi="宋体" w:eastAsia="宋体" w:cs="宋体"/>
          <w:color w:val="auto"/>
          <w:spacing w:val="0"/>
          <w:position w:val="0"/>
          <w:sz w:val="28"/>
          <w:szCs w:val="28"/>
          <w:highlight w:val="none"/>
          <w:lang w:eastAsia="zh-CN"/>
        </w:rPr>
        <w:t>并自事故发生之日起 180 日内（含第 180 日）因该事故造成《人身保险伤残评定标准及代码》（JR/T 0083-2013）（国务院保险监督管理机构发布，保监发〔2014〕6 号）所列伤残项目的，保险人依照该标准规定的评定原则对伤残项目进行评定，并按评定结果所对应该标准规定的给付比例乘以意外伤害保险金额给付伤残保险金。如自该次事故发生之日起第 180 日治疗仍未结束的，按事故发生之日起第 180 日的身体情况进行伤残鉴定，并据此给付伤残保险金。</w:t>
      </w:r>
    </w:p>
    <w:p w14:paraId="1DDAB24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 xml:space="preserve">   被保险人因遭受该次意外事故导致的伤残合并前次伤残可达较严重伤残项目的，保险人按较严重项目对应标准的给付比例给付伤残保险金，但应扣除前次伤残程度在《人身保险伤残评定标准及代码》（JR/T 0083—2013）对应的伤残保险金。</w:t>
      </w:r>
    </w:p>
    <w:p w14:paraId="0E0D95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 xml:space="preserve">   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人身保险伤残评定标准及代码》（JR/T 0083—2013）条文两条或以上或者同一条文两次或以上进行评定。</w:t>
      </w:r>
    </w:p>
    <w:p w14:paraId="536E42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被保险人的意外身故保险责任及意外伤残保险责任的累计给付金额以该被保险人的意外伤害保险金额为限，累计给付金额达到其意外伤害保险金额时，对该被保险人的意外身故保险责任及意外伤残保险责任终止。</w:t>
      </w:r>
    </w:p>
    <w:p w14:paraId="7EB402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both"/>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伤残赔付比例如下表：</w:t>
      </w:r>
    </w:p>
    <w:tbl>
      <w:tblPr>
        <w:tblStyle w:val="9"/>
        <w:tblpPr w:leftFromText="180" w:rightFromText="180" w:vertAnchor="text" w:horzAnchor="page" w:tblpX="1534" w:tblpY="49"/>
        <w:tblOverlap w:val="never"/>
        <w:tblW w:w="87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7"/>
        <w:gridCol w:w="770"/>
        <w:gridCol w:w="682"/>
        <w:gridCol w:w="744"/>
        <w:gridCol w:w="753"/>
        <w:gridCol w:w="795"/>
        <w:gridCol w:w="795"/>
        <w:gridCol w:w="787"/>
        <w:gridCol w:w="802"/>
        <w:gridCol w:w="802"/>
        <w:gridCol w:w="665"/>
      </w:tblGrid>
      <w:tr w14:paraId="0CD1F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187" w:type="dxa"/>
            <w:vAlign w:val="center"/>
          </w:tcPr>
          <w:p w14:paraId="0823393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伤残等级</w:t>
            </w:r>
          </w:p>
        </w:tc>
        <w:tc>
          <w:tcPr>
            <w:tcW w:w="770" w:type="dxa"/>
            <w:vAlign w:val="center"/>
          </w:tcPr>
          <w:p w14:paraId="48C92C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一级</w:t>
            </w:r>
          </w:p>
        </w:tc>
        <w:tc>
          <w:tcPr>
            <w:tcW w:w="682" w:type="dxa"/>
            <w:vAlign w:val="center"/>
          </w:tcPr>
          <w:p w14:paraId="61DECDD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二级</w:t>
            </w:r>
          </w:p>
        </w:tc>
        <w:tc>
          <w:tcPr>
            <w:tcW w:w="744" w:type="dxa"/>
            <w:vAlign w:val="center"/>
          </w:tcPr>
          <w:p w14:paraId="6DC4C72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val="en-US" w:eastAsia="zh-CN"/>
              </w:rPr>
            </w:pPr>
            <w:r>
              <w:rPr>
                <w:rFonts w:hint="eastAsia" w:ascii="宋体" w:hAnsi="宋体" w:eastAsia="宋体" w:cs="宋体"/>
                <w:color w:val="auto"/>
                <w:spacing w:val="0"/>
                <w:position w:val="0"/>
                <w:sz w:val="28"/>
                <w:szCs w:val="28"/>
                <w:lang w:eastAsia="zh-CN"/>
              </w:rPr>
              <w:t>三</w:t>
            </w:r>
            <w:r>
              <w:rPr>
                <w:rFonts w:hint="eastAsia" w:ascii="宋体" w:hAnsi="宋体" w:eastAsia="宋体" w:cs="宋体"/>
                <w:color w:val="auto"/>
                <w:spacing w:val="0"/>
                <w:position w:val="0"/>
                <w:sz w:val="28"/>
                <w:szCs w:val="28"/>
                <w:lang w:val="en-US" w:eastAsia="zh-CN"/>
              </w:rPr>
              <w:t>级</w:t>
            </w:r>
          </w:p>
        </w:tc>
        <w:tc>
          <w:tcPr>
            <w:tcW w:w="753" w:type="dxa"/>
            <w:vAlign w:val="center"/>
          </w:tcPr>
          <w:p w14:paraId="2B6E9A5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四级</w:t>
            </w:r>
          </w:p>
        </w:tc>
        <w:tc>
          <w:tcPr>
            <w:tcW w:w="795" w:type="dxa"/>
            <w:vAlign w:val="center"/>
          </w:tcPr>
          <w:p w14:paraId="1CF095A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val="en-US" w:eastAsia="zh-CN"/>
              </w:rPr>
            </w:pPr>
            <w:r>
              <w:rPr>
                <w:rFonts w:hint="eastAsia" w:ascii="宋体" w:hAnsi="宋体" w:eastAsia="宋体" w:cs="宋体"/>
                <w:color w:val="auto"/>
                <w:spacing w:val="0"/>
                <w:position w:val="0"/>
                <w:sz w:val="28"/>
                <w:szCs w:val="28"/>
                <w:lang w:eastAsia="zh-CN"/>
              </w:rPr>
              <w:t>五</w:t>
            </w:r>
            <w:r>
              <w:rPr>
                <w:rFonts w:hint="eastAsia" w:ascii="宋体" w:hAnsi="宋体" w:eastAsia="宋体" w:cs="宋体"/>
                <w:color w:val="auto"/>
                <w:spacing w:val="0"/>
                <w:position w:val="0"/>
                <w:sz w:val="28"/>
                <w:szCs w:val="28"/>
                <w:lang w:val="en-US" w:eastAsia="zh-CN"/>
              </w:rPr>
              <w:t>级</w:t>
            </w:r>
          </w:p>
        </w:tc>
        <w:tc>
          <w:tcPr>
            <w:tcW w:w="795" w:type="dxa"/>
            <w:vAlign w:val="center"/>
          </w:tcPr>
          <w:p w14:paraId="6366AD7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val="en-US" w:eastAsia="zh-CN"/>
              </w:rPr>
              <w:t>六</w:t>
            </w:r>
            <w:r>
              <w:rPr>
                <w:rFonts w:hint="eastAsia" w:ascii="宋体" w:hAnsi="宋体" w:eastAsia="宋体" w:cs="宋体"/>
                <w:color w:val="auto"/>
                <w:spacing w:val="0"/>
                <w:position w:val="0"/>
                <w:sz w:val="28"/>
                <w:szCs w:val="28"/>
                <w:lang w:eastAsia="zh-CN"/>
              </w:rPr>
              <w:t>级</w:t>
            </w:r>
          </w:p>
        </w:tc>
        <w:tc>
          <w:tcPr>
            <w:tcW w:w="787" w:type="dxa"/>
            <w:vAlign w:val="center"/>
          </w:tcPr>
          <w:p w14:paraId="61B0F35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七级</w:t>
            </w:r>
          </w:p>
        </w:tc>
        <w:tc>
          <w:tcPr>
            <w:tcW w:w="802" w:type="dxa"/>
            <w:vAlign w:val="center"/>
          </w:tcPr>
          <w:p w14:paraId="7DC0EE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八</w:t>
            </w:r>
            <w:r>
              <w:rPr>
                <w:rFonts w:hint="eastAsia" w:ascii="宋体" w:hAnsi="宋体" w:eastAsia="宋体" w:cs="宋体"/>
                <w:color w:val="auto"/>
                <w:spacing w:val="0"/>
                <w:position w:val="0"/>
                <w:sz w:val="28"/>
                <w:szCs w:val="28"/>
                <w:lang w:val="en-US" w:eastAsia="zh-CN"/>
              </w:rPr>
              <w:t>级</w:t>
            </w:r>
          </w:p>
        </w:tc>
        <w:tc>
          <w:tcPr>
            <w:tcW w:w="802" w:type="dxa"/>
            <w:vAlign w:val="center"/>
          </w:tcPr>
          <w:p w14:paraId="3D3480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val="en-US" w:eastAsia="zh-CN"/>
              </w:rPr>
            </w:pPr>
            <w:r>
              <w:rPr>
                <w:rFonts w:hint="eastAsia" w:ascii="宋体" w:hAnsi="宋体" w:eastAsia="宋体" w:cs="宋体"/>
                <w:color w:val="auto"/>
                <w:spacing w:val="0"/>
                <w:position w:val="0"/>
                <w:sz w:val="28"/>
                <w:szCs w:val="28"/>
                <w:lang w:eastAsia="zh-CN"/>
              </w:rPr>
              <w:t>九</w:t>
            </w:r>
            <w:r>
              <w:rPr>
                <w:rFonts w:hint="eastAsia" w:ascii="宋体" w:hAnsi="宋体" w:eastAsia="宋体" w:cs="宋体"/>
                <w:color w:val="auto"/>
                <w:spacing w:val="0"/>
                <w:position w:val="0"/>
                <w:sz w:val="28"/>
                <w:szCs w:val="28"/>
                <w:lang w:val="en-US" w:eastAsia="zh-CN"/>
              </w:rPr>
              <w:t>级</w:t>
            </w:r>
          </w:p>
        </w:tc>
        <w:tc>
          <w:tcPr>
            <w:tcW w:w="665" w:type="dxa"/>
            <w:vAlign w:val="center"/>
          </w:tcPr>
          <w:p w14:paraId="7B42F71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十级</w:t>
            </w:r>
          </w:p>
        </w:tc>
      </w:tr>
      <w:tr w14:paraId="35425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1187" w:type="dxa"/>
            <w:vAlign w:val="center"/>
          </w:tcPr>
          <w:p w14:paraId="7ECAD72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赔付比例</w:t>
            </w:r>
          </w:p>
        </w:tc>
        <w:tc>
          <w:tcPr>
            <w:tcW w:w="770" w:type="dxa"/>
            <w:vAlign w:val="center"/>
          </w:tcPr>
          <w:p w14:paraId="3318ACE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100%</w:t>
            </w:r>
          </w:p>
        </w:tc>
        <w:tc>
          <w:tcPr>
            <w:tcW w:w="682" w:type="dxa"/>
            <w:vAlign w:val="center"/>
          </w:tcPr>
          <w:p w14:paraId="66CF80B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90%</w:t>
            </w:r>
          </w:p>
        </w:tc>
        <w:tc>
          <w:tcPr>
            <w:tcW w:w="744" w:type="dxa"/>
            <w:vAlign w:val="center"/>
          </w:tcPr>
          <w:p w14:paraId="41CF07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val="en-US" w:eastAsia="zh-CN"/>
              </w:rPr>
              <w:t>80</w:t>
            </w:r>
            <w:r>
              <w:rPr>
                <w:rFonts w:hint="eastAsia" w:ascii="宋体" w:hAnsi="宋体" w:eastAsia="宋体" w:cs="宋体"/>
                <w:color w:val="auto"/>
                <w:spacing w:val="0"/>
                <w:position w:val="0"/>
                <w:sz w:val="28"/>
                <w:szCs w:val="28"/>
                <w:lang w:eastAsia="zh-CN"/>
              </w:rPr>
              <w:t>%</w:t>
            </w:r>
          </w:p>
        </w:tc>
        <w:tc>
          <w:tcPr>
            <w:tcW w:w="753" w:type="dxa"/>
            <w:vAlign w:val="center"/>
          </w:tcPr>
          <w:p w14:paraId="387F9B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70%</w:t>
            </w:r>
          </w:p>
        </w:tc>
        <w:tc>
          <w:tcPr>
            <w:tcW w:w="795" w:type="dxa"/>
            <w:vAlign w:val="center"/>
          </w:tcPr>
          <w:p w14:paraId="0CC8A75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60%</w:t>
            </w:r>
          </w:p>
        </w:tc>
        <w:tc>
          <w:tcPr>
            <w:tcW w:w="795" w:type="dxa"/>
            <w:vAlign w:val="center"/>
          </w:tcPr>
          <w:p w14:paraId="3965529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50%</w:t>
            </w:r>
          </w:p>
        </w:tc>
        <w:tc>
          <w:tcPr>
            <w:tcW w:w="787" w:type="dxa"/>
            <w:vAlign w:val="center"/>
          </w:tcPr>
          <w:p w14:paraId="14FAB53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40%</w:t>
            </w:r>
          </w:p>
        </w:tc>
        <w:tc>
          <w:tcPr>
            <w:tcW w:w="802" w:type="dxa"/>
            <w:vAlign w:val="center"/>
          </w:tcPr>
          <w:p w14:paraId="5616A69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30%</w:t>
            </w:r>
          </w:p>
        </w:tc>
        <w:tc>
          <w:tcPr>
            <w:tcW w:w="802" w:type="dxa"/>
            <w:vAlign w:val="center"/>
          </w:tcPr>
          <w:p w14:paraId="16C4F9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20%</w:t>
            </w:r>
          </w:p>
        </w:tc>
        <w:tc>
          <w:tcPr>
            <w:tcW w:w="665" w:type="dxa"/>
            <w:vAlign w:val="center"/>
          </w:tcPr>
          <w:p w14:paraId="08A5E0E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color w:val="auto"/>
                <w:spacing w:val="0"/>
                <w:position w:val="0"/>
                <w:sz w:val="28"/>
                <w:szCs w:val="28"/>
                <w:lang w:eastAsia="zh-CN"/>
              </w:rPr>
            </w:pPr>
            <w:r>
              <w:rPr>
                <w:rFonts w:hint="eastAsia" w:ascii="宋体" w:hAnsi="宋体" w:eastAsia="宋体" w:cs="宋体"/>
                <w:color w:val="auto"/>
                <w:spacing w:val="0"/>
                <w:position w:val="0"/>
                <w:sz w:val="28"/>
                <w:szCs w:val="28"/>
                <w:lang w:eastAsia="zh-CN"/>
              </w:rPr>
              <w:t>10%</w:t>
            </w:r>
          </w:p>
        </w:tc>
      </w:tr>
    </w:tbl>
    <w:p w14:paraId="46222237">
      <w:pPr>
        <w:keepNext w:val="0"/>
        <w:keepLines w:val="0"/>
        <w:pageBreakBefore w:val="0"/>
        <w:widowControl w:val="0"/>
        <w:kinsoku/>
        <w:wordWrap/>
        <w:overflowPunct/>
        <w:topLinePunct w:val="0"/>
        <w:autoSpaceDE w:val="0"/>
        <w:autoSpaceDN w:val="0"/>
        <w:bidi w:val="0"/>
        <w:snapToGrid/>
        <w:spacing w:line="360" w:lineRule="auto"/>
        <w:jc w:val="both"/>
        <w:textAlignment w:val="auto"/>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8"/>
          <w:sz w:val="28"/>
          <w:szCs w:val="28"/>
          <w:lang w:val="en-US" w:eastAsia="zh-CN"/>
        </w:rPr>
        <w:t>（3）意外医疗保障</w:t>
      </w:r>
    </w:p>
    <w:p w14:paraId="7C2CA3C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0"/>
          <w:position w:val="0"/>
          <w:sz w:val="28"/>
          <w:szCs w:val="28"/>
          <w:lang w:val="en-US" w:eastAsia="zh-CN"/>
        </w:rPr>
      </w:pPr>
      <w:r>
        <w:rPr>
          <w:rFonts w:hint="eastAsia" w:ascii="宋体" w:hAnsi="宋体" w:eastAsia="宋体" w:cs="宋体"/>
          <w:color w:val="auto"/>
          <w:spacing w:val="0"/>
          <w:position w:val="0"/>
          <w:sz w:val="28"/>
          <w:szCs w:val="28"/>
          <w:lang w:val="en-US" w:eastAsia="zh-CN"/>
        </w:rPr>
        <w:t>被保险人在保险期内每次因遭受意外事故并在医院进行治疗的，保险人就其该次意外事故发生之日起180日内（含第180日）发生的、符合当地基本医疗保险规定的合理医疗费用（不包含个人自费和部分自费费用），在扣除约定的免赔额后，按照100%比例给付意外医疗保险金。</w:t>
      </w:r>
    </w:p>
    <w:p w14:paraId="1C77055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0"/>
          <w:position w:val="0"/>
          <w:sz w:val="28"/>
          <w:szCs w:val="28"/>
          <w:lang w:val="en-US" w:eastAsia="zh-CN"/>
        </w:rPr>
      </w:pPr>
      <w:r>
        <w:rPr>
          <w:rFonts w:hint="eastAsia" w:ascii="宋体" w:hAnsi="宋体" w:eastAsia="宋体" w:cs="宋体"/>
          <w:color w:val="auto"/>
          <w:spacing w:val="0"/>
          <w:position w:val="0"/>
          <w:sz w:val="28"/>
          <w:szCs w:val="28"/>
          <w:lang w:val="en-US" w:eastAsia="zh-CN"/>
        </w:rPr>
        <w:t>被保险人不论一次或多次遭受意外事故而造成合理医疗费用的，保险人均按上述约定分别给付意外医疗保险金，但累计给付金额以该被保险人的意外医疗保险金额为限，累计给付金额达到其意外医疗保险金额时，对该被保险人的保险责任终止。</w:t>
      </w:r>
    </w:p>
    <w:p w14:paraId="5EBECE00">
      <w:pPr>
        <w:keepNext w:val="0"/>
        <w:keepLines w:val="0"/>
        <w:pageBreakBefore w:val="0"/>
        <w:widowControl w:val="0"/>
        <w:numPr>
          <w:ilvl w:val="0"/>
          <w:numId w:val="0"/>
        </w:numPr>
        <w:kinsoku/>
        <w:wordWrap/>
        <w:overflowPunct/>
        <w:topLinePunct w:val="0"/>
        <w:autoSpaceDE w:val="0"/>
        <w:autoSpaceDN w:val="0"/>
        <w:bidi w:val="0"/>
        <w:snapToGrid/>
        <w:spacing w:line="360" w:lineRule="auto"/>
        <w:jc w:val="both"/>
        <w:textAlignment w:val="auto"/>
        <w:rPr>
          <w:rFonts w:hint="eastAsia" w:ascii="宋体" w:hAnsi="宋体" w:eastAsia="宋体" w:cs="宋体"/>
          <w:color w:val="auto"/>
          <w:spacing w:val="8"/>
          <w:sz w:val="28"/>
          <w:szCs w:val="28"/>
          <w:lang w:val="en-US" w:eastAsia="zh-CN"/>
        </w:rPr>
      </w:pPr>
      <w:r>
        <w:rPr>
          <w:rFonts w:hint="eastAsia" w:ascii="宋体" w:hAnsi="宋体" w:eastAsia="宋体" w:cs="宋体"/>
          <w:snapToGrid w:val="0"/>
          <w:color w:val="auto"/>
          <w:spacing w:val="8"/>
          <w:kern w:val="0"/>
          <w:sz w:val="28"/>
          <w:szCs w:val="28"/>
          <w:lang w:val="en-US" w:eastAsia="zh-CN"/>
        </w:rPr>
        <w:t>（4）</w:t>
      </w:r>
      <w:r>
        <w:rPr>
          <w:rFonts w:hint="eastAsia" w:ascii="宋体" w:hAnsi="宋体" w:eastAsia="宋体" w:cs="宋体"/>
          <w:color w:val="auto"/>
          <w:spacing w:val="8"/>
          <w:sz w:val="28"/>
          <w:szCs w:val="28"/>
          <w:lang w:val="en-US" w:eastAsia="zh-CN"/>
        </w:rPr>
        <w:t>意外住院津贴保障</w:t>
      </w:r>
    </w:p>
    <w:p w14:paraId="77E0742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560" w:firstLineChars="200"/>
        <w:jc w:val="both"/>
        <w:textAlignment w:val="baseline"/>
        <w:rPr>
          <w:rFonts w:hint="eastAsia" w:ascii="宋体" w:hAnsi="宋体" w:eastAsia="宋体" w:cs="宋体"/>
          <w:color w:val="auto"/>
          <w:spacing w:val="8"/>
          <w:sz w:val="28"/>
          <w:szCs w:val="28"/>
          <w:lang w:val="en-US" w:eastAsia="zh-CN"/>
        </w:rPr>
      </w:pPr>
      <w:r>
        <w:rPr>
          <w:rFonts w:hint="eastAsia" w:ascii="宋体" w:hAnsi="宋体" w:eastAsia="宋体" w:cs="宋体"/>
          <w:color w:val="auto"/>
          <w:spacing w:val="0"/>
          <w:position w:val="0"/>
          <w:sz w:val="28"/>
          <w:szCs w:val="28"/>
          <w:lang w:val="en-US" w:eastAsia="zh-CN"/>
        </w:rPr>
        <w:t>被保险人因遭受意外事故，并自事故发生之日起180日内（含第180日）因该事故经医院确诊必须住院治疗的，保险人按约定的每日意外住院现金补贴金额50元乘以每次合理住院日数扣除合同约定的免赔日数后的日数，向被保险人给付意外住院现金补贴保险金。</w:t>
      </w:r>
    </w:p>
    <w:p w14:paraId="2A2000ED">
      <w:pPr>
        <w:keepNext w:val="0"/>
        <w:keepLines w:val="0"/>
        <w:pageBreakBefore w:val="0"/>
        <w:widowControl w:val="0"/>
        <w:kinsoku/>
        <w:wordWrap/>
        <w:overflowPunct/>
        <w:topLinePunct w:val="0"/>
        <w:autoSpaceDE w:val="0"/>
        <w:autoSpaceDN w:val="0"/>
        <w:bidi w:val="0"/>
        <w:snapToGrid/>
        <w:spacing w:line="360" w:lineRule="auto"/>
        <w:ind w:firstLine="594" w:firstLineChars="200"/>
        <w:jc w:val="both"/>
        <w:textAlignment w:val="auto"/>
        <w:rPr>
          <w:rFonts w:hint="eastAsia" w:ascii="宋体" w:hAnsi="宋体" w:eastAsia="宋体" w:cs="宋体"/>
          <w:color w:val="auto"/>
          <w:spacing w:val="8"/>
          <w:sz w:val="24"/>
          <w:szCs w:val="24"/>
          <w:lang w:val="en-US" w:eastAsia="zh-CN"/>
        </w:rPr>
      </w:pPr>
      <w:r>
        <w:rPr>
          <w:rFonts w:hint="eastAsia" w:ascii="宋体" w:hAnsi="宋体" w:eastAsia="宋体" w:cs="宋体"/>
          <w:b/>
          <w:bCs/>
          <w:color w:val="auto"/>
          <w:spacing w:val="8"/>
          <w:sz w:val="28"/>
          <w:szCs w:val="28"/>
          <w:lang w:val="en-US" w:eastAsia="zh-CN"/>
        </w:rPr>
        <w:t>除另有约定外，意外住院现金补贴的累计给付日数最多为180日，累计给付日数达到180日时，对该被保险人的保险责任终止。</w:t>
      </w:r>
    </w:p>
    <w:p w14:paraId="701FFD49">
      <w:pPr>
        <w:keepNext w:val="0"/>
        <w:keepLines w:val="0"/>
        <w:pageBreakBefore w:val="0"/>
        <w:widowControl w:val="0"/>
        <w:numPr>
          <w:ilvl w:val="0"/>
          <w:numId w:val="0"/>
        </w:numPr>
        <w:kinsoku/>
        <w:wordWrap/>
        <w:overflowPunct/>
        <w:topLinePunct w:val="0"/>
        <w:autoSpaceDE w:val="0"/>
        <w:autoSpaceDN w:val="0"/>
        <w:bidi w:val="0"/>
        <w:snapToGrid/>
        <w:spacing w:line="360" w:lineRule="auto"/>
        <w:jc w:val="center"/>
        <w:textAlignment w:val="auto"/>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二、</w:t>
      </w:r>
      <w:r>
        <w:rPr>
          <w:rFonts w:hint="eastAsia" w:ascii="宋体" w:hAnsi="宋体" w:eastAsia="宋体" w:cs="宋体"/>
          <w:b/>
          <w:color w:val="auto"/>
          <w:sz w:val="28"/>
          <w:highlight w:val="none"/>
        </w:rPr>
        <w:t>保险费</w:t>
      </w:r>
    </w:p>
    <w:p w14:paraId="373E2E24">
      <w:pPr>
        <w:spacing w:line="360" w:lineRule="auto"/>
        <w:ind w:firstLine="562" w:firstLineChars="200"/>
        <w:jc w:val="left"/>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.1本协议被保险人人均保费为人民币</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rPr>
        <w:t>元/人/年，</w:t>
      </w:r>
      <w:r>
        <w:rPr>
          <w:rFonts w:hint="eastAsia" w:ascii="宋体" w:hAnsi="宋体" w:eastAsia="宋体" w:cs="宋体"/>
          <w:b/>
          <w:bCs/>
          <w:color w:val="auto"/>
          <w:sz w:val="28"/>
          <w:szCs w:val="28"/>
          <w:highlight w:val="none"/>
          <w:lang w:val="en-US" w:eastAsia="zh-CN"/>
        </w:rPr>
        <w:t>按照被保险人/人计算，</w:t>
      </w:r>
      <w:r>
        <w:rPr>
          <w:rFonts w:hint="eastAsia" w:ascii="宋体" w:hAnsi="宋体" w:eastAsia="宋体" w:cs="宋体"/>
          <w:b/>
          <w:bCs/>
          <w:color w:val="auto"/>
          <w:sz w:val="28"/>
          <w:szCs w:val="28"/>
          <w:highlight w:val="none"/>
        </w:rPr>
        <w:t>交费方式为趸交。</w:t>
      </w:r>
    </w:p>
    <w:p w14:paraId="05E950EB">
      <w:pPr>
        <w:spacing w:line="360" w:lineRule="auto"/>
        <w:ind w:firstLine="560" w:firstLineChars="200"/>
        <w:jc w:val="left"/>
        <w:outlineLvl w:val="9"/>
        <w:rPr>
          <w:rFonts w:hint="eastAsia" w:ascii="宋体" w:hAnsi="宋体" w:eastAsia="宋体" w:cs="宋体"/>
          <w:b w:val="0"/>
          <w:bCs/>
          <w:color w:val="auto"/>
          <w:sz w:val="28"/>
          <w:szCs w:val="28"/>
          <w:highlight w:val="none"/>
          <w:u w:val="none"/>
          <w:lang w:val="en-US" w:eastAsia="zh-CN"/>
        </w:rPr>
      </w:pPr>
      <w:r>
        <w:rPr>
          <w:rFonts w:hint="eastAsia" w:ascii="宋体" w:hAnsi="宋体" w:eastAsia="宋体" w:cs="宋体"/>
          <w:b w:val="0"/>
          <w:bCs/>
          <w:color w:val="auto"/>
          <w:sz w:val="28"/>
          <w:szCs w:val="28"/>
          <w:highlight w:val="none"/>
          <w:lang w:val="en-US" w:eastAsia="zh-CN"/>
        </w:rPr>
        <w:t>保费结算：投保人投保时的总保费为</w:t>
      </w:r>
      <w:r>
        <w:rPr>
          <w:rFonts w:hint="eastAsia" w:ascii="宋体" w:hAnsi="宋体" w:eastAsia="宋体" w:cs="宋体"/>
          <w:b w:val="0"/>
          <w:bCs/>
          <w:color w:val="auto"/>
          <w:sz w:val="28"/>
          <w:szCs w:val="28"/>
          <w:highlight w:val="none"/>
          <w:u w:val="single"/>
          <w:lang w:val="en-US" w:eastAsia="zh-CN"/>
        </w:rPr>
        <w:t xml:space="preserve">       </w:t>
      </w:r>
      <w:r>
        <w:rPr>
          <w:rFonts w:hint="eastAsia" w:ascii="宋体" w:hAnsi="宋体" w:eastAsia="宋体" w:cs="宋体"/>
          <w:b w:val="0"/>
          <w:bCs/>
          <w:color w:val="auto"/>
          <w:sz w:val="28"/>
          <w:szCs w:val="28"/>
          <w:highlight w:val="none"/>
          <w:lang w:val="en-US" w:eastAsia="zh-CN"/>
        </w:rPr>
        <w:t>元</w:t>
      </w:r>
      <w:r>
        <w:rPr>
          <w:rFonts w:hint="eastAsia" w:ascii="宋体" w:hAnsi="宋体" w:eastAsia="宋体" w:cs="宋体"/>
          <w:b w:val="0"/>
          <w:bCs/>
          <w:color w:val="auto"/>
          <w:sz w:val="28"/>
          <w:szCs w:val="28"/>
          <w:highlight w:val="none"/>
          <w:u w:val="none"/>
          <w:lang w:val="en-US" w:eastAsia="zh-CN"/>
        </w:rPr>
        <w:t>，在办理投保手续时需将保险费转入保险人指定账户：</w:t>
      </w:r>
    </w:p>
    <w:p w14:paraId="7D2FA055">
      <w:pPr>
        <w:spacing w:line="360" w:lineRule="auto"/>
        <w:ind w:firstLine="560" w:firstLineChars="200"/>
        <w:jc w:val="left"/>
        <w:outlineLvl w:val="9"/>
        <w:rPr>
          <w:rFonts w:hint="eastAsia" w:ascii="宋体" w:hAnsi="宋体" w:eastAsia="宋体" w:cs="宋体"/>
          <w:b w:val="0"/>
          <w:bCs/>
          <w:color w:val="auto"/>
          <w:sz w:val="28"/>
          <w:szCs w:val="28"/>
          <w:highlight w:val="none"/>
          <w:u w:val="none"/>
          <w:lang w:val="en-US" w:eastAsia="zh-CN"/>
        </w:rPr>
      </w:pPr>
      <w:r>
        <w:rPr>
          <w:rFonts w:hint="eastAsia" w:ascii="宋体" w:hAnsi="宋体" w:eastAsia="宋体" w:cs="宋体"/>
          <w:b w:val="0"/>
          <w:bCs/>
          <w:color w:val="auto"/>
          <w:sz w:val="28"/>
          <w:szCs w:val="28"/>
          <w:highlight w:val="none"/>
          <w:u w:val="none"/>
          <w:lang w:val="en-US" w:eastAsia="zh-CN"/>
        </w:rPr>
        <w:t>户名：</w:t>
      </w:r>
    </w:p>
    <w:p w14:paraId="4AE400C8">
      <w:pPr>
        <w:spacing w:line="360" w:lineRule="auto"/>
        <w:ind w:firstLine="560" w:firstLineChars="200"/>
        <w:jc w:val="left"/>
        <w:outlineLvl w:val="9"/>
        <w:rPr>
          <w:rFonts w:hint="eastAsia" w:ascii="宋体" w:hAnsi="宋体" w:eastAsia="宋体" w:cs="宋体"/>
          <w:b w:val="0"/>
          <w:bCs/>
          <w:color w:val="auto"/>
          <w:sz w:val="28"/>
          <w:szCs w:val="28"/>
          <w:highlight w:val="none"/>
          <w:u w:val="none"/>
          <w:lang w:val="en-US" w:eastAsia="zh-CN"/>
        </w:rPr>
      </w:pPr>
      <w:r>
        <w:rPr>
          <w:rFonts w:hint="eastAsia" w:ascii="宋体" w:hAnsi="宋体" w:eastAsia="宋体" w:cs="宋体"/>
          <w:b w:val="0"/>
          <w:bCs/>
          <w:color w:val="auto"/>
          <w:sz w:val="28"/>
          <w:szCs w:val="28"/>
          <w:highlight w:val="none"/>
          <w:u w:val="none"/>
          <w:lang w:val="en-US" w:eastAsia="zh-CN"/>
        </w:rPr>
        <w:t>开户行名称：</w:t>
      </w:r>
    </w:p>
    <w:p w14:paraId="5DFBE07F">
      <w:pPr>
        <w:spacing w:line="360" w:lineRule="auto"/>
        <w:ind w:firstLine="560" w:firstLineChars="200"/>
        <w:jc w:val="left"/>
        <w:outlineLvl w:val="9"/>
        <w:rPr>
          <w:rFonts w:hint="eastAsia" w:ascii="宋体" w:hAnsi="宋体" w:eastAsia="宋体" w:cs="宋体"/>
          <w:color w:val="auto"/>
          <w:sz w:val="28"/>
          <w:szCs w:val="28"/>
          <w:highlight w:val="none"/>
        </w:rPr>
      </w:pPr>
      <w:r>
        <w:rPr>
          <w:rFonts w:hint="eastAsia" w:ascii="宋体" w:hAnsi="宋体" w:eastAsia="宋体" w:cs="宋体"/>
          <w:b w:val="0"/>
          <w:bCs/>
          <w:color w:val="auto"/>
          <w:sz w:val="28"/>
          <w:szCs w:val="28"/>
          <w:highlight w:val="none"/>
          <w:u w:val="none"/>
          <w:lang w:val="en-US" w:eastAsia="zh-CN"/>
        </w:rPr>
        <w:t>账号：</w:t>
      </w:r>
    </w:p>
    <w:p w14:paraId="1C806185">
      <w:pPr>
        <w:spacing w:line="360" w:lineRule="auto"/>
        <w:ind w:firstLine="562" w:firstLineChars="20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价格相关条款（根据适用情形在相应条款前的方框（</w:t>
      </w:r>
      <w:r>
        <w:rPr>
          <w:rFonts w:hint="eastAsia" w:ascii="宋体" w:hAnsi="宋体" w:eastAsia="宋体" w:cs="宋体"/>
          <w:b/>
          <w:bCs/>
          <w:color w:val="auto"/>
          <w:sz w:val="28"/>
          <w:szCs w:val="28"/>
          <w:highlight w:val="none"/>
        </w:rPr>
        <w:sym w:font="Wingdings" w:char="F06F"/>
      </w:r>
      <w:r>
        <w:rPr>
          <w:rFonts w:hint="eastAsia" w:ascii="宋体" w:hAnsi="宋体" w:eastAsia="宋体" w:cs="宋体"/>
          <w:b/>
          <w:bCs/>
          <w:color w:val="auto"/>
          <w:sz w:val="28"/>
          <w:szCs w:val="28"/>
          <w:highlight w:val="none"/>
        </w:rPr>
        <w:t>）中勾选）</w:t>
      </w:r>
    </w:p>
    <w:p w14:paraId="0D943C09">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sym w:font="Wingdings" w:char="00A8"/>
      </w:r>
      <w:r>
        <w:rPr>
          <w:rFonts w:hint="eastAsia" w:ascii="宋体" w:hAnsi="宋体" w:eastAsia="宋体" w:cs="宋体"/>
          <w:color w:val="auto"/>
          <w:sz w:val="28"/>
          <w:szCs w:val="28"/>
          <w:highlight w:val="none"/>
        </w:rPr>
        <w:t>含税金额：本合同中约定的各项费用金额或费率均为含增值税金额，有特别说明的除外。</w:t>
      </w:r>
    </w:p>
    <w:p w14:paraId="2FBDB618">
      <w:p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sym w:font="Wingdings" w:char="F06F"/>
      </w:r>
      <w:r>
        <w:rPr>
          <w:rFonts w:hint="eastAsia" w:ascii="宋体" w:hAnsi="宋体" w:eastAsia="宋体" w:cs="宋体"/>
          <w:color w:val="auto"/>
          <w:sz w:val="28"/>
          <w:szCs w:val="28"/>
          <w:highlight w:val="none"/>
        </w:rPr>
        <w:t>不含税金额：本合同中约定的各项费用金额或费率均为不含增值税金额，适用的增值税金额为***元或</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增值税率为**%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。本合同下所涉的增值税应税业务保险人有权在合同价款之外收回适用于该业务的增值税以及附加税费。</w:t>
      </w:r>
    </w:p>
    <w:p w14:paraId="06953D74">
      <w:pPr>
        <w:spacing w:line="360" w:lineRule="auto"/>
        <w:ind w:firstLine="562" w:firstLineChars="20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发票相关条款</w:t>
      </w:r>
    </w:p>
    <w:p w14:paraId="7851DAAF">
      <w:pPr>
        <w:numPr>
          <w:ilvl w:val="0"/>
          <w:numId w:val="1"/>
        </w:numPr>
        <w:bidi w:val="0"/>
        <w:spacing w:line="360" w:lineRule="auto"/>
        <w:ind w:left="425" w:leftChars="0" w:hanging="425"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保险人依据相关税收法规及相关规定开具增值税发票后，投保人支付对应款项。保险人有权拒绝任何不符合税收法规及相关规定的发票开具要求。</w:t>
      </w:r>
    </w:p>
    <w:p w14:paraId="0246C050">
      <w:pPr>
        <w:numPr>
          <w:ilvl w:val="0"/>
          <w:numId w:val="1"/>
        </w:numPr>
        <w:bidi w:val="0"/>
        <w:spacing w:line="360" w:lineRule="auto"/>
        <w:ind w:left="425" w:leftChars="0" w:hanging="425"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投保人应向保险人提供开具增值税专用发票和普通发票所需的必要信息。由于提供信息有误造成的一切后果（包括增值税进项税额无法抵扣的损失）由投保人自负。</w:t>
      </w:r>
    </w:p>
    <w:p w14:paraId="7A6913A0">
      <w:pPr>
        <w:numPr>
          <w:ilvl w:val="0"/>
          <w:numId w:val="1"/>
        </w:numPr>
        <w:bidi w:val="0"/>
        <w:spacing w:line="360" w:lineRule="auto"/>
        <w:ind w:left="425" w:leftChars="0" w:hanging="425"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如果发票必要信息发生变化，投保人应在信息变化时及时告知保险人。投保人未及时提供变更后的有效信息造成发票有误或丢失，保险人不对由此产生的经济损失承担责任。</w:t>
      </w:r>
    </w:p>
    <w:p w14:paraId="21CD45CF">
      <w:pPr>
        <w:numPr>
          <w:ilvl w:val="0"/>
          <w:numId w:val="1"/>
        </w:numPr>
        <w:bidi w:val="0"/>
        <w:spacing w:line="360" w:lineRule="auto"/>
        <w:ind w:left="425" w:leftChars="0" w:hanging="425"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项下的业务发生退费、减费或其它按照国家规定需要开具增值税红字发票或重新开票的情况，投保人有义务按照国家税收规定退回保险人已开具的发票或提供保险人开具增值税红字发票所需的有关资料。如果因为投保人单方责任导致增值税红字发票无法开具，保险人有权不予退回相关款项对应的增值税金。</w:t>
      </w:r>
    </w:p>
    <w:p w14:paraId="6B840A42">
      <w:pPr>
        <w:numPr>
          <w:ilvl w:val="0"/>
          <w:numId w:val="0"/>
        </w:numPr>
        <w:bidi w:val="0"/>
        <w:spacing w:line="360" w:lineRule="auto"/>
        <w:rPr>
          <w:rFonts w:hint="eastAsia" w:ascii="宋体" w:hAnsi="宋体" w:eastAsia="宋体" w:cs="宋体"/>
          <w:color w:val="auto"/>
          <w:sz w:val="28"/>
          <w:szCs w:val="28"/>
          <w:highlight w:val="none"/>
        </w:rPr>
      </w:pPr>
      <w:r>
        <w:rPr>
          <w:rFonts w:hint="eastAsia" w:ascii="宋体" w:hAnsi="宋体" w:eastAsia="宋体" w:cs="宋体"/>
          <w:snapToGrid w:val="0"/>
          <w:color w:val="auto"/>
          <w:kern w:val="0"/>
          <w:sz w:val="28"/>
          <w:szCs w:val="28"/>
        </w:rPr>
        <w:t>(5)</w:t>
      </w:r>
      <w:r>
        <w:rPr>
          <w:rFonts w:hint="eastAsia" w:ascii="宋体" w:hAnsi="宋体" w:eastAsia="宋体" w:cs="宋体"/>
          <w:color w:val="auto"/>
          <w:sz w:val="28"/>
          <w:szCs w:val="28"/>
          <w:highlight w:val="none"/>
        </w:rPr>
        <w:t>投保人在收取保险人开具的增值税发票后如发生丢失、灭失、被盗或者未在规定的时间内认证导致取得发票无法抵扣税额，保险人对此不负任何责任。</w:t>
      </w:r>
    </w:p>
    <w:p w14:paraId="309C42A7">
      <w:pPr>
        <w:numPr>
          <w:ilvl w:val="0"/>
          <w:numId w:val="0"/>
        </w:numPr>
        <w:bidi w:val="0"/>
        <w:spacing w:line="360" w:lineRule="auto"/>
        <w:ind w:leftChars="0" w:firstLine="562" w:firstLineChars="20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首批人员承保后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在保险期间内</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根据投保人实际情况不断会有新增人员入职</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作为新增被保险人</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并按新增人员的实际保险期间收取保费。</w:t>
      </w:r>
    </w:p>
    <w:p w14:paraId="14A230CB">
      <w:pPr>
        <w:numPr>
          <w:ilvl w:val="0"/>
          <w:numId w:val="0"/>
        </w:numPr>
        <w:spacing w:line="360" w:lineRule="auto"/>
        <w:ind w:left="0" w:leftChars="0" w:firstLine="420" w:firstLineChars="0"/>
        <w:jc w:val="center"/>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三、责任免除</w:t>
      </w:r>
    </w:p>
    <w:p w14:paraId="2480B167">
      <w:pPr>
        <w:autoSpaceDE w:val="0"/>
        <w:autoSpaceDN w:val="0"/>
        <w:adjustRightInd w:val="0"/>
        <w:spacing w:line="360" w:lineRule="auto"/>
        <w:ind w:firstLine="562" w:firstLineChars="20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3</w:t>
      </w:r>
      <w:r>
        <w:rPr>
          <w:rFonts w:hint="eastAsia" w:ascii="宋体" w:hAnsi="宋体" w:eastAsia="宋体" w:cs="宋体"/>
          <w:b/>
          <w:bCs w:val="0"/>
          <w:color w:val="auto"/>
          <w:sz w:val="28"/>
          <w:szCs w:val="28"/>
          <w:highlight w:val="none"/>
        </w:rPr>
        <w:t>.1因下列情形之一，导致被保险人</w:t>
      </w:r>
      <w:r>
        <w:rPr>
          <w:rFonts w:hint="eastAsia" w:ascii="宋体" w:hAnsi="宋体" w:eastAsia="宋体" w:cs="宋体"/>
          <w:b/>
          <w:bCs w:val="0"/>
          <w:color w:val="auto"/>
          <w:sz w:val="28"/>
          <w:szCs w:val="28"/>
          <w:highlight w:val="none"/>
          <w:lang w:val="en-US" w:eastAsia="zh-CN"/>
        </w:rPr>
        <w:t>意外</w:t>
      </w:r>
      <w:r>
        <w:rPr>
          <w:rFonts w:hint="eastAsia" w:ascii="宋体" w:hAnsi="宋体" w:eastAsia="宋体" w:cs="宋体"/>
          <w:b/>
          <w:bCs w:val="0"/>
          <w:color w:val="auto"/>
          <w:sz w:val="28"/>
          <w:szCs w:val="28"/>
          <w:highlight w:val="none"/>
        </w:rPr>
        <w:t>身故</w:t>
      </w: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lang w:val="en-US" w:eastAsia="zh-CN"/>
        </w:rPr>
        <w:t>伤残</w:t>
      </w:r>
      <w:r>
        <w:rPr>
          <w:rFonts w:hint="eastAsia" w:ascii="宋体" w:hAnsi="宋体" w:eastAsia="宋体" w:cs="宋体"/>
          <w:b/>
          <w:bCs w:val="0"/>
          <w:color w:val="auto"/>
          <w:sz w:val="28"/>
          <w:szCs w:val="28"/>
          <w:highlight w:val="none"/>
        </w:rPr>
        <w:t>的，保险人不承担给付意外伤害保险金：</w:t>
      </w:r>
    </w:p>
    <w:p w14:paraId="45BD8D5F">
      <w:pPr>
        <w:pStyle w:val="3"/>
        <w:numPr>
          <w:ilvl w:val="0"/>
          <w:numId w:val="2"/>
        </w:numPr>
        <w:bidi w:val="0"/>
        <w:spacing w:line="360" w:lineRule="auto"/>
        <w:ind w:left="425" w:leftChars="0" w:hanging="425" w:firstLineChars="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投保人对被保险人的故意杀害、故意伤害；</w:t>
      </w:r>
    </w:p>
    <w:p w14:paraId="27352A92">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被保险人故意自伤、故意犯罪或者抗拒依法采取的刑事强制措施或自杀，但被保险人自杀时为无民事行为能力人的除外；</w:t>
      </w:r>
    </w:p>
    <w:p w14:paraId="430E9270">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被保险人殴斗、醉酒，主动吸食或注射毒品；</w:t>
      </w:r>
    </w:p>
    <w:p w14:paraId="0B45055C">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被保险人酒后驾驶机动车、无合法有效驾驶证驾驶机动车，或驾驶无合法有效行驶证的机动车；</w:t>
      </w:r>
    </w:p>
    <w:p w14:paraId="322159DF">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战争、军事冲突、恐怖袭击、暴乱或武装叛乱；</w:t>
      </w:r>
    </w:p>
    <w:p w14:paraId="2C7CAD3E">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核爆炸、核辐射或核污染；</w:t>
      </w:r>
    </w:p>
    <w:p w14:paraId="1ED52482">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被保险人因妊娠（含宫外孕）、流产、分娩（含剖宫产）导致的伤害；</w:t>
      </w:r>
    </w:p>
    <w:p w14:paraId="65497E3B">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被保险人因医疗事故、药物过敏或精神和行为障碍（依照世界卫生组织《疾病和有关健康问题的国际统计分类》第十次修订版（ICD-10）确定）导致的伤害；</w:t>
      </w:r>
    </w:p>
    <w:p w14:paraId="52A66BC4">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被保险人未遵医嘱，私自使用药物，但按使用说明的规定使用非处方药不在此限；</w:t>
      </w:r>
    </w:p>
    <w:p w14:paraId="329D6752">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猝死；</w:t>
      </w:r>
    </w:p>
    <w:p w14:paraId="69B7EC95">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细菌或病毒感染（因意外事故导致的伤口发生感染者除外）</w:t>
      </w:r>
      <w:r>
        <w:rPr>
          <w:rFonts w:hint="eastAsia" w:ascii="宋体" w:hAnsi="宋体" w:eastAsia="宋体" w:cs="宋体"/>
          <w:b/>
          <w:bCs w:val="0"/>
          <w:color w:val="auto"/>
          <w:sz w:val="28"/>
          <w:szCs w:val="28"/>
          <w:highlight w:val="none"/>
          <w:lang w:eastAsia="zh-CN"/>
        </w:rPr>
        <w:t>；</w:t>
      </w:r>
    </w:p>
    <w:p w14:paraId="22144D82">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被保险人从事潜水、跳伞、攀岩、蹦极、驾驶滑翔机或滑翔伞、探险、摔跤、武术比赛、特技表演、赛马、赛车等高风险运动；</w:t>
      </w:r>
    </w:p>
    <w:p w14:paraId="73330DE5">
      <w:pPr>
        <w:numPr>
          <w:ilvl w:val="0"/>
          <w:numId w:val="2"/>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既往症</w:t>
      </w:r>
      <w:r>
        <w:rPr>
          <w:rFonts w:hint="eastAsia" w:ascii="宋体" w:hAnsi="宋体" w:eastAsia="宋体" w:cs="宋体"/>
          <w:b/>
          <w:bCs/>
          <w:color w:val="auto"/>
          <w:sz w:val="28"/>
          <w:szCs w:val="28"/>
          <w:highlight w:val="none"/>
        </w:rPr>
        <w:t>及其并发症导致的</w:t>
      </w:r>
      <w:r>
        <w:rPr>
          <w:rFonts w:hint="eastAsia" w:ascii="宋体" w:hAnsi="宋体" w:eastAsia="宋体" w:cs="宋体"/>
          <w:color w:val="auto"/>
          <w:sz w:val="28"/>
          <w:szCs w:val="28"/>
          <w:highlight w:val="none"/>
        </w:rPr>
        <w:t>；</w:t>
      </w:r>
      <w:r>
        <w:rPr>
          <w:rFonts w:hint="eastAsia" w:ascii="宋体" w:hAnsi="宋体" w:eastAsia="宋体" w:cs="宋体"/>
          <w:b/>
          <w:bCs w:val="0"/>
          <w:color w:val="auto"/>
          <w:sz w:val="28"/>
          <w:szCs w:val="28"/>
          <w:highlight w:val="none"/>
          <w:lang w:eastAsia="zh-CN"/>
        </w:rPr>
        <w:t>（</w:t>
      </w:r>
      <w:r>
        <w:rPr>
          <w:rFonts w:hint="eastAsia" w:ascii="宋体" w:hAnsi="宋体" w:eastAsia="宋体" w:cs="宋体"/>
          <w:b/>
          <w:bCs w:val="0"/>
          <w:color w:val="auto"/>
          <w:sz w:val="28"/>
          <w:szCs w:val="28"/>
          <w:highlight w:val="none"/>
          <w:lang w:val="en-US" w:eastAsia="zh-CN"/>
        </w:rPr>
        <w:t>仅适用于</w:t>
      </w:r>
      <w:r>
        <w:rPr>
          <w:rFonts w:hint="eastAsia" w:ascii="宋体" w:hAnsi="宋体" w:eastAsia="宋体" w:cs="宋体"/>
          <w:b/>
          <w:bCs w:val="0"/>
          <w:color w:val="auto"/>
          <w:spacing w:val="0"/>
          <w:position w:val="0"/>
          <w:sz w:val="28"/>
          <w:szCs w:val="28"/>
          <w:highlight w:val="none"/>
        </w:rPr>
        <w:t>因热射病导致</w:t>
      </w:r>
      <w:r>
        <w:rPr>
          <w:rFonts w:hint="eastAsia" w:ascii="宋体" w:hAnsi="宋体" w:eastAsia="宋体" w:cs="宋体"/>
          <w:b/>
          <w:bCs w:val="0"/>
          <w:color w:val="auto"/>
          <w:spacing w:val="0"/>
          <w:position w:val="0"/>
          <w:sz w:val="28"/>
          <w:szCs w:val="28"/>
          <w:highlight w:val="none"/>
          <w:lang w:val="en-US" w:eastAsia="zh-CN"/>
        </w:rPr>
        <w:t>的伤残或身故）。</w:t>
      </w:r>
    </w:p>
    <w:p w14:paraId="0CBC3C4F">
      <w:pPr>
        <w:autoSpaceDE w:val="0"/>
        <w:autoSpaceDN w:val="0"/>
        <w:adjustRightInd w:val="0"/>
        <w:spacing w:line="360" w:lineRule="auto"/>
        <w:ind w:left="0" w:leftChars="0" w:firstLine="562" w:firstLineChars="200"/>
        <w:jc w:val="left"/>
        <w:outlineLvl w:val="9"/>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rPr>
        <w:t>发生上述第1项情形导致被保险人身故的，</w:t>
      </w:r>
      <w:r>
        <w:rPr>
          <w:rFonts w:hint="eastAsia" w:ascii="宋体" w:hAnsi="宋体" w:eastAsia="宋体" w:cs="宋体"/>
          <w:b/>
          <w:bCs w:val="0"/>
          <w:color w:val="auto"/>
          <w:sz w:val="28"/>
          <w:szCs w:val="28"/>
          <w:highlight w:val="none"/>
          <w:lang w:eastAsia="zh-CN"/>
        </w:rPr>
        <w:t>保险人</w:t>
      </w:r>
      <w:r>
        <w:rPr>
          <w:rFonts w:hint="eastAsia" w:ascii="宋体" w:hAnsi="宋体" w:eastAsia="宋体" w:cs="宋体"/>
          <w:b/>
          <w:bCs w:val="0"/>
          <w:color w:val="auto"/>
          <w:sz w:val="28"/>
          <w:szCs w:val="28"/>
          <w:highlight w:val="none"/>
        </w:rPr>
        <w:t>对该被保险人保险责任终止，</w:t>
      </w:r>
      <w:r>
        <w:rPr>
          <w:rFonts w:hint="eastAsia" w:ascii="宋体" w:hAnsi="宋体" w:eastAsia="宋体" w:cs="宋体"/>
          <w:b/>
          <w:bCs w:val="0"/>
          <w:color w:val="auto"/>
          <w:sz w:val="28"/>
          <w:szCs w:val="28"/>
          <w:highlight w:val="none"/>
          <w:lang w:eastAsia="zh-CN"/>
        </w:rPr>
        <w:t>保险人</w:t>
      </w:r>
      <w:r>
        <w:rPr>
          <w:rFonts w:hint="eastAsia" w:ascii="宋体" w:hAnsi="宋体" w:eastAsia="宋体" w:cs="宋体"/>
          <w:b/>
          <w:bCs w:val="0"/>
          <w:color w:val="auto"/>
          <w:sz w:val="28"/>
          <w:szCs w:val="28"/>
          <w:highlight w:val="none"/>
        </w:rPr>
        <w:t>向投保人之外的被保险人的继承人退还该被保险人相应的现金价</w:t>
      </w:r>
      <w:r>
        <w:rPr>
          <w:rFonts w:hint="eastAsia" w:ascii="宋体" w:hAnsi="宋体" w:eastAsia="宋体" w:cs="宋体"/>
          <w:b/>
          <w:bCs w:val="0"/>
          <w:color w:val="auto"/>
          <w:sz w:val="28"/>
          <w:szCs w:val="28"/>
          <w:highlight w:val="none"/>
          <w:lang w:val="en-US" w:eastAsia="zh-CN"/>
        </w:rPr>
        <w:t xml:space="preserve">值。     </w:t>
      </w:r>
    </w:p>
    <w:p w14:paraId="733F7B99">
      <w:pPr>
        <w:autoSpaceDE w:val="0"/>
        <w:autoSpaceDN w:val="0"/>
        <w:adjustRightInd w:val="0"/>
        <w:spacing w:line="360" w:lineRule="auto"/>
        <w:ind w:left="0" w:leftChars="0" w:firstLine="562" w:firstLineChars="200"/>
        <w:jc w:val="left"/>
        <w:outlineLvl w:val="9"/>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发</w:t>
      </w:r>
      <w:r>
        <w:rPr>
          <w:rFonts w:hint="eastAsia" w:ascii="宋体" w:hAnsi="宋体" w:eastAsia="宋体" w:cs="宋体"/>
          <w:b/>
          <w:bCs w:val="0"/>
          <w:color w:val="auto"/>
          <w:sz w:val="28"/>
          <w:szCs w:val="28"/>
          <w:highlight w:val="none"/>
        </w:rPr>
        <w:t>生上述其他情形导致被保险人身故的，</w:t>
      </w:r>
      <w:r>
        <w:rPr>
          <w:rFonts w:hint="eastAsia" w:ascii="宋体" w:hAnsi="宋体" w:eastAsia="宋体" w:cs="宋体"/>
          <w:b/>
          <w:bCs w:val="0"/>
          <w:color w:val="auto"/>
          <w:sz w:val="28"/>
          <w:szCs w:val="28"/>
          <w:highlight w:val="none"/>
          <w:lang w:eastAsia="zh-CN"/>
        </w:rPr>
        <w:t>保险人</w:t>
      </w:r>
      <w:r>
        <w:rPr>
          <w:rFonts w:hint="eastAsia" w:ascii="宋体" w:hAnsi="宋体" w:eastAsia="宋体" w:cs="宋体"/>
          <w:b/>
          <w:bCs w:val="0"/>
          <w:color w:val="auto"/>
          <w:sz w:val="28"/>
          <w:szCs w:val="28"/>
          <w:highlight w:val="none"/>
        </w:rPr>
        <w:t>对该被保险人保险责任终止</w:t>
      </w:r>
      <w:r>
        <w:rPr>
          <w:rFonts w:hint="eastAsia" w:ascii="宋体" w:hAnsi="宋体" w:eastAsia="宋体" w:cs="宋体"/>
          <w:b/>
          <w:bCs w:val="0"/>
          <w:color w:val="auto"/>
          <w:sz w:val="28"/>
          <w:szCs w:val="28"/>
          <w:highlight w:val="none"/>
          <w:lang w:eastAsia="zh-CN"/>
        </w:rPr>
        <w:t>，保险人</w:t>
      </w:r>
      <w:r>
        <w:rPr>
          <w:rFonts w:hint="eastAsia" w:ascii="宋体" w:hAnsi="宋体" w:eastAsia="宋体" w:cs="宋体"/>
          <w:b/>
          <w:bCs w:val="0"/>
          <w:color w:val="auto"/>
          <w:sz w:val="28"/>
          <w:szCs w:val="28"/>
          <w:highlight w:val="none"/>
        </w:rPr>
        <w:t>向</w:t>
      </w:r>
      <w:r>
        <w:rPr>
          <w:rFonts w:hint="eastAsia" w:ascii="宋体" w:hAnsi="宋体" w:eastAsia="宋体" w:cs="宋体"/>
          <w:b/>
          <w:bCs w:val="0"/>
          <w:color w:val="auto"/>
          <w:sz w:val="28"/>
          <w:szCs w:val="28"/>
          <w:highlight w:val="none"/>
          <w:lang w:eastAsia="zh-CN"/>
        </w:rPr>
        <w:t>投保人</w:t>
      </w:r>
      <w:r>
        <w:rPr>
          <w:rFonts w:hint="eastAsia" w:ascii="宋体" w:hAnsi="宋体" w:eastAsia="宋体" w:cs="宋体"/>
          <w:b/>
          <w:bCs w:val="0"/>
          <w:color w:val="auto"/>
          <w:sz w:val="28"/>
          <w:szCs w:val="28"/>
          <w:highlight w:val="none"/>
        </w:rPr>
        <w:t>退还该被保险人相应的现金价值。</w:t>
      </w:r>
    </w:p>
    <w:p w14:paraId="6660123A">
      <w:pPr>
        <w:autoSpaceDE w:val="0"/>
        <w:autoSpaceDN w:val="0"/>
        <w:adjustRightInd w:val="0"/>
        <w:spacing w:line="360" w:lineRule="auto"/>
        <w:ind w:firstLine="562" w:firstLineChars="20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3.2 因下列情形之一造成被保险人医疗费用支出的、被保险人住院治疗的，保险人不承担给付意外医疗及住院津贴保险金的责任：</w:t>
      </w:r>
    </w:p>
    <w:p w14:paraId="61654141">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投保人对被保险人的故意杀害、故意伤害；</w:t>
      </w:r>
    </w:p>
    <w:p w14:paraId="4FFD0A6E">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被保险人故意自伤、故意犯罪或者抗拒依法采取的刑事强制措施；</w:t>
      </w:r>
    </w:p>
    <w:p w14:paraId="5CAAD0C4">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被保险人殴斗、醉酒，主动吸食或注射毒品；</w:t>
      </w:r>
    </w:p>
    <w:p w14:paraId="3D9A8BBB">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被保险人酒后驾驶机动车、无合法有效驾驶证驾驶机动车，或驾驶无有效行驶证的机动车；</w:t>
      </w:r>
    </w:p>
    <w:p w14:paraId="18BD58A7">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战争、军事冲突、暴乱或武装叛乱；</w:t>
      </w:r>
    </w:p>
    <w:p w14:paraId="7CEAA257">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核爆炸、核辐射或核污染；</w:t>
      </w:r>
    </w:p>
    <w:p w14:paraId="7B5AF2A7">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被保险人因妊娠（含宫外孕）、流产、分娩（含剖宫产）导致的伤害；</w:t>
      </w:r>
    </w:p>
    <w:p w14:paraId="6DF26756">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椎间盘突出症（包括椎间盘膨出、椎间盘突出、椎间盘脱出、游离型椎间盘等类型）；</w:t>
      </w:r>
    </w:p>
    <w:p w14:paraId="41C628E1">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被保险人因医疗事故、药物过敏或精神和行为障碍（依照世界卫生组织《疾病和有关健康问题的国际统计分类（ICD-10）》确定）导致的伤害；</w:t>
      </w:r>
    </w:p>
    <w:p w14:paraId="08FA4ACB">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被保险人未遵医嘱，私自使用药物，但按使用说明的规定使用非处方药不在此限；</w:t>
      </w:r>
    </w:p>
    <w:p w14:paraId="36171754">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细菌或病毒感染（因意外伤害导致的伤口发生感染者除外）；</w:t>
      </w:r>
    </w:p>
    <w:p w14:paraId="304D2B48">
      <w:pPr>
        <w:numPr>
          <w:ilvl w:val="0"/>
          <w:numId w:val="3"/>
        </w:numPr>
        <w:autoSpaceDE w:val="0"/>
        <w:autoSpaceDN w:val="0"/>
        <w:adjustRightInd w:val="0"/>
        <w:spacing w:line="360" w:lineRule="auto"/>
        <w:ind w:left="425" w:leftChars="0" w:hanging="425" w:firstLineChars="0"/>
        <w:jc w:val="left"/>
        <w:outlineLvl w:val="9"/>
        <w:rPr>
          <w:rFonts w:hint="eastAsia" w:ascii="宋体" w:hAnsi="宋体" w:eastAsia="宋体" w:cs="宋体"/>
          <w:b/>
          <w:bCs w:val="0"/>
          <w:color w:val="auto"/>
          <w:kern w:val="0"/>
          <w:sz w:val="28"/>
          <w:szCs w:val="28"/>
          <w:highlight w:val="none"/>
          <w:lang w:val="en-US" w:eastAsia="zh-CN"/>
        </w:rPr>
      </w:pPr>
      <w:r>
        <w:rPr>
          <w:rFonts w:hint="eastAsia" w:ascii="宋体" w:hAnsi="宋体" w:eastAsia="宋体" w:cs="宋体"/>
          <w:b/>
          <w:bCs w:val="0"/>
          <w:color w:val="auto"/>
          <w:kern w:val="0"/>
          <w:sz w:val="28"/>
          <w:szCs w:val="28"/>
          <w:highlight w:val="none"/>
          <w:lang w:val="en-US" w:eastAsia="zh-CN"/>
        </w:rPr>
        <w:t>被保险人从事潜水、跳伞、攀岩、蹦极、驾驶滑翔机或滑翔伞、探险、摔跤、武术比赛、特技表演、赛马、赛车等高风险运动。</w:t>
      </w:r>
    </w:p>
    <w:p w14:paraId="38BC6E60">
      <w:pPr>
        <w:numPr>
          <w:ilvl w:val="0"/>
          <w:numId w:val="0"/>
        </w:numPr>
        <w:tabs>
          <w:tab w:val="left" w:pos="0"/>
        </w:tabs>
        <w:spacing w:line="360" w:lineRule="auto"/>
        <w:ind w:left="0" w:leftChars="0" w:firstLine="420" w:firstLineChars="0"/>
        <w:jc w:val="center"/>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四、指</w:t>
      </w:r>
      <w:r>
        <w:rPr>
          <w:rFonts w:hint="eastAsia" w:ascii="宋体" w:hAnsi="宋体" w:eastAsia="宋体" w:cs="宋体"/>
          <w:b/>
          <w:color w:val="auto"/>
          <w:sz w:val="28"/>
          <w:highlight w:val="none"/>
        </w:rPr>
        <w:t>定医院</w:t>
      </w:r>
    </w:p>
    <w:p w14:paraId="4B35F0F4">
      <w:pPr>
        <w:tabs>
          <w:tab w:val="left" w:pos="0"/>
        </w:tabs>
        <w:spacing w:line="360" w:lineRule="auto"/>
        <w:ind w:firstLine="562" w:firstLineChars="200"/>
        <w:outlineLvl w:val="9"/>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本协议约定的</w:t>
      </w:r>
      <w:r>
        <w:rPr>
          <w:rFonts w:hint="eastAsia" w:ascii="宋体" w:hAnsi="宋体" w:eastAsia="宋体" w:cs="宋体"/>
          <w:b/>
          <w:color w:val="auto"/>
          <w:sz w:val="28"/>
          <w:szCs w:val="28"/>
          <w:highlight w:val="none"/>
        </w:rPr>
        <w:t>指定医院为基本医疗保险部门定点的二级（含二级）以上公立医院（并同时认可西安高新医院、长安医院、西安凤城医院、西安大兴医院）。但不包括作为诊所、康复、护理、休养、静养、戒酒、戒毒等或类似的医疗机构。</w:t>
      </w:r>
      <w:r>
        <w:rPr>
          <w:rFonts w:hint="eastAsia" w:ascii="宋体" w:hAnsi="宋体" w:eastAsia="宋体" w:cs="宋体"/>
          <w:color w:val="auto"/>
          <w:sz w:val="28"/>
          <w:szCs w:val="28"/>
          <w:highlight w:val="none"/>
        </w:rPr>
        <w:t>该医院必须具有符合国家有关医院管理规则设置标准的医疗设备，且全天二十四小时有合格医师及护士驻院提供医疗及护理服务。</w:t>
      </w:r>
    </w:p>
    <w:p w14:paraId="649F5605">
      <w:pPr>
        <w:numPr>
          <w:ilvl w:val="0"/>
          <w:numId w:val="4"/>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意外急诊可以到非指定医院就诊治疗，但复诊时须到指定医院就诊治疗若因指定医院条件限制而需转至非指定医院治疗时，必须经原治病医院会诊，出具转院证明并经保险人同意；</w:t>
      </w:r>
    </w:p>
    <w:p w14:paraId="0DBB6C53">
      <w:pPr>
        <w:numPr>
          <w:ilvl w:val="0"/>
          <w:numId w:val="4"/>
        </w:numPr>
        <w:spacing w:line="360" w:lineRule="auto"/>
        <w:ind w:left="425" w:leftChars="0" w:hanging="425" w:firstLineChars="0"/>
        <w:outlineLvl w:val="9"/>
        <w:rPr>
          <w:rFonts w:hint="eastAsia" w:ascii="宋体" w:hAnsi="宋体" w:eastAsia="宋体" w:cs="宋体"/>
          <w:snapToGrid w:val="0"/>
          <w:color w:val="auto"/>
          <w:kern w:val="0"/>
          <w:sz w:val="28"/>
          <w:szCs w:val="28"/>
          <w:highlight w:val="none"/>
        </w:rPr>
      </w:pPr>
      <w:r>
        <w:rPr>
          <w:rFonts w:hint="eastAsia" w:ascii="宋体" w:hAnsi="宋体" w:eastAsia="宋体" w:cs="宋体"/>
          <w:color w:val="auto"/>
          <w:sz w:val="28"/>
          <w:szCs w:val="28"/>
          <w:highlight w:val="none"/>
        </w:rPr>
        <w:t>所有指定医院的分院、外宾病区、特诊病区、特诊病房和高干病房等同类病区或病房不在规定的范围内；</w:t>
      </w:r>
    </w:p>
    <w:p w14:paraId="62B60C6D">
      <w:pPr>
        <w:numPr>
          <w:ilvl w:val="0"/>
          <w:numId w:val="0"/>
        </w:numPr>
        <w:tabs>
          <w:tab w:val="left" w:pos="0"/>
        </w:tabs>
        <w:spacing w:line="360" w:lineRule="auto"/>
        <w:ind w:left="0" w:leftChars="0" w:firstLine="420" w:firstLineChars="0"/>
        <w:jc w:val="center"/>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五、投</w:t>
      </w:r>
      <w:r>
        <w:rPr>
          <w:rFonts w:hint="eastAsia" w:ascii="宋体" w:hAnsi="宋体" w:eastAsia="宋体" w:cs="宋体"/>
          <w:b/>
          <w:color w:val="auto"/>
          <w:sz w:val="28"/>
          <w:highlight w:val="none"/>
        </w:rPr>
        <w:t>保程序</w:t>
      </w:r>
    </w:p>
    <w:p w14:paraId="56CAB674">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.1投保人向保险人投保的一般程序如下：</w:t>
      </w:r>
    </w:p>
    <w:p w14:paraId="78DA81B8">
      <w:pPr>
        <w:numPr>
          <w:ilvl w:val="0"/>
          <w:numId w:val="5"/>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保人填写并向保险人提交投保单（需加盖投保人公章），投保人向保险人提供的身份信息包括但不限于：投保人名称、住所、经营范围、组织机构代码、税务登记证号码；法定代表人的姓名/身份证件或者身份证明文件的种类/身份证号码/身份证有效期限等；</w:t>
      </w:r>
    </w:p>
    <w:p w14:paraId="2E348A55">
      <w:pPr>
        <w:numPr>
          <w:ilvl w:val="0"/>
          <w:numId w:val="5"/>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投保人向保险人提供被保险人同意投保本保险的有效证明、被保险人名册（需加盖投保人公章）</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被保险人名册，被保险人名册内容需包含被保险人姓名、性别、身份证号码/护照号码、工作城市、员工职业、开户行名称、开户银行所在城市、开户人姓名及</w:t>
      </w:r>
      <w:r>
        <w:rPr>
          <w:rFonts w:hint="eastAsia" w:ascii="宋体" w:hAnsi="宋体" w:eastAsia="宋体" w:cs="宋体"/>
          <w:color w:val="auto"/>
          <w:sz w:val="28"/>
          <w:szCs w:val="28"/>
          <w:highlight w:val="none"/>
          <w:lang w:eastAsia="zh-CN"/>
        </w:rPr>
        <w:t>银行账号</w:t>
      </w:r>
      <w:r>
        <w:rPr>
          <w:rFonts w:hint="eastAsia" w:ascii="宋体" w:hAnsi="宋体" w:eastAsia="宋体" w:cs="宋体"/>
          <w:color w:val="auto"/>
          <w:sz w:val="28"/>
          <w:szCs w:val="28"/>
          <w:highlight w:val="none"/>
        </w:rPr>
        <w:t>、是否参加社保、社保所在地、保障方案等项内容；被保险人名册需同时提供电子版人员清单及名单清册（一式两份）；</w:t>
      </w:r>
    </w:p>
    <w:p w14:paraId="6B5519DE">
      <w:pPr>
        <w:numPr>
          <w:ilvl w:val="0"/>
          <w:numId w:val="5"/>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投保人向保险人提交被保险人的相关告知和证明文件（例如个人健康告知等）；</w:t>
      </w:r>
    </w:p>
    <w:p w14:paraId="77CE126F">
      <w:pPr>
        <w:numPr>
          <w:ilvl w:val="0"/>
          <w:numId w:val="5"/>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投保人向保险人统一缴纳保险费；</w:t>
      </w:r>
    </w:p>
    <w:p w14:paraId="16D48FE8">
      <w:pPr>
        <w:numPr>
          <w:ilvl w:val="0"/>
          <w:numId w:val="5"/>
        </w:numPr>
        <w:tabs>
          <w:tab w:val="left" w:pos="0"/>
        </w:tabs>
        <w:spacing w:line="360" w:lineRule="auto"/>
        <w:ind w:left="425" w:leftChars="0" w:hanging="425" w:firstLineChars="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核保通过后，保险人向投保人签发保险单和保险费发票</w:t>
      </w:r>
      <w:r>
        <w:rPr>
          <w:rFonts w:hint="eastAsia" w:ascii="宋体" w:hAnsi="宋体" w:eastAsia="宋体" w:cs="宋体"/>
          <w:color w:val="auto"/>
          <w:sz w:val="28"/>
          <w:szCs w:val="28"/>
          <w:highlight w:val="none"/>
          <w:lang w:eastAsia="zh-CN"/>
        </w:rPr>
        <w:t>。</w:t>
      </w:r>
    </w:p>
    <w:p w14:paraId="284D172E">
      <w:pPr>
        <w:pStyle w:val="2"/>
        <w:rPr>
          <w:rFonts w:hint="eastAsia"/>
          <w:lang w:val="en-US" w:eastAsia="zh-CN"/>
        </w:rPr>
      </w:pPr>
    </w:p>
    <w:p w14:paraId="1C56B1BA">
      <w:pPr>
        <w:numPr>
          <w:ilvl w:val="0"/>
          <w:numId w:val="0"/>
        </w:numPr>
        <w:tabs>
          <w:tab w:val="left" w:pos="0"/>
        </w:tabs>
        <w:spacing w:line="360" w:lineRule="auto"/>
        <w:ind w:left="0" w:leftChars="0" w:firstLine="420" w:firstLineChars="0"/>
        <w:jc w:val="center"/>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六、</w:t>
      </w:r>
      <w:r>
        <w:rPr>
          <w:rFonts w:hint="eastAsia" w:ascii="宋体" w:hAnsi="宋体" w:eastAsia="宋体" w:cs="宋体"/>
          <w:b/>
          <w:color w:val="auto"/>
          <w:sz w:val="28"/>
          <w:highlight w:val="none"/>
        </w:rPr>
        <w:t>如实告知</w:t>
      </w:r>
    </w:p>
    <w:p w14:paraId="5D31A72F">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.1</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订立本协议时，保险人应向投保人明确说明本协议的条款内容，特别是责任免除条款。在订立本协议或投保人增加被保险人时可以就投保人、被保险人的有关情况提出书面询问，投保人、被保险人应当如实书面告知。所有告知事项以书面告知为准，口头告知无效。</w:t>
      </w:r>
    </w:p>
    <w:p w14:paraId="59D4E69F">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.2</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如果投保人或被保险人故意或因重大过失未履行前款规定的如实告知义务，足以影响保险公司决定是否同意承保或者提高保险费率的，保险公司有权解除本合同或取消该被保险人的保险资格。</w:t>
      </w:r>
    </w:p>
    <w:p w14:paraId="76138664">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如果投保人或被保险人故意不履行如实告知义务，对于解除本合同或取消该被保险人的保险资格前发生的保险事故，保险公司不承担给付保险金的责任，并不退还保险费。</w:t>
      </w:r>
    </w:p>
    <w:p w14:paraId="6313424C">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.4</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如果投保人或被保险人因重大过失未履行如实告知义务，对保险事故的发生有严重影响的，对于解除本合同或取消该被保险人的保险资格前发生的保险事故，保险公司不承担给付保险金的责任，但应当退还保险费。</w:t>
      </w:r>
    </w:p>
    <w:p w14:paraId="3A35CA69">
      <w:pPr>
        <w:autoSpaceDE w:val="0"/>
        <w:autoSpaceDN w:val="0"/>
        <w:adjustRightInd w:val="0"/>
        <w:spacing w:line="360" w:lineRule="auto"/>
        <w:ind w:firstLine="562" w:firstLineChars="20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.5</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投保人、保险人信息变更。投保人或保险人任何一方住所或通讯地址变更时，应及时以书面形式通知对方，未以书面形式通知的，另一方将按本协议注明最后住所或通讯地址发送有关通知，由此造成的后果由发生变更的一方承担。</w:t>
      </w:r>
    </w:p>
    <w:p w14:paraId="5D87E7CD">
      <w:pPr>
        <w:numPr>
          <w:ilvl w:val="0"/>
          <w:numId w:val="0"/>
        </w:numPr>
        <w:tabs>
          <w:tab w:val="left" w:pos="0"/>
        </w:tabs>
        <w:spacing w:line="360" w:lineRule="auto"/>
        <w:jc w:val="center"/>
        <w:outlineLvl w:val="1"/>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七、</w:t>
      </w:r>
      <w:r>
        <w:rPr>
          <w:rFonts w:hint="eastAsia" w:ascii="宋体" w:hAnsi="宋体" w:eastAsia="宋体" w:cs="宋体"/>
          <w:b/>
          <w:color w:val="auto"/>
          <w:sz w:val="28"/>
          <w:highlight w:val="none"/>
        </w:rPr>
        <w:t>被保险人变更</w:t>
      </w:r>
    </w:p>
    <w:p w14:paraId="14705309">
      <w:pPr>
        <w:spacing w:line="360" w:lineRule="auto"/>
        <w:ind w:firstLine="562" w:firstLineChars="2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7</w:t>
      </w:r>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val="en-US" w:eastAsia="zh-CN"/>
        </w:rPr>
        <w:t>增加被保险人</w:t>
      </w:r>
    </w:p>
    <w:p w14:paraId="5FA4CD56">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必填项包括：姓名、证件号码、保障层级、投保申请日期、从事职业、与被保险人关系。</w:t>
      </w:r>
    </w:p>
    <w:p w14:paraId="3946EBBA">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为减少录入量，除姓名与证件号码外，其他必填项都有下拉柜框可供选择。若证件不为身份证，需同时提供性别与生日。新增被保险人保险责任自申请日期次日零时起生效，至投保人保险单约定的日期止。申请日期不能早于录入日期。</w:t>
      </w:r>
    </w:p>
    <w:p w14:paraId="170D2FF4">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增加多个被保险人时，可以选择批量上载名单。</w:t>
      </w:r>
    </w:p>
    <w:p w14:paraId="68AA2ED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9"/>
        <w:rPr>
          <w:rFonts w:hint="eastAsia" w:ascii="宋体" w:hAnsi="宋体" w:eastAsia="宋体" w:cs="宋体"/>
          <w:b/>
          <w:bCs/>
          <w:snapToGrid/>
          <w:color w:val="auto"/>
          <w:kern w:val="2"/>
          <w:sz w:val="28"/>
          <w:szCs w:val="28"/>
          <w:highlight w:val="none"/>
          <w:lang w:val="en-US" w:eastAsia="zh-CN"/>
        </w:rPr>
      </w:pPr>
      <w:r>
        <w:rPr>
          <w:rFonts w:hint="eastAsia" w:ascii="宋体" w:hAnsi="宋体" w:eastAsia="宋体" w:cs="宋体"/>
          <w:b/>
          <w:bCs/>
          <w:snapToGrid/>
          <w:color w:val="auto"/>
          <w:kern w:val="2"/>
          <w:sz w:val="28"/>
          <w:szCs w:val="28"/>
          <w:highlight w:val="none"/>
          <w:lang w:val="en-US" w:eastAsia="zh-CN"/>
        </w:rPr>
        <w:t>加保保费=加保人员年保费×（实际保险天数/保单保险天数）</w:t>
      </w:r>
    </w:p>
    <w:p w14:paraId="54C81C3F">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7.2减少被保险人</w:t>
      </w:r>
    </w:p>
    <w:p w14:paraId="0D5247F0">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首先选择需要减少被保险人的保单，输入减保人员的姓名（支持模糊查询，可只输姓名中的一个字）查询，查到后，选中被保险人并录入退保日期，确认无误后提交。</w:t>
      </w:r>
    </w:p>
    <w:p w14:paraId="384AE9E7">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减少被保险人的保险责任自申请日期次日零时终止，并退还投保人剩余保险费（发生过理赔的人员除外）。</w:t>
      </w:r>
    </w:p>
    <w:p w14:paraId="3E53BBE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outlineLvl w:val="9"/>
        <w:rPr>
          <w:rFonts w:hint="eastAsia" w:ascii="宋体" w:hAnsi="宋体" w:eastAsia="宋体" w:cs="宋体"/>
          <w:b/>
          <w:bCs/>
          <w:snapToGrid/>
          <w:color w:val="auto"/>
          <w:kern w:val="2"/>
          <w:sz w:val="28"/>
          <w:szCs w:val="28"/>
          <w:highlight w:val="none"/>
          <w:lang w:val="en-US" w:eastAsia="zh-CN"/>
        </w:rPr>
      </w:pPr>
      <w:r>
        <w:rPr>
          <w:rFonts w:hint="eastAsia" w:ascii="宋体" w:hAnsi="宋体" w:eastAsia="宋体" w:cs="宋体"/>
          <w:b/>
          <w:bCs/>
          <w:snapToGrid/>
          <w:color w:val="auto"/>
          <w:kern w:val="2"/>
          <w:sz w:val="28"/>
          <w:szCs w:val="28"/>
          <w:highlight w:val="none"/>
          <w:lang w:val="en-US" w:eastAsia="zh-CN"/>
        </w:rPr>
        <w:t>未满期保险费=已收保费×(未满期天数/当期保险天数)</w:t>
      </w:r>
    </w:p>
    <w:p w14:paraId="6B27F9D8">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退保日期只能为操作的当天或之后的日期，不能提前。若投保人将退保提前，则保险公司将不同意受理该保全申请，在网上退回保全申请，保全变更申请相应无效，对此审核不通过的保全申请，投保人可以在网上进行查询。</w:t>
      </w:r>
    </w:p>
    <w:p w14:paraId="7EEBB3CD">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若需减少多人，请全部选择好再确认提交，后续可方便贵公司查询其保全任务的状态。</w:t>
      </w:r>
    </w:p>
    <w:p w14:paraId="68F8598C">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7.3人员变更申请查询</w:t>
      </w:r>
    </w:p>
    <w:p w14:paraId="1B168F7A">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可以查询已发起保全变更申请的变更明细及变更的进度，处理进度分四种：待提交、处理中、出错中止、处理完成。若为出错中止，则可以查询出错原因；若为处理中，则说明变更正在处理，尚未完成。</w:t>
      </w:r>
    </w:p>
    <w:p w14:paraId="42E9D79F">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7.4保全时效</w:t>
      </w:r>
    </w:p>
    <w:p w14:paraId="142CFCF7">
      <w:pPr>
        <w:numPr>
          <w:ilvl w:val="0"/>
          <w:numId w:val="0"/>
        </w:numP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网上保全的时效不超过1个工作日，网上保全为无纸化的保全系统，不再单独提供保全变更的批单及清单。若投保人增加人员补交保费，则会单独提供发票。</w:t>
      </w:r>
    </w:p>
    <w:p w14:paraId="490B2DF2">
      <w:pPr>
        <w:spacing w:line="360" w:lineRule="auto"/>
        <w:outlineLvl w:val="9"/>
        <w:rPr>
          <w:rFonts w:hint="eastAsia" w:ascii="宋体" w:hAnsi="宋体" w:eastAsia="宋体" w:cs="宋体"/>
          <w:b/>
          <w:bCs/>
          <w:color w:val="auto"/>
          <w:sz w:val="28"/>
          <w:szCs w:val="28"/>
          <w:highlight w:val="none"/>
          <w:lang w:val="en-US" w:eastAsia="zh-CN"/>
        </w:rPr>
      </w:pPr>
    </w:p>
    <w:p w14:paraId="2FDCE62F">
      <w:pPr>
        <w:numPr>
          <w:ilvl w:val="0"/>
          <w:numId w:val="0"/>
        </w:numPr>
        <w:tabs>
          <w:tab w:val="left" w:pos="0"/>
        </w:tabs>
        <w:spacing w:line="360" w:lineRule="auto"/>
        <w:ind w:left="0" w:leftChars="0" w:firstLine="420" w:firstLineChars="0"/>
        <w:jc w:val="center"/>
        <w:outlineLvl w:val="1"/>
        <w:rPr>
          <w:rFonts w:hint="eastAsia" w:ascii="宋体" w:hAnsi="宋体" w:eastAsia="宋体" w:cs="宋体"/>
          <w:b/>
          <w:color w:val="auto"/>
          <w:sz w:val="28"/>
          <w:highlight w:val="none"/>
          <w:lang w:val="en-US" w:eastAsia="zh-CN"/>
        </w:rPr>
      </w:pPr>
      <w:r>
        <w:rPr>
          <w:rFonts w:hint="eastAsia" w:ascii="宋体" w:hAnsi="宋体" w:eastAsia="宋体" w:cs="宋体"/>
          <w:b/>
          <w:color w:val="auto"/>
          <w:sz w:val="28"/>
          <w:highlight w:val="none"/>
          <w:lang w:val="en-US" w:eastAsia="zh-CN"/>
        </w:rPr>
        <w:t>八、定期结算</w:t>
      </w:r>
    </w:p>
    <w:p w14:paraId="2EE3D80B">
      <w:pPr>
        <w:spacing w:line="360" w:lineRule="auto"/>
        <w:ind w:firstLine="562" w:firstLineChars="200"/>
        <w:jc w:val="left"/>
        <w:outlineLvl w:val="9"/>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8.1 结算项目：</w:t>
      </w:r>
    </w:p>
    <w:p w14:paraId="1A1D41D7">
      <w:pPr>
        <w:numPr>
          <w:ilvl w:val="0"/>
          <w:numId w:val="6"/>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双方确定就本协议所约定的团体人身险短期保险，在保单有效期间内，设定特殊的资金结算机制。定期就该保单下增加被保险人、减少被保险人、保障变更（包括增加保额、减少保额、增加附约、减少附约、层级变更）、短期险人员变更、职业变更申请所发生的应缴/应退保费进行资金结算。</w:t>
      </w:r>
    </w:p>
    <w:p w14:paraId="16260FA5">
      <w:pPr>
        <w:numPr>
          <w:ilvl w:val="0"/>
          <w:numId w:val="6"/>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协议签订后，不再采用逐笔缴费/退费的方式，而是达到结算周期后，通过一次性结算方式完成保费的划转。若在结算周期届满前，已发生的保全变更业务结算金额累计达到首期保费的</w:t>
      </w:r>
      <w:r>
        <w:rPr>
          <w:rFonts w:hint="eastAsia" w:ascii="宋体" w:hAnsi="宋体" w:eastAsia="宋体" w:cs="宋体"/>
          <w:b w:val="0"/>
          <w:bCs/>
          <w:color w:val="auto"/>
          <w:sz w:val="28"/>
          <w:szCs w:val="28"/>
          <w:highlight w:val="none"/>
          <w:u w:val="single"/>
          <w:lang w:val="en-US" w:eastAsia="zh-CN"/>
        </w:rPr>
        <w:t>30%</w:t>
      </w:r>
      <w:r>
        <w:rPr>
          <w:rFonts w:hint="eastAsia" w:ascii="宋体" w:hAnsi="宋体" w:eastAsia="宋体" w:cs="宋体"/>
          <w:b w:val="0"/>
          <w:bCs/>
          <w:color w:val="auto"/>
          <w:sz w:val="28"/>
          <w:szCs w:val="28"/>
          <w:highlight w:val="none"/>
          <w:lang w:val="en-US" w:eastAsia="zh-CN"/>
        </w:rPr>
        <w:t>，应当提前办理保费结算手续。</w:t>
      </w:r>
    </w:p>
    <w:p w14:paraId="24B80CA8">
      <w:pPr>
        <w:spacing w:line="360" w:lineRule="auto"/>
        <w:ind w:firstLine="562" w:firstLineChars="200"/>
        <w:jc w:val="left"/>
        <w:outlineLvl w:val="9"/>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8.2 结算时间：</w:t>
      </w:r>
    </w:p>
    <w:p w14:paraId="0F738611">
      <w:pPr>
        <w:numPr>
          <w:ilvl w:val="0"/>
          <w:numId w:val="7"/>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双方确定6个月为一个结算周期，最后一个结算周期届满日期为保单满期日。乙方在结算周期内受理甲方的保全变更申请。</w:t>
      </w:r>
    </w:p>
    <w:p w14:paraId="699CB9DA">
      <w:pPr>
        <w:numPr>
          <w:ilvl w:val="0"/>
          <w:numId w:val="7"/>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结算期限为</w:t>
      </w:r>
      <w:r>
        <w:rPr>
          <w:rFonts w:hint="eastAsia" w:ascii="宋体" w:hAnsi="宋体" w:eastAsia="宋体" w:cs="宋体"/>
          <w:b w:val="0"/>
          <w:bCs/>
          <w:color w:val="auto"/>
          <w:sz w:val="28"/>
          <w:szCs w:val="28"/>
          <w:highlight w:val="none"/>
          <w:u w:val="single"/>
          <w:lang w:val="en-US" w:eastAsia="zh-CN"/>
        </w:rPr>
        <w:t>30</w:t>
      </w:r>
      <w:r>
        <w:rPr>
          <w:rFonts w:hint="eastAsia" w:ascii="宋体" w:hAnsi="宋体" w:eastAsia="宋体" w:cs="宋体"/>
          <w:b w:val="0"/>
          <w:bCs/>
          <w:color w:val="auto"/>
          <w:sz w:val="28"/>
          <w:szCs w:val="28"/>
          <w:highlight w:val="none"/>
          <w:lang w:val="en-US" w:eastAsia="zh-CN"/>
        </w:rPr>
        <w:t>天，双方应在结算期限内完成本结算周期发生保费的结算，以及保费的收付。若甲方在本结算周期内提前结算的，则结算期限从甲方提出结算确认的次日起开始计算。</w:t>
      </w:r>
    </w:p>
    <w:p w14:paraId="58665D1F">
      <w:pPr>
        <w:spacing w:line="360" w:lineRule="auto"/>
        <w:ind w:firstLine="562" w:firstLineChars="20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8.3 结算保费</w:t>
      </w:r>
      <w:r>
        <w:rPr>
          <w:rFonts w:hint="eastAsia" w:ascii="宋体" w:hAnsi="宋体" w:eastAsia="宋体" w:cs="宋体"/>
          <w:b w:val="0"/>
          <w:bCs/>
          <w:color w:val="auto"/>
          <w:sz w:val="28"/>
          <w:szCs w:val="28"/>
          <w:highlight w:val="none"/>
          <w:lang w:val="en-US" w:eastAsia="zh-CN"/>
        </w:rPr>
        <w:t>：</w:t>
      </w:r>
    </w:p>
    <w:p w14:paraId="7D5E853B">
      <w:pPr>
        <w:numPr>
          <w:ilvl w:val="0"/>
          <w:numId w:val="8"/>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乙方在每一个结算期限开始后的</w:t>
      </w:r>
      <w:r>
        <w:rPr>
          <w:rFonts w:hint="eastAsia" w:ascii="宋体" w:hAnsi="宋体" w:eastAsia="宋体" w:cs="宋体"/>
          <w:b w:val="0"/>
          <w:bCs/>
          <w:color w:val="auto"/>
          <w:sz w:val="28"/>
          <w:szCs w:val="28"/>
          <w:highlight w:val="none"/>
          <w:u w:val="single"/>
          <w:lang w:val="en-US" w:eastAsia="zh-CN"/>
        </w:rPr>
        <w:t>3</w:t>
      </w:r>
      <w:r>
        <w:rPr>
          <w:rFonts w:hint="eastAsia" w:ascii="宋体" w:hAnsi="宋体" w:eastAsia="宋体" w:cs="宋体"/>
          <w:b w:val="0"/>
          <w:bCs/>
          <w:color w:val="auto"/>
          <w:sz w:val="28"/>
          <w:szCs w:val="28"/>
          <w:highlight w:val="none"/>
          <w:lang w:val="en-US" w:eastAsia="zh-CN"/>
        </w:rPr>
        <w:t>个工作日内将《定期结算通知书》附结算清单一并寄送给甲方。</w:t>
      </w:r>
    </w:p>
    <w:p w14:paraId="193AAB08">
      <w:pPr>
        <w:numPr>
          <w:ilvl w:val="0"/>
          <w:numId w:val="8"/>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甲方在收到《定期结算通知书》及所附结算清单后、应及时完成结算清单内容和结算金额的核对确认，</w:t>
      </w:r>
      <w:r>
        <w:rPr>
          <w:rFonts w:hint="eastAsia" w:ascii="宋体" w:hAnsi="宋体" w:eastAsia="宋体" w:cs="宋体"/>
          <w:b/>
          <w:bCs w:val="0"/>
          <w:color w:val="auto"/>
          <w:sz w:val="28"/>
          <w:szCs w:val="28"/>
          <w:highlight w:val="none"/>
          <w:lang w:val="en-US" w:eastAsia="zh-CN"/>
        </w:rPr>
        <w:t>如有异议应在收到《定期结算通知书》后的</w:t>
      </w:r>
      <w:r>
        <w:rPr>
          <w:rFonts w:hint="eastAsia" w:ascii="宋体" w:hAnsi="宋体" w:eastAsia="宋体" w:cs="宋体"/>
          <w:b/>
          <w:bCs w:val="0"/>
          <w:color w:val="auto"/>
          <w:sz w:val="28"/>
          <w:szCs w:val="28"/>
          <w:highlight w:val="none"/>
          <w:u w:val="single"/>
          <w:lang w:val="en-US" w:eastAsia="zh-CN"/>
        </w:rPr>
        <w:t>3</w:t>
      </w:r>
      <w:r>
        <w:rPr>
          <w:rFonts w:hint="eastAsia" w:ascii="宋体" w:hAnsi="宋体" w:eastAsia="宋体" w:cs="宋体"/>
          <w:b/>
          <w:bCs w:val="0"/>
          <w:color w:val="auto"/>
          <w:sz w:val="28"/>
          <w:szCs w:val="28"/>
          <w:highlight w:val="none"/>
          <w:lang w:val="en-US" w:eastAsia="zh-CN"/>
        </w:rPr>
        <w:t>个工作日内通知乙方，逾期则视为同意乙方出具的结算清单和结算金额，应及时完成保费收付。</w:t>
      </w:r>
    </w:p>
    <w:p w14:paraId="36DAA464">
      <w:pPr>
        <w:numPr>
          <w:ilvl w:val="0"/>
          <w:numId w:val="8"/>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结算清单和结算金额确认后，如果结算金额为“应退保费”，在本次结算期限内乙方应将“应退保费”一次性划入甲方账户；如果结算金额为“应缴保费”，在本次结算期限内甲方应将“应缴保费”一次性划入乙方账户。乙方在收到保费后，给甲方出具相应的保费发票。</w:t>
      </w:r>
    </w:p>
    <w:p w14:paraId="385B905B">
      <w:pPr>
        <w:spacing w:line="360" w:lineRule="auto"/>
        <w:ind w:firstLine="562" w:firstLineChars="20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8.4 保全作业</w:t>
      </w:r>
      <w:r>
        <w:rPr>
          <w:rFonts w:hint="eastAsia" w:ascii="宋体" w:hAnsi="宋体" w:eastAsia="宋体" w:cs="宋体"/>
          <w:b w:val="0"/>
          <w:bCs/>
          <w:color w:val="auto"/>
          <w:sz w:val="28"/>
          <w:szCs w:val="28"/>
          <w:highlight w:val="none"/>
          <w:lang w:val="en-US" w:eastAsia="zh-CN"/>
        </w:rPr>
        <w:t>：</w:t>
      </w:r>
    </w:p>
    <w:p w14:paraId="6E36F370">
      <w:pPr>
        <w:numPr>
          <w:ilvl w:val="0"/>
          <w:numId w:val="9"/>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甲方增加被保险人、减少被保险人、保障变更、人员信息变更、理赔金银行账号授权等内容，可选择通过</w:t>
      </w:r>
      <w:bookmarkStart w:id="0" w:name="_GoBack"/>
      <w:bookmarkEnd w:id="0"/>
      <w:r>
        <w:rPr>
          <w:rFonts w:hint="eastAsia" w:ascii="宋体" w:hAnsi="宋体" w:eastAsia="宋体" w:cs="宋体"/>
          <w:b w:val="0"/>
          <w:bCs/>
          <w:color w:val="auto"/>
          <w:sz w:val="28"/>
          <w:szCs w:val="28"/>
          <w:highlight w:val="none"/>
          <w:lang w:val="en-US" w:eastAsia="zh-CN"/>
        </w:rPr>
        <w:t>网上保全系统进行申请。生效日将以甲方在网上申请的次日生效。如果在申请过程中需要甲方补充提交的诸如健康告知、体检报告、个人有效身份复印件、离职证明等必备材料，则甲方仍应另行书面递交。</w:t>
      </w:r>
    </w:p>
    <w:p w14:paraId="4195899E">
      <w:pPr>
        <w:numPr>
          <w:ilvl w:val="0"/>
          <w:numId w:val="9"/>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乙方收到甲方的变更申请书，审核确认后，在</w:t>
      </w:r>
      <w:r>
        <w:rPr>
          <w:rFonts w:hint="eastAsia" w:ascii="宋体" w:hAnsi="宋体" w:eastAsia="宋体" w:cs="宋体"/>
          <w:b w:val="0"/>
          <w:bCs/>
          <w:color w:val="auto"/>
          <w:sz w:val="28"/>
          <w:szCs w:val="28"/>
          <w:highlight w:val="none"/>
          <w:u w:val="single"/>
          <w:lang w:val="en-US" w:eastAsia="zh-CN"/>
        </w:rPr>
        <w:t>3</w:t>
      </w:r>
      <w:r>
        <w:rPr>
          <w:rFonts w:hint="eastAsia" w:ascii="宋体" w:hAnsi="宋体" w:eastAsia="宋体" w:cs="宋体"/>
          <w:b w:val="0"/>
          <w:bCs/>
          <w:color w:val="auto"/>
          <w:sz w:val="28"/>
          <w:szCs w:val="28"/>
          <w:highlight w:val="none"/>
          <w:lang w:val="en-US" w:eastAsia="zh-CN"/>
        </w:rPr>
        <w:t>个工作日内出具批单，并将批单、明细清单确认书回复甲方。生效日以批单或清单上载明的日期为准。</w:t>
      </w:r>
    </w:p>
    <w:p w14:paraId="32D6B8E1">
      <w:pPr>
        <w:numPr>
          <w:ilvl w:val="0"/>
          <w:numId w:val="9"/>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甲方在收到批单、明细清单后应核对保费和内容，如有疑问，应在</w:t>
      </w:r>
      <w:r>
        <w:rPr>
          <w:rFonts w:hint="eastAsia" w:ascii="宋体" w:hAnsi="宋体" w:eastAsia="宋体" w:cs="宋体"/>
          <w:b w:val="0"/>
          <w:bCs/>
          <w:color w:val="auto"/>
          <w:sz w:val="28"/>
          <w:szCs w:val="28"/>
          <w:highlight w:val="none"/>
          <w:u w:val="single"/>
          <w:lang w:val="en-US" w:eastAsia="zh-CN"/>
        </w:rPr>
        <w:t>3</w:t>
      </w:r>
      <w:r>
        <w:rPr>
          <w:rFonts w:hint="eastAsia" w:ascii="宋体" w:hAnsi="宋体" w:eastAsia="宋体" w:cs="宋体"/>
          <w:b w:val="0"/>
          <w:bCs/>
          <w:color w:val="auto"/>
          <w:sz w:val="28"/>
          <w:szCs w:val="28"/>
          <w:highlight w:val="none"/>
          <w:lang w:val="en-US" w:eastAsia="zh-CN"/>
        </w:rPr>
        <w:t>个工作日内向乙方提出书面反馈意见，并与乙方核实；</w:t>
      </w:r>
      <w:r>
        <w:rPr>
          <w:rFonts w:hint="eastAsia" w:ascii="宋体" w:hAnsi="宋体" w:eastAsia="宋体" w:cs="宋体"/>
          <w:b/>
          <w:bCs w:val="0"/>
          <w:color w:val="auto"/>
          <w:sz w:val="28"/>
          <w:szCs w:val="28"/>
          <w:highlight w:val="none"/>
          <w:lang w:val="en-US" w:eastAsia="zh-CN"/>
        </w:rPr>
        <w:t>逾期则视为甲方同意上述内容。</w:t>
      </w:r>
    </w:p>
    <w:p w14:paraId="0CB8B080">
      <w:pPr>
        <w:numPr>
          <w:ilvl w:val="0"/>
          <w:numId w:val="9"/>
        </w:numPr>
        <w:spacing w:line="360" w:lineRule="auto"/>
        <w:ind w:left="425" w:leftChars="0" w:hanging="425" w:firstLineChars="0"/>
        <w:jc w:val="left"/>
        <w:outlineLvl w:val="9"/>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甲方每次提供的变更申请涉及的变动人员，应同时向乙方提供电子版清单。</w:t>
      </w:r>
    </w:p>
    <w:p w14:paraId="7F3D8D12">
      <w:pPr>
        <w:rPr>
          <w:rFonts w:hint="eastAsia" w:ascii="宋体" w:hAnsi="宋体" w:eastAsia="宋体" w:cs="宋体"/>
          <w:b w:val="0"/>
          <w:bCs/>
          <w:color w:val="auto"/>
          <w:sz w:val="28"/>
          <w:szCs w:val="28"/>
          <w:highlight w:val="none"/>
          <w:lang w:val="en-US" w:eastAsia="zh-CN"/>
        </w:rPr>
      </w:pPr>
    </w:p>
    <w:p w14:paraId="2E603125">
      <w:pPr>
        <w:numPr>
          <w:ilvl w:val="0"/>
          <w:numId w:val="0"/>
        </w:numPr>
        <w:tabs>
          <w:tab w:val="left" w:pos="0"/>
        </w:tabs>
        <w:spacing w:line="360" w:lineRule="auto"/>
        <w:ind w:left="0" w:leftChars="0" w:firstLine="420" w:firstLineChars="0"/>
        <w:jc w:val="center"/>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九、</w:t>
      </w:r>
      <w:r>
        <w:rPr>
          <w:rFonts w:hint="eastAsia" w:ascii="宋体" w:hAnsi="宋体" w:eastAsia="宋体" w:cs="宋体"/>
          <w:b/>
          <w:color w:val="auto"/>
          <w:sz w:val="28"/>
          <w:szCs w:val="28"/>
          <w:highlight w:val="none"/>
        </w:rPr>
        <w:t>保险金的申请</w:t>
      </w:r>
    </w:p>
    <w:p w14:paraId="0D57542D">
      <w:pPr>
        <w:snapToGrid w:val="0"/>
        <w:spacing w:line="360" w:lineRule="auto"/>
        <w:ind w:firstLine="562" w:firstLineChars="200"/>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意外身故保险金</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的申请：</w:t>
      </w:r>
    </w:p>
    <w:p w14:paraId="2421885E">
      <w:pPr>
        <w:snapToGrid w:val="0"/>
        <w:spacing w:line="360" w:lineRule="auto"/>
        <w:ind w:firstLine="560" w:firstLineChars="20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由</w:t>
      </w:r>
      <w:r>
        <w:rPr>
          <w:rFonts w:hint="eastAsia" w:ascii="宋体" w:hAnsi="宋体" w:eastAsia="宋体" w:cs="宋体"/>
          <w:b w:val="0"/>
          <w:bCs w:val="0"/>
          <w:color w:val="auto"/>
          <w:sz w:val="28"/>
          <w:szCs w:val="28"/>
          <w:highlight w:val="none"/>
          <w:lang w:val="en-US" w:eastAsia="zh-CN"/>
        </w:rPr>
        <w:t>受益人作为申请人填写</w:t>
      </w:r>
      <w:r>
        <w:rPr>
          <w:rFonts w:hint="eastAsia" w:ascii="宋体" w:hAnsi="宋体" w:eastAsia="宋体" w:cs="宋体"/>
          <w:b w:val="0"/>
          <w:bCs w:val="0"/>
          <w:color w:val="auto"/>
          <w:sz w:val="28"/>
          <w:szCs w:val="28"/>
          <w:highlight w:val="none"/>
        </w:rPr>
        <w:t>保险金给付申请书，并</w:t>
      </w:r>
      <w:r>
        <w:rPr>
          <w:rFonts w:hint="eastAsia" w:ascii="宋体" w:hAnsi="宋体" w:eastAsia="宋体" w:cs="宋体"/>
          <w:b w:val="0"/>
          <w:bCs w:val="0"/>
          <w:color w:val="auto"/>
          <w:sz w:val="28"/>
          <w:szCs w:val="28"/>
          <w:highlight w:val="none"/>
          <w:lang w:val="en-US" w:eastAsia="zh-CN"/>
        </w:rPr>
        <w:t>凭下列证明、资料向保险人申请给付保险金：</w:t>
      </w:r>
    </w:p>
    <w:p w14:paraId="08D2710D">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投保人证明及保险单、保险金申请书</w:t>
      </w:r>
      <w:r>
        <w:rPr>
          <w:rFonts w:hint="eastAsia" w:ascii="宋体" w:hAnsi="宋体" w:eastAsia="宋体" w:cs="宋体"/>
          <w:b w:val="0"/>
          <w:bCs w:val="0"/>
          <w:color w:val="auto"/>
          <w:sz w:val="28"/>
          <w:szCs w:val="28"/>
          <w:highlight w:val="none"/>
        </w:rPr>
        <w:t>；</w:t>
      </w:r>
    </w:p>
    <w:p w14:paraId="6C8E9ACF">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受益人户籍证明及身份证明，若受益人为法定，则需提供其与被保险人的关系证明</w:t>
      </w:r>
      <w:r>
        <w:rPr>
          <w:rFonts w:hint="eastAsia" w:ascii="宋体" w:hAnsi="宋体" w:eastAsia="宋体" w:cs="宋体"/>
          <w:b w:val="0"/>
          <w:bCs w:val="0"/>
          <w:color w:val="auto"/>
          <w:sz w:val="28"/>
          <w:szCs w:val="28"/>
          <w:highlight w:val="none"/>
        </w:rPr>
        <w:t>；</w:t>
      </w:r>
    </w:p>
    <w:p w14:paraId="103757F8">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国务院卫生</w:t>
      </w:r>
      <w:r>
        <w:rPr>
          <w:rFonts w:hint="eastAsia" w:ascii="宋体" w:hAnsi="宋体" w:eastAsia="宋体" w:cs="宋体"/>
          <w:b w:val="0"/>
          <w:bCs w:val="0"/>
          <w:color w:val="auto"/>
          <w:sz w:val="28"/>
          <w:szCs w:val="28"/>
          <w:highlight w:val="none"/>
        </w:rPr>
        <w:t>行政部门</w:t>
      </w:r>
      <w:r>
        <w:rPr>
          <w:rFonts w:hint="eastAsia" w:ascii="宋体" w:hAnsi="宋体" w:eastAsia="宋体" w:cs="宋体"/>
          <w:b w:val="0"/>
          <w:bCs w:val="0"/>
          <w:color w:val="auto"/>
          <w:sz w:val="28"/>
          <w:szCs w:val="28"/>
          <w:highlight w:val="none"/>
          <w:lang w:val="en-US" w:eastAsia="zh-CN"/>
        </w:rPr>
        <w:t>规定</w:t>
      </w:r>
      <w:r>
        <w:rPr>
          <w:rFonts w:hint="eastAsia" w:ascii="宋体" w:hAnsi="宋体" w:eastAsia="宋体" w:cs="宋体"/>
          <w:b w:val="0"/>
          <w:bCs w:val="0"/>
          <w:color w:val="auto"/>
          <w:sz w:val="28"/>
          <w:szCs w:val="28"/>
          <w:highlight w:val="none"/>
        </w:rPr>
        <w:t>的医疗机构</w:t>
      </w:r>
      <w:r>
        <w:rPr>
          <w:rFonts w:hint="eastAsia" w:ascii="宋体" w:hAnsi="宋体" w:eastAsia="宋体" w:cs="宋体"/>
          <w:b w:val="0"/>
          <w:bCs w:val="0"/>
          <w:color w:val="auto"/>
          <w:sz w:val="28"/>
          <w:szCs w:val="28"/>
          <w:highlight w:val="none"/>
          <w:lang w:val="en-US" w:eastAsia="zh-CN"/>
        </w:rPr>
        <w:t>或</w:t>
      </w:r>
      <w:r>
        <w:rPr>
          <w:rFonts w:hint="eastAsia" w:ascii="宋体" w:hAnsi="宋体" w:eastAsia="宋体" w:cs="宋体"/>
          <w:b w:val="0"/>
          <w:bCs w:val="0"/>
          <w:color w:val="auto"/>
          <w:sz w:val="28"/>
          <w:szCs w:val="28"/>
          <w:highlight w:val="none"/>
        </w:rPr>
        <w:t>公安部门出具的被保险人死亡证明</w:t>
      </w:r>
      <w:r>
        <w:rPr>
          <w:rFonts w:hint="eastAsia" w:ascii="宋体" w:hAnsi="宋体" w:eastAsia="宋体" w:cs="宋体"/>
          <w:b w:val="0"/>
          <w:bCs w:val="0"/>
          <w:color w:val="auto"/>
          <w:sz w:val="28"/>
          <w:szCs w:val="28"/>
          <w:highlight w:val="none"/>
          <w:lang w:val="en-US" w:eastAsia="zh-CN"/>
        </w:rPr>
        <w:t>书</w:t>
      </w:r>
      <w:r>
        <w:rPr>
          <w:rFonts w:hint="eastAsia" w:ascii="宋体" w:hAnsi="宋体" w:eastAsia="宋体" w:cs="宋体"/>
          <w:b w:val="0"/>
          <w:bCs w:val="0"/>
          <w:color w:val="auto"/>
          <w:sz w:val="28"/>
          <w:szCs w:val="28"/>
          <w:highlight w:val="none"/>
        </w:rPr>
        <w:t>；</w:t>
      </w:r>
    </w:p>
    <w:p w14:paraId="12CA5D42">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被保险人户籍注销证明或火化证明；</w:t>
      </w:r>
    </w:p>
    <w:p w14:paraId="746585ED">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如被保险人为宣告死亡，受益人须提供人民法院出具的宣告死亡证明文件；</w:t>
      </w:r>
    </w:p>
    <w:p w14:paraId="0A0B35DE">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相关部门出具的意外事故证明（如交通管理部门出具《交通事故责任认定书》等）；</w:t>
      </w:r>
    </w:p>
    <w:p w14:paraId="70DCB964">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受益人所能提供的与</w:t>
      </w:r>
      <w:r>
        <w:rPr>
          <w:rFonts w:hint="eastAsia" w:ascii="宋体" w:hAnsi="宋体" w:eastAsia="宋体" w:cs="宋体"/>
          <w:b w:val="0"/>
          <w:bCs w:val="0"/>
          <w:color w:val="auto"/>
          <w:sz w:val="28"/>
          <w:szCs w:val="28"/>
          <w:highlight w:val="none"/>
        </w:rPr>
        <w:t>确认保险事故的性质、原因等有关的其他证明和资料</w:t>
      </w:r>
      <w:r>
        <w:rPr>
          <w:rFonts w:hint="eastAsia" w:ascii="宋体" w:hAnsi="宋体" w:eastAsia="宋体" w:cs="宋体"/>
          <w:b w:val="0"/>
          <w:bCs w:val="0"/>
          <w:color w:val="auto"/>
          <w:sz w:val="28"/>
          <w:szCs w:val="28"/>
          <w:highlight w:val="none"/>
          <w:lang w:eastAsia="zh-CN"/>
        </w:rPr>
        <w:t>；</w:t>
      </w:r>
    </w:p>
    <w:p w14:paraId="0D20C785">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提供理赔申请资格确认表；</w:t>
      </w:r>
    </w:p>
    <w:p w14:paraId="79FF4C72">
      <w:pPr>
        <w:numPr>
          <w:ilvl w:val="0"/>
          <w:numId w:val="10"/>
        </w:numPr>
        <w:snapToGrid w:val="0"/>
        <w:spacing w:line="360" w:lineRule="auto"/>
        <w:ind w:left="425" w:leftChars="0" w:hanging="425" w:firstLineChars="0"/>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lang w:val="en-US" w:eastAsia="zh-CN"/>
        </w:rPr>
        <w:t>受益人为多人且授权给其中一人或他人进行理赔申请或领款的还需提供所有受益人签署的授权委托书</w:t>
      </w:r>
      <w:r>
        <w:rPr>
          <w:rFonts w:hint="eastAsia" w:ascii="宋体" w:hAnsi="宋体" w:eastAsia="宋体" w:cs="宋体"/>
          <w:b w:val="0"/>
          <w:bCs w:val="0"/>
          <w:color w:val="auto"/>
          <w:sz w:val="28"/>
          <w:szCs w:val="28"/>
          <w:highlight w:val="none"/>
        </w:rPr>
        <w:t>。</w:t>
      </w:r>
    </w:p>
    <w:p w14:paraId="46813B87">
      <w:pPr>
        <w:snapToGrid w:val="0"/>
        <w:spacing w:line="360" w:lineRule="auto"/>
        <w:ind w:firstLine="562" w:firstLineChars="200"/>
        <w:outlineLvl w:val="2"/>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意外伤残保险金</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的</w:t>
      </w:r>
      <w:r>
        <w:rPr>
          <w:rFonts w:hint="eastAsia" w:ascii="宋体" w:hAnsi="宋体" w:eastAsia="宋体" w:cs="宋体"/>
          <w:b/>
          <w:bCs/>
          <w:color w:val="auto"/>
          <w:sz w:val="28"/>
          <w:szCs w:val="28"/>
          <w:highlight w:val="none"/>
        </w:rPr>
        <w:t>申请</w:t>
      </w:r>
      <w:r>
        <w:rPr>
          <w:rFonts w:hint="eastAsia" w:ascii="宋体" w:hAnsi="宋体" w:eastAsia="宋体" w:cs="宋体"/>
          <w:b/>
          <w:bCs/>
          <w:color w:val="auto"/>
          <w:sz w:val="28"/>
          <w:szCs w:val="28"/>
          <w:highlight w:val="none"/>
          <w:lang w:eastAsia="zh-CN"/>
        </w:rPr>
        <w:t>：</w:t>
      </w:r>
    </w:p>
    <w:p w14:paraId="54A27C9B">
      <w:pPr>
        <w:pStyle w:val="6"/>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rPr>
        <w:t>由保险金申请人填写相应保险金给付申请书，并提供下列证明和资料</w:t>
      </w:r>
      <w:r>
        <w:rPr>
          <w:rFonts w:hint="eastAsia" w:ascii="宋体" w:hAnsi="宋体" w:eastAsia="宋体" w:cs="宋体"/>
          <w:color w:val="auto"/>
          <w:sz w:val="28"/>
          <w:szCs w:val="28"/>
          <w:highlight w:val="none"/>
          <w:lang w:val="en-US" w:eastAsia="zh-CN"/>
        </w:rPr>
        <w:t>：</w:t>
      </w:r>
    </w:p>
    <w:p w14:paraId="1D701B3E">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投保人证明及保险单、保险金申请书</w:t>
      </w:r>
      <w:r>
        <w:rPr>
          <w:rFonts w:hint="eastAsia" w:ascii="宋体" w:hAnsi="宋体" w:eastAsia="宋体" w:cs="宋体"/>
          <w:color w:val="auto"/>
          <w:sz w:val="28"/>
          <w:szCs w:val="28"/>
        </w:rPr>
        <w:t>；</w:t>
      </w:r>
    </w:p>
    <w:p w14:paraId="362DD9EE">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被保险人</w:t>
      </w:r>
      <w:r>
        <w:rPr>
          <w:rFonts w:hint="eastAsia" w:ascii="宋体" w:hAnsi="宋体" w:eastAsia="宋体" w:cs="宋体"/>
          <w:color w:val="auto"/>
          <w:sz w:val="28"/>
          <w:szCs w:val="28"/>
          <w:lang w:val="en-US" w:eastAsia="zh-CN"/>
        </w:rPr>
        <w:t>身份证明</w:t>
      </w:r>
      <w:r>
        <w:rPr>
          <w:rFonts w:hint="eastAsia" w:ascii="宋体" w:hAnsi="宋体" w:eastAsia="宋体" w:cs="宋体"/>
          <w:color w:val="auto"/>
          <w:sz w:val="28"/>
          <w:szCs w:val="28"/>
        </w:rPr>
        <w:t>；</w:t>
      </w:r>
    </w:p>
    <w:p w14:paraId="5312A6CC">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保险人指定或认可的医院出具的门急诊病历复印件、住院病案；</w:t>
      </w:r>
    </w:p>
    <w:p w14:paraId="6B1907FF">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由双方认可的医疗机构或鉴定机构根据《人身保险伤残评定标准及代码》（JR/T 0083—2013）出具的伤残程度鉴定书；</w:t>
      </w:r>
    </w:p>
    <w:p w14:paraId="5CFED623">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所能提供的与确认保险事故的性质、原因、伤害程度等有关的其他证明和资料。</w:t>
      </w:r>
    </w:p>
    <w:p w14:paraId="6F34F1E7">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如</w:t>
      </w:r>
      <w:r>
        <w:rPr>
          <w:rFonts w:hint="eastAsia" w:ascii="宋体" w:hAnsi="宋体" w:eastAsia="宋体" w:cs="宋体"/>
          <w:color w:val="auto"/>
          <w:sz w:val="28"/>
          <w:szCs w:val="28"/>
          <w:lang w:eastAsia="zh-CN"/>
        </w:rPr>
        <w:t>投保人</w:t>
      </w:r>
      <w:r>
        <w:rPr>
          <w:rFonts w:hint="eastAsia" w:ascii="宋体" w:hAnsi="宋体" w:eastAsia="宋体" w:cs="宋体"/>
          <w:color w:val="auto"/>
          <w:sz w:val="28"/>
          <w:szCs w:val="28"/>
        </w:rPr>
        <w:t>与</w:t>
      </w:r>
      <w:r>
        <w:rPr>
          <w:rFonts w:hint="eastAsia" w:ascii="宋体" w:hAnsi="宋体" w:eastAsia="宋体" w:cs="宋体"/>
          <w:color w:val="auto"/>
          <w:sz w:val="28"/>
          <w:szCs w:val="28"/>
          <w:lang w:eastAsia="zh-CN"/>
        </w:rPr>
        <w:t>保险人</w:t>
      </w:r>
      <w:r>
        <w:rPr>
          <w:rFonts w:hint="eastAsia" w:ascii="宋体" w:hAnsi="宋体" w:eastAsia="宋体" w:cs="宋体"/>
          <w:color w:val="auto"/>
          <w:sz w:val="28"/>
          <w:szCs w:val="28"/>
        </w:rPr>
        <w:t>对需提供证明、资料有其他约定的，按约定执行。</w:t>
      </w:r>
    </w:p>
    <w:p w14:paraId="702FC835">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保险金作为被保险人遗产时，必须提供可证明合法继承权的相关权利文件。</w:t>
      </w:r>
    </w:p>
    <w:p w14:paraId="4C078BDD">
      <w:pPr>
        <w:numPr>
          <w:ilvl w:val="0"/>
          <w:numId w:val="11"/>
        </w:numPr>
        <w:bidi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申请人申请保险金时，如提供的以上证明和资料不完整，</w:t>
      </w:r>
      <w:r>
        <w:rPr>
          <w:rFonts w:hint="eastAsia" w:ascii="宋体" w:hAnsi="宋体" w:eastAsia="宋体" w:cs="宋体"/>
          <w:color w:val="auto"/>
          <w:sz w:val="28"/>
          <w:szCs w:val="28"/>
          <w:lang w:eastAsia="zh-CN"/>
        </w:rPr>
        <w:t>保险人</w:t>
      </w:r>
      <w:r>
        <w:rPr>
          <w:rFonts w:hint="eastAsia" w:ascii="宋体" w:hAnsi="宋体" w:eastAsia="宋体" w:cs="宋体"/>
          <w:color w:val="auto"/>
          <w:sz w:val="28"/>
          <w:szCs w:val="28"/>
        </w:rPr>
        <w:t>将及时一次性通知申请人补充提供有关证明和资料。</w:t>
      </w:r>
    </w:p>
    <w:p w14:paraId="63216CCE">
      <w:pPr>
        <w:pStyle w:val="6"/>
        <w:spacing w:line="360" w:lineRule="auto"/>
        <w:ind w:firstLine="562" w:firstLineChars="200"/>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9.3“意外医疗保险金”的申请：</w:t>
      </w:r>
    </w:p>
    <w:p w14:paraId="103A1570">
      <w:pPr>
        <w:pStyle w:val="6"/>
        <w:spacing w:line="360" w:lineRule="auto"/>
        <w:ind w:firstLine="560" w:firstLineChars="200"/>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由</w:t>
      </w:r>
      <w:r>
        <w:rPr>
          <w:rFonts w:hint="eastAsia" w:ascii="宋体" w:hAnsi="宋体" w:eastAsia="宋体" w:cs="宋体"/>
          <w:color w:val="auto"/>
          <w:sz w:val="28"/>
          <w:szCs w:val="28"/>
          <w:highlight w:val="none"/>
          <w:lang w:val="en-US" w:eastAsia="zh-CN"/>
        </w:rPr>
        <w:t>被</w:t>
      </w:r>
      <w:r>
        <w:rPr>
          <w:rFonts w:hint="eastAsia" w:ascii="宋体" w:hAnsi="宋体" w:eastAsia="宋体" w:cs="宋体"/>
          <w:color w:val="auto"/>
          <w:sz w:val="28"/>
          <w:szCs w:val="28"/>
          <w:highlight w:val="none"/>
        </w:rPr>
        <w:t>保险</w:t>
      </w:r>
      <w:r>
        <w:rPr>
          <w:rFonts w:hint="eastAsia" w:ascii="宋体" w:hAnsi="宋体" w:eastAsia="宋体" w:cs="宋体"/>
          <w:color w:val="auto"/>
          <w:sz w:val="28"/>
          <w:szCs w:val="28"/>
          <w:highlight w:val="none"/>
          <w:lang w:val="en-US" w:eastAsia="zh-CN"/>
        </w:rPr>
        <w:t>人作为</w:t>
      </w:r>
      <w:r>
        <w:rPr>
          <w:rFonts w:hint="eastAsia" w:ascii="宋体" w:hAnsi="宋体" w:eastAsia="宋体" w:cs="宋体"/>
          <w:color w:val="auto"/>
          <w:sz w:val="28"/>
          <w:szCs w:val="28"/>
          <w:highlight w:val="none"/>
        </w:rPr>
        <w:t>申请人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填写保险金给付申请书，并</w:t>
      </w:r>
      <w:r>
        <w:rPr>
          <w:rFonts w:hint="eastAsia" w:ascii="宋体" w:hAnsi="宋体" w:eastAsia="宋体" w:cs="宋体"/>
          <w:color w:val="auto"/>
          <w:sz w:val="28"/>
          <w:szCs w:val="28"/>
          <w:highlight w:val="none"/>
          <w:lang w:val="en-US" w:eastAsia="zh-CN"/>
        </w:rPr>
        <w:t>凭下列证明和资料向保险人申请给付保险金：</w:t>
      </w:r>
    </w:p>
    <w:p w14:paraId="38E90DEA">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保险金申请书；</w:t>
      </w:r>
    </w:p>
    <w:p w14:paraId="2B2D0BCD">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被保险人</w:t>
      </w:r>
      <w:r>
        <w:rPr>
          <w:rFonts w:hint="eastAsia" w:ascii="宋体" w:hAnsi="宋体" w:eastAsia="宋体" w:cs="宋体"/>
          <w:color w:val="auto"/>
          <w:sz w:val="28"/>
          <w:szCs w:val="28"/>
          <w:lang w:val="en-US" w:eastAsia="zh-CN"/>
        </w:rPr>
        <w:t>身份证明；</w:t>
      </w:r>
    </w:p>
    <w:p w14:paraId="73A2C65E">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门诊：保险人指定医院或者认可的医疗机构出具的医疗费用原始发票、门诊费用明细清单、门急诊病例；</w:t>
      </w:r>
    </w:p>
    <w:p w14:paraId="1E9305CE">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住院：保险人指定医院或者认可的医疗机构出具的医疗费用发票原件，经过医保结算的需提供医院费用发票复印件及当地基本医疗保险主管部门出具的医保结算单原件；住院费用明细清单、住院病历首页、长期医嘱、临时医嘱、出入院记录；</w:t>
      </w:r>
    </w:p>
    <w:p w14:paraId="43A2ACFB">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收费300元以上检查的检查报告复印件；</w:t>
      </w:r>
    </w:p>
    <w:p w14:paraId="16BD009B">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与确认保险事故的性质、原因、伤害程度等有关的其它证明和资料（重大意外事故时提供）；</w:t>
      </w:r>
    </w:p>
    <w:p w14:paraId="40004EB0">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保险金作为被保险人遗产时，必须提供可证明合法继承权的相关权利文件。</w:t>
      </w:r>
    </w:p>
    <w:p w14:paraId="4A9E8A29">
      <w:pPr>
        <w:numPr>
          <w:ilvl w:val="0"/>
          <w:numId w:val="12"/>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申请人申请保险金时，如提供的以上证明和资料不完整，保险人将及时一次性通知申请人补充提供有关证明和资料。</w:t>
      </w:r>
    </w:p>
    <w:p w14:paraId="44B23502">
      <w:pPr>
        <w:pStyle w:val="6"/>
        <w:spacing w:line="360" w:lineRule="auto"/>
        <w:ind w:firstLine="562" w:firstLineChars="200"/>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9.4“意外住院医疗现金补贴”的申请：</w:t>
      </w:r>
    </w:p>
    <w:p w14:paraId="54A95914">
      <w:pPr>
        <w:numPr>
          <w:ilvl w:val="0"/>
          <w:numId w:val="0"/>
        </w:numPr>
        <w:bidi w:val="0"/>
        <w:spacing w:line="360" w:lineRule="auto"/>
        <w:ind w:leftChars="0"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由被保险人作为申请人，填写保险金给付申请书，并凭下列证明和资料向保险人申请给付保险金：</w:t>
      </w:r>
    </w:p>
    <w:p w14:paraId="7E6FEC65">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保险金申请书；</w:t>
      </w:r>
    </w:p>
    <w:p w14:paraId="40769B6D">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被保险人身份证明；</w:t>
      </w:r>
    </w:p>
    <w:p w14:paraId="7E2DB811">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保险人指定医院或者认可的医疗机构出具的住院发票复印件；</w:t>
      </w:r>
    </w:p>
    <w:p w14:paraId="0125B777">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住院费用明细清单、住院病历首页、长期医嘱、临时医嘱、出入院记录；</w:t>
      </w:r>
    </w:p>
    <w:p w14:paraId="77983F35">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所能提供的与确认保险事故的性质、原因等有关的其它证明和资料。</w:t>
      </w:r>
    </w:p>
    <w:p w14:paraId="0EE20F32">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保险金作为被保险人遗产时，必须提供可证明合法继承权的相关权利文件。</w:t>
      </w:r>
    </w:p>
    <w:p w14:paraId="1EE8FA22">
      <w:pPr>
        <w:numPr>
          <w:ilvl w:val="0"/>
          <w:numId w:val="13"/>
        </w:numPr>
        <w:bidi w:val="0"/>
        <w:spacing w:line="360" w:lineRule="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申请人申请意外住院医疗现金补贴时，如提供的以上证明和资料不完整，保险人将及时一次性通知申请人补充提供有关证明和资料。</w:t>
      </w:r>
    </w:p>
    <w:p w14:paraId="20DC53DF">
      <w:pPr>
        <w:jc w:val="center"/>
        <w:outlineLvl w:val="1"/>
        <w:rPr>
          <w:rFonts w:hint="eastAsia" w:ascii="宋体" w:hAnsi="宋体" w:eastAsia="宋体" w:cs="宋体"/>
          <w:b/>
          <w:color w:val="auto"/>
          <w:sz w:val="28"/>
          <w:highlight w:val="none"/>
        </w:rPr>
      </w:pPr>
      <w:r>
        <w:rPr>
          <w:rFonts w:hint="eastAsia" w:ascii="宋体" w:hAnsi="宋体" w:eastAsia="宋体" w:cs="宋体"/>
          <w:b/>
          <w:snapToGrid w:val="0"/>
          <w:color w:val="auto"/>
          <w:kern w:val="0"/>
          <w:sz w:val="28"/>
          <w:szCs w:val="28"/>
          <w:lang w:val="en-US" w:eastAsia="zh-CN"/>
        </w:rPr>
        <w:t>十、</w:t>
      </w:r>
      <w:r>
        <w:rPr>
          <w:rFonts w:hint="eastAsia" w:ascii="宋体" w:hAnsi="宋体" w:eastAsia="宋体" w:cs="宋体"/>
          <w:b/>
          <w:color w:val="auto"/>
          <w:sz w:val="28"/>
          <w:highlight w:val="none"/>
        </w:rPr>
        <w:t>释义</w:t>
      </w:r>
    </w:p>
    <w:p w14:paraId="294B0996">
      <w:pPr>
        <w:pStyle w:val="6"/>
        <w:spacing w:line="360" w:lineRule="auto"/>
        <w:ind w:left="0" w:leftChars="0" w:firstLine="0" w:firstLineChars="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外配药</w:t>
      </w:r>
      <w:r>
        <w:rPr>
          <w:rFonts w:hint="eastAsia" w:ascii="宋体" w:hAnsi="宋体" w:eastAsia="宋体" w:cs="宋体"/>
          <w:b/>
          <w:bCs/>
          <w:color w:val="auto"/>
          <w:sz w:val="28"/>
          <w:szCs w:val="28"/>
          <w:highlight w:val="none"/>
        </w:rPr>
        <w:t>】</w:t>
      </w:r>
    </w:p>
    <w:p w14:paraId="16B851B6">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外配药指患者在就诊医疗机构之外的地方进行配药的行为。</w:t>
      </w:r>
    </w:p>
    <w:p w14:paraId="0DBF5A1C">
      <w:pPr>
        <w:pStyle w:val="6"/>
        <w:spacing w:line="360" w:lineRule="auto"/>
        <w:ind w:left="0" w:leftChars="0" w:firstLine="0" w:firstLineChars="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【意外事故】</w:t>
      </w:r>
    </w:p>
    <w:p w14:paraId="2D66E442">
      <w:pPr>
        <w:pStyle w:val="6"/>
        <w:spacing w:line="360" w:lineRule="auto"/>
        <w:ind w:left="0" w:leftChars="0" w:firstLine="0" w:firstLineChars="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指外来的、突发的、不可预见的、非本意的和非疾病的导致被保险人的身体受到伤害的客观事件。</w:t>
      </w:r>
    </w:p>
    <w:p w14:paraId="16F73D17">
      <w:pPr>
        <w:pStyle w:val="6"/>
        <w:spacing w:line="360" w:lineRule="auto"/>
        <w:ind w:left="0" w:leftChars="0" w:firstLine="0" w:firstLineChars="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【猝死】</w:t>
      </w:r>
    </w:p>
    <w:p w14:paraId="1C12D923">
      <w:pPr>
        <w:pStyle w:val="6"/>
        <w:spacing w:line="360" w:lineRule="auto"/>
        <w:ind w:left="0" w:leftChars="0" w:firstLine="0" w:firstLineChars="0"/>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指表面健康的人因潜在疾病、机能障碍在出现症状后24小时内发生的非暴力性突然死亡。该急性症状是被保险人在保险合同生效之前未曾接受诊断或治疗且在保险合同的有效期间内突然发生的。猝死的认定以医疗机构的诊断或公安、司法机关的鉴定以及有资质的鉴定机构出具的鉴定报告为准。</w:t>
      </w:r>
    </w:p>
    <w:p w14:paraId="793DBA31">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【醉酒】</w:t>
      </w:r>
    </w:p>
    <w:p w14:paraId="02FB091F">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指发生事故时被保险人每百毫升血液中的酒精含量大于或者等于80毫克。</w:t>
      </w:r>
    </w:p>
    <w:p w14:paraId="1A5C5BB1">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【毒品】</w:t>
      </w:r>
    </w:p>
    <w:p w14:paraId="6E30B7BE">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04F8F046">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【酒后驾驶】</w:t>
      </w:r>
    </w:p>
    <w:p w14:paraId="38111F26">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指经检测或者鉴定，发生事故时车辆驾驶人员每百毫升血液中的酒精含量达到或者超过一定量标准，公安机关交通管理部门依据《道路交通安全法》的规定认定为饮酒后驾驶或者醉酒驾驶。</w:t>
      </w:r>
    </w:p>
    <w:p w14:paraId="0390519E">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【高风险运动】 指比一般常规性的运动风险等级更高、更容易发生人身伤害的运动，在进行此类运动前 需有充分的心理准备和行动上的准备，必须具备一般人不具备的相关知识和技能或者必须在 接受专业人士提供的培训或训练之后方能掌握。被保险人进行此类运动时须具备相关防护措 施或设施，以避免发生损失或减轻损失，包括但不限于潜水、滑水、滑雪、滑冰、驾驶或乘 坐滑翔翼、滑翔伞、跳伞、攀岩运动、探险活动、武术比赛、摔跤比赛、柔道、空手道、跆 拳道、马术、拳击、特技表演、驾驶卡丁车、赛马、赛车、各种车辆表演、蹦极。 </w:t>
      </w:r>
    </w:p>
    <w:p w14:paraId="49E7ABE1">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【潜水】 指使用辅助呼吸器材在江、河、湖、海、水库、运河等水域进行的水下运动。 </w:t>
      </w:r>
    </w:p>
    <w:p w14:paraId="76F2AB6B">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【攀岩】 指攀登悬崖、楼宇外墙、人造悬崖、冰崖、冰山等运动。 </w:t>
      </w:r>
    </w:p>
    <w:p w14:paraId="5683F50D">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【探险】 指明知在某种特定的自然条件下有失去生命或使身体受到伤害的危险，而故意使自己置身于其中的行为，如：江河漂流、登山、徒步穿越沙漠或人迹罕至的原始森林等活动。 </w:t>
      </w:r>
    </w:p>
    <w:p w14:paraId="6A61E9C2">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【武术比赛】 指两人或两人以上对抗性柔道、空手道、跆拳道、散打、拳击等各种拳术及使用器械的对抗性比赛。 </w:t>
      </w:r>
    </w:p>
    <w:p w14:paraId="7E4B42EB">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【特技表演】 指进行马术、杂技、驯兽等表演。</w:t>
      </w:r>
    </w:p>
    <w:p w14:paraId="5866A449">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【无合法有效驾驶证驾驶】</w:t>
      </w:r>
    </w:p>
    <w:p w14:paraId="4C7BAA67">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指下列情形之一：</w:t>
      </w:r>
    </w:p>
    <w:p w14:paraId="65CA446A">
      <w:pPr>
        <w:pStyle w:val="6"/>
        <w:numPr>
          <w:ilvl w:val="0"/>
          <w:numId w:val="14"/>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没有取得驾驶资格；</w:t>
      </w:r>
    </w:p>
    <w:p w14:paraId="00849F66">
      <w:pPr>
        <w:pStyle w:val="6"/>
        <w:numPr>
          <w:ilvl w:val="0"/>
          <w:numId w:val="14"/>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驾驶与驾驶证准驾车型不相符合的车辆；</w:t>
      </w:r>
    </w:p>
    <w:p w14:paraId="10675A42">
      <w:pPr>
        <w:pStyle w:val="6"/>
        <w:numPr>
          <w:ilvl w:val="0"/>
          <w:numId w:val="14"/>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持审验不合格的驾驶证驾驶；</w:t>
      </w:r>
    </w:p>
    <w:p w14:paraId="53FAB0A5">
      <w:pPr>
        <w:pStyle w:val="6"/>
        <w:numPr>
          <w:ilvl w:val="0"/>
          <w:numId w:val="14"/>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持学习驾驶证学习驾车时，无教练员随车指导，或不按指定时间、路线学习驾车。</w:t>
      </w:r>
    </w:p>
    <w:p w14:paraId="480FEE70">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【驾驶无合法有效行驶证的机动车】</w:t>
      </w:r>
    </w:p>
    <w:p w14:paraId="2C13C9CD">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指下列情形之一：</w:t>
      </w:r>
    </w:p>
    <w:p w14:paraId="6A0BF25B">
      <w:pPr>
        <w:pStyle w:val="6"/>
        <w:numPr>
          <w:ilvl w:val="0"/>
          <w:numId w:val="15"/>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未取得合法有效行驶证；</w:t>
      </w:r>
    </w:p>
    <w:p w14:paraId="5DE6F942">
      <w:pPr>
        <w:pStyle w:val="6"/>
        <w:numPr>
          <w:ilvl w:val="0"/>
          <w:numId w:val="15"/>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机动车被依法注销登记的；</w:t>
      </w:r>
    </w:p>
    <w:p w14:paraId="0BF122B6">
      <w:pPr>
        <w:pStyle w:val="6"/>
        <w:numPr>
          <w:ilvl w:val="0"/>
          <w:numId w:val="15"/>
        </w:numPr>
        <w:spacing w:line="360" w:lineRule="auto"/>
        <w:ind w:left="425" w:leftChars="0" w:hanging="425"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未依法按时进行或通过机动车安全技术检验。</w:t>
      </w:r>
    </w:p>
    <w:p w14:paraId="5B4A1E05">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【医疗事故】</w:t>
      </w:r>
    </w:p>
    <w:p w14:paraId="1814174C">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指医疗机构及其医务人员在医疗活动中，违反医疗卫生管理法律、行政法规、部门规章和诊疗护理规范、常规，过失造成患者人身损害的事故。</w:t>
      </w:r>
    </w:p>
    <w:p w14:paraId="57E026C4">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【既往症】 指被保险人在本合同生效日之前患有的已知或应该知道的有关疾病或症状。包括不限于以下情况：本合同生效前，医生已有明确诊断，长期治疗未间断；医生已有明确诊断，治疗后症状未完全消失，有间断用药情况；未经医生诊断和治疗，但症状明显且持续存在足以促 使一般普通谨慎人士引起注意并寻求诊断、治疗或护理的症状。 </w:t>
      </w:r>
    </w:p>
    <w:p w14:paraId="1E972AA4">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【并发症】 指疾病在发展过程中偶然引起的另一种疾病或症状，且新引起的疾病或症状非医务人员 的过失所致。</w:t>
      </w:r>
    </w:p>
    <w:p w14:paraId="531871BC">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【热射病】指由于暴露在高温高湿环境中机体体温调节功能失衡，产热大于散热，导致核心温度迅速升高，超过40℃，伴有皮肤灼热、意识障碍（如谵妄、惊厥、昏迷）及多器官功能障碍的严重急性热致疾病。</w:t>
      </w:r>
    </w:p>
    <w:p w14:paraId="2CC37E52">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热射病的认定以医疗机构的诊断或公安、司法机关的鉴定以及有资质的鉴定机构出具的鉴定报告为准。</w:t>
      </w:r>
    </w:p>
    <w:p w14:paraId="5B31AA73">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【偶合发病】 指受种者在接种时正处于某种疾病的潜伏期或者前驱期，接种后巧合发病。偶合发病不 是由疫苗的固有性质引起的。 </w:t>
      </w:r>
    </w:p>
    <w:p w14:paraId="4F2C7ADA">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【心因性反应】 指在预防接种实施过程中或接种后因受种者心理因素发生的个体或者群体的反应。心因 性反应不是由疫苗的固有性质引起的。</w:t>
      </w:r>
    </w:p>
    <w:p w14:paraId="7AE72405">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【医院】 指投保人与保险人约定的定点医院；未约定定点医院的，则指中华人民共和国境内（不包括香港、澳门、台湾地区）合法经营的二级以上（含二级）公立医院普通部，不包含其中 的特需医疗、外宾医疗、干部病房。本附加保险合同约定的医院不包括疗养院、护理院、康复中心、戒酒或戒毒中心、精神 心理治疗中心以及无相应医护人员或设备的二级或三级医院的联合医院或联合病房。 </w:t>
      </w:r>
    </w:p>
    <w:p w14:paraId="38094C63">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【境外】 指中华人民共和国以外的国家或地区。被保险人于中华人民共和国港、澳、台地区就医 的按境外就医处理。</w:t>
      </w:r>
    </w:p>
    <w:p w14:paraId="0ECA94AE">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【当地】 若被保险人有基本医疗保险，当地指被保险人基本医疗保险的参保地；若被保险人无基 本医疗保险，当地指被保险人就诊医院的所在地。</w:t>
      </w:r>
    </w:p>
    <w:p w14:paraId="07BD47A6">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【有效身份证件】</w:t>
      </w:r>
    </w:p>
    <w:p w14:paraId="3266C5CD">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指由政府主管部门规定的证明其身份的证件，如：居民身份证、按规定可使用的有效护照、军人身份证件、武装警察身份证件等证件。</w:t>
      </w:r>
    </w:p>
    <w:p w14:paraId="40456D54">
      <w:pPr>
        <w:pStyle w:val="6"/>
        <w:spacing w:line="360" w:lineRule="auto"/>
        <w:ind w:left="0" w:leftChars="0" w:firstLine="0" w:firstLineChars="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【未满期保险费】</w:t>
      </w:r>
    </w:p>
    <w:p w14:paraId="6BAC7FDF">
      <w:pPr>
        <w:pStyle w:val="6"/>
        <w:spacing w:line="360" w:lineRule="auto"/>
        <w:ind w:left="0" w:leftChars="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当交费方式为一次性支付保险费时，未满期保险费的计算公式为：（应收保险费－实收保险费）×（1－保险经过日数/保险期间的日数）。经过日数不足一日按一日计算。</w:t>
      </w:r>
    </w:p>
    <w:p w14:paraId="4721D11F">
      <w:pPr>
        <w:pStyle w:val="6"/>
        <w:spacing w:line="360" w:lineRule="auto"/>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8"/>
          <w:szCs w:val="28"/>
          <w:highlight w:val="none"/>
          <w:lang w:val="en-US" w:eastAsia="zh-CN"/>
        </w:rPr>
        <w:t>当交费方式为分期支付保险费时，未满期保险费的计算公式为：（应收保险费－实收保险费）×（1－当期经过日数/当期日数）。其中，当期指本合同的本期保险费约定支付日至下期保险费约定支付日的期间；若投保人已交纳最后一期保险费，当期指本合同的本期保险费约定支付日至本合同满期之日的期间。经过日数不足一日按一日计算。</w:t>
      </w:r>
    </w:p>
    <w:p w14:paraId="1DD47487">
      <w:pPr>
        <w:pStyle w:val="6"/>
        <w:spacing w:line="360" w:lineRule="auto"/>
        <w:ind w:firstLine="562" w:firstLineChars="200"/>
        <w:jc w:val="center"/>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十一、反商业贿赂条款</w:t>
      </w:r>
    </w:p>
    <w:p w14:paraId="5C873B2D">
      <w:pPr>
        <w:pStyle w:val="6"/>
        <w:spacing w:line="360" w:lineRule="auto"/>
        <w:ind w:firstLine="560" w:firstLineChars="20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11.1 反商业贿赂条款是本合同之必备条款，与本合同其它条款具有同等法律效力，请签署合同之当事人认真阅读本条款，同意签订并遵守如下反商业贿赂条款：</w:t>
      </w:r>
    </w:p>
    <w:p w14:paraId="468081A6">
      <w:pPr>
        <w:pStyle w:val="6"/>
        <w:numPr>
          <w:ilvl w:val="0"/>
          <w:numId w:val="16"/>
        </w:numPr>
        <w:spacing w:line="360" w:lineRule="auto"/>
        <w:ind w:left="425" w:leftChars="0" w:hanging="425"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甲乙双方都清楚并愿意严格遵守中华人民共和国反商业贿赂的法律规定，双方都清楚任何形式的贿赂和贪渎行为都将触犯法律，并将受到法律的严惩。</w:t>
      </w:r>
    </w:p>
    <w:p w14:paraId="78152F85">
      <w:pPr>
        <w:pStyle w:val="6"/>
        <w:numPr>
          <w:ilvl w:val="0"/>
          <w:numId w:val="16"/>
        </w:numPr>
        <w:spacing w:line="360" w:lineRule="auto"/>
        <w:ind w:left="425" w:leftChars="0" w:hanging="425"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790DF987">
      <w:pPr>
        <w:pStyle w:val="6"/>
        <w:numPr>
          <w:ilvl w:val="0"/>
          <w:numId w:val="16"/>
        </w:numPr>
        <w:spacing w:line="360" w:lineRule="auto"/>
        <w:ind w:left="425" w:leftChars="0" w:hanging="425"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乙方严格禁止乙方经办人员的任何商业贿赂行为。乙方经办人发生本条第二款所列示的任何一种行为，都是违反乙方公司制度的，都将受到乙方公司制度和国家法律的惩处。</w:t>
      </w:r>
    </w:p>
    <w:p w14:paraId="49DF9FD6">
      <w:pPr>
        <w:pStyle w:val="6"/>
        <w:numPr>
          <w:ilvl w:val="0"/>
          <w:numId w:val="16"/>
        </w:numPr>
        <w:spacing w:line="360" w:lineRule="auto"/>
        <w:ind w:left="425" w:leftChars="0" w:hanging="425"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乙方郑重提示：乙方反对甲方或甲方经办人员为了本合同之目的与本合同以外的任何第三方发生本条款第二款所列示的任何一种行为，该等行为都是违反国家法律的行为，并将受到国家法律的惩处。</w:t>
      </w:r>
    </w:p>
    <w:p w14:paraId="56B6D455">
      <w:pPr>
        <w:pStyle w:val="6"/>
        <w:keepNext w:val="0"/>
        <w:keepLines w:val="0"/>
        <w:pageBreakBefore w:val="0"/>
        <w:widowControl/>
        <w:numPr>
          <w:ilvl w:val="0"/>
          <w:numId w:val="16"/>
        </w:numPr>
        <w:kinsoku w:val="0"/>
        <w:wordWrap/>
        <w:overflowPunct/>
        <w:topLinePunct w:val="0"/>
        <w:autoSpaceDE w:val="0"/>
        <w:autoSpaceDN w:val="0"/>
        <w:bidi w:val="0"/>
        <w:adjustRightInd w:val="0"/>
        <w:snapToGrid w:val="0"/>
        <w:spacing w:line="360" w:lineRule="auto"/>
        <w:ind w:left="425" w:leftChars="0" w:hanging="425" w:firstLineChars="0"/>
        <w:textAlignment w:val="baseline"/>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如因一方或一方经办人违反本条第二款、第三款、第四款之规定，给对方造成损失的，应承担损害赔偿责任。</w:t>
      </w:r>
    </w:p>
    <w:p w14:paraId="159CFFF8">
      <w:pPr>
        <w:pStyle w:val="6"/>
        <w:keepNext w:val="0"/>
        <w:keepLines w:val="0"/>
        <w:pageBreakBefore w:val="0"/>
        <w:widowControl/>
        <w:numPr>
          <w:ilvl w:val="0"/>
          <w:numId w:val="16"/>
        </w:numPr>
        <w:kinsoku w:val="0"/>
        <w:wordWrap/>
        <w:overflowPunct/>
        <w:topLinePunct w:val="0"/>
        <w:autoSpaceDE w:val="0"/>
        <w:autoSpaceDN w:val="0"/>
        <w:bidi w:val="0"/>
        <w:adjustRightInd w:val="0"/>
        <w:snapToGrid w:val="0"/>
        <w:spacing w:line="360" w:lineRule="auto"/>
        <w:ind w:left="425" w:leftChars="0" w:hanging="425" w:firstLineChars="0"/>
        <w:textAlignment w:val="baseline"/>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本条所称“其他相关人员”是指甲乙方经办人以外的与合同有直接或间接利益关系的人员，包括但不仅限于合同经办人的亲友。</w:t>
      </w:r>
    </w:p>
    <w:p w14:paraId="55677A0D">
      <w:pPr>
        <w:pStyle w:val="6"/>
        <w:spacing w:line="360" w:lineRule="auto"/>
        <w:ind w:firstLine="562" w:firstLineChars="200"/>
        <w:jc w:val="center"/>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十二、反虚假宣传条款</w:t>
      </w:r>
    </w:p>
    <w:p w14:paraId="152C4208">
      <w:pPr>
        <w:pStyle w:val="6"/>
        <w:spacing w:line="360" w:lineRule="auto"/>
        <w:ind w:firstLine="560" w:firstLineChars="20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甲、乙双方均清楚并愿意严格遵守中华人民共和国《著作权法》、《商标法》、《专利法》、《反不正当竞争法》等知识产权类、《民法典》及广告法等相关法律的规定，双方均有权就本合同所约定事项以约定方式在约定范围内进行真实、合理的使用或宣传，但不得涉及合同所约定的保密内容。为避免商标侵权及不当宣传等风险的发生，双方均同意，在使用对方的商标、品牌、企业名称等进行宣传前，均须获得对方事先的书面认可，否则，不得进行此类使用或宣传。双方在此承诺，会积极响应对方提出的就合作事项的合理使用或宣传申请。双方均承认，未经对方事先书面同意而利用其商标、品牌及企业名称等进行商业宣传；虚构合作事项；夸大合作范围、内容、效果、规模、程度等，均属对本合同的违反，并可能因虚假宣传构成不正当竞争，守约方或被侵权人将保留追究相应法律责任的权利。</w:t>
      </w:r>
    </w:p>
    <w:p w14:paraId="7217F123">
      <w:pPr>
        <w:pStyle w:val="6"/>
        <w:spacing w:line="360" w:lineRule="auto"/>
        <w:ind w:firstLine="562" w:firstLineChars="200"/>
        <w:jc w:val="center"/>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十三、附则</w:t>
      </w:r>
    </w:p>
    <w:p w14:paraId="1554BE28">
      <w:pPr>
        <w:keepNext w:val="0"/>
        <w:keepLines w:val="0"/>
        <w:pageBreakBefore w:val="0"/>
        <w:widowControl w:val="0"/>
        <w:kinsoku/>
        <w:wordWrap/>
        <w:overflowPunct/>
        <w:topLinePunct w:val="0"/>
        <w:autoSpaceDE w:val="0"/>
        <w:autoSpaceDN w:val="0"/>
        <w:bidi w:val="0"/>
        <w:snapToGrid/>
        <w:spacing w:line="360" w:lineRule="auto"/>
        <w:ind w:firstLine="420" w:firstLineChars="200"/>
        <w:jc w:val="both"/>
        <w:textAlignment w:val="auto"/>
        <w:rPr>
          <w:rFonts w:hint="default" w:ascii="宋体" w:hAnsi="宋体" w:eastAsia="宋体" w:cs="宋体"/>
          <w:color w:val="auto"/>
          <w:kern w:val="2"/>
          <w:highlight w:val="none"/>
          <w:lang w:val="en-US" w:eastAsia="zh-CN"/>
        </w:rPr>
      </w:pPr>
      <w:r>
        <w:rPr>
          <w:rFonts w:hint="eastAsia" w:ascii="宋体" w:hAnsi="宋体" w:eastAsia="宋体" w:cs="宋体"/>
          <w:color w:val="auto"/>
          <w:kern w:val="2"/>
          <w:highlight w:val="none"/>
          <w:lang w:val="en-US" w:eastAsia="zh-CN"/>
        </w:rPr>
        <w:t>xxxx</w:t>
      </w:r>
    </w:p>
    <w:p w14:paraId="17858C89">
      <w:pPr>
        <w:rPr>
          <w:rFonts w:hint="eastAsia" w:ascii="宋体" w:hAnsi="宋体" w:eastAsia="宋体" w:cs="宋体"/>
          <w:color w:val="auto"/>
          <w:highlight w:val="yellow"/>
        </w:rPr>
      </w:pPr>
    </w:p>
    <w:p w14:paraId="652F9CB1">
      <w:pPr>
        <w:pStyle w:val="6"/>
        <w:spacing w:line="360" w:lineRule="auto"/>
        <w:ind w:firstLine="482" w:firstLineChars="200"/>
        <w:rPr>
          <w:rFonts w:hint="default" w:ascii="宋体" w:hAnsi="宋体" w:eastAsia="宋体" w:cs="宋体"/>
          <w:b/>
          <w:bCs/>
          <w:color w:val="auto"/>
          <w:highlight w:val="yellow"/>
          <w:lang w:val="en-US" w:eastAsia="zh-CN"/>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23027">
    <w:pPr>
      <w:spacing w:line="196" w:lineRule="auto"/>
      <w:ind w:left="499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E14C36">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E14C36">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6DC7A"/>
    <w:multiLevelType w:val="singleLevel"/>
    <w:tmpl w:val="B536DC7A"/>
    <w:lvl w:ilvl="0" w:tentative="0">
      <w:start w:val="1"/>
      <w:numFmt w:val="decimal"/>
      <w:lvlText w:val="(%1)"/>
      <w:lvlJc w:val="left"/>
      <w:pPr>
        <w:ind w:left="425" w:hanging="425"/>
      </w:pPr>
      <w:rPr>
        <w:rFonts w:hint="default"/>
        <w:sz w:val="28"/>
        <w:szCs w:val="28"/>
      </w:rPr>
    </w:lvl>
  </w:abstractNum>
  <w:abstractNum w:abstractNumId="1">
    <w:nsid w:val="B6347A1A"/>
    <w:multiLevelType w:val="singleLevel"/>
    <w:tmpl w:val="B6347A1A"/>
    <w:lvl w:ilvl="0" w:tentative="0">
      <w:start w:val="1"/>
      <w:numFmt w:val="decimal"/>
      <w:lvlText w:val="(%1)"/>
      <w:lvlJc w:val="left"/>
      <w:pPr>
        <w:ind w:left="425" w:hanging="425"/>
      </w:pPr>
      <w:rPr>
        <w:rFonts w:hint="default" w:ascii="宋体" w:hAnsi="宋体" w:eastAsia="宋体" w:cs="宋体"/>
        <w:sz w:val="28"/>
        <w:szCs w:val="28"/>
      </w:rPr>
    </w:lvl>
  </w:abstractNum>
  <w:abstractNum w:abstractNumId="2">
    <w:nsid w:val="B9313B3E"/>
    <w:multiLevelType w:val="singleLevel"/>
    <w:tmpl w:val="B9313B3E"/>
    <w:lvl w:ilvl="0" w:tentative="0">
      <w:start w:val="1"/>
      <w:numFmt w:val="decimal"/>
      <w:lvlText w:val="(%1)"/>
      <w:lvlJc w:val="left"/>
      <w:pPr>
        <w:ind w:left="425" w:hanging="425"/>
      </w:pPr>
      <w:rPr>
        <w:rFonts w:hint="default" w:ascii="宋体" w:hAnsi="宋体" w:eastAsia="宋体" w:cs="宋体"/>
        <w:sz w:val="28"/>
        <w:szCs w:val="28"/>
      </w:rPr>
    </w:lvl>
  </w:abstractNum>
  <w:abstractNum w:abstractNumId="3">
    <w:nsid w:val="BBD9D411"/>
    <w:multiLevelType w:val="singleLevel"/>
    <w:tmpl w:val="BBD9D411"/>
    <w:lvl w:ilvl="0" w:tentative="0">
      <w:start w:val="1"/>
      <w:numFmt w:val="decimal"/>
      <w:lvlText w:val="(%1)"/>
      <w:lvlJc w:val="left"/>
      <w:pPr>
        <w:ind w:left="5" w:hanging="425"/>
      </w:pPr>
      <w:rPr>
        <w:rFonts w:hint="default"/>
        <w:sz w:val="28"/>
        <w:szCs w:val="28"/>
      </w:rPr>
    </w:lvl>
  </w:abstractNum>
  <w:abstractNum w:abstractNumId="4">
    <w:nsid w:val="BFCE42AE"/>
    <w:multiLevelType w:val="singleLevel"/>
    <w:tmpl w:val="BFCE42AE"/>
    <w:lvl w:ilvl="0" w:tentative="0">
      <w:start w:val="1"/>
      <w:numFmt w:val="decimal"/>
      <w:lvlText w:val="(%1)"/>
      <w:lvlJc w:val="left"/>
      <w:pPr>
        <w:ind w:left="425" w:hanging="425"/>
      </w:pPr>
      <w:rPr>
        <w:rFonts w:hint="default" w:ascii="宋体" w:hAnsi="宋体" w:eastAsia="宋体" w:cs="宋体"/>
        <w:sz w:val="28"/>
        <w:szCs w:val="28"/>
      </w:rPr>
    </w:lvl>
  </w:abstractNum>
  <w:abstractNum w:abstractNumId="5">
    <w:nsid w:val="BFEB27EC"/>
    <w:multiLevelType w:val="singleLevel"/>
    <w:tmpl w:val="BFEB27EC"/>
    <w:lvl w:ilvl="0" w:tentative="0">
      <w:start w:val="1"/>
      <w:numFmt w:val="decimal"/>
      <w:lvlText w:val="(%1)"/>
      <w:lvlJc w:val="left"/>
      <w:pPr>
        <w:ind w:left="425" w:hanging="425"/>
      </w:pPr>
      <w:rPr>
        <w:rFonts w:hint="default" w:ascii="宋体" w:hAnsi="宋体" w:eastAsia="宋体" w:cs="宋体"/>
        <w:sz w:val="28"/>
        <w:szCs w:val="28"/>
      </w:rPr>
    </w:lvl>
  </w:abstractNum>
  <w:abstractNum w:abstractNumId="6">
    <w:nsid w:val="D15321CC"/>
    <w:multiLevelType w:val="singleLevel"/>
    <w:tmpl w:val="D15321CC"/>
    <w:lvl w:ilvl="0" w:tentative="0">
      <w:start w:val="1"/>
      <w:numFmt w:val="decimal"/>
      <w:lvlText w:val="(%1)"/>
      <w:lvlJc w:val="left"/>
      <w:pPr>
        <w:ind w:left="425" w:hanging="425"/>
      </w:pPr>
      <w:rPr>
        <w:rFonts w:hint="default"/>
        <w:sz w:val="28"/>
        <w:szCs w:val="28"/>
      </w:rPr>
    </w:lvl>
  </w:abstractNum>
  <w:abstractNum w:abstractNumId="7">
    <w:nsid w:val="E65B5CDB"/>
    <w:multiLevelType w:val="singleLevel"/>
    <w:tmpl w:val="E65B5CDB"/>
    <w:lvl w:ilvl="0" w:tentative="0">
      <w:start w:val="1"/>
      <w:numFmt w:val="decimal"/>
      <w:suff w:val="space"/>
      <w:lvlText w:val="(%1)"/>
      <w:lvlJc w:val="left"/>
      <w:pPr>
        <w:ind w:left="425" w:hanging="425"/>
      </w:pPr>
      <w:rPr>
        <w:rFonts w:hint="default" w:ascii="宋体" w:hAnsi="宋体" w:eastAsia="宋体" w:cs="宋体"/>
        <w:sz w:val="28"/>
        <w:szCs w:val="28"/>
      </w:rPr>
    </w:lvl>
  </w:abstractNum>
  <w:abstractNum w:abstractNumId="8">
    <w:nsid w:val="F19960AA"/>
    <w:multiLevelType w:val="singleLevel"/>
    <w:tmpl w:val="F19960AA"/>
    <w:lvl w:ilvl="0" w:tentative="0">
      <w:start w:val="1"/>
      <w:numFmt w:val="decimal"/>
      <w:lvlText w:val="(%1)"/>
      <w:lvlJc w:val="left"/>
      <w:pPr>
        <w:ind w:left="425" w:hanging="425"/>
      </w:pPr>
      <w:rPr>
        <w:rFonts w:hint="default" w:ascii="宋体" w:hAnsi="宋体" w:eastAsia="宋体" w:cs="宋体"/>
        <w:sz w:val="28"/>
        <w:szCs w:val="28"/>
      </w:rPr>
    </w:lvl>
  </w:abstractNum>
  <w:abstractNum w:abstractNumId="9">
    <w:nsid w:val="F677B0CB"/>
    <w:multiLevelType w:val="singleLevel"/>
    <w:tmpl w:val="F677B0CB"/>
    <w:lvl w:ilvl="0" w:tentative="0">
      <w:start w:val="1"/>
      <w:numFmt w:val="decimal"/>
      <w:lvlText w:val="(%1)"/>
      <w:lvlJc w:val="left"/>
      <w:pPr>
        <w:ind w:left="425" w:hanging="425"/>
      </w:pPr>
      <w:rPr>
        <w:rFonts w:hint="default" w:ascii="宋体" w:hAnsi="宋体" w:eastAsia="宋体" w:cs="宋体"/>
        <w:sz w:val="28"/>
        <w:szCs w:val="28"/>
      </w:rPr>
    </w:lvl>
  </w:abstractNum>
  <w:abstractNum w:abstractNumId="10">
    <w:nsid w:val="F7FF4D7B"/>
    <w:multiLevelType w:val="singleLevel"/>
    <w:tmpl w:val="F7FF4D7B"/>
    <w:lvl w:ilvl="0" w:tentative="0">
      <w:start w:val="1"/>
      <w:numFmt w:val="decimal"/>
      <w:suff w:val="space"/>
      <w:lvlText w:val="(%1)"/>
      <w:lvlJc w:val="left"/>
      <w:pPr>
        <w:ind w:left="425" w:hanging="425"/>
      </w:pPr>
      <w:rPr>
        <w:rFonts w:hint="default" w:ascii="宋体" w:hAnsi="宋体" w:eastAsia="宋体" w:cs="宋体"/>
        <w:sz w:val="28"/>
        <w:szCs w:val="28"/>
      </w:rPr>
    </w:lvl>
  </w:abstractNum>
  <w:abstractNum w:abstractNumId="11">
    <w:nsid w:val="FE18CF4D"/>
    <w:multiLevelType w:val="singleLevel"/>
    <w:tmpl w:val="FE18CF4D"/>
    <w:lvl w:ilvl="0" w:tentative="0">
      <w:start w:val="1"/>
      <w:numFmt w:val="decimal"/>
      <w:lvlText w:val="(%1)"/>
      <w:lvlJc w:val="left"/>
      <w:pPr>
        <w:ind w:left="425" w:hanging="425"/>
      </w:pPr>
      <w:rPr>
        <w:rFonts w:hint="default" w:ascii="宋体" w:hAnsi="宋体" w:eastAsia="宋体" w:cs="宋体"/>
        <w:sz w:val="28"/>
        <w:szCs w:val="28"/>
      </w:rPr>
    </w:lvl>
  </w:abstractNum>
  <w:abstractNum w:abstractNumId="12">
    <w:nsid w:val="FFEF6ADF"/>
    <w:multiLevelType w:val="singleLevel"/>
    <w:tmpl w:val="FFEF6ADF"/>
    <w:lvl w:ilvl="0" w:tentative="0">
      <w:start w:val="1"/>
      <w:numFmt w:val="decimal"/>
      <w:lvlText w:val="(%1)"/>
      <w:lvlJc w:val="left"/>
      <w:pPr>
        <w:ind w:left="425" w:hanging="425"/>
      </w:pPr>
      <w:rPr>
        <w:rFonts w:hint="default"/>
        <w:sz w:val="28"/>
        <w:szCs w:val="28"/>
      </w:rPr>
    </w:lvl>
  </w:abstractNum>
  <w:abstractNum w:abstractNumId="13">
    <w:nsid w:val="FFF6CA79"/>
    <w:multiLevelType w:val="singleLevel"/>
    <w:tmpl w:val="FFF6CA79"/>
    <w:lvl w:ilvl="0" w:tentative="0">
      <w:start w:val="1"/>
      <w:numFmt w:val="decimal"/>
      <w:lvlText w:val="(%1)"/>
      <w:lvlJc w:val="left"/>
      <w:pPr>
        <w:ind w:left="425" w:hanging="425"/>
      </w:pPr>
      <w:rPr>
        <w:rFonts w:hint="default"/>
        <w:sz w:val="28"/>
        <w:szCs w:val="28"/>
      </w:rPr>
    </w:lvl>
  </w:abstractNum>
  <w:abstractNum w:abstractNumId="14">
    <w:nsid w:val="7BD6D98F"/>
    <w:multiLevelType w:val="singleLevel"/>
    <w:tmpl w:val="7BD6D98F"/>
    <w:lvl w:ilvl="0" w:tentative="0">
      <w:start w:val="1"/>
      <w:numFmt w:val="decimal"/>
      <w:lvlText w:val="(%1)"/>
      <w:lvlJc w:val="left"/>
      <w:pPr>
        <w:ind w:left="425" w:hanging="425"/>
      </w:pPr>
      <w:rPr>
        <w:rFonts w:hint="default" w:ascii="宋体" w:hAnsi="宋体" w:eastAsia="宋体" w:cs="宋体"/>
        <w:sz w:val="28"/>
        <w:szCs w:val="28"/>
      </w:rPr>
    </w:lvl>
  </w:abstractNum>
  <w:abstractNum w:abstractNumId="15">
    <w:nsid w:val="7DF87616"/>
    <w:multiLevelType w:val="singleLevel"/>
    <w:tmpl w:val="7DF87616"/>
    <w:lvl w:ilvl="0" w:tentative="0">
      <w:start w:val="1"/>
      <w:numFmt w:val="decimal"/>
      <w:lvlText w:val="(%1)"/>
      <w:lvlJc w:val="left"/>
      <w:pPr>
        <w:ind w:left="425" w:hanging="425"/>
      </w:pPr>
      <w:rPr>
        <w:rFonts w:hint="default" w:ascii="宋体" w:hAnsi="宋体" w:eastAsia="宋体" w:cs="宋体"/>
        <w:sz w:val="28"/>
        <w:szCs w:val="28"/>
      </w:rPr>
    </w:lvl>
  </w:abstractNum>
  <w:num w:numId="1">
    <w:abstractNumId w:val="13"/>
  </w:num>
  <w:num w:numId="2">
    <w:abstractNumId w:val="7"/>
  </w:num>
  <w:num w:numId="3">
    <w:abstractNumId w:val="10"/>
  </w:num>
  <w:num w:numId="4">
    <w:abstractNumId w:val="14"/>
  </w:num>
  <w:num w:numId="5">
    <w:abstractNumId w:val="4"/>
  </w:num>
  <w:num w:numId="6">
    <w:abstractNumId w:val="12"/>
  </w:num>
  <w:num w:numId="7">
    <w:abstractNumId w:val="8"/>
  </w:num>
  <w:num w:numId="8">
    <w:abstractNumId w:val="15"/>
  </w:num>
  <w:num w:numId="9">
    <w:abstractNumId w:val="9"/>
  </w:num>
  <w:num w:numId="10">
    <w:abstractNumId w:val="5"/>
  </w:num>
  <w:num w:numId="11">
    <w:abstractNumId w:val="11"/>
  </w:num>
  <w:num w:numId="12">
    <w:abstractNumId w:val="2"/>
  </w:num>
  <w:num w:numId="13">
    <w:abstractNumId w:val="1"/>
  </w:num>
  <w:num w:numId="14">
    <w:abstractNumId w:val="0"/>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 w:name="KSO_WPS_MARK_KEY" w:val="e29b1755-cdf6-4fef-b553-d5983f579d5a"/>
  </w:docVars>
  <w:rsids>
    <w:rsidRoot w:val="049641C4"/>
    <w:rsid w:val="04752844"/>
    <w:rsid w:val="049641C4"/>
    <w:rsid w:val="05367ADF"/>
    <w:rsid w:val="05CC2A23"/>
    <w:rsid w:val="05CE3165"/>
    <w:rsid w:val="063C24C3"/>
    <w:rsid w:val="0AC63228"/>
    <w:rsid w:val="0D867E47"/>
    <w:rsid w:val="0DC132F8"/>
    <w:rsid w:val="1739622D"/>
    <w:rsid w:val="1C1A5E77"/>
    <w:rsid w:val="26885423"/>
    <w:rsid w:val="294F26A6"/>
    <w:rsid w:val="295F3E16"/>
    <w:rsid w:val="2BEF7EF3"/>
    <w:rsid w:val="304B3540"/>
    <w:rsid w:val="33FA6588"/>
    <w:rsid w:val="37C70C75"/>
    <w:rsid w:val="39072D1B"/>
    <w:rsid w:val="3BB61769"/>
    <w:rsid w:val="3BDD666B"/>
    <w:rsid w:val="3C794497"/>
    <w:rsid w:val="3E664AEF"/>
    <w:rsid w:val="41551C04"/>
    <w:rsid w:val="44EB38DF"/>
    <w:rsid w:val="47BDC1EC"/>
    <w:rsid w:val="4AA2290B"/>
    <w:rsid w:val="4F9F08B1"/>
    <w:rsid w:val="4FEB3904"/>
    <w:rsid w:val="50B522BD"/>
    <w:rsid w:val="51C647C8"/>
    <w:rsid w:val="56085BA9"/>
    <w:rsid w:val="5F2A44FA"/>
    <w:rsid w:val="633E666B"/>
    <w:rsid w:val="63F726AE"/>
    <w:rsid w:val="68E63B14"/>
    <w:rsid w:val="6D5E4FF4"/>
    <w:rsid w:val="6D9FFD24"/>
    <w:rsid w:val="6F3B2572"/>
    <w:rsid w:val="6F5468FE"/>
    <w:rsid w:val="6F5F0041"/>
    <w:rsid w:val="6FD9A9D4"/>
    <w:rsid w:val="6FEFE3E2"/>
    <w:rsid w:val="721E0808"/>
    <w:rsid w:val="739FCC0B"/>
    <w:rsid w:val="74867DE8"/>
    <w:rsid w:val="773741E2"/>
    <w:rsid w:val="79865911"/>
    <w:rsid w:val="79E8FE93"/>
    <w:rsid w:val="7A310447"/>
    <w:rsid w:val="7BF01F18"/>
    <w:rsid w:val="7E095CD7"/>
    <w:rsid w:val="7EE37748"/>
    <w:rsid w:val="7F2F0098"/>
    <w:rsid w:val="BE7F267C"/>
    <w:rsid w:val="EEFF5D0E"/>
    <w:rsid w:val="F3F940DA"/>
    <w:rsid w:val="F56D9A0C"/>
    <w:rsid w:val="FBBEF923"/>
    <w:rsid w:val="FD922FE2"/>
    <w:rsid w:val="FDF38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Yu Gothic UI" w:hAnsi="Yu Gothic UI"/>
      <w:sz w:val="28"/>
    </w:rPr>
  </w:style>
  <w:style w:type="paragraph" w:styleId="3">
    <w:name w:val="Body Text Indent"/>
    <w:basedOn w:val="1"/>
    <w:qFormat/>
    <w:uiPriority w:val="0"/>
    <w:pPr>
      <w:adjustRightInd w:val="0"/>
      <w:spacing w:line="360" w:lineRule="atLeast"/>
      <w:ind w:firstLine="420"/>
      <w:jc w:val="left"/>
      <w:textAlignment w:val="baseline"/>
    </w:pPr>
    <w:rPr>
      <w:rFonts w:ascii="宋体"/>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Indent 3"/>
    <w:basedOn w:val="1"/>
    <w:qFormat/>
    <w:uiPriority w:val="0"/>
    <w:pPr>
      <w:ind w:firstLine="480" w:firstLineChars="200"/>
    </w:pPr>
    <w:rPr>
      <w:rFonts w:eastAsia="楷体_GB2312"/>
      <w:sz w:val="24"/>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15714</Words>
  <Characters>16031</Characters>
  <Lines>0</Lines>
  <Paragraphs>0</Paragraphs>
  <TotalTime>31</TotalTime>
  <ScaleCrop>false</ScaleCrop>
  <LinksUpToDate>false</LinksUpToDate>
  <CharactersWithSpaces>16213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2025-06-18T14:55:00Z</dcterms:created>
  <dc:creator>难得一身好本领</dc:creator>
  <cp:lastModifiedBy>我有点烦</cp:lastModifiedBy>
  <cp:lastPrinted>2025-08-05T10:50:00Z</cp:lastPrinted>
  <dcterms:modified xsi:type="dcterms:W3CDTF">2026-07-08T02:50:26Z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13E69BFF94EC4567905569492F6220A9_13</vt:lpwstr>
  </property>
  <property fmtid="{D5CDD505-2E9C-101B-9397-08002B2CF9AE}" pid="4" name="KSOTemplateDocerSaveRecord">
    <vt:lpwstr>eyJoZGlkIjoiNDdlYmUwYjVlZjNiODgzNDlkMjc1MDQzYjZlYjcxYTQiLCJ1c2VySWQiOiI0MDE3ODg0NjIifQ==</vt:lpwstr>
  </property>
</Properties>
</file>