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版本号：ZCSP-大荔县-2026-0014520260817001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大荔冬枣良种及轻简化管理技术示范项目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ZCSP-大荔县-2026-00145</w:t>
      </w:r>
      <w:r>
        <w:br/>
      </w:r>
      <w:r>
        <w:br/>
      </w:r>
      <w:r>
        <w:br/>
      </w:r>
    </w:p>
    <w:p>
      <w:pPr>
        <w:pStyle w:val="null3"/>
        <w:jc w:val="center"/>
        <w:outlineLvl w:val="2"/>
      </w:pPr>
      <w:r>
        <w:rPr>
          <w:rFonts w:ascii="仿宋_GB2312" w:hAnsi="仿宋_GB2312" w:cs="仿宋_GB2312" w:eastAsia="仿宋_GB2312"/>
          <w:sz w:val="28"/>
          <w:b/>
        </w:rPr>
        <w:t>大荔县林业技术推广站</w:t>
      </w:r>
    </w:p>
    <w:p>
      <w:pPr>
        <w:pStyle w:val="null3"/>
        <w:jc w:val="center"/>
        <w:outlineLvl w:val="2"/>
      </w:pPr>
      <w:r>
        <w:rPr>
          <w:rFonts w:ascii="仿宋_GB2312" w:hAnsi="仿宋_GB2312" w:cs="仿宋_GB2312" w:eastAsia="仿宋_GB2312"/>
          <w:sz w:val="28"/>
          <w:b/>
        </w:rPr>
        <w:t>陕西利隆建设项目管理有限公司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陕西利隆建设项目管理有限公司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大荔县林业技术推广站</w:t>
      </w:r>
      <w:r>
        <w:rPr>
          <w:rFonts w:ascii="仿宋_GB2312" w:hAnsi="仿宋_GB2312" w:cs="仿宋_GB2312" w:eastAsia="仿宋_GB2312"/>
        </w:rPr>
        <w:t>委托，拟对</w:t>
      </w:r>
      <w:r>
        <w:rPr>
          <w:rFonts w:ascii="仿宋_GB2312" w:hAnsi="仿宋_GB2312" w:cs="仿宋_GB2312" w:eastAsia="仿宋_GB2312"/>
        </w:rPr>
        <w:t>大荔冬枣良种及轻简化管理技术示范项目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ZCSP-大荔县-2026-00145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大荔冬枣良种及轻简化管理技术示范项目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建立冬枣良种及轻简化管理技术示范园800亩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采购包1（大荔冬枣良种及轻简化管理技术示范项目）：属于专门面向中小企业采购。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2、磋商保证金：供应商提供磋商保证金缴纳凭证</w:t>
      </w:r>
    </w:p>
    <w:p>
      <w:pPr>
        <w:pStyle w:val="null3"/>
      </w:pPr>
      <w:r>
        <w:rPr>
          <w:rFonts w:ascii="仿宋_GB2312" w:hAnsi="仿宋_GB2312" w:cs="仿宋_GB2312" w:eastAsia="仿宋_GB2312"/>
        </w:rPr>
        <w:t>3、信誉：投标人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大荔县林业技术推广站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大荔县城关镇南关路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大荔县林业技术推广站经办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18091361889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陕西利隆建设项目管理有限公司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陕西省渭南市临渭区朝阳⼤街中段审计⼤楼东座301室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宋敏歌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0913-2056859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采购包1：1,563,160.00元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开户名称：陕西利隆建设项⽬管理有限公司</w:t>
            </w:r>
          </w:p>
          <w:p>
            <w:pPr>
              <w:pStyle w:val="null3"/>
            </w:pPr>
            <w:r>
              <w:rPr>
                <w:rFonts w:ascii="仿宋_GB2312" w:hAnsi="仿宋_GB2312" w:cs="仿宋_GB2312" w:eastAsia="仿宋_GB2312"/>
              </w:rPr>
              <w:t>开户银行：中国⼯商银⾏股份有限公司渭南仓程路⽀⾏</w:t>
            </w:r>
          </w:p>
          <w:p>
            <w:pPr>
              <w:pStyle w:val="null3"/>
            </w:pPr>
            <w:r>
              <w:rPr>
                <w:rFonts w:ascii="仿宋_GB2312" w:hAnsi="仿宋_GB2312" w:cs="仿宋_GB2312" w:eastAsia="仿宋_GB2312"/>
              </w:rPr>
              <w:t>银行账号：2605025909020001177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2002﹞1980号、发改价格﹝2011﹞534号⽂件的计费标准，以成交（成交）价为基数计算，按照标准收取。由成交供应商在领取成交通知书前，⼀次性向采购代理机构缴纳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大荔县林业技术推广站</w:t>
      </w:r>
      <w:r>
        <w:rPr>
          <w:rFonts w:ascii="仿宋_GB2312" w:hAnsi="仿宋_GB2312" w:cs="仿宋_GB2312" w:eastAsia="仿宋_GB2312"/>
        </w:rPr>
        <w:t>和</w:t>
      </w:r>
      <w:r>
        <w:rPr>
          <w:rFonts w:ascii="仿宋_GB2312" w:hAnsi="仿宋_GB2312" w:cs="仿宋_GB2312" w:eastAsia="仿宋_GB2312"/>
        </w:rPr>
        <w:t>陕西利隆建设项目管理有限公司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大荔县林业技术推广站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陕西利隆建设项目管理有限公司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大荔县林业技术推广站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陕西利隆建设项目管理有限公司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联系人：宋敏歌</w:t>
      </w:r>
    </w:p>
    <w:p>
      <w:pPr>
        <w:pStyle w:val="null3"/>
      </w:pPr>
      <w:r>
        <w:rPr>
          <w:rFonts w:ascii="仿宋_GB2312" w:hAnsi="仿宋_GB2312" w:cs="仿宋_GB2312" w:eastAsia="仿宋_GB2312"/>
        </w:rPr>
        <w:t>联系电话：0913-2056859</w:t>
      </w:r>
    </w:p>
    <w:p>
      <w:pPr>
        <w:pStyle w:val="null3"/>
      </w:pPr>
      <w:r>
        <w:rPr>
          <w:rFonts w:ascii="仿宋_GB2312" w:hAnsi="仿宋_GB2312" w:cs="仿宋_GB2312" w:eastAsia="仿宋_GB2312"/>
        </w:rPr>
        <w:t>地址：陕西省渭南市临渭区朝阳⼤街中段审计⼤楼301室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建立冬枣良种及轻简化管理技术示范园800亩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1,563,160.00</w:t>
      </w:r>
    </w:p>
    <w:p>
      <w:pPr>
        <w:pStyle w:val="null3"/>
      </w:pPr>
      <w:r>
        <w:rPr>
          <w:rFonts w:ascii="仿宋_GB2312" w:hAnsi="仿宋_GB2312" w:cs="仿宋_GB2312" w:eastAsia="仿宋_GB2312"/>
        </w:rPr>
        <w:t>采购包最高限价（元）: 1,563,160.00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大荔冬枣良种及轻简化管理技术示范项目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1,563,160.00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标的名称：大荔冬枣良种及轻简化管理技术示范项目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b/>
              </w:rPr>
              <w:t>一、项目建设内容</w:t>
            </w:r>
          </w:p>
          <w:p>
            <w:pPr>
              <w:pStyle w:val="null3"/>
              <w:ind w:firstLine="480"/>
              <w:jc w:val="both"/>
            </w:pPr>
            <w:r>
              <w:rPr>
                <w:rFonts w:ascii="仿宋_GB2312" w:hAnsi="仿宋_GB2312" w:cs="仿宋_GB2312" w:eastAsia="仿宋_GB2312"/>
                <w:sz w:val="21"/>
              </w:rPr>
              <w:t>建立冬枣良种及轻简化管理技术示范园800亩。</w:t>
            </w:r>
          </w:p>
          <w:p>
            <w:pPr>
              <w:pStyle w:val="null3"/>
              <w:ind w:firstLine="480"/>
              <w:jc w:val="both"/>
            </w:pPr>
            <w:r>
              <w:rPr>
                <w:rFonts w:ascii="仿宋_GB2312" w:hAnsi="仿宋_GB2312" w:cs="仿宋_GB2312" w:eastAsia="仿宋_GB2312"/>
                <w:sz w:val="21"/>
              </w:rPr>
              <w:t>项目建设内容为：本项目计划在大荔县建立冬枣良种及轻简化管理示范园2个，其中，冬枣良种示范园300亩，位于冯村镇贺家洼村西，在本村西南设置对照区30亩；轻简化管理示范园500亩，位于埝桥镇南黄村东北，在本村东南设置对照区60亩。</w:t>
            </w:r>
          </w:p>
          <w:p>
            <w:pPr>
              <w:pStyle w:val="null3"/>
              <w:jc w:val="center"/>
            </w:pPr>
            <w:r>
              <w:rPr>
                <w:rFonts w:ascii="仿宋_GB2312" w:hAnsi="仿宋_GB2312" w:cs="仿宋_GB2312" w:eastAsia="仿宋_GB2312"/>
                <w:sz w:val="28"/>
                <w:b/>
              </w:rPr>
              <w:t>项目建设内容统计表</w:t>
            </w:r>
          </w:p>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64"/>
              <w:gridCol w:w="467"/>
              <w:gridCol w:w="397"/>
              <w:gridCol w:w="409"/>
              <w:gridCol w:w="471"/>
              <w:gridCol w:w="430"/>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建设地点</w:t>
                  </w:r>
                </w:p>
              </w:tc>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项目区位置</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作业小班</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作业内容</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示范园面积</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对照面积</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大荔</w:t>
                  </w:r>
                  <w:r>
                    <w:rPr>
                      <w:rFonts w:ascii="仿宋_GB2312" w:hAnsi="仿宋_GB2312" w:cs="仿宋_GB2312" w:eastAsia="仿宋_GB2312"/>
                      <w:sz w:val="15"/>
                    </w:rPr>
                    <w:t>县</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冯村镇</w:t>
                  </w:r>
                  <w:r>
                    <w:rPr>
                      <w:rFonts w:ascii="仿宋_GB2312" w:hAnsi="仿宋_GB2312" w:cs="仿宋_GB2312" w:eastAsia="仿宋_GB2312"/>
                      <w:sz w:val="15"/>
                    </w:rPr>
                    <w:t xml:space="preserve">     </w:t>
                  </w:r>
                  <w:r>
                    <w:rPr>
                      <w:rFonts w:ascii="仿宋_GB2312" w:hAnsi="仿宋_GB2312" w:cs="仿宋_GB2312" w:eastAsia="仿宋_GB2312"/>
                      <w:sz w:val="15"/>
                    </w:rPr>
                    <w:t>贺家洼村</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良种示范</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300</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4"/>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30</w:t>
                  </w:r>
                </w:p>
              </w:tc>
            </w:tr>
            <w:tr>
              <w:tc>
                <w:tcPr>
                  <w:tcW w:type="dxa" w:w="364"/>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埝桥</w:t>
                  </w:r>
                  <w:r>
                    <w:rPr>
                      <w:rFonts w:ascii="仿宋_GB2312" w:hAnsi="仿宋_GB2312" w:cs="仿宋_GB2312" w:eastAsia="仿宋_GB2312"/>
                      <w:sz w:val="15"/>
                    </w:rPr>
                    <w:t>镇</w:t>
                  </w:r>
                  <w:r>
                    <w:rPr>
                      <w:rFonts w:ascii="仿宋_GB2312" w:hAnsi="仿宋_GB2312" w:cs="仿宋_GB2312" w:eastAsia="仿宋_GB2312"/>
                      <w:sz w:val="15"/>
                    </w:rPr>
                    <w:t xml:space="preserve">   </w:t>
                  </w:r>
                  <w:r>
                    <w:rPr>
                      <w:rFonts w:ascii="仿宋_GB2312" w:hAnsi="仿宋_GB2312" w:cs="仿宋_GB2312" w:eastAsia="仿宋_GB2312"/>
                      <w:sz w:val="15"/>
                    </w:rPr>
                    <w:t>南黄</w:t>
                  </w:r>
                  <w:r>
                    <w:rPr>
                      <w:rFonts w:ascii="仿宋_GB2312" w:hAnsi="仿宋_GB2312" w:cs="仿宋_GB2312" w:eastAsia="仿宋_GB2312"/>
                      <w:sz w:val="15"/>
                    </w:rPr>
                    <w:t>村</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轻简化管理示范</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500</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4"/>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4</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12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合计</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800</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90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二、主要技术措施</w:t>
            </w:r>
          </w:p>
          <w:p>
            <w:pPr>
              <w:pStyle w:val="null3"/>
              <w:ind w:firstLine="480"/>
              <w:jc w:val="both"/>
            </w:pPr>
            <w:r>
              <w:rPr>
                <w:rFonts w:ascii="仿宋_GB2312" w:hAnsi="仿宋_GB2312" w:cs="仿宋_GB2312" w:eastAsia="仿宋_GB2312"/>
                <w:sz w:val="21"/>
              </w:rPr>
              <w:t>本项目针对大荔冬枣产业发展中面临的良种栽培管理技术不到位、商品率偏低等问题，推广‘大荔冬枣2号’良种和“‘大荔冬枣2号’良种选育及示范”技术成果，示范推广良种及增施有机肥改良土壤、病虫害绿色防控等技术，以点带面、示范引领大荔良种冬枣实现优质高效。针对冬枣防雨棚栽培中化肥农药过量、投工投劳较大等突出问题，着重示范推广地方标准《冬枣绿色生产标准综合体》，以土肥水管理、整形修剪和病虫害绿色防控等技术示范，建立冬枣轻简化管理示范园，为冬枣产业发展提供标准样板。同时，通过开展技术培训、发放技术资料等形式，加大实用技术普及面，全面提升枣农经营管理水平，引领冬枣产业良种化、轻简化绿色高效转型。</w:t>
            </w:r>
          </w:p>
          <w:p>
            <w:pPr>
              <w:pStyle w:val="null3"/>
              <w:jc w:val="both"/>
            </w:pPr>
            <w:r>
              <w:rPr>
                <w:rFonts w:ascii="仿宋_GB2312" w:hAnsi="仿宋_GB2312" w:cs="仿宋_GB2312" w:eastAsia="仿宋_GB2312"/>
                <w:sz w:val="21"/>
              </w:rPr>
              <w:t>项目建设技术路线路</w:t>
            </w:r>
          </w:p>
          <w:p>
            <w:pPr>
              <w:pStyle w:val="null3"/>
              <w:ind w:firstLine="640"/>
              <w:jc w:val="both"/>
            </w:pPr>
            <w:r>
              <w:drawing>
                <wp:inline distT="0" distR="0" distB="0" distL="0">
                  <wp:extent cx="1621155" cy="137692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376924"/>
                          </a:xfrm>
                          <a:prstGeom prst="rect">
                            <a:avLst/>
                          </a:prstGeom>
                        </pic:spPr>
                      </pic:pic>
                    </a:graphicData>
                  </a:graphic>
                </wp:inline>
              </w:drawing>
            </w:r>
            <w:r>
              <w:br/>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 xml:space="preserve">      1、良种推广</w:t>
            </w:r>
          </w:p>
          <w:p>
            <w:pPr>
              <w:pStyle w:val="null3"/>
            </w:pPr>
            <w:r>
              <w:rPr>
                <w:rFonts w:ascii="仿宋_GB2312" w:hAnsi="仿宋_GB2312" w:cs="仿宋_GB2312" w:eastAsia="仿宋_GB2312"/>
                <w:sz w:val="21"/>
              </w:rPr>
              <w:t xml:space="preserve">      主要推广‘大荔冬枣2号’优良品种，该品种从沾化冬枣芽变中选育而成，树势中庸，以开心形树体为主，株行距2.0m×3.0m，冠幅1.59mx1.59m。果实扁圆形，果形整齐，颜色深红，平均单果重23.36g。主要用途为鲜食。该品种适宜在高水肥条件下进行矮化密植栽培，结果枝以3～6年生枣股结果能力最强，盛果期树木冬季整形要及时更新衰老枝；春季需及时抹芽；花期环割或环剥宜轻不宜重，盛花期喷赤霉素等植物生长调节剂促进坐果；白熟期开始采果，脆熟期口感最佳。适宜在大荔枣产区及其相似生态区推广应用。</w:t>
            </w:r>
          </w:p>
          <w:p>
            <w:pPr>
              <w:pStyle w:val="null3"/>
            </w:pPr>
            <w:r>
              <w:rPr>
                <w:rFonts w:ascii="仿宋_GB2312" w:hAnsi="仿宋_GB2312" w:cs="仿宋_GB2312" w:eastAsia="仿宋_GB2312"/>
                <w:sz w:val="21"/>
              </w:rPr>
              <w:t xml:space="preserve">      2、土壤改良</w:t>
            </w:r>
          </w:p>
          <w:p>
            <w:pPr>
              <w:pStyle w:val="null3"/>
            </w:pPr>
            <w:r>
              <w:rPr>
                <w:rFonts w:ascii="仿宋_GB2312" w:hAnsi="仿宋_GB2312" w:cs="仿宋_GB2312" w:eastAsia="仿宋_GB2312"/>
                <w:sz w:val="21"/>
              </w:rPr>
              <w:t xml:space="preserve">      通过增施有机肥并配合勤垦复措施改良土壤。项目区计划增施有机肥800吨，平均每亩增施有机肥1吨。结合秋冬施肥进行翻耕土壤，在生长季适时中耕除草，花期及高温季节适当留草，以改善土壤理化性状，增强保水保肥能力。增施有机肥可有效防止土壤板结，提高土壤通透性，保持土壤疏松健康，促进树体营养平衡，提高冬枣品质。</w:t>
            </w:r>
          </w:p>
          <w:p>
            <w:pPr>
              <w:pStyle w:val="null3"/>
            </w:pPr>
            <w:r>
              <w:rPr>
                <w:rFonts w:ascii="仿宋_GB2312" w:hAnsi="仿宋_GB2312" w:cs="仿宋_GB2312" w:eastAsia="仿宋_GB2312"/>
                <w:sz w:val="21"/>
              </w:rPr>
              <w:t xml:space="preserve">      3、树体管理</w:t>
            </w:r>
          </w:p>
          <w:p>
            <w:pPr>
              <w:pStyle w:val="null3"/>
            </w:pPr>
            <w:r>
              <w:rPr>
                <w:rFonts w:ascii="仿宋_GB2312" w:hAnsi="仿宋_GB2312" w:cs="仿宋_GB2312" w:eastAsia="仿宋_GB2312"/>
                <w:sz w:val="21"/>
              </w:rPr>
              <w:t xml:space="preserve">      按照《冬枣绿色生产标准综合体》第3部分《露地栽培技术规程》进行疏枝疏吊疏果，保证树体营养平衡，提高冬枣品质。要达到枝条分布均匀、树体通风透光、果实大小均匀、糖度高、色泽亮、美观的效果。采用开心形树体，主枝数量控制在4～5个，每个主枝上留8～10个二次枝，间隔15～20cm，每个二次枝留8个左右枣股，每个枣股留枣吊2～3个，多余部分及时疏除。疏果保留枣吊中部的2～3个果形好、果个大的枣果，以保证养分集中供应。</w:t>
            </w:r>
          </w:p>
          <w:p>
            <w:pPr>
              <w:pStyle w:val="null3"/>
            </w:pPr>
            <w:r>
              <w:rPr>
                <w:rFonts w:ascii="仿宋_GB2312" w:hAnsi="仿宋_GB2312" w:cs="仿宋_GB2312" w:eastAsia="仿宋_GB2312"/>
                <w:sz w:val="21"/>
              </w:rPr>
              <w:t xml:space="preserve">      4、病虫害综合防控</w:t>
            </w:r>
          </w:p>
          <w:p>
            <w:pPr>
              <w:pStyle w:val="null3"/>
            </w:pPr>
            <w:r>
              <w:rPr>
                <w:rFonts w:ascii="仿宋_GB2312" w:hAnsi="仿宋_GB2312" w:cs="仿宋_GB2312" w:eastAsia="仿宋_GB2312"/>
                <w:sz w:val="21"/>
              </w:rPr>
              <w:t xml:space="preserve">      坚持“预防为主，综合防治”的植保方针，遵循“农业防治、物理防治、生物防治为主，化学防治为辅”的原则，重点做好发芽前和采收后的全面清园。按主要病虫害发生规律科学用药，生长前期以防虫为主，生长后期特别是雨后以防病为主。严控化学药剂使用次数与剂量，应用粘虫板、粘虫胶、杀虫灯等物理防治措施进行病虫害防治。主要做好炭疽病、枣锈病、细菌性疮痂病、缩果病等病害防治及绿盲蝽、枣瘿蚊、叶螨、灰暗斑螟、蓟马、食芽象甲、枣尺蠖、桃小食心虫等虫害防治。</w:t>
            </w:r>
          </w:p>
          <w:p>
            <w:pPr>
              <w:pStyle w:val="null3"/>
            </w:pPr>
            <w:r>
              <w:rPr>
                <w:rFonts w:ascii="仿宋_GB2312" w:hAnsi="仿宋_GB2312" w:cs="仿宋_GB2312" w:eastAsia="仿宋_GB2312"/>
                <w:sz w:val="21"/>
              </w:rPr>
              <w:t xml:space="preserve">      5、科学施肥灌水</w:t>
            </w:r>
          </w:p>
          <w:p>
            <w:pPr>
              <w:pStyle w:val="null3"/>
            </w:pPr>
            <w:r>
              <w:rPr>
                <w:rFonts w:ascii="仿宋_GB2312" w:hAnsi="仿宋_GB2312" w:cs="仿宋_GB2312" w:eastAsia="仿宋_GB2312"/>
                <w:sz w:val="21"/>
              </w:rPr>
              <w:t xml:space="preserve">      秋季以腐熟有机肥为主，搭配中微量元素肥、氮磷钾复合肥施足基肥。花期及果实膨大期采取冲施肥或叶面喷肥补充营养。生长期以滴灌方式按需浇灌萌芽水、花前水、膨果水，冬季全园大水漫灌浇透一次，为来年丰产奠定基础。项目区计划铺设滴灌设施，提高水肥利用率。</w:t>
            </w:r>
          </w:p>
          <w:p>
            <w:pPr>
              <w:pStyle w:val="null3"/>
            </w:pPr>
            <w:r>
              <w:rPr>
                <w:rFonts w:ascii="仿宋_GB2312" w:hAnsi="仿宋_GB2312" w:cs="仿宋_GB2312" w:eastAsia="仿宋_GB2312"/>
                <w:sz w:val="21"/>
              </w:rPr>
              <w:t xml:space="preserve">      6、推广轻简化管控器具</w:t>
            </w:r>
          </w:p>
          <w:p>
            <w:pPr>
              <w:pStyle w:val="null3"/>
            </w:pPr>
            <w:r>
              <w:rPr>
                <w:rFonts w:ascii="仿宋_GB2312" w:hAnsi="仿宋_GB2312" w:cs="仿宋_GB2312" w:eastAsia="仿宋_GB2312"/>
                <w:sz w:val="21"/>
              </w:rPr>
              <w:t xml:space="preserve">      在项目区示范应用轻简化管理小型工器具、病虫害监测等仪器，实现解放劳动力与精准化防控病虫害，有效节省人力与农药投入，改变冬枣产业费工费时的传统生产模式，实现绿色低碳生产。还可以试点应用机器人采摘等先进科技，逐步把群众从繁重的人工劳作中解放出来。</w:t>
            </w:r>
          </w:p>
          <w:p>
            <w:pPr>
              <w:pStyle w:val="null3"/>
            </w:pPr>
            <w:r>
              <w:rPr>
                <w:rFonts w:ascii="仿宋_GB2312" w:hAnsi="仿宋_GB2312" w:cs="仿宋_GB2312" w:eastAsia="仿宋_GB2312"/>
                <w:sz w:val="21"/>
              </w:rPr>
              <w:t xml:space="preserve">      7、 设置对照区</w:t>
            </w:r>
          </w:p>
          <w:p>
            <w:pPr>
              <w:pStyle w:val="null3"/>
            </w:pPr>
            <w:r>
              <w:rPr>
                <w:rFonts w:ascii="仿宋_GB2312" w:hAnsi="仿宋_GB2312" w:cs="仿宋_GB2312" w:eastAsia="仿宋_GB2312"/>
                <w:sz w:val="21"/>
              </w:rPr>
              <w:t xml:space="preserve">      项目根据示范园建设共设置对照区2个，分别为：冬枣良种示范园对照区设置在冯村镇贺家洼村项目区附近，面积30亩，位于本村西南方位，栽植品种为‘大荔冬枣2号’，树龄、密度、管理水平与项目区基本相同；轻简化管理示范园对照区设置在埝桥镇南黄村项目区附近，面积60亩，位于本村东南方位，栽植品种为大荔冬枣，树龄、栽植密度，管理水平与项目区基本无差异。</w:t>
            </w:r>
          </w:p>
          <w:p>
            <w:pPr>
              <w:pStyle w:val="null3"/>
              <w:jc w:val="center"/>
            </w:pPr>
            <w:r>
              <w:rPr>
                <w:rFonts w:ascii="仿宋_GB2312" w:hAnsi="仿宋_GB2312" w:cs="仿宋_GB2312" w:eastAsia="仿宋_GB2312"/>
                <w:b/>
              </w:rPr>
              <w:t>物料清单</w:t>
            </w:r>
          </w:p>
          <w:tbl>
            <w:tblPr>
              <w:tblInd w:type="dxa" w:w="90"/>
              <w:tblBorders>
                <w:top w:val="none" w:color="000000" w:sz="4"/>
                <w:left w:val="none" w:color="000000" w:sz="4"/>
                <w:bottom w:val="none" w:color="000000" w:sz="4"/>
                <w:right w:val="none" w:color="000000" w:sz="4"/>
                <w:insideH w:val="none"/>
                <w:insideV w:val="none"/>
              </w:tblBorders>
            </w:tblPr>
            <w:tblGrid>
              <w:gridCol w:w="334"/>
              <w:gridCol w:w="1456"/>
              <w:gridCol w:w="237"/>
              <w:gridCol w:w="237"/>
              <w:gridCol w:w="281"/>
            </w:tblGrid>
            <w:tr>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物料名称</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技术参数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标准</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有机肥</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40kg/包；参数：有机质≥30%，总养分≥4%，水分≤30%，Ph值5.5-8.5，相关标准参考NY/T525-2021执行标准；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800kg/亩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杀虫灯</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规格：灯杆高度：直径</w:t>
                  </w:r>
                  <w:r>
                    <w:rPr>
                      <w:rFonts w:ascii="仿宋_GB2312" w:hAnsi="仿宋_GB2312" w:cs="仿宋_GB2312" w:eastAsia="仿宋_GB2312"/>
                      <w:sz w:val="18"/>
                      <w:color w:val="000000"/>
                    </w:rPr>
                    <w:t>63mm不锈钢管；壁厚1.2mm；整灯高度≥3米；抗风力10级以上，使用寿命＞10年；参数：蓄电池规格：专用锂电池，容量≥12V/30Ah，LED灯管功率：≥4W，波长范围320～680nm，整灯功率：≤9W，控制面积：30亩/盏-60亩/盏，符合国家标准GB/T 24689.2-2017及NB/T 34001-2011标准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40亩/台</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粘虫板</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PP塑料，规格：25x30(±0.2cm)；参数：单面胶层厚度：0.03mm~0.05mm；胶体粘接力≥6.8×10</w:t>
                  </w:r>
                  <w:r>
                    <w:rPr>
                      <w:rFonts w:ascii="仿宋_GB2312" w:hAnsi="仿宋_GB2312" w:cs="仿宋_GB2312" w:eastAsia="仿宋_GB2312"/>
                      <w:sz w:val="18"/>
                      <w:color w:val="000000"/>
                    </w:rPr>
                    <w:t>⁻⁴</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N/mm</w:t>
                  </w:r>
                  <w:r>
                    <w:rPr>
                      <w:rFonts w:ascii="仿宋_GB2312" w:hAnsi="仿宋_GB2312" w:cs="仿宋_GB2312" w:eastAsia="仿宋_GB2312"/>
                      <w:sz w:val="18"/>
                      <w:color w:val="000000"/>
                    </w:rPr>
                    <w:t>²</w:t>
                  </w:r>
                  <w:r>
                    <w:rPr>
                      <w:rFonts w:ascii="仿宋_GB2312" w:hAnsi="仿宋_GB2312" w:cs="仿宋_GB2312" w:eastAsia="仿宋_GB2312"/>
                      <w:sz w:val="18"/>
                      <w:color w:val="000000"/>
                    </w:rPr>
                    <w:t>；结构设计便于悬挂，双面覆膜，四面断胶、平整不卷曲，使用方便，双面涂胶，双面诱杀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32,000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40张/亩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诱捕器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规格：塑料诱捕器，立杆高度</w:t>
                  </w:r>
                  <w:r>
                    <w:rPr>
                      <w:rFonts w:ascii="仿宋_GB2312" w:hAnsi="仿宋_GB2312" w:cs="仿宋_GB2312" w:eastAsia="仿宋_GB2312"/>
                      <w:sz w:val="18"/>
                      <w:color w:val="000000"/>
                    </w:rPr>
                    <w:t>2米；参数：PP材质；</w:t>
                  </w:r>
                  <w:r>
                    <w:br/>
                  </w:r>
                  <w:r>
                    <w:rPr>
                      <w:rFonts w:ascii="仿宋_GB2312" w:hAnsi="仿宋_GB2312" w:cs="仿宋_GB2312" w:eastAsia="仿宋_GB2312"/>
                      <w:sz w:val="18"/>
                      <w:color w:val="000000"/>
                    </w:rPr>
                    <w:t>，瓶身内乳白色微透明，上口外径</w:t>
                  </w:r>
                  <w:r>
                    <w:rPr>
                      <w:rFonts w:ascii="仿宋_GB2312" w:hAnsi="仿宋_GB2312" w:cs="仿宋_GB2312" w:eastAsia="仿宋_GB2312"/>
                      <w:sz w:val="18"/>
                      <w:color w:val="000000"/>
                    </w:rPr>
                    <w:t>≥60mm，容积≥900ml</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5套/亩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捕食螨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规格参数：</w:t>
                  </w:r>
                  <w:r>
                    <w:rPr>
                      <w:rFonts w:ascii="仿宋_GB2312" w:hAnsi="仿宋_GB2312" w:cs="仿宋_GB2312" w:eastAsia="仿宋_GB2312"/>
                      <w:sz w:val="18"/>
                      <w:color w:val="000000"/>
                    </w:rPr>
                    <w:t>3000只/袋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2株/袋</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枯草芽孢杆菌</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1000g/袋；参数：粉剂，总有效成分含量≥1000亿/g</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54克/亩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哈茨木霉菌</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1000g/袋;参数：总有效成分含量哈茨木霉菌≥3亿CFU/克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150克/亩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苦参碱</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100ml/瓶；参数：有效成分含量苦参碱≥0.5%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45毫升</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苏云金杆菌</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200ml/瓶；剂型：悬浮剂，参数：苏云金杆菌≥6000IU/微升</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100ml/亩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春雷霉素</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1000ml/瓶；参数：总有效成分含量春雷霉素≥6%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60毫升</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松脂酸钠</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1000g/瓶；参数有效成分及其含量松脂酸钠≥30%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100ml/亩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藜芦碱</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1000ml/瓶；参数：有效成分及其含量藜芦胺≥0.1%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50ml/亩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印楝素</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500ml/瓶；参数：有效成分含量印楝素≥0.3%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120ml/亩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矿物油</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1L/瓶；参数：有效成分及其含量矿物油≥95%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120ml/亩</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代森锰锌</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1000g/袋；参数：有效成分及其含量代森锰锌≥80%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75克</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滴灌设施</w:t>
                  </w:r>
                  <w:r>
                    <w:rPr>
                      <w:rFonts w:ascii="仿宋_GB2312" w:hAnsi="仿宋_GB2312" w:cs="仿宋_GB2312" w:eastAsia="仿宋_GB2312"/>
                      <w:sz w:val="18"/>
                      <w:color w:val="000000"/>
                    </w:rPr>
                    <w:t>-滴灌管</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材料：</w:t>
                  </w:r>
                  <w:r>
                    <w:rPr>
                      <w:rFonts w:ascii="仿宋_GB2312" w:hAnsi="仿宋_GB2312" w:cs="仿宋_GB2312" w:eastAsia="仿宋_GB2312"/>
                      <w:sz w:val="18"/>
                      <w:color w:val="000000"/>
                    </w:rPr>
                    <w:t>PE材质，参数：</w:t>
                  </w:r>
                  <w:r>
                    <w:rPr>
                      <w:rFonts w:ascii="仿宋_GB2312" w:hAnsi="仿宋_GB2312" w:cs="仿宋_GB2312" w:eastAsia="仿宋_GB2312"/>
                      <w:sz w:val="18"/>
                      <w:color w:val="000000"/>
                    </w:rPr>
                    <w:t>Ø</w:t>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16，壁厚≥1.0㎜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160,000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200米</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滴灌设施</w:t>
                  </w:r>
                  <w:r>
                    <w:rPr>
                      <w:rFonts w:ascii="仿宋_GB2312" w:hAnsi="仿宋_GB2312" w:cs="仿宋_GB2312" w:eastAsia="仿宋_GB2312"/>
                      <w:sz w:val="18"/>
                      <w:color w:val="000000"/>
                    </w:rPr>
                    <w:t>-阀门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材料：</w:t>
                  </w:r>
                  <w:r>
                    <w:rPr>
                      <w:rFonts w:ascii="仿宋_GB2312" w:hAnsi="仿宋_GB2312" w:cs="仿宋_GB2312" w:eastAsia="仿宋_GB2312"/>
                      <w:sz w:val="18"/>
                      <w:color w:val="000000"/>
                    </w:rPr>
                    <w:t>PE，参数：</w:t>
                  </w:r>
                  <w:r>
                    <w:rPr>
                      <w:rFonts w:ascii="仿宋_GB2312" w:hAnsi="仿宋_GB2312" w:cs="仿宋_GB2312" w:eastAsia="仿宋_GB2312"/>
                      <w:sz w:val="18"/>
                      <w:color w:val="000000"/>
                    </w:rPr>
                    <w:t>Ø</w:t>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16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4个</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虫情监测仪器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对虫害的发生与发展进行分析和预测，为现代农业提供服务，满足虫情预测预报及标本采集的需要。【供电方式】：</w:t>
                  </w:r>
                  <w:r>
                    <w:rPr>
                      <w:rFonts w:ascii="仿宋_GB2312" w:hAnsi="仿宋_GB2312" w:cs="仿宋_GB2312" w:eastAsia="仿宋_GB2312"/>
                      <w:sz w:val="18"/>
                      <w:color w:val="000000"/>
                    </w:rPr>
                    <w:t>220VAC或太阳能供电【拍照参数】：系统支持≥500W像素高清图片，通信方式】：</w:t>
                  </w:r>
                  <w:r>
                    <w:br/>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4G及以上通信；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电动剪刀</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电池容量：</w:t>
                  </w:r>
                  <w:r>
                    <w:rPr>
                      <w:rFonts w:ascii="仿宋_GB2312" w:hAnsi="仿宋_GB2312" w:cs="仿宋_GB2312" w:eastAsia="仿宋_GB2312"/>
                      <w:sz w:val="18"/>
                      <w:color w:val="000000"/>
                    </w:rPr>
                    <w:t>4.0Ah，电机：无刷电机，电压：21V，最大开口直径：≥43mm</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标识牌</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w:t>
                  </w:r>
                  <w:r>
                    <w:rPr>
                      <w:rFonts w:ascii="仿宋_GB2312" w:hAnsi="仿宋_GB2312" w:cs="仿宋_GB2312" w:eastAsia="仿宋_GB2312"/>
                      <w:sz w:val="18"/>
                      <w:color w:val="000000"/>
                    </w:rPr>
                    <w:t>8*16cm</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大荔县冯村镇贺家洼村和埝桥镇南黄村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进度款，项目服务中期验收合格后，达到付款条件起10个工作日内，支付合同总金额的30.0%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进度款，项目服务结束验收合格后，达到付款条件起10个工作日内，支付合同总金额的30.0%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所属⾏业为:农、林、牧、渔业(营业收⼊20000万元以下的为中⼩微型企业。其中，营业收⼊500万元及以上的为中型企业，营业收⼊50万元及以上的为⼩型企业，营业收⼊50万元以下的为微型企业)。2、成交供应商在领取成交通知书后三个⼯作⽇，须向采购代理机构提供⼀正⼀副纸质响应⽂件及电⼦版1份(U盘存储)，且提供的响应⽂件必须与在陕西省政府采购综合管理平台的项⽬电⼦化交易系统中递交的电⼦响应⽂件内容⼀致，纸质版响应⽂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供应商须提供合法有效，具有独⽴承担⺠事责任能⼒的证明资料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时间⾄磋商时间不⾜⼀年的可提供成⽴后任意时段的资产负债表）或响应⽂件递交截⽌时间前六个⽉内其基本账戶银⾏出具的资信证明（附基本账戶证明）或政府采购信⽤担保机构出具的磋商担保函； （2）税收缴纳证明：提供响应⽂件递交截⽌时间前⼀年内任意⼀个⽉的缴费凭据 ；依法免税的应提供相关⽂件证明；（3）社会保障资⾦缴纳证明：提供响应⽂件递交截⽌时间前⼀年内任意⼀个⽉的社保缴费凭据或社保机构开具的社会保险参保缴费情况证明；依法不需要缴纳社会保障资⾦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具有履⾏本合同所必需的设备和专业技术能⼒的说明或承诺</w:t>
            </w:r>
          </w:p>
        </w:tc>
        <w:tc>
          <w:tcPr>
            <w:tcW w:type="dxa" w:w="3322"/>
          </w:tcPr>
          <w:p>
            <w:pPr>
              <w:pStyle w:val="null3"/>
            </w:pPr>
            <w:r>
              <w:rPr>
                <w:rFonts w:ascii="仿宋_GB2312" w:hAnsi="仿宋_GB2312" w:cs="仿宋_GB2312" w:eastAsia="仿宋_GB2312"/>
              </w:rPr>
              <w:t>提供具有履⾏本合同所必需的设备和专业技术能⼒的说明或承诺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参加政府采购活动前三年内在经营活动中没有重⼤违法记录的书⾯声明</w:t>
            </w:r>
          </w:p>
        </w:tc>
        <w:tc>
          <w:tcPr>
            <w:tcW w:type="dxa" w:w="3322"/>
          </w:tcPr>
          <w:p>
            <w:pPr>
              <w:pStyle w:val="null3"/>
            </w:pPr>
            <w:r>
              <w:rPr>
                <w:rFonts w:ascii="仿宋_GB2312" w:hAnsi="仿宋_GB2312" w:cs="仿宋_GB2312" w:eastAsia="仿宋_GB2312"/>
              </w:rPr>
              <w:t>提供参加政府采购活动前三年内在经营活动中没有重⼤违法记录的书⾯声明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1、报价货币符合磋商⽂件要求 ; 2、未超出采购预算或磋商⽂件规定的最⾼限价</w:t>
            </w:r>
          </w:p>
        </w:tc>
        <w:tc>
          <w:tcPr>
            <w:tcW w:type="dxa" w:w="1661"/>
          </w:tcPr>
          <w:p>
            <w:pPr>
              <w:pStyle w:val="null3"/>
            </w:pPr>
            <w:r>
              <w:rPr>
                <w:rFonts w:ascii="仿宋_GB2312" w:hAnsi="仿宋_GB2312" w:cs="仿宋_GB2312" w:eastAsia="仿宋_GB2312"/>
              </w:rPr>
              <w:t>费用组成表.docx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符合磋商⽂件签署盖章要求</w:t>
            </w:r>
          </w:p>
        </w:tc>
        <w:tc>
          <w:tcPr>
            <w:tcW w:type="dxa" w:w="1661"/>
          </w:tcPr>
          <w:p>
            <w:pPr>
              <w:pStyle w:val="null3"/>
            </w:pPr>
            <w:r>
              <w:rPr>
                <w:rFonts w:ascii="仿宋_GB2312" w:hAnsi="仿宋_GB2312" w:cs="仿宋_GB2312" w:eastAsia="仿宋_GB2312"/>
              </w:rPr>
              <w:t>业绩.docx 法定代表人身份证明书与法定代表人授权书.docx 中小企业声明函 费用组成表.docx 供应商应提交的相关资格证明材料 承诺书.docx 商务应答表.docx 服务条款响应偏离表.docx 项目团队人员配备表.docx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从递交响应⽂件的截⽌之⽇起算不少于90个⽇历⽇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响应内容不存在漏项或数量与要求不符合采购⽂件规定情形， 响应内容满⾜采购⽂件的商务、技术等实质性要求， 不存在采购档次降低或影响采购性能、功能的情形</w:t>
            </w:r>
          </w:p>
        </w:tc>
        <w:tc>
          <w:tcPr>
            <w:tcW w:type="dxa" w:w="1661"/>
          </w:tcPr>
          <w:p>
            <w:pPr>
              <w:pStyle w:val="null3"/>
            </w:pPr>
            <w:r>
              <w:rPr>
                <w:rFonts w:ascii="仿宋_GB2312" w:hAnsi="仿宋_GB2312" w:cs="仿宋_GB2312" w:eastAsia="仿宋_GB2312"/>
              </w:rPr>
              <w:t>商务应答表.docx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1.评审内容：评委根据供应商所提供的项目实施方案进行相应评分，包括但不限于：①作业区域的作业内容；②作业时间；③服务人员安排及管理制度；④作业方法等内容。 2.评审标准：以上评审内容，每项4分，满分16分。评审内容每缺失一项扣4分，每项内容有下列任意瑕疵的扣0.5分（单项评审内容中有相同瑕疵不重复扣分），扣完为止；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1.评审内容：针对本项目出现突发状况或问题后的补救措施等方面，包括但不限于：①对突发情况响应时间；②服务承诺；③应急方案等； 2.评审标准：以上评审内容，每项3分，满分9分。评审内容每缺失一项扣3分，每项内容有下列任意瑕疵的扣0.5分（单项评审内容中有相同瑕疵不重复扣分），扣完为止； 瑕疵是指： ①方案生搬硬套，与实际情况明显不符； ②存在与本项目明显无关的文字内容； ③内容不适用项目的实际情况；④内容缺失不完善，可实施性较差；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1.评审内容：针对本项目提供的需求制定合理的方案，包括但不限于以下内容①质量保障措施；②进度保障措施；③安全保障措施。 2.评审标准：以上评审内容，每项4分，满分12分。评审内容每缺失一项扣4分，每项内容有下列任意瑕疵的扣0.5分（单项评审内容中有相同瑕疵不重复扣分），扣完为止；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重点难点分析、解决 方案及合理化建议</w:t>
            </w:r>
          </w:p>
        </w:tc>
        <w:tc>
          <w:tcPr>
            <w:tcW w:type="dxa" w:w="2492"/>
          </w:tcPr>
          <w:p>
            <w:pPr>
              <w:pStyle w:val="null3"/>
            </w:pPr>
            <w:r>
              <w:rPr>
                <w:rFonts w:ascii="仿宋_GB2312" w:hAnsi="仿宋_GB2312" w:cs="仿宋_GB2312" w:eastAsia="仿宋_GB2312"/>
              </w:rPr>
              <w:t>1.评审内容：针对本项目提供的需求制定合理的方案，包括但不限于以下内容①对本项目的重点、难点进行分析；②对本项目重点、难点的应对措施；③针对本项目提出的合理化建议 2.评审标准：以上评审内容，每项1分，满分3分。评审内容每缺失一项扣1分，每项内容有下列任意瑕疵的扣0.2分（单项评审内容中有相同瑕疵不重复扣分），扣完为止；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拟投入作业设备配备</w:t>
            </w:r>
          </w:p>
        </w:tc>
        <w:tc>
          <w:tcPr>
            <w:tcW w:type="dxa" w:w="2492"/>
          </w:tcPr>
          <w:p>
            <w:pPr>
              <w:pStyle w:val="null3"/>
            </w:pPr>
            <w:r>
              <w:rPr>
                <w:rFonts w:ascii="仿宋_GB2312" w:hAnsi="仿宋_GB2312" w:cs="仿宋_GB2312" w:eastAsia="仿宋_GB2312"/>
              </w:rPr>
              <w:t>每配备⼀项本次服务所需相关设施设备（例如：土壤改良、树种管理、病虫害防治、施肥、灌水等）得1分，最多得6分。 注：须提供相关证明材料，未提供得0分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有机肥、防控物资技术参数</w:t>
            </w:r>
          </w:p>
        </w:tc>
        <w:tc>
          <w:tcPr>
            <w:tcW w:type="dxa" w:w="2492"/>
          </w:tcPr>
          <w:p>
            <w:pPr>
              <w:pStyle w:val="null3"/>
            </w:pPr>
            <w:r>
              <w:rPr>
                <w:rFonts w:ascii="仿宋_GB2312" w:hAnsi="仿宋_GB2312" w:cs="仿宋_GB2312" w:eastAsia="仿宋_GB2312"/>
              </w:rPr>
              <w:t>评委根据供应商所提供的拟投入有机肥、防控物资技术参数进行相应评分，技术指标有1项负偏离扣1分，扣完为止，相同产品负偏离不重复扣分。说明：供应商须提供相关技术指标证明材料予以佐证，若不提供，按负偏离处理。证明材料不限于检测报告、试验报告、产品彩页、厂家出具的技术证明文件、功能截图等（复印件加盖鲜章）。供应商自行承担因材料提供不全导致的技术参数评审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1、项⽬负责⼈：配备的项⽬负责⼈具有农业类相关专业高级职称得3分，中级职称得2分，不提供不得分； 2、项⽬负责⼈类似业绩：提供项⽬负责⼈2023年8⽉1⽇⾄今(以合同签订⽇期为准)类似项⽬业绩合同，每份计2.5分，满分5分，不提供不得分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1、除项目负责人外项目拟投入专业人员，10（含）人及以上得5分，5（含）-10人得3分，3（含）-5人得1分，3人以下或未提供不得分。 2、项目拟投入人员包含2名相关领域专业技术人员，均具有高级职称得5分，中级职称得3分，未提供不得分（需提供职称证书复印件加盖公章）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供应商自2023年8月1日至今承担过的类似项目业绩，每提供1个项目合同得2分，最多得6分。注：提供合同复印件（包括合同首页、合同内容描述页、合同盖章页）并加盖供应商公章；合同案例中合同的乙方必须与供应商的名称完全一致，如单位名称发生变更，必须提供证明文件，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 20 分。磋商报价得分=（磋商基准价/最后磋商报价）×价格权值（20%）×100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