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版本号：KY2026-1-514.1B120260603001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建材热性能精准测试平台采购项目(二次)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KY2026-1-514.1B1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建材热性能精准测试平台采购项目(二次)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KY2026-1-514.1B1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建材热性能精准测试平台采购项目(二次)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建材燃烧性能和热裂解特性直接关系建筑消防安全。本项目建设的测试平台，可为新型节能、防火建材的研发提供精准的测试数据支撑，优化材料配方和生产工艺，研究团队通过准确测试厚型建筑保温材料、高密度阻燃板材的燃烧性能，及准确分析实际建筑火灾等科研途径，推动建材产品向低能耗、高防火、高耐久性转型，助力建筑行业实现节能降碳目标，支撑绿色建筑评价体系实施和建筑节能政策落地。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2、所投进口产品的完整授权链证明材料：所投产品如为进口产品，提供所投进口产品的完整授权链证明材料。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银行账号：86113010750181502001173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代理服务费收费标准：中标人应依据中标金额向采购代理机构交纳中标服务费，交费金额以国家计委颁布的《招标代理服务收费管理暂行办法》(计价格[2002]1980号)文件为依据计代理服务费，按照以下要求计： 1、100万元(不含)以下的项目，按照文件标准计费收取； 2、100万元(含)以上的项目，按照文件标准上限75%计费。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联系人：杨子雨、刘金柯</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材燃烧性能和热裂解特性直接关系建筑消防安全。本项目建设的测试平台，可为新型节能、防火建材的研发提供精准的测试数据支撑，优化材料配方和生产工艺，研究团队通过准确测试厚型建筑保温材料、高密度阻燃板材的燃烧性能，及准确分析实际建筑火灾等科研途径，推动建材产品向低能耗、高防火、高耐久性转型，助力建筑行业实现节能降碳目标，支撑绿色建筑评价体系实施和建筑节能政策落地。具体内容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建材热性能精准测试平台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标的名称：建材热性能精准测试平台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shd w:fill="FFFFFF" w:val="clear"/>
              </w:rPr>
              <w:t>一、</w:t>
            </w:r>
            <w:r>
              <w:rPr>
                <w:rFonts w:ascii="仿宋_GB2312" w:hAnsi="仿宋_GB2312" w:cs="仿宋_GB2312" w:eastAsia="仿宋_GB2312"/>
                <w:sz w:val="24"/>
                <w:b/>
                <w:shd w:fill="FFFFFF" w:val="clear"/>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79"/>
              <w:gridCol w:w="1118"/>
              <w:gridCol w:w="526"/>
              <w:gridCol w:w="531"/>
            </w:tblGrid>
            <w:tr>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序号</w:t>
                  </w:r>
                </w:p>
              </w:tc>
              <w:tc>
                <w:tcPr>
                  <w:tcW w:type="dxa" w:w="1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产品名称</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数量</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单位</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锥形量热仪</w:t>
                  </w:r>
                </w:p>
                <w:p>
                  <w:pPr>
                    <w:pStyle w:val="null3"/>
                    <w:jc w:val="center"/>
                  </w:pPr>
                  <w:r>
                    <w:rPr>
                      <w:rFonts w:ascii="仿宋_GB2312" w:hAnsi="仿宋_GB2312" w:cs="仿宋_GB2312" w:eastAsia="仿宋_GB2312"/>
                      <w:sz w:val="24"/>
                      <w:color w:val="000000"/>
                    </w:rPr>
                    <w:t>【核心产品】</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热重分析仪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rPr>
              <w:t>技术标准、配置要求</w:t>
            </w:r>
          </w:p>
          <w:tbl>
            <w:tblPr>
              <w:tblInd w:type="dxa" w:w="120"/>
              <w:tblBorders>
                <w:top w:val="none" w:color="000000" w:sz="4"/>
                <w:left w:val="none" w:color="000000" w:sz="4"/>
                <w:bottom w:val="none" w:color="000000" w:sz="4"/>
                <w:right w:val="none" w:color="000000" w:sz="4"/>
                <w:insideH w:val="none"/>
                <w:insideV w:val="none"/>
              </w:tblBorders>
            </w:tblPr>
            <w:tblGrid>
              <w:gridCol w:w="133"/>
              <w:gridCol w:w="204"/>
              <w:gridCol w:w="1129"/>
              <w:gridCol w:w="539"/>
              <w:gridCol w:w="312"/>
              <w:gridCol w:w="236"/>
            </w:tblGrid>
            <w:tr>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1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技术标准</w:t>
                  </w:r>
                </w:p>
              </w:tc>
              <w:tc>
                <w:tcPr>
                  <w:tcW w:type="dxa" w:w="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配置要求</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数量</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锥形量热仪</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辐射锥:额定功率≥5kW，对试样平台(100mmx100mm)产生的热辐射范围≥100kW/㎡，可通过触摸屏软件在测试前和测试中调节辐射锥的高度，且移动的速度可调节，辐射锥可进行90°翻转。需提供支持水平和垂直辐射证明文件。</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.辐射锥可通过水冷式热流计自动校准热流量，可直接设置热辐射值，设定辐射锥的辐射热量，热辐射锥加热曲线可定义升温曲线设置，可模拟不同热辐射源。</w:t>
                  </w:r>
                </w:p>
                <w:p>
                  <w:pPr>
                    <w:pStyle w:val="null3"/>
                    <w:jc w:val="both"/>
                  </w:pPr>
                  <w:r>
                    <w:rPr>
                      <w:rFonts w:ascii="仿宋_GB2312" w:hAnsi="仿宋_GB2312" w:cs="仿宋_GB2312" w:eastAsia="仿宋_GB2312"/>
                      <w:sz w:val="21"/>
                      <w:color w:val="000000"/>
                    </w:rPr>
                    <w:t>需提供加热锥自定义升温操作软件界面证明。</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.自动辐射屏蔽板:可控制辐射锥下方的辐射屏蔽板移动。</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.点火器:火花点火器，带有安全切断装置，可通过软件自动定位和控制火花点火器移动。</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.点火脉冲频率及点火脉冲持续时间可自定义设置，可模拟不同能量和火花频率的起火源对材料自燃行为研究。提供点火脉冲软件频率和脉冲时间设置软件截图。</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.称重平台量程≥7kg，精度≤0.01g;</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.称重平台支持独立电动控制升降，升降范围≥100mm，提供称重平台可升降证明材料。</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.试验台采用花岗岩平台，试验台配备电动独立减震调平器。提供花岗岩平台及电动独立减震器实物证明。</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.防护屏:保护屏可包围整个火场模型，高度为全高。</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.排烟系统:由不锈钢制备的集烟罩，排烟管道，变频排烟机(0~50g/s)、孔板流量计(内置热电偶和微压差传感器)。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.烟雾光密度系统:采用≥0.5mW氦一氖激光测量系统，带有主路和参考(补偿)光路探测器。典型漂移≤0.1%。</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.标定燃烧器:使用99.5%纯度的甲烷测量，可通过软件对甲烷的质量流量进行控制。</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自动校准热释放速率</w:t>
                  </w:r>
                  <w:r>
                    <w:rPr>
                      <w:rFonts w:ascii="仿宋_GB2312" w:hAnsi="仿宋_GB2312" w:cs="仿宋_GB2312" w:eastAsia="仿宋_GB2312"/>
                      <w:sz w:val="21"/>
                      <w:color w:val="000000"/>
                    </w:rPr>
                    <w:t>,测试精度(含线性度):≤±0.5%Rd加±0.1%FS，重复性:&lt;0.2%Rd,控制稳定性:≤±0.1%FS触摸屏或键盘控制并具有以下功能:</w:t>
                  </w:r>
                </w:p>
                <w:p>
                  <w:pPr>
                    <w:pStyle w:val="null3"/>
                    <w:jc w:val="both"/>
                  </w:pPr>
                  <w:r>
                    <w:rPr>
                      <w:rFonts w:ascii="仿宋_GB2312" w:hAnsi="仿宋_GB2312" w:cs="仿宋_GB2312" w:eastAsia="仿宋_GB2312"/>
                      <w:sz w:val="21"/>
                      <w:color w:val="000000"/>
                    </w:rPr>
                    <w:t>13.1控制仪器和显示仪器状态;</w:t>
                  </w:r>
                </w:p>
                <w:p>
                  <w:pPr>
                    <w:pStyle w:val="null3"/>
                    <w:jc w:val="both"/>
                  </w:pPr>
                  <w:r>
                    <w:rPr>
                      <w:rFonts w:ascii="仿宋_GB2312" w:hAnsi="仿宋_GB2312" w:cs="仿宋_GB2312" w:eastAsia="仿宋_GB2312"/>
                      <w:sz w:val="21"/>
                      <w:color w:val="000000"/>
                    </w:rPr>
                    <w:t>13.2全自动校准气体分析仪(一键校准完成所有气体校准，操作简单且高效)和存储校准结果;</w:t>
                  </w:r>
                </w:p>
                <w:p>
                  <w:pPr>
                    <w:pStyle w:val="null3"/>
                    <w:jc w:val="both"/>
                  </w:pPr>
                  <w:r>
                    <w:rPr>
                      <w:rFonts w:ascii="仿宋_GB2312" w:hAnsi="仿宋_GB2312" w:cs="仿宋_GB2312" w:eastAsia="仿宋_GB2312"/>
                      <w:sz w:val="21"/>
                      <w:color w:val="000000"/>
                    </w:rPr>
                    <w:t>13.3仪器支持全自动校准C系数;通过常规小火场校准C系数;</w:t>
                  </w:r>
                </w:p>
                <w:p>
                  <w:pPr>
                    <w:pStyle w:val="null3"/>
                    <w:jc w:val="both"/>
                  </w:pPr>
                  <w:r>
                    <w:rPr>
                      <w:rFonts w:ascii="仿宋_GB2312" w:hAnsi="仿宋_GB2312" w:cs="仿宋_GB2312" w:eastAsia="仿宋_GB2312"/>
                      <w:sz w:val="21"/>
                      <w:color w:val="000000"/>
                    </w:rPr>
                    <w:t>13.4以图表形式实时显示各种测试结果(HRR、THR、SPR、ARHE等)。</w:t>
                  </w:r>
                </w:p>
                <w:p>
                  <w:pPr>
                    <w:pStyle w:val="null3"/>
                    <w:jc w:val="both"/>
                  </w:pPr>
                  <w:r>
                    <w:rPr>
                      <w:rFonts w:ascii="仿宋_GB2312" w:hAnsi="仿宋_GB2312" w:cs="仿宋_GB2312" w:eastAsia="仿宋_GB2312"/>
                      <w:sz w:val="21"/>
                      <w:color w:val="000000"/>
                    </w:rPr>
                    <w:t>14.提供备用原厂辐射锥1个。</w:t>
                  </w:r>
                  <w:r>
                    <w:rPr>
                      <w:rFonts w:ascii="仿宋_GB2312" w:hAnsi="仿宋_GB2312" w:cs="仿宋_GB2312" w:eastAsia="仿宋_GB2312"/>
                      <w:sz w:val="21"/>
                      <w:b/>
                      <w:color w:val="000000"/>
                    </w:rPr>
                    <w:t>（提供佐证材料）</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锥形量热仪主机单元</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套，包括</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）锥加热单元</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）带不锈钢收集器的集成排烟机</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）测量部分</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）点火器</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）光测量系统</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）样气调节系统</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）气体分析仪</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）集成的操作系统</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）甲烷气体燃烧器</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）水冷式热流计</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）水平样品架</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、仪器安装套件件</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PMMA </w:t>
                  </w:r>
                  <w:r>
                    <w:rPr>
                      <w:rFonts w:ascii="仿宋_GB2312" w:hAnsi="仿宋_GB2312" w:cs="仿宋_GB2312" w:eastAsia="仿宋_GB2312"/>
                      <w:sz w:val="21"/>
                      <w:color w:val="000000"/>
                    </w:rPr>
                    <w:t>标样</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、初级滤芯：</w:t>
                  </w:r>
                  <w:r>
                    <w:rPr>
                      <w:rFonts w:ascii="仿宋_GB2312" w:hAnsi="仿宋_GB2312" w:cs="仿宋_GB2312" w:eastAsia="仿宋_GB2312"/>
                      <w:sz w:val="21"/>
                      <w:color w:val="000000"/>
                    </w:rPr>
                    <w:t>1</w:t>
                  </w:r>
                  <w:r>
                    <w:rPr>
                      <w:rFonts w:ascii="仿宋_GB2312" w:hAnsi="仿宋_GB2312" w:cs="仿宋_GB2312" w:eastAsia="仿宋_GB2312"/>
                      <w:sz w:val="21"/>
                    </w:rPr>
                    <w:t xml:space="preserve">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、次级滤芯：</w:t>
                  </w:r>
                  <w:r>
                    <w:rPr>
                      <w:rFonts w:ascii="仿宋_GB2312" w:hAnsi="仿宋_GB2312" w:cs="仿宋_GB2312" w:eastAsia="仿宋_GB2312"/>
                      <w:sz w:val="21"/>
                      <w:color w:val="000000"/>
                    </w:rPr>
                    <w:t>1 套</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、样品盒：</w:t>
                  </w:r>
                  <w:r>
                    <w:rPr>
                      <w:rFonts w:ascii="仿宋_GB2312" w:hAnsi="仿宋_GB2312" w:cs="仿宋_GB2312" w:eastAsia="仿宋_GB2312"/>
                      <w:sz w:val="21"/>
                      <w:color w:val="000000"/>
                    </w:rPr>
                    <w:t xml:space="preserve">3 </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、校准砝码：</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、中型滤光片：</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组</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、试验铝箔：</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组</w:t>
                  </w:r>
                </w:p>
                <w:p>
                  <w:pPr>
                    <w:pStyle w:val="null3"/>
                    <w:jc w:val="both"/>
                  </w:pPr>
                  <w:r>
                    <w:rPr>
                      <w:rFonts w:ascii="仿宋_GB2312" w:hAnsi="仿宋_GB2312" w:cs="仿宋_GB2312" w:eastAsia="仿宋_GB2312"/>
                      <w:sz w:val="21"/>
                      <w:color w:val="000000"/>
                    </w:rPr>
                    <w:t>10.长期备用加热锥1个</w:t>
                  </w:r>
                </w:p>
                <w:p>
                  <w:pPr>
                    <w:pStyle w:val="null3"/>
                    <w:jc w:val="both"/>
                  </w:p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允许</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采购</w:t>
                  </w:r>
                  <w:r>
                    <w:rPr>
                      <w:rFonts w:ascii="仿宋_GB2312" w:hAnsi="仿宋_GB2312" w:cs="仿宋_GB2312" w:eastAsia="仿宋_GB2312"/>
                      <w:sz w:val="21"/>
                      <w:b/>
                      <w:color w:val="000000"/>
                    </w:rPr>
                    <w:t>进口产品</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热重分析仪</w:t>
                  </w:r>
                </w:p>
              </w:tc>
              <w:tc>
                <w:tcPr>
                  <w:tcW w:type="dxa" w:w="1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1.温度范围:室温~1000°C</w:t>
                  </w:r>
                </w:p>
                <w:p>
                  <w:pPr>
                    <w:pStyle w:val="null3"/>
                    <w:jc w:val="both"/>
                  </w:pPr>
                  <w:r>
                    <w:rPr>
                      <w:rFonts w:ascii="仿宋_GB2312" w:hAnsi="仿宋_GB2312" w:cs="仿宋_GB2312" w:eastAsia="仿宋_GB2312"/>
                      <w:sz w:val="21"/>
                      <w:color w:val="000000"/>
                    </w:rPr>
                    <w:t>2.结构:顶部装样</w:t>
                  </w:r>
                </w:p>
                <w:p>
                  <w:pPr>
                    <w:pStyle w:val="null3"/>
                    <w:jc w:val="both"/>
                  </w:pPr>
                  <w:r>
                    <w:rPr>
                      <w:rFonts w:ascii="仿宋_GB2312" w:hAnsi="仿宋_GB2312" w:cs="仿宋_GB2312" w:eastAsia="仿宋_GB2312"/>
                      <w:sz w:val="21"/>
                      <w:color w:val="000000"/>
                    </w:rPr>
                    <w:t>3.炉体:超耐腐蚀耐污染陶瓷或铂金炉体，全密闭内置集成铂金发热体</w:t>
                  </w:r>
                </w:p>
                <w:p>
                  <w:pPr>
                    <w:pStyle w:val="null3"/>
                    <w:jc w:val="both"/>
                  </w:pPr>
                  <w:r>
                    <w:rPr>
                      <w:rFonts w:ascii="仿宋_GB2312" w:hAnsi="仿宋_GB2312" w:cs="仿宋_GB2312" w:eastAsia="仿宋_GB2312"/>
                      <w:sz w:val="21"/>
                      <w:color w:val="000000"/>
                    </w:rPr>
                    <w:t>4.耐腐蚀传感器:集成热电偶的一体化传感器，热电偶密闭于耐腐蚀陶瓷或铂金内部。</w:t>
                  </w:r>
                </w:p>
                <w:p>
                  <w:pPr>
                    <w:pStyle w:val="null3"/>
                    <w:jc w:val="both"/>
                  </w:pPr>
                  <w:r>
                    <w:rPr>
                      <w:rFonts w:ascii="仿宋_GB2312" w:hAnsi="仿宋_GB2312" w:cs="仿宋_GB2312" w:eastAsia="仿宋_GB2312"/>
                      <w:sz w:val="21"/>
                      <w:color w:val="000000"/>
                    </w:rPr>
                    <w:t>5.升温速率：0~200°C/min可调</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6.降温方式:水冷，1000°C降温到100°C≤15分钟</w:t>
                  </w:r>
                </w:p>
                <w:p>
                  <w:pPr>
                    <w:pStyle w:val="null3"/>
                    <w:jc w:val="both"/>
                  </w:pPr>
                  <w:r>
                    <w:rPr>
                      <w:rFonts w:ascii="仿宋_GB2312" w:hAnsi="仿宋_GB2312" w:cs="仿宋_GB2312" w:eastAsia="仿宋_GB2312"/>
                      <w:sz w:val="21"/>
                      <w:color w:val="000000"/>
                    </w:rPr>
                    <w:t>7.温度分辨率≤0.01°C</w:t>
                  </w:r>
                </w:p>
                <w:p>
                  <w:pPr>
                    <w:pStyle w:val="null3"/>
                    <w:jc w:val="both"/>
                  </w:pPr>
                  <w:r>
                    <w:rPr>
                      <w:rFonts w:ascii="仿宋_GB2312" w:hAnsi="仿宋_GB2312" w:cs="仿宋_GB2312" w:eastAsia="仿宋_GB2312"/>
                      <w:sz w:val="21"/>
                      <w:color w:val="000000"/>
                    </w:rPr>
                    <w:t>8.温度准确度≤±0.5°C(标准金属验证)</w:t>
                  </w:r>
                </w:p>
                <w:p>
                  <w:pPr>
                    <w:pStyle w:val="null3"/>
                    <w:jc w:val="both"/>
                  </w:pPr>
                  <w:r>
                    <w:rPr>
                      <w:rFonts w:ascii="仿宋_GB2312" w:hAnsi="仿宋_GB2312" w:cs="仿宋_GB2312" w:eastAsia="仿宋_GB2312"/>
                      <w:sz w:val="21"/>
                      <w:color w:val="000000"/>
                    </w:rPr>
                    <w:t>9.温度重复性:≤±0.15°C(标准金属验证)</w:t>
                  </w:r>
                </w:p>
                <w:p>
                  <w:pPr>
                    <w:pStyle w:val="null3"/>
                    <w:jc w:val="both"/>
                  </w:pPr>
                  <w:r>
                    <w:rPr>
                      <w:rFonts w:ascii="仿宋_GB2312" w:hAnsi="仿宋_GB2312" w:cs="仿宋_GB2312" w:eastAsia="仿宋_GB2312"/>
                      <w:sz w:val="21"/>
                      <w:color w:val="000000"/>
                    </w:rPr>
                    <w:t>10.天平类型:电磁力补偿式天平，带内置砝码，开机自动校正，无需任何外置砝码校。提供软件控制使用内置砝码自动校准的截图证明材料。</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11.最大称重量：≥2g，提供称重的软件截图证明材料。</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12.质量变化检测范围：0~2g</w:t>
                  </w:r>
                </w:p>
                <w:p>
                  <w:pPr>
                    <w:pStyle w:val="null3"/>
                    <w:jc w:val="both"/>
                  </w:pPr>
                  <w:r>
                    <w:rPr>
                      <w:rFonts w:ascii="仿宋_GB2312" w:hAnsi="仿宋_GB2312" w:cs="仿宋_GB2312" w:eastAsia="仿宋_GB2312"/>
                      <w:sz w:val="21"/>
                      <w:color w:val="000000"/>
                    </w:rPr>
                    <w:t>13.天平分辨率:≤1ug(全量程范围内)</w:t>
                  </w:r>
                </w:p>
                <w:p>
                  <w:pPr>
                    <w:pStyle w:val="null3"/>
                    <w:jc w:val="both"/>
                  </w:pPr>
                  <w:r>
                    <w:rPr>
                      <w:rFonts w:ascii="仿宋_GB2312" w:hAnsi="仿宋_GB2312" w:cs="仿宋_GB2312" w:eastAsia="仿宋_GB2312"/>
                      <w:sz w:val="21"/>
                      <w:color w:val="000000"/>
                    </w:rPr>
                    <w:t>14.动态基线漂移：≤±10ug</w:t>
                  </w:r>
                </w:p>
                <w:p>
                  <w:pPr>
                    <w:pStyle w:val="null3"/>
                    <w:jc w:val="both"/>
                  </w:pPr>
                  <w:r>
                    <w:rPr>
                      <w:rFonts w:ascii="仿宋_GB2312" w:hAnsi="仿宋_GB2312" w:cs="仿宋_GB2312" w:eastAsia="仿宋_GB2312"/>
                      <w:sz w:val="21"/>
                      <w:color w:val="000000"/>
                    </w:rPr>
                    <w:t>15.差热信号:测试样品质量变化的同时可得到样品的吸放热信号</w:t>
                  </w:r>
                </w:p>
                <w:p>
                  <w:pPr>
                    <w:pStyle w:val="null3"/>
                    <w:jc w:val="both"/>
                  </w:pPr>
                  <w:r>
                    <w:rPr>
                      <w:rFonts w:ascii="仿宋_GB2312" w:hAnsi="仿宋_GB2312" w:cs="仿宋_GB2312" w:eastAsia="仿宋_GB2312"/>
                      <w:sz w:val="21"/>
                      <w:color w:val="000000"/>
                    </w:rPr>
                    <w:t>16.温度校正方法:采用标准金属的熔点进行多点拟合的温度校正，配置≥6种标准金属标样。</w:t>
                  </w:r>
                </w:p>
                <w:p>
                  <w:pPr>
                    <w:pStyle w:val="null3"/>
                    <w:jc w:val="both"/>
                  </w:pPr>
                  <w:r>
                    <w:rPr>
                      <w:rFonts w:ascii="仿宋_GB2312" w:hAnsi="仿宋_GB2312" w:cs="仿宋_GB2312" w:eastAsia="仿宋_GB2312"/>
                      <w:sz w:val="21"/>
                      <w:color w:val="000000"/>
                    </w:rPr>
                    <w:t>17.气体控制系统:内置≥3路气体质量流量控制器(MFC)</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（提供佐证材料）</w:t>
                  </w:r>
                </w:p>
                <w:p>
                  <w:pPr>
                    <w:pStyle w:val="null3"/>
                    <w:jc w:val="both"/>
                  </w:pPr>
                  <w:r>
                    <w:rPr>
                      <w:rFonts w:ascii="仿宋_GB2312" w:hAnsi="仿宋_GB2312" w:cs="仿宋_GB2312" w:eastAsia="仿宋_GB2312"/>
                      <w:sz w:val="21"/>
                      <w:color w:val="000000"/>
                    </w:rPr>
                    <w:t>18.软件:中、英等多国语言软件，软件无需授权认证，可自由拷贝安装于不同电脑，具备基线智能自动优化功能、自动分析功能，并满足一次连续测试可自由编辑≥20个温度段的要求。</w:t>
                  </w:r>
                </w:p>
              </w:tc>
              <w:tc>
                <w:tcPr>
                  <w:tcW w:type="dxa" w:w="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热重分析仪主机</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w:t>
                  </w:r>
                </w:p>
                <w:p>
                  <w:pPr>
                    <w:pStyle w:val="null3"/>
                    <w:numPr>
                      <w:ilvl w:val="0"/>
                      <w:numId w:val="1"/>
                    </w:numPr>
                    <w:jc w:val="left"/>
                  </w:pPr>
                  <w:r>
                    <w:rPr>
                      <w:rFonts w:ascii="仿宋_GB2312" w:hAnsi="仿宋_GB2312" w:cs="仿宋_GB2312" w:eastAsia="仿宋_GB2312"/>
                      <w:sz w:val="21"/>
                      <w:color w:val="000000"/>
                    </w:rPr>
                    <w:t>炉体内置集成铂金发热体），</w:t>
                  </w:r>
                  <w:r>
                    <w:rPr>
                      <w:rFonts w:ascii="仿宋_GB2312" w:hAnsi="仿宋_GB2312" w:cs="仿宋_GB2312" w:eastAsia="仿宋_GB2312"/>
                      <w:sz w:val="21"/>
                      <w:color w:val="000000"/>
                    </w:rPr>
                    <w:t>1套</w:t>
                  </w:r>
                </w:p>
                <w:p>
                  <w:pPr>
                    <w:pStyle w:val="null3"/>
                    <w:numPr>
                      <w:ilvl w:val="0"/>
                      <w:numId w:val="1"/>
                    </w:numPr>
                    <w:jc w:val="left"/>
                  </w:pPr>
                  <w:r>
                    <w:rPr>
                      <w:rFonts w:ascii="仿宋_GB2312" w:hAnsi="仿宋_GB2312" w:cs="仿宋_GB2312" w:eastAsia="仿宋_GB2312"/>
                      <w:sz w:val="21"/>
                      <w:color w:val="000000"/>
                    </w:rPr>
                    <w:t>内置</w:t>
                  </w:r>
                  <w:r>
                    <w:rPr>
                      <w:rFonts w:ascii="仿宋_GB2312" w:hAnsi="仿宋_GB2312" w:cs="仿宋_GB2312" w:eastAsia="仿宋_GB2312"/>
                      <w:sz w:val="21"/>
                      <w:color w:val="000000"/>
                    </w:rPr>
                    <w:t>3路全自动气体质量流量控制器（MFC），1套</w:t>
                  </w:r>
                </w:p>
                <w:p>
                  <w:pPr>
                    <w:pStyle w:val="null3"/>
                    <w:numPr>
                      <w:ilvl w:val="0"/>
                      <w:numId w:val="1"/>
                    </w:numPr>
                    <w:jc w:val="left"/>
                  </w:pPr>
                  <w:r>
                    <w:rPr>
                      <w:rFonts w:ascii="仿宋_GB2312" w:hAnsi="仿宋_GB2312" w:cs="仿宋_GB2312" w:eastAsia="仿宋_GB2312"/>
                      <w:sz w:val="21"/>
                      <w:color w:val="000000"/>
                    </w:rPr>
                    <w:t>可插拔式陶瓷传感器（内置集成</w:t>
                  </w:r>
                  <w:r>
                    <w:rPr>
                      <w:rFonts w:ascii="仿宋_GB2312" w:hAnsi="仿宋_GB2312" w:cs="仿宋_GB2312" w:eastAsia="仿宋_GB2312"/>
                      <w:sz w:val="21"/>
                      <w:color w:val="000000"/>
                    </w:rPr>
                    <w:t>P型热电偶），1套</w:t>
                  </w:r>
                </w:p>
                <w:p>
                  <w:pPr>
                    <w:pStyle w:val="null3"/>
                    <w:numPr>
                      <w:ilvl w:val="0"/>
                      <w:numId w:val="1"/>
                    </w:numPr>
                    <w:jc w:val="left"/>
                  </w:pPr>
                  <w:r>
                    <w:rPr>
                      <w:rFonts w:ascii="仿宋_GB2312" w:hAnsi="仿宋_GB2312" w:cs="仿宋_GB2312" w:eastAsia="仿宋_GB2312"/>
                      <w:sz w:val="21"/>
                      <w:color w:val="000000"/>
                    </w:rPr>
                    <w:t>恒温水浴器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p>
                <w:p>
                  <w:pPr>
                    <w:pStyle w:val="null3"/>
                    <w:numPr>
                      <w:ilvl w:val="0"/>
                      <w:numId w:val="1"/>
                    </w:numPr>
                    <w:jc w:val="left"/>
                  </w:pPr>
                  <w:r>
                    <w:rPr>
                      <w:rFonts w:ascii="仿宋_GB2312" w:hAnsi="仿宋_GB2312" w:cs="仿宋_GB2312" w:eastAsia="仿宋_GB2312"/>
                      <w:sz w:val="21"/>
                      <w:color w:val="000000"/>
                    </w:rPr>
                    <w:t>温度</w:t>
                  </w:r>
                  <w:r>
                    <w:rPr>
                      <w:rFonts w:ascii="仿宋_GB2312" w:hAnsi="仿宋_GB2312" w:cs="仿宋_GB2312" w:eastAsia="仿宋_GB2312"/>
                      <w:sz w:val="21"/>
                      <w:color w:val="000000"/>
                    </w:rPr>
                    <w:t>及热焓</w:t>
                  </w:r>
                  <w:r>
                    <w:rPr>
                      <w:rFonts w:ascii="仿宋_GB2312" w:hAnsi="仿宋_GB2312" w:cs="仿宋_GB2312" w:eastAsia="仿宋_GB2312"/>
                      <w:sz w:val="21"/>
                      <w:color w:val="000000"/>
                    </w:rPr>
                    <w:t>校正标样（包含</w:t>
                  </w:r>
                  <w:r>
                    <w:rPr>
                      <w:rFonts w:ascii="仿宋_GB2312" w:hAnsi="仿宋_GB2312" w:cs="仿宋_GB2312" w:eastAsia="仿宋_GB2312"/>
                      <w:sz w:val="21"/>
                      <w:color w:val="000000"/>
                    </w:rPr>
                    <w:t>5种标样</w:t>
                  </w:r>
                  <w:r>
                    <w:rPr>
                      <w:rFonts w:ascii="仿宋_GB2312" w:hAnsi="仿宋_GB2312" w:cs="仿宋_GB2312" w:eastAsia="仿宋_GB2312"/>
                      <w:sz w:val="21"/>
                      <w:color w:val="000000"/>
                    </w:rPr>
                    <w:t>，带证书</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numPr>
                      <w:ilvl w:val="0"/>
                      <w:numId w:val="1"/>
                    </w:numPr>
                    <w:jc w:val="left"/>
                  </w:pPr>
                  <w:r>
                    <w:rPr>
                      <w:rFonts w:ascii="仿宋_GB2312" w:hAnsi="仿宋_GB2312" w:cs="仿宋_GB2312" w:eastAsia="仿宋_GB2312"/>
                      <w:sz w:val="21"/>
                      <w:color w:val="000000"/>
                    </w:rPr>
                    <w:t>氧化铝坩埚</w:t>
                  </w:r>
                  <w:r>
                    <w:rPr>
                      <w:rFonts w:ascii="仿宋_GB2312" w:hAnsi="仿宋_GB2312" w:cs="仿宋_GB2312" w:eastAsia="仿宋_GB2312"/>
                      <w:sz w:val="21"/>
                      <w:color w:val="000000"/>
                    </w:rPr>
                    <w:t>，</w:t>
                  </w:r>
                  <w:r>
                    <w:rPr>
                      <w:rFonts w:ascii="仿宋_GB2312" w:hAnsi="仿宋_GB2312" w:cs="仿宋_GB2312" w:eastAsia="仿宋_GB2312"/>
                      <w:sz w:val="21"/>
                      <w:color w:val="000000"/>
                    </w:rPr>
                    <w:t>100</w:t>
                  </w:r>
                  <w:r>
                    <w:rPr>
                      <w:rFonts w:ascii="仿宋_GB2312" w:hAnsi="仿宋_GB2312" w:cs="仿宋_GB2312" w:eastAsia="仿宋_GB2312"/>
                      <w:sz w:val="21"/>
                      <w:color w:val="000000"/>
                    </w:rPr>
                    <w:t>个</w:t>
                  </w:r>
                </w:p>
                <w:p>
                  <w:pPr>
                    <w:pStyle w:val="null3"/>
                    <w:numPr>
                      <w:ilvl w:val="0"/>
                      <w:numId w:val="1"/>
                    </w:numPr>
                    <w:jc w:val="left"/>
                  </w:pPr>
                  <w:r>
                    <w:rPr>
                      <w:rFonts w:ascii="仿宋_GB2312" w:hAnsi="仿宋_GB2312" w:cs="仿宋_GB2312" w:eastAsia="仿宋_GB2312"/>
                      <w:sz w:val="21"/>
                      <w:color w:val="000000"/>
                    </w:rPr>
                    <w:t>软件</w:t>
                  </w:r>
                  <w:r>
                    <w:rPr>
                      <w:rFonts w:ascii="仿宋_GB2312" w:hAnsi="仿宋_GB2312" w:cs="仿宋_GB2312" w:eastAsia="仿宋_GB2312"/>
                      <w:sz w:val="21"/>
                      <w:color w:val="000000"/>
                    </w:rPr>
                    <w:t>（包含基线自动优化、自动分析功能）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both"/>
                  </w:p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允许</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采购</w:t>
                  </w:r>
                  <w:r>
                    <w:rPr>
                      <w:rFonts w:ascii="仿宋_GB2312" w:hAnsi="仿宋_GB2312" w:cs="仿宋_GB2312" w:eastAsia="仿宋_GB2312"/>
                      <w:sz w:val="21"/>
                      <w:b/>
                      <w:color w:val="000000"/>
                    </w:rPr>
                    <w:t>进口产品</w:t>
                  </w:r>
                </w:p>
              </w:tc>
            </w:tr>
          </w:tbl>
          <w:p>
            <w:pPr>
              <w:pStyle w:val="null3"/>
            </w:pPr>
            <w:r>
              <w:rPr>
                <w:rFonts w:ascii="仿宋_GB2312" w:hAnsi="仿宋_GB2312" w:cs="仿宋_GB2312" w:eastAsia="仿宋_GB2312"/>
                <w:sz w:val="24"/>
                <w:b/>
                <w:color w:val="000000"/>
              </w:rPr>
              <w:t>备注：</w:t>
            </w:r>
          </w:p>
          <w:p>
            <w:pPr>
              <w:pStyle w:val="null3"/>
              <w:jc w:val="both"/>
            </w:pPr>
            <w:r>
              <w:rPr>
                <w:rFonts w:ascii="仿宋_GB2312" w:hAnsi="仿宋_GB2312" w:cs="仿宋_GB2312" w:eastAsia="仿宋_GB2312"/>
                <w:sz w:val="24"/>
                <w:b/>
                <w:color w:val="000000"/>
              </w:rPr>
              <w:t>1、所有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西安建筑科技大学工科楼附体217</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合同款项，进口设备：合同生效后，由甲方通过双方认可的进口业务代理公司向中标人指定国外设备供应商开出100%信用证，其中80%货款凭外贸合同约定的发货单据及西安建筑科技大学出具的开箱记录单原件，经安装调试后解付，剩余20%货款在设备验收合格后凭甲方签署的验收报告原件解付。国产设备：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1、质保期：验收合格通过之日起1年。 2、售后服务响应时间（质保期内）：即时响应（包括电话响应）；电话响应无法解决48小时内到达现场。修复时间24小时内解决；如在48小时内无法修复，则提供部件冗余服务或采取应急措施，提供相同产品或不低于故障产品规格档次的备用产品供采购人使用，以确保货物的正常使用。 3、培训内容及要求：设备原理、操作、仪器注意事项。</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5、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6、本项目谈判报价包括设备配套固定件、安装与调试。 7、供应商所投产品为成熟商业化产品，不接受处于科研阶段或需定制的产品。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5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③社会保障资金缴存证明：提供2025年5月至今已缴存的至少一个月的社会保障资金缴存单据或社保机构开具的社会保险参保缴费情况证明，依法不需要缴纳社会保障资金的单位应提供相关证明材料。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供应商承诺书..docx 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所投进口产品的完整授权链证明材料</w:t>
            </w:r>
          </w:p>
        </w:tc>
        <w:tc>
          <w:tcPr>
            <w:tcW w:type="dxa" w:w="3322"/>
          </w:tcPr>
          <w:p>
            <w:pPr>
              <w:pStyle w:val="null3"/>
            </w:pPr>
            <w:r>
              <w:rPr>
                <w:rFonts w:ascii="仿宋_GB2312" w:hAnsi="仿宋_GB2312" w:cs="仿宋_GB2312" w:eastAsia="仿宋_GB2312"/>
              </w:rPr>
              <w:t>所投产品如为进口产品，提供所投进口产品的完整授权链证明材料。</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响应报价表、分项报价表.docx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节能产品政府采购品目清单.docx 中小企业声明函.docx 本国产品说明 报价表 中国境内生产的组件成本核算基本规则 保证金交纳凭证保函.docx 技术指标偏差表.docx 商务条款响应说明.docx 响应文件封面 响应报价表、分项报价表.docx 残疾人福利性单位声明函 供应商承诺书..docx 关于符合本国产品标准的声明函 标的清单 谈判响应方案说明.docx 响应函 监狱企业的证明文件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910"/>
          </w:tcPr>
          <w:p>
            <w:pPr>
              <w:pStyle w:val="null3"/>
            </w:pPr>
            <w:r>
              <w:rPr>
                <w:rFonts w:ascii="仿宋_GB2312" w:hAnsi="仿宋_GB2312" w:cs="仿宋_GB2312" w:eastAsia="仿宋_GB2312"/>
              </w:rPr>
              <w:t>中小企业声明函.docx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详见附件：谈判响应方案说明.docx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