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1407CB">
      <w:pPr>
        <w:jc w:val="center"/>
        <w:rPr>
          <w:rFonts w:hint="eastAsia"/>
          <w:sz w:val="40"/>
          <w:szCs w:val="48"/>
          <w:lang w:val="en-US" w:eastAsia="zh-CN"/>
        </w:rPr>
      </w:pPr>
      <w:r>
        <w:rPr>
          <w:rFonts w:hint="eastAsia"/>
          <w:sz w:val="40"/>
          <w:szCs w:val="48"/>
          <w:lang w:val="en-US" w:eastAsia="zh-CN"/>
        </w:rPr>
        <w:t>采购需求</w:t>
      </w:r>
    </w:p>
    <w:p w14:paraId="352075E1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</w:rPr>
        <w:t>为配合福利彩票各类主题公益营销活动吸引目标人群，提升热度，加快福彩品牌在新媒体平台传播效能，发挥陕西福彩抖音官方账号在新媒体主阵地的宣传积极性与影响力，计划在抖音平台采取抖音信息流与开屏广告（定向西安）以及抖音品牌专区、抖音话题页四种形式进行广告投放。</w:t>
      </w:r>
    </w:p>
    <w:p w14:paraId="0FC99D08">
      <w:pPr>
        <w:pStyle w:val="4"/>
      </w:pPr>
      <w:r>
        <w:rPr>
          <w:rFonts w:ascii="仿宋_GB2312" w:hAnsi="仿宋_GB2312" w:eastAsia="仿宋_GB2312" w:cs="仿宋_GB2312"/>
        </w:rPr>
        <w:t>一、采购内容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1428"/>
        <w:gridCol w:w="1428"/>
        <w:gridCol w:w="2124"/>
        <w:gridCol w:w="2356"/>
      </w:tblGrid>
      <w:tr w14:paraId="3EC0CF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" w:type="pct"/>
          </w:tcPr>
          <w:p w14:paraId="5C386D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发布媒体</w:t>
            </w:r>
          </w:p>
        </w:tc>
        <w:tc>
          <w:tcPr>
            <w:tcW w:w="838" w:type="pct"/>
          </w:tcPr>
          <w:p w14:paraId="3F68380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投放形式</w:t>
            </w:r>
          </w:p>
        </w:tc>
        <w:tc>
          <w:tcPr>
            <w:tcW w:w="838" w:type="pct"/>
          </w:tcPr>
          <w:p w14:paraId="71E5CB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发布时间</w:t>
            </w:r>
          </w:p>
          <w:p w14:paraId="56246F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（服务期内）</w:t>
            </w:r>
          </w:p>
        </w:tc>
        <w:tc>
          <w:tcPr>
            <w:tcW w:w="1246" w:type="pct"/>
          </w:tcPr>
          <w:p w14:paraId="214FF44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投放规格</w:t>
            </w:r>
          </w:p>
        </w:tc>
        <w:tc>
          <w:tcPr>
            <w:tcW w:w="1382" w:type="pct"/>
          </w:tcPr>
          <w:p w14:paraId="461EBD0A">
            <w:pPr>
              <w:pStyle w:val="4"/>
            </w:pP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投放量</w:t>
            </w:r>
          </w:p>
        </w:tc>
      </w:tr>
      <w:tr w14:paraId="1C4B84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" w:type="pct"/>
          </w:tcPr>
          <w:p w14:paraId="6B8341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抖音信</w:t>
            </w:r>
          </w:p>
          <w:p w14:paraId="0C06CE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息流广告</w:t>
            </w:r>
          </w:p>
        </w:tc>
        <w:tc>
          <w:tcPr>
            <w:tcW w:w="838" w:type="pct"/>
          </w:tcPr>
          <w:p w14:paraId="2681154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信息流广告（图文）定向西安</w:t>
            </w:r>
          </w:p>
        </w:tc>
        <w:tc>
          <w:tcPr>
            <w:tcW w:w="838" w:type="pct"/>
          </w:tcPr>
          <w:p w14:paraId="3C6A58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60天</w:t>
            </w:r>
          </w:p>
        </w:tc>
        <w:tc>
          <w:tcPr>
            <w:tcW w:w="1246" w:type="pct"/>
          </w:tcPr>
          <w:p w14:paraId="35C9D9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200cpm/天</w:t>
            </w:r>
          </w:p>
        </w:tc>
        <w:tc>
          <w:tcPr>
            <w:tcW w:w="1382" w:type="pct"/>
          </w:tcPr>
          <w:p w14:paraId="15F002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12000cpm</w:t>
            </w:r>
          </w:p>
        </w:tc>
      </w:tr>
      <w:tr w14:paraId="709B9E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" w:type="pct"/>
          </w:tcPr>
          <w:p w14:paraId="29D9E0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抖音开</w:t>
            </w:r>
          </w:p>
          <w:p w14:paraId="77C140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屏广告</w:t>
            </w:r>
          </w:p>
        </w:tc>
        <w:tc>
          <w:tcPr>
            <w:tcW w:w="838" w:type="pct"/>
          </w:tcPr>
          <w:p w14:paraId="18CB892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开屏广告定向西安</w:t>
            </w:r>
          </w:p>
        </w:tc>
        <w:tc>
          <w:tcPr>
            <w:tcW w:w="838" w:type="pct"/>
          </w:tcPr>
          <w:p w14:paraId="123111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5天</w:t>
            </w:r>
          </w:p>
        </w:tc>
        <w:tc>
          <w:tcPr>
            <w:tcW w:w="1246" w:type="pct"/>
          </w:tcPr>
          <w:p w14:paraId="02B594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100cpm/天</w:t>
            </w:r>
          </w:p>
        </w:tc>
        <w:tc>
          <w:tcPr>
            <w:tcW w:w="1382" w:type="pct"/>
          </w:tcPr>
          <w:p w14:paraId="12808C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500cpm</w:t>
            </w:r>
          </w:p>
        </w:tc>
      </w:tr>
      <w:tr w14:paraId="15ED46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" w:type="pct"/>
          </w:tcPr>
          <w:p w14:paraId="4C95EC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抖音品牌专区</w:t>
            </w:r>
          </w:p>
        </w:tc>
        <w:tc>
          <w:tcPr>
            <w:tcW w:w="838" w:type="pct"/>
          </w:tcPr>
          <w:p w14:paraId="438A91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标准品专</w:t>
            </w:r>
          </w:p>
        </w:tc>
        <w:tc>
          <w:tcPr>
            <w:tcW w:w="838" w:type="pct"/>
          </w:tcPr>
          <w:p w14:paraId="3780BF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6个月</w:t>
            </w:r>
          </w:p>
        </w:tc>
        <w:tc>
          <w:tcPr>
            <w:tcW w:w="1246" w:type="pct"/>
          </w:tcPr>
          <w:p w14:paraId="59371D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CPT包月</w:t>
            </w:r>
          </w:p>
        </w:tc>
        <w:tc>
          <w:tcPr>
            <w:tcW w:w="1382" w:type="pct"/>
          </w:tcPr>
          <w:p w14:paraId="68733B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BD8BF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4" w:type="pct"/>
          </w:tcPr>
          <w:p w14:paraId="7FE7B1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抖音话题页</w:t>
            </w:r>
          </w:p>
        </w:tc>
        <w:tc>
          <w:tcPr>
            <w:tcW w:w="838" w:type="pct"/>
          </w:tcPr>
          <w:p w14:paraId="0885BC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活动话题</w:t>
            </w:r>
          </w:p>
        </w:tc>
        <w:tc>
          <w:tcPr>
            <w:tcW w:w="838" w:type="pct"/>
          </w:tcPr>
          <w:p w14:paraId="20EEDE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一年</w:t>
            </w:r>
          </w:p>
        </w:tc>
        <w:tc>
          <w:tcPr>
            <w:tcW w:w="1246" w:type="pct"/>
          </w:tcPr>
          <w:p w14:paraId="5BB443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个</w:t>
            </w:r>
          </w:p>
        </w:tc>
        <w:tc>
          <w:tcPr>
            <w:tcW w:w="1382" w:type="pct"/>
          </w:tcPr>
          <w:p w14:paraId="30C9DA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</w:tr>
    </w:tbl>
    <w:p w14:paraId="6141DD9F">
      <w:pPr>
        <w:pStyle w:val="4"/>
      </w:pPr>
      <w:r>
        <w:rPr>
          <w:rFonts w:ascii="仿宋_GB2312" w:hAnsi="仿宋_GB2312" w:eastAsia="仿宋_GB2312" w:cs="仿宋_GB2312"/>
        </w:rPr>
        <w:t>注：以上所列媒体根据中心工作需要可在同等价位进行调整。</w:t>
      </w:r>
    </w:p>
    <w:p w14:paraId="4D96B34F">
      <w:pPr>
        <w:pStyle w:val="4"/>
      </w:pPr>
      <w:r>
        <w:rPr>
          <w:rFonts w:ascii="仿宋_GB2312" w:hAnsi="仿宋_GB2312" w:eastAsia="仿宋_GB2312" w:cs="仿宋_GB2312"/>
        </w:rPr>
        <w:t>二、技术要求</w:t>
      </w:r>
    </w:p>
    <w:p w14:paraId="5D611F35">
      <w:pPr>
        <w:pStyle w:val="4"/>
      </w:pPr>
      <w:r>
        <w:rPr>
          <w:rFonts w:ascii="仿宋_GB2312" w:hAnsi="仿宋_GB2312" w:eastAsia="仿宋_GB2312" w:cs="仿宋_GB2312"/>
        </w:rPr>
        <w:t>1、投放方式</w:t>
      </w:r>
    </w:p>
    <w:p w14:paraId="3BFD9B2B">
      <w:pPr>
        <w:pStyle w:val="4"/>
      </w:pPr>
      <w:r>
        <w:rPr>
          <w:rFonts w:ascii="仿宋_GB2312" w:hAnsi="仿宋_GB2312" w:eastAsia="仿宋_GB2312" w:cs="仿宋_GB2312"/>
        </w:rPr>
        <w:t>统一采购、分段投放。具体分段方式及每个阶段的持续时间由省福彩中心指定。</w:t>
      </w:r>
    </w:p>
    <w:p w14:paraId="0E26F788">
      <w:pPr>
        <w:pStyle w:val="4"/>
      </w:pPr>
      <w:r>
        <w:rPr>
          <w:rFonts w:ascii="仿宋_GB2312" w:hAnsi="仿宋_GB2312" w:eastAsia="仿宋_GB2312" w:cs="仿宋_GB2312"/>
        </w:rPr>
        <w:t>2、投放时间及地点</w:t>
      </w:r>
    </w:p>
    <w:p w14:paraId="444363EB">
      <w:pPr>
        <w:pStyle w:val="4"/>
      </w:pPr>
      <w:r>
        <w:rPr>
          <w:rFonts w:ascii="仿宋_GB2312" w:hAnsi="仿宋_GB2312" w:eastAsia="仿宋_GB2312" w:cs="仿宋_GB2312"/>
        </w:rPr>
        <w:t>具体日期由省福彩中心根据公益营销活动的需求指定。</w:t>
      </w:r>
    </w:p>
    <w:p w14:paraId="6286DAAD">
      <w:pPr>
        <w:pStyle w:val="4"/>
      </w:pPr>
      <w:r>
        <w:rPr>
          <w:rFonts w:ascii="仿宋_GB2312" w:hAnsi="仿宋_GB2312" w:eastAsia="仿宋_GB2312" w:cs="仿宋_GB2312"/>
        </w:rPr>
        <w:t>3、投放素材</w:t>
      </w:r>
    </w:p>
    <w:p w14:paraId="227F264D">
      <w:pPr>
        <w:pStyle w:val="4"/>
      </w:pPr>
      <w:r>
        <w:rPr>
          <w:rFonts w:ascii="仿宋_GB2312" w:hAnsi="仿宋_GB2312" w:eastAsia="仿宋_GB2312" w:cs="仿宋_GB2312"/>
        </w:rPr>
        <w:t>为省福彩中心指定的宣传活动制作投放所需的宣传图片和视频广告，撰写软文，编辑落地页面。</w:t>
      </w:r>
    </w:p>
    <w:p w14:paraId="0078D75D">
      <w:pPr>
        <w:pStyle w:val="4"/>
      </w:pPr>
      <w:r>
        <w:rPr>
          <w:rFonts w:ascii="仿宋_GB2312" w:hAnsi="仿宋_GB2312" w:eastAsia="仿宋_GB2312" w:cs="仿宋_GB2312"/>
        </w:rPr>
        <w:t>4、投放内容</w:t>
      </w:r>
    </w:p>
    <w:p w14:paraId="42A618F0">
      <w:pPr>
        <w:pStyle w:val="4"/>
      </w:pPr>
      <w:r>
        <w:rPr>
          <w:rFonts w:ascii="仿宋_GB2312" w:hAnsi="仿宋_GB2312" w:eastAsia="仿宋_GB2312" w:cs="仿宋_GB2312"/>
        </w:rPr>
        <w:t>每阶段投放对应独立的活动内容，具体投放内容由省福彩中心指定。</w:t>
      </w:r>
    </w:p>
    <w:p w14:paraId="6770C577">
      <w:pPr>
        <w:pStyle w:val="4"/>
      </w:pPr>
      <w:r>
        <w:rPr>
          <w:rFonts w:ascii="仿宋_GB2312" w:hAnsi="仿宋_GB2312" w:eastAsia="仿宋_GB2312" w:cs="仿宋_GB2312"/>
        </w:rPr>
        <w:t>5、服务要求</w:t>
      </w:r>
    </w:p>
    <w:p w14:paraId="6A62C287">
      <w:pPr>
        <w:pStyle w:val="4"/>
      </w:pPr>
      <w:r>
        <w:rPr>
          <w:rFonts w:ascii="仿宋_GB2312" w:hAnsi="仿宋_GB2312" w:eastAsia="仿宋_GB2312" w:cs="仿宋_GB2312"/>
        </w:rPr>
        <w:t>（1）供应商应具备投放媒体认可的广告投放资质。</w:t>
      </w:r>
    </w:p>
    <w:p w14:paraId="604FFE32">
      <w:pPr>
        <w:pStyle w:val="4"/>
      </w:pPr>
      <w:r>
        <w:rPr>
          <w:rFonts w:ascii="仿宋_GB2312" w:hAnsi="仿宋_GB2312" w:eastAsia="仿宋_GB2312" w:cs="仿宋_GB2312"/>
        </w:rPr>
        <w:t>（2）供应商应通过投放媒体提供的官方渠道完成广告投放，如需使用第三方渠道的，须提供相应媒体平台官方出具的合法性证明。</w:t>
      </w:r>
    </w:p>
    <w:p w14:paraId="51938851">
      <w:pPr>
        <w:pStyle w:val="4"/>
      </w:pPr>
      <w:r>
        <w:rPr>
          <w:rFonts w:ascii="仿宋_GB2312" w:hAnsi="仿宋_GB2312" w:eastAsia="仿宋_GB2312" w:cs="仿宋_GB2312"/>
        </w:rPr>
        <w:t>（3）每阶段投放的起始日期、投放内容及投放数量均由省福彩中心根据实际业务需求即时调配，供应商应预先做好与各平台的沟通协调，确保能够完全按照省福彩中心的要求完成投放。</w:t>
      </w:r>
    </w:p>
    <w:p w14:paraId="72E567D3">
      <w:pPr>
        <w:pStyle w:val="4"/>
      </w:pPr>
      <w:r>
        <w:rPr>
          <w:rFonts w:ascii="仿宋_GB2312" w:hAnsi="仿宋_GB2312" w:eastAsia="仿宋_GB2312" w:cs="仿宋_GB2312"/>
        </w:rPr>
        <w:t>（4）为投放设计的软文、图片、视频等宣传素材须经由省福彩中心审核通过后方可使用。</w:t>
      </w:r>
    </w:p>
    <w:p w14:paraId="7E08D08E">
      <w:pPr>
        <w:pStyle w:val="4"/>
      </w:pPr>
      <w:r>
        <w:rPr>
          <w:rFonts w:ascii="仿宋_GB2312" w:hAnsi="仿宋_GB2312" w:eastAsia="仿宋_GB2312" w:cs="仿宋_GB2312"/>
        </w:rPr>
        <w:t>（5）供应商应确保广告设计过程中使用的所有素材不涉及版权纠纷。</w:t>
      </w:r>
    </w:p>
    <w:p w14:paraId="0625FD87">
      <w:pPr>
        <w:jc w:val="both"/>
        <w:rPr>
          <w:rFonts w:hint="eastAsia"/>
          <w:sz w:val="40"/>
          <w:szCs w:val="48"/>
          <w:lang w:val="en-US" w:eastAsia="zh-CN"/>
        </w:rPr>
      </w:pPr>
      <w:r>
        <w:rPr>
          <w:rFonts w:ascii="仿宋_GB2312" w:hAnsi="仿宋_GB2312" w:eastAsia="仿宋_GB2312" w:cs="仿宋_GB2312"/>
        </w:rPr>
        <w:t>（6）投放过程中使用的所有宣传素材，其版权归省福彩中心所有，未经省福彩中心许可不得随意传播或用于任何商业用途。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FF29FE"/>
    <w:rsid w:val="6FFF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2026-06-16T07:43:00Z</dcterms:created>
  <dc:creator>1</dc:creator>
  <cp:lastModifiedBy>1</cp:lastModifiedBy>
  <dcterms:modified xsi:type="dcterms:W3CDTF">2026-06-16T07:44:17Z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7C3DB9C2119546D5893A855C2C63D68B_11</vt:lpwstr>
  </property>
  <property fmtid="{D5CDD505-2E9C-101B-9397-08002B2CF9AE}" pid="4" name="KSOTemplateDocerSaveRecord">
    <vt:lpwstr>eyJoZGlkIjoiZGY4NjQ1YTM1ODdjNWViOTZlZDJjZDg3OTRiOWIxYTgiLCJ1c2VySWQiOiIxMDE0MTg1NzcyIn0=</vt:lpwstr>
  </property>
</Properties>
</file>