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版本号：GXCZ-A1-2657032620260726001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含气率测量系统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GXCZ-A1-26570326</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国信国际工程咨询集团股份有限公司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国信国际工程咨询集团股份有限公司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含气率测量系统</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GXCZ-A1-26570326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含气率测量系统</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是西安石油大学极端条件下天然气管道输送与流动安全保障实验子平台的重要部分。针对油气储运管道中气、液、多相混合形态输送的含气率、流型演化及相间作用的核心参数，实现实时获取管道截面介质分布的2、3维图像，实现含气率的在线测量与流型识别，构建覆盖宏观流型识别与微观相分布测量的多模态含气率测试体系。为核心课程提供高水平的实验教学平台，提升学生的工程实践能力与创新思维。项目的实施将为深化多相流理论认知、推动管道输送技术升级以及培养高素质油气储运人才提供有力支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1、法定代表人身份证或法定代表人授权书及授权代表身份证：法定代表人参加投标的，须提供法定代表人身份证明；法定代表人授权他人参加投标的，须提供法定代表人授权委托书。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国信国际工程咨询集团股份有限公司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陕西省西安市雁塔区南二环西段成长大厦20层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第五鹏飞、肖君玲、贾天佼、崔震宇、杜静、刘洋、张海飞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15029601084、15637780510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开户名称：国信国际工程咨询集团股份有限公司陕西分公司</w:t>
            </w:r>
          </w:p>
          <w:p>
            <w:pPr>
              <w:pStyle w:val="null3"/>
            </w:pPr>
            <w:r>
              <w:rPr>
                <w:rFonts w:ascii="仿宋_GB2312" w:hAnsi="仿宋_GB2312" w:cs="仿宋_GB2312" w:eastAsia="仿宋_GB2312"/>
              </w:rPr>
              <w:t>开户银行：招商银行西安城南支行</w:t>
            </w:r>
          </w:p>
          <w:p>
            <w:pPr>
              <w:pStyle w:val="null3"/>
            </w:pPr>
            <w:r>
              <w:rPr>
                <w:rFonts w:ascii="仿宋_GB2312" w:hAnsi="仿宋_GB2312" w:cs="仿宋_GB2312" w:eastAsia="仿宋_GB2312"/>
              </w:rPr>
              <w:t>银行账号：1299054558101012600016093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待合同执行完毕、验收合格后凭验收单和缴款收据，合同履约保证金予以无息退还。如遇下列情况之一者，合同履约保证金不予退还，作为对采购人的赔偿，且采购人有权解除本合同：（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见国家计委颁布的《招标代理服务收费管理暂行办法》（计价格[2002]1980号）和（发改办价格[2011]534号）货物类收费标准的90%，按照成交金额差额定率累进法计算。服务费账号同保证金账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国信国际工程咨询集团股份有限公司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国信国际工程咨询集团股份有限公司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国信国际工程咨询集团股份有限公司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（1）验收以最终验收为准；（2）货物安装调试运行正常后，采购人按学校相关业务部门规定提交验收申请，学校根据采购单位技术验收结果，组织有关专家进行货物的最终验收。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国信国际工程咨询集团股份有限公司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国信国际工程咨询集团股份有限公司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国信国际工程咨询集团股份有限公司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联系人：第五鹏飞、肖君玲</w:t>
      </w:r>
    </w:p>
    <w:p>
      <w:pPr>
        <w:pStyle w:val="null3"/>
      </w:pPr>
      <w:r>
        <w:rPr>
          <w:rFonts w:ascii="仿宋_GB2312" w:hAnsi="仿宋_GB2312" w:cs="仿宋_GB2312" w:eastAsia="仿宋_GB2312"/>
        </w:rPr>
        <w:t>联系电话：15029601084</w:t>
      </w:r>
    </w:p>
    <w:p>
      <w:pPr>
        <w:pStyle w:val="null3"/>
      </w:pPr>
      <w:r>
        <w:rPr>
          <w:rFonts w:ascii="仿宋_GB2312" w:hAnsi="仿宋_GB2312" w:cs="仿宋_GB2312" w:eastAsia="仿宋_GB2312"/>
        </w:rPr>
        <w:t>地址：陕西省西安市雁塔区南二环西段成长大厦20层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本项目主要用于西安石油大学极端条件下天然气管道输送与流动安全保障实验子平台项目建设，是其重要组成部分。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含气率测量系统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标的名称：含气率测量系统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测量系统</w:t>
            </w:r>
          </w:p>
          <w:p>
            <w:pPr>
              <w:pStyle w:val="null3"/>
              <w:jc w:val="left"/>
            </w:pPr>
            <w:r>
              <w:rPr>
                <w:rFonts w:ascii="仿宋_GB2312" w:hAnsi="仿宋_GB2312" w:cs="仿宋_GB2312" w:eastAsia="仿宋_GB2312"/>
                <w:sz w:val="20"/>
                <w:color w:val="000000"/>
              </w:rPr>
              <w:t>1.1</w:t>
            </w:r>
            <w:r>
              <w:rPr>
                <w:rFonts w:ascii="仿宋_GB2312" w:hAnsi="仿宋_GB2312" w:cs="仿宋_GB2312" w:eastAsia="仿宋_GB2312"/>
                <w:sz w:val="21"/>
              </w:rPr>
              <w:t>★</w:t>
            </w:r>
            <w:r>
              <w:rPr>
                <w:rFonts w:ascii="仿宋_GB2312" w:hAnsi="仿宋_GB2312" w:cs="仿宋_GB2312" w:eastAsia="仿宋_GB2312"/>
                <w:sz w:val="20"/>
                <w:color w:val="000000"/>
              </w:rPr>
              <w:t>采用电容检测方式，可实现流场</w:t>
            </w:r>
            <w:r>
              <w:rPr>
                <w:rFonts w:ascii="仿宋_GB2312" w:hAnsi="仿宋_GB2312" w:cs="仿宋_GB2312" w:eastAsia="仿宋_GB2312"/>
                <w:sz w:val="20"/>
                <w:color w:val="000000"/>
              </w:rPr>
              <w:t>2、3维成像，电极等距交叉排布于圆形流道截面，规格DN50，接口：法兰连接。</w:t>
            </w:r>
          </w:p>
          <w:p>
            <w:pPr>
              <w:pStyle w:val="null3"/>
              <w:jc w:val="left"/>
            </w:pPr>
            <w:r>
              <w:rPr>
                <w:rFonts w:ascii="仿宋_GB2312" w:hAnsi="仿宋_GB2312" w:cs="仿宋_GB2312" w:eastAsia="仿宋_GB2312"/>
                <w:sz w:val="20"/>
                <w:color w:val="000000"/>
              </w:rPr>
              <w:t>1.2电极数量≥8×8，电极线直径≤1.5mm。电极材质：铜或其它耐腐蚀材质，本体材质：FR-4或其它电绝缘材质，非介质接触部件材质：不锈钢。</w:t>
            </w:r>
          </w:p>
          <w:p>
            <w:pPr>
              <w:pStyle w:val="null3"/>
              <w:jc w:val="left"/>
            </w:pPr>
            <w:r>
              <w:rPr>
                <w:rFonts w:ascii="仿宋_GB2312" w:hAnsi="仿宋_GB2312" w:cs="仿宋_GB2312" w:eastAsia="仿宋_GB2312"/>
                <w:sz w:val="20"/>
                <w:color w:val="000000"/>
              </w:rPr>
              <w:t>1.3</w:t>
            </w:r>
            <w:r>
              <w:rPr>
                <w:rFonts w:ascii="仿宋_GB2312" w:hAnsi="仿宋_GB2312" w:cs="仿宋_GB2312" w:eastAsia="仿宋_GB2312"/>
                <w:sz w:val="21"/>
              </w:rPr>
              <w:t>★</w:t>
            </w:r>
            <w:r>
              <w:rPr>
                <w:rFonts w:ascii="仿宋_GB2312" w:hAnsi="仿宋_GB2312" w:cs="仿宋_GB2312" w:eastAsia="仿宋_GB2312"/>
                <w:sz w:val="20"/>
                <w:color w:val="000000"/>
              </w:rPr>
              <w:t>支持油水、油气、油气水等多相组合（</w:t>
            </w:r>
            <w:r>
              <w:rPr>
                <w:rFonts w:ascii="仿宋_GB2312" w:hAnsi="仿宋_GB2312" w:cs="仿宋_GB2312" w:eastAsia="仿宋_GB2312"/>
                <w:sz w:val="20"/>
                <w:color w:val="000000"/>
              </w:rPr>
              <w:t>介质</w:t>
            </w:r>
            <w:r>
              <w:rPr>
                <w:rFonts w:ascii="仿宋_GB2312" w:hAnsi="仿宋_GB2312" w:cs="仿宋_GB2312" w:eastAsia="仿宋_GB2312"/>
                <w:sz w:val="20"/>
                <w:color w:val="000000"/>
              </w:rPr>
              <w:t>cond.&lt;600nS/m），适用于体积含气率0.10%到100%的组合，适用于所有非导电类型的液体，工作温度</w:t>
            </w:r>
            <w:r>
              <w:rPr>
                <w:rFonts w:ascii="仿宋_GB2312" w:hAnsi="仿宋_GB2312" w:cs="仿宋_GB2312" w:eastAsia="仿宋_GB2312"/>
                <w:sz w:val="20"/>
                <w:color w:val="000000"/>
              </w:rPr>
              <w:t>范围不小于</w:t>
            </w:r>
            <w:r>
              <w:rPr>
                <w:rFonts w:ascii="仿宋_GB2312" w:hAnsi="仿宋_GB2312" w:cs="仿宋_GB2312" w:eastAsia="仿宋_GB2312"/>
                <w:sz w:val="20"/>
                <w:color w:val="000000"/>
              </w:rPr>
              <w:t>-20℃</w:t>
            </w:r>
            <w:r>
              <w:rPr>
                <w:rFonts w:ascii="仿宋_GB2312" w:hAnsi="仿宋_GB2312" w:cs="仿宋_GB2312" w:eastAsia="仿宋_GB2312"/>
                <w:sz w:val="20"/>
                <w:color w:val="000000"/>
              </w:rPr>
              <w:t>至</w:t>
            </w:r>
            <w:r>
              <w:rPr>
                <w:rFonts w:ascii="仿宋_GB2312" w:hAnsi="仿宋_GB2312" w:cs="仿宋_GB2312" w:eastAsia="仿宋_GB2312"/>
                <w:sz w:val="20"/>
                <w:color w:val="000000"/>
              </w:rPr>
              <w:t>70℃。</w:t>
            </w:r>
          </w:p>
          <w:p>
            <w:pPr>
              <w:pStyle w:val="null3"/>
              <w:jc w:val="left"/>
            </w:pPr>
            <w:r>
              <w:rPr>
                <w:rFonts w:ascii="仿宋_GB2312" w:hAnsi="仿宋_GB2312" w:cs="仿宋_GB2312" w:eastAsia="仿宋_GB2312"/>
                <w:sz w:val="20"/>
                <w:color w:val="000000"/>
              </w:rPr>
              <w:t>1.4集成射频连接接口，具备EMI屏蔽和锁紧能力。</w:t>
            </w:r>
          </w:p>
          <w:p>
            <w:pPr>
              <w:pStyle w:val="null3"/>
              <w:jc w:val="left"/>
            </w:pPr>
            <w:r>
              <w:rPr>
                <w:rFonts w:ascii="仿宋_GB2312" w:hAnsi="仿宋_GB2312" w:cs="仿宋_GB2312" w:eastAsia="仿宋_GB2312"/>
                <w:sz w:val="20"/>
                <w:color w:val="000000"/>
              </w:rPr>
              <w:t>1.5</w:t>
            </w:r>
            <w:r>
              <w:rPr>
                <w:rFonts w:ascii="仿宋_GB2312" w:hAnsi="仿宋_GB2312" w:cs="仿宋_GB2312" w:eastAsia="仿宋_GB2312"/>
                <w:sz w:val="21"/>
              </w:rPr>
              <w:t>★</w:t>
            </w:r>
            <w:r>
              <w:rPr>
                <w:rFonts w:ascii="仿宋_GB2312" w:hAnsi="仿宋_GB2312" w:cs="仿宋_GB2312" w:eastAsia="仿宋_GB2312"/>
                <w:sz w:val="20"/>
                <w:color w:val="000000"/>
              </w:rPr>
              <w:t>最大工作频率</w:t>
            </w:r>
            <w:r>
              <w:rPr>
                <w:rFonts w:ascii="仿宋_GB2312" w:hAnsi="仿宋_GB2312" w:cs="仿宋_GB2312" w:eastAsia="仿宋_GB2312"/>
                <w:sz w:val="20"/>
                <w:color w:val="000000"/>
              </w:rPr>
              <w:t>≥200Hz，测量范围≥3pF，测量分辨率≤0.1fF，</w:t>
            </w:r>
            <w:r>
              <w:rPr>
                <w:rFonts w:ascii="仿宋_GB2312" w:hAnsi="仿宋_GB2312" w:cs="仿宋_GB2312" w:eastAsia="仿宋_GB2312"/>
                <w:sz w:val="20"/>
                <w:color w:val="000000"/>
              </w:rPr>
              <w:t>偏差</w:t>
            </w:r>
            <w:r>
              <w:rPr>
                <w:rFonts w:ascii="仿宋_GB2312" w:hAnsi="仿宋_GB2312" w:cs="仿宋_GB2312" w:eastAsia="仿宋_GB2312"/>
                <w:sz w:val="20"/>
                <w:color w:val="000000"/>
              </w:rPr>
              <w:t>≤±1fF。</w:t>
            </w:r>
          </w:p>
          <w:p>
            <w:pPr>
              <w:pStyle w:val="null3"/>
            </w:pPr>
            <w:r>
              <w:rPr>
                <w:rFonts w:ascii="仿宋_GB2312" w:hAnsi="仿宋_GB2312" w:cs="仿宋_GB2312" w:eastAsia="仿宋_GB2312"/>
                <w:sz w:val="20"/>
                <w:color w:val="000000"/>
              </w:rPr>
              <w:t>1.6传感器电气接口：兼容BNC、SMA、UMCC或其他通用工业级连接方式。</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color w:val="000000"/>
              </w:rPr>
              <w:t>采集分析系统</w:t>
            </w:r>
          </w:p>
          <w:p>
            <w:pPr>
              <w:pStyle w:val="null3"/>
              <w:jc w:val="left"/>
            </w:pPr>
            <w:r>
              <w:rPr>
                <w:rFonts w:ascii="仿宋_GB2312" w:hAnsi="仿宋_GB2312" w:cs="仿宋_GB2312" w:eastAsia="仿宋_GB2312"/>
                <w:sz w:val="20"/>
                <w:color w:val="000000"/>
              </w:rPr>
              <w:t>2.1专用分析、处理、显示终端（</w:t>
            </w:r>
            <w:r>
              <w:rPr>
                <w:rFonts w:ascii="仿宋_GB2312" w:hAnsi="仿宋_GB2312" w:cs="仿宋_GB2312" w:eastAsia="仿宋_GB2312"/>
                <w:sz w:val="20"/>
                <w:color w:val="000000"/>
              </w:rPr>
              <w:t>计算能力</w:t>
            </w:r>
            <w:r>
              <w:rPr>
                <w:rFonts w:ascii="仿宋_GB2312" w:hAnsi="仿宋_GB2312" w:cs="仿宋_GB2312" w:eastAsia="仿宋_GB2312"/>
                <w:sz w:val="20"/>
                <w:color w:val="000000"/>
              </w:rPr>
              <w:t>FP32峰值</w:t>
            </w:r>
            <w:r>
              <w:rPr>
                <w:rFonts w:ascii="仿宋_GB2312" w:hAnsi="仿宋_GB2312" w:cs="仿宋_GB2312" w:eastAsia="仿宋_GB2312"/>
                <w:sz w:val="20"/>
                <w:color w:val="000000"/>
              </w:rPr>
              <w:t>≥</w:t>
            </w:r>
            <w:r>
              <w:rPr>
                <w:rFonts w:ascii="仿宋_GB2312" w:hAnsi="仿宋_GB2312" w:cs="仿宋_GB2312" w:eastAsia="仿宋_GB2312"/>
                <w:sz w:val="20"/>
                <w:color w:val="000000"/>
              </w:rPr>
              <w:t>15TFlops,计算能力FP64峰值≥2Tflops，内存</w:t>
            </w:r>
            <w:r>
              <w:rPr>
                <w:rFonts w:ascii="仿宋_GB2312" w:hAnsi="仿宋_GB2312" w:cs="仿宋_GB2312" w:eastAsia="仿宋_GB2312"/>
                <w:sz w:val="20"/>
                <w:color w:val="000000"/>
              </w:rPr>
              <w:t>≥</w:t>
            </w:r>
            <w:r>
              <w:rPr>
                <w:rFonts w:ascii="仿宋_GB2312" w:hAnsi="仿宋_GB2312" w:cs="仿宋_GB2312" w:eastAsia="仿宋_GB2312"/>
                <w:sz w:val="20"/>
                <w:color w:val="000000"/>
              </w:rPr>
              <w:t>64G</w:t>
            </w:r>
            <w:r>
              <w:rPr>
                <w:rFonts w:ascii="仿宋_GB2312" w:hAnsi="仿宋_GB2312" w:cs="仿宋_GB2312" w:eastAsia="仿宋_GB2312"/>
                <w:sz w:val="20"/>
                <w:color w:val="000000"/>
              </w:rPr>
              <w:t>，</w:t>
            </w:r>
            <w:r>
              <w:rPr>
                <w:rFonts w:ascii="仿宋_GB2312" w:hAnsi="仿宋_GB2312" w:cs="仿宋_GB2312" w:eastAsia="仿宋_GB2312"/>
                <w:sz w:val="20"/>
                <w:color w:val="000000"/>
              </w:rPr>
              <w:t>数据储存能力</w:t>
            </w:r>
            <w:r>
              <w:rPr>
                <w:rFonts w:ascii="仿宋_GB2312" w:hAnsi="仿宋_GB2312" w:cs="仿宋_GB2312" w:eastAsia="仿宋_GB2312"/>
                <w:sz w:val="20"/>
                <w:color w:val="000000"/>
              </w:rPr>
              <w:t>≥</w:t>
            </w:r>
            <w:r>
              <w:rPr>
                <w:rFonts w:ascii="仿宋_GB2312" w:hAnsi="仿宋_GB2312" w:cs="仿宋_GB2312" w:eastAsia="仿宋_GB2312"/>
                <w:sz w:val="20"/>
                <w:color w:val="000000"/>
              </w:rPr>
              <w:t>8T</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2.2支持管道截面气液分布的三维动态信号采集、分析。支持数据自动采集，自动存储、历史数据回放及数据管理功能</w:t>
            </w:r>
            <w:r>
              <w:rPr>
                <w:rFonts w:ascii="仿宋_GB2312" w:hAnsi="仿宋_GB2312" w:cs="仿宋_GB2312" w:eastAsia="仿宋_GB2312"/>
                <w:sz w:val="20"/>
                <w:color w:val="000000"/>
              </w:rPr>
              <w:t>（</w:t>
            </w:r>
            <w:r>
              <w:rPr>
                <w:rFonts w:ascii="仿宋_GB2312" w:hAnsi="仿宋_GB2312" w:cs="仿宋_GB2312" w:eastAsia="仿宋_GB2312"/>
                <w:sz w:val="20"/>
                <w:color w:val="000000"/>
              </w:rPr>
              <w:t>历史数据存储时间不小于</w:t>
            </w:r>
            <w:r>
              <w:rPr>
                <w:rFonts w:ascii="仿宋_GB2312" w:hAnsi="仿宋_GB2312" w:cs="仿宋_GB2312" w:eastAsia="仿宋_GB2312"/>
                <w:sz w:val="20"/>
                <w:color w:val="000000"/>
              </w:rPr>
              <w:t>48小时</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2.3</w:t>
            </w:r>
            <w:r>
              <w:rPr>
                <w:rFonts w:ascii="仿宋_GB2312" w:hAnsi="仿宋_GB2312" w:cs="仿宋_GB2312" w:eastAsia="仿宋_GB2312"/>
                <w:sz w:val="21"/>
              </w:rPr>
              <w:t>★</w:t>
            </w:r>
            <w:r>
              <w:rPr>
                <w:rFonts w:ascii="仿宋_GB2312" w:hAnsi="仿宋_GB2312" w:cs="仿宋_GB2312" w:eastAsia="仿宋_GB2312"/>
                <w:sz w:val="20"/>
                <w:color w:val="000000"/>
              </w:rPr>
              <w:t>支持测量节点</w:t>
            </w:r>
            <w:r>
              <w:rPr>
                <w:rFonts w:ascii="仿宋_GB2312" w:hAnsi="仿宋_GB2312" w:cs="仿宋_GB2312" w:eastAsia="仿宋_GB2312"/>
                <w:sz w:val="20"/>
                <w:color w:val="000000"/>
              </w:rPr>
              <w:t>≥64个，数据帧率≥250fps。</w:t>
            </w:r>
          </w:p>
          <w:p>
            <w:pPr>
              <w:pStyle w:val="null3"/>
              <w:jc w:val="left"/>
            </w:pPr>
            <w:r>
              <w:rPr>
                <w:rFonts w:ascii="仿宋_GB2312" w:hAnsi="仿宋_GB2312" w:cs="仿宋_GB2312" w:eastAsia="仿宋_GB2312"/>
                <w:sz w:val="20"/>
                <w:color w:val="000000"/>
              </w:rPr>
              <w:t>2.4具备“满管纯液”与“满管纯气”的标定功能。</w:t>
            </w:r>
          </w:p>
          <w:p>
            <w:pPr>
              <w:pStyle w:val="null3"/>
              <w:jc w:val="left"/>
            </w:pPr>
            <w:r>
              <w:rPr>
                <w:rFonts w:ascii="仿宋_GB2312" w:hAnsi="仿宋_GB2312" w:cs="仿宋_GB2312" w:eastAsia="仿宋_GB2312"/>
                <w:sz w:val="20"/>
                <w:color w:val="000000"/>
              </w:rPr>
              <w:t>2.5</w:t>
            </w:r>
            <w:r>
              <w:rPr>
                <w:rFonts w:ascii="仿宋_GB2312" w:hAnsi="仿宋_GB2312" w:cs="仿宋_GB2312" w:eastAsia="仿宋_GB2312"/>
                <w:sz w:val="21"/>
              </w:rPr>
              <w:t>★</w:t>
            </w:r>
            <w:r>
              <w:rPr>
                <w:rFonts w:ascii="仿宋_GB2312" w:hAnsi="仿宋_GB2312" w:cs="仿宋_GB2312" w:eastAsia="仿宋_GB2312"/>
                <w:sz w:val="20"/>
                <w:color w:val="000000"/>
              </w:rPr>
              <w:t>支持保存原始电容数据，并以点状图、变化曲线趋势图展示。具备空间成像算法，将原始的电容测量通道数据实时渲染为</w:t>
            </w:r>
            <w:r>
              <w:rPr>
                <w:rFonts w:ascii="仿宋_GB2312" w:hAnsi="仿宋_GB2312" w:cs="仿宋_GB2312" w:eastAsia="仿宋_GB2312"/>
                <w:sz w:val="20"/>
                <w:color w:val="000000"/>
              </w:rPr>
              <w:t>2D、3D彩色分布图。</w:t>
            </w:r>
          </w:p>
          <w:p>
            <w:pPr>
              <w:pStyle w:val="null3"/>
              <w:jc w:val="left"/>
            </w:pPr>
            <w:r>
              <w:rPr>
                <w:rFonts w:ascii="仿宋_GB2312" w:hAnsi="仿宋_GB2312" w:cs="仿宋_GB2312" w:eastAsia="仿宋_GB2312"/>
                <w:sz w:val="20"/>
                <w:color w:val="000000"/>
              </w:rPr>
              <w:t>2.6能够实时显示管道截面的含气率分布。能够通过将帧率序列转换至轴向流动长度，实时堆叠出一段流道内气泡/液塞的三维空间立体形态。</w:t>
            </w:r>
          </w:p>
          <w:p>
            <w:pPr>
              <w:pStyle w:val="null3"/>
            </w:pPr>
            <w:r>
              <w:rPr>
                <w:rFonts w:ascii="仿宋_GB2312" w:hAnsi="仿宋_GB2312" w:cs="仿宋_GB2312" w:eastAsia="仿宋_GB2312"/>
                <w:sz w:val="20"/>
                <w:color w:val="000000"/>
              </w:rPr>
              <w:t>2.7提供二次开发接口，支持用户自定义算法与功能扩展。</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0"/>
                <w:color w:val="000000"/>
              </w:rPr>
              <w:t>甲烷探测器</w:t>
            </w:r>
          </w:p>
          <w:p>
            <w:pPr>
              <w:pStyle w:val="null3"/>
            </w:pPr>
            <w:r>
              <w:rPr>
                <w:rFonts w:ascii="仿宋_GB2312" w:hAnsi="仿宋_GB2312" w:cs="仿宋_GB2312" w:eastAsia="仿宋_GB2312"/>
                <w:sz w:val="20"/>
                <w:color w:val="000000"/>
              </w:rPr>
              <w:t>含探测、报警、信号输出功能，数量</w:t>
            </w:r>
            <w:r>
              <w:rPr>
                <w:rFonts w:ascii="仿宋_GB2312" w:hAnsi="仿宋_GB2312" w:cs="仿宋_GB2312" w:eastAsia="仿宋_GB2312"/>
                <w:sz w:val="20"/>
                <w:color w:val="000000"/>
              </w:rPr>
              <w:t>≥2套；当局部环境甲烷体积浓度达到1.25%时触发报警机制。</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color w:val="000000"/>
              </w:rPr>
              <w:t>供应商拟投产品必须满足所有技术参数要求，提供相关证明材料。</w:t>
            </w:r>
            <w:r>
              <w:br/>
            </w:r>
            <w:r>
              <w:rPr>
                <w:rFonts w:ascii="仿宋_GB2312" w:hAnsi="仿宋_GB2312" w:cs="仿宋_GB2312" w:eastAsia="仿宋_GB2312"/>
                <w:sz w:val="20"/>
                <w:color w:val="000000"/>
              </w:rPr>
              <w:t xml:space="preserve"> 其中，标注“★”的参数提供的证明材料包括但不限于产品规格表、产品宣传彩页、技术白皮书、制造商官方网站发布的产品信息、说明书或检测机构出具的检测报告等，至少提供以上一项证明材料予以证明其技术参数的响应性；</w:t>
            </w:r>
            <w:r>
              <w:br/>
            </w:r>
            <w:r>
              <w:rPr>
                <w:rFonts w:ascii="仿宋_GB2312" w:hAnsi="仿宋_GB2312" w:cs="仿宋_GB2312" w:eastAsia="仿宋_GB2312"/>
                <w:sz w:val="20"/>
                <w:color w:val="000000"/>
              </w:rPr>
              <w:t xml:space="preserve"> 未标注“★”的参数提供的证明材料包括但不限于技术方案、产品规格表、产品宣传彩页、技术白皮书、制造商官方网站发布的产品信息、技术偏离表、说明书或检测机构出具的检测报告等，至少提供以上一项证明材料予以证明其技术参数的响应性。</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交货时间为本合同生效后90天内到货并安装调试交付使用。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性付清”为系统固定推送内容，具体付款方式以下列内容为准：合同签订后，供应商开具预付款等额银行保函，采购人收到银行保函正本后10个工作日内支付预付款，最多支付至40万，剩余款项待验收合格后，并出具增值税专用发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（1）验收以最终验收为准；（2）货物安装调试运行正常后，采购人按学校相关业务部门规定提交验收申请，学校根据采购单位技术验收结果，组织有关专家进行货物的最终验收。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供应商自行选择，但包装必须符合国家标准或行业标准，满足航空、铁路或公路运输以及货物装卸要求，保证采购人收到的是无任何损伤的货物。否则，因此造成的损失由供应商自行承担。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质保期：自学校验收合格之日起3年。保修期：供应商提供1年的免费保修,保修期自仪器验收签字之日起计算。保修期间维修及零件更换费用由供应商负担。</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交付货物不符合其投标承诺，存在偷工减料、以次充好情形的，采购人要求更换一次后仍不符合约定的，采购人有权解除采购合同，没收履约保证金，供应商退还预付款，并将有关情况上报政府采购监管部门处理。其他内容详见合同文本。</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1、培训要求：在采购人所在地对采购人进行为期1周的培训。培训内容包括仪器的技术原理、操作、数据处理、基本维护等。验收后半年内组织买方相关人员2人参加举办的相关应用培训班。 2、报价要求：响应报价是指到达使用地点、验收合格达到正常使用条件前的所有费用，包括但不限于以下费用：货物价值、安装调试费、运杂费（含保险）、仓储保管费、技术培训费、检测费、施工费、人工费等全部相关费用。 3、谈判保证金注意事项： （1）谈判保证金缴纳截止时间：同响应文件递交截止时间一致； （2）谈判保证金须从投标人户名支付，如从个人户名或非供应商户名支付，将被拒绝，视为自动放弃响应权利（该个人是供应商的情形除外）；以保函形式交纳谈判保证金的，供应商应在响应文件递交截止时间前将保函扫描成清晰的PDF文件，发送至邮箱gx86533155@163.com（邮件命名：项目编号）。保函必须由具有开具投标保函资格的单位开具；若供应商违约，开具保函单位承担连带责任。 4、成交供应商应在中标结果发布后2日内提供与电子化交易平台上传一致的纸质投标文件2份。5、场地基础承载要求（如涉及）：供货方需根据本次重型仪器整机自重、设备重心分布、配套附属构件总荷载，提供完整设备基础施工图纸、地面荷载验算报告及地面加固技术方案；设备放置区域地面均布承载力不得低于仪器满载总重量1.5倍，局部集中承重点位需满足设备支脚单点承重需求，地面平整度误差≤2mm/m，地面无沉降、空鼓、开裂缺陷；若现场原有地面承载力不满足安装条件，成交供应商须免费提供地面加固、承重基座制作全套施工方案并完成施工，所有施工材料、人工、检测费用全部包含在投标总价内。 6、整机就位、调平与减震安装要求（如涉及）：设备进场就位后，成交供应商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 7、质保期内成交供应商提供免费搬迁和安装调试1次，本次搬迁和安装调试过程中所产生的一切费用由成交供应商承担；本次搬迁和安装调试过程中仪器出现的一切故障和损坏由成交供应商免费修复。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其他资格证明材料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企业提供会计师事务所出具的完整的2025年度审计报告（成立时间至投标截止时间不足一年的可提供成立后任意时段的资产负债表)，或投标截止时间前6个月内（2025年12月1日后）其基本账户银行出具的资信证明（附开户许可证或基本银行证明以证明该户为基本户），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其他资格证明材料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w:t>
            </w:r>
          </w:p>
        </w:tc>
        <w:tc>
          <w:tcPr>
            <w:tcW w:type="dxa" w:w="1661"/>
          </w:tcPr>
          <w:p>
            <w:pPr>
              <w:pStyle w:val="null3"/>
            </w:pPr>
            <w:r>
              <w:rPr>
                <w:rFonts w:ascii="仿宋_GB2312" w:hAnsi="仿宋_GB2312" w:cs="仿宋_GB2312" w:eastAsia="仿宋_GB2312"/>
              </w:rPr>
              <w:t>法定代表人负责人授权委托书</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交货时间为本合同生效后90天内到货并安装调试交付使用</w:t>
            </w:r>
          </w:p>
        </w:tc>
        <w:tc>
          <w:tcPr>
            <w:tcW w:type="dxa" w:w="1661"/>
          </w:tcPr>
          <w:p>
            <w:pPr>
              <w:pStyle w:val="null3"/>
            </w:pPr>
            <w:r>
              <w:rPr>
                <w:rFonts w:ascii="仿宋_GB2312" w:hAnsi="仿宋_GB2312" w:cs="仿宋_GB2312" w:eastAsia="仿宋_GB2312"/>
              </w:rPr>
              <w:t>商务要求应答表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自学校验收合格之日起3年</w:t>
            </w:r>
          </w:p>
        </w:tc>
        <w:tc>
          <w:tcPr>
            <w:tcW w:type="dxa" w:w="1661"/>
          </w:tcPr>
          <w:p>
            <w:pPr>
              <w:pStyle w:val="null3"/>
            </w:pPr>
            <w:r>
              <w:rPr>
                <w:rFonts w:ascii="仿宋_GB2312" w:hAnsi="仿宋_GB2312" w:cs="仿宋_GB2312" w:eastAsia="仿宋_GB2312"/>
              </w:rPr>
              <w:t>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预付款等额银行保函，采购人收到银行保函正本后10个工作日内支付预付款，最多支付至40万，剩余款项待验收合格后，并出具增值税专用发票，达到付款条件起10个工作日内，支付合同总金额的100.0%。</w:t>
            </w:r>
          </w:p>
        </w:tc>
        <w:tc>
          <w:tcPr>
            <w:tcW w:type="dxa" w:w="1661"/>
          </w:tcPr>
          <w:p>
            <w:pPr>
              <w:pStyle w:val="null3"/>
            </w:pPr>
            <w:r>
              <w:rPr>
                <w:rFonts w:ascii="仿宋_GB2312" w:hAnsi="仿宋_GB2312" w:cs="仿宋_GB2312" w:eastAsia="仿宋_GB2312"/>
              </w:rPr>
              <w:t>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投标保证金缴纳凭证或电子保函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不超过项目最高限价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标注“★”的参数为实质性要求，须提供符合要求的证明材料，未提供或虽提供但不符合的按无效文件处理。</w:t>
            </w:r>
          </w:p>
        </w:tc>
        <w:tc>
          <w:tcPr>
            <w:tcW w:type="dxa" w:w="1661"/>
          </w:tcPr>
          <w:p>
            <w:pPr>
              <w:pStyle w:val="null3"/>
            </w:pPr>
            <w:r>
              <w:rPr>
                <w:rFonts w:ascii="仿宋_GB2312" w:hAnsi="仿宋_GB2312" w:cs="仿宋_GB2312" w:eastAsia="仿宋_GB2312"/>
              </w:rPr>
              <w:t>技术偏离表 供货服务方案 本国产品说明 关于符合本国产品标准的声明函 中国境内生产的组件成本核算基本规则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其他未实质响应招标文件内容或违反法律法规的行为</w:t>
            </w:r>
          </w:p>
        </w:tc>
        <w:tc>
          <w:tcPr>
            <w:tcW w:type="dxa" w:w="1661"/>
          </w:tcPr>
          <w:p>
            <w:pPr>
              <w:pStyle w:val="null3"/>
            </w:pPr>
            <w:r>
              <w:rPr>
                <w:rFonts w:ascii="仿宋_GB2312" w:hAnsi="仿宋_GB2312" w:cs="仿宋_GB2312" w:eastAsia="仿宋_GB2312"/>
              </w:rPr>
              <w:t>法定代表人负责人授权委托书 技术偏离表 响应承诺书 本国产品说明 供货服务方案 中小企业声明函 供应商拒绝政府采购领域商业贿赂承诺书 其他资格证明材料 报价表 中国境内生产的组件成本核算基本规则 响应文件封面 残疾人福利性单位声明函 关于符合本国产品标准的声明函 标的清单 商务要求应答表 响应函 监狱企业的证明文件 投标保证金缴纳凭证或电子保函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标的清单 报价表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按照最后报价由低到高的顺序推荐，最后报价相同的，按照技术指标优劣顺序推荐，最后报价且技术指标均相同的，成交候选供应商并列。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详见附件：法定代表人负责人授权委托书</w:t>
      </w:r>
    </w:p>
    <w:p>
      <w:pPr>
        <w:pStyle w:val="null3"/>
        <w:ind w:firstLine="960"/>
      </w:pPr>
      <w:r>
        <w:rPr>
          <w:rFonts w:ascii="仿宋_GB2312" w:hAnsi="仿宋_GB2312" w:cs="仿宋_GB2312" w:eastAsia="仿宋_GB2312"/>
        </w:rPr>
        <w:t>详见附件：供货服务方案</w:t>
      </w:r>
    </w:p>
    <w:p>
      <w:pPr>
        <w:pStyle w:val="null3"/>
        <w:ind w:firstLine="960"/>
      </w:pPr>
      <w:r>
        <w:rPr>
          <w:rFonts w:ascii="仿宋_GB2312" w:hAnsi="仿宋_GB2312" w:cs="仿宋_GB2312" w:eastAsia="仿宋_GB2312"/>
        </w:rPr>
        <w:t>详见附件：供应商拒绝政府采购领域商业贿赂承诺书</w:t>
      </w:r>
    </w:p>
    <w:p>
      <w:pPr>
        <w:pStyle w:val="null3"/>
        <w:ind w:firstLine="960"/>
      </w:pPr>
      <w:r>
        <w:rPr>
          <w:rFonts w:ascii="仿宋_GB2312" w:hAnsi="仿宋_GB2312" w:cs="仿宋_GB2312" w:eastAsia="仿宋_GB2312"/>
        </w:rPr>
        <w:t>详见附件：其他资格证明材料</w:t>
      </w:r>
    </w:p>
    <w:p>
      <w:pPr>
        <w:pStyle w:val="null3"/>
        <w:ind w:firstLine="960"/>
      </w:pPr>
      <w:r>
        <w:rPr>
          <w:rFonts w:ascii="仿宋_GB2312" w:hAnsi="仿宋_GB2312" w:cs="仿宋_GB2312" w:eastAsia="仿宋_GB2312"/>
        </w:rPr>
        <w:t>详见附件：商务要求应答表</w:t>
      </w:r>
    </w:p>
    <w:p>
      <w:pPr>
        <w:pStyle w:val="null3"/>
        <w:ind w:firstLine="960"/>
      </w:pPr>
      <w:r>
        <w:rPr>
          <w:rFonts w:ascii="仿宋_GB2312" w:hAnsi="仿宋_GB2312" w:cs="仿宋_GB2312" w:eastAsia="仿宋_GB2312"/>
        </w:rPr>
        <w:t>详见附件：投标保证金缴纳凭证或电子保函</w:t>
      </w:r>
    </w:p>
    <w:p>
      <w:pPr>
        <w:pStyle w:val="null3"/>
        <w:ind w:firstLine="960"/>
      </w:pPr>
      <w:r>
        <w:rPr>
          <w:rFonts w:ascii="仿宋_GB2312" w:hAnsi="仿宋_GB2312" w:cs="仿宋_GB2312" w:eastAsia="仿宋_GB2312"/>
        </w:rPr>
        <w:t>详见附件：响应承诺书</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详见附件：技术偏离表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