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版本号：KY2026-3-18620260715002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多功能多参数高温高压流体性能分析系统采购项目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KY2026-3-186</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多功能多参数高温高压流体性能分析系统采购项目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KY2026-3-186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多功能多参数高温高压流体性能分析系统采购项目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一套多功能多参数高温高压流体性能分析系统，旨在实现对各类复杂流体（包括原油、聚合物、压裂液、增稠二氧化碳及酸液等）在宽温压范围内的流变、热力学、渗流等多维度性能进行同步、精准的测量与分析，本项目已经过进口产品采购核准，允许采购进口产品；具体要求详见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投标人应授权合法的人员参加投标全过程，其中法定代表人直接参加投标的，须提供法定代表人身份证明书，并与营业执照上信息一致。法定代表人授权代表参加投标的，须提供法定代表人授权书；（授权代表参与的需提供投标截止时间前半年任意一个月的社保缴纳证明）</w:t>
      </w:r>
    </w:p>
    <w:p>
      <w:pPr>
        <w:pStyle w:val="null3"/>
      </w:pPr>
      <w:r>
        <w:rPr>
          <w:rFonts w:ascii="仿宋_GB2312" w:hAnsi="仿宋_GB2312" w:cs="仿宋_GB2312" w:eastAsia="仿宋_GB2312"/>
        </w:rPr>
        <w:t>2、进口产品授权链：所投产品为进口产品的，须提供所投产品制造商授权书或总代理商授权书或具有授权权限的投标人对所投进口产品的授权书（提供总代理商授权书的须出具有效授权权限的相关证明文件，证明文件须能显示产品制造厂家对所投产品授权链条的完整性）</w:t>
      </w:r>
    </w:p>
    <w:p>
      <w:pPr>
        <w:pStyle w:val="null3"/>
      </w:pPr>
      <w:r>
        <w:rPr>
          <w:rFonts w:ascii="仿宋_GB2312" w:hAnsi="仿宋_GB2312" w:cs="仿宋_GB2312" w:eastAsia="仿宋_GB2312"/>
        </w:rPr>
        <w:t>3、本项目不接受联合体投标：本项目不接受联合体投标，单位负责人为同一人或者存在直接控股、管理关系的不同单位，不得参加同一项下的政府采购活动。对列入失信被执行人、政府采购严重违法失信行为记录名单的投标人，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没有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银行账号：86113010750181502001317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说明：1.合同签订前，中标人须向采购人提交合同总价的5.0%作为履约保证金；2.产品交付并由采购人验收合格后，中标人申请，采购人将履约保证金（无息）退还中标人。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代理服务费收费标准：1、交费金额参照国家计委颁布的《招标代理服务收费管理暂行办法》（计价格[2002]1980号）及发改办价格[2003]857号文件的规定标准的90%计取。2、本次中标服务费按货物计取。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1.供应商在本项目实施过程中，因履行合同需要而采用的自有知识产权技术方案、软件系统或专利设计，须在投标文件中明确列出，并书面承诺该知识产权的使用范围。 2.若供应商需引入第三方知识成果，供应商须确保其拥有合法授权，且该授权应覆盖采购人在项目生命周期内的正常使用需求。 3.采购标的涉及的定制化功能、专属设计图纸、现场深化方案及系统集成成果，其知识产权相关事宜，由采购人结合项目实际需求自主确认，或与供应商在合同中另行协商约定。 4.供应商应保证其提供的设备及技术方案不侵犯任何第三方的知识产权。如发生侵权纠纷，供应商承担全部法律责任及由此给采购人造成的损失。</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联系人：谢婷婷、李瑞洁、戈迪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一套多功能多参数高温高压流体性能分析系统，旨在实现对各类复杂流体（包括原油、聚合物、压裂液、增稠二氧化碳及酸液等）在宽温压范围内的流变、热力学、渗流等多维度性能进行同步、精准的测量与分析，具体要求详见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2,100,000.00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多功能多参数高温高压流体性能分析系统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标的名称：多功能多参数高温高压流体性能分析系统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1、高温高压密度测量单元：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 压力控制范围：至少覆盖环境压力</w:t>
            </w:r>
            <w:r>
              <w:rPr>
                <w:rFonts w:ascii="仿宋_GB2312" w:hAnsi="仿宋_GB2312" w:cs="仿宋_GB2312" w:eastAsia="仿宋_GB2312"/>
                <w:sz w:val="20"/>
              </w:rPr>
              <w:t>~</w:t>
            </w:r>
            <w:r>
              <w:rPr>
                <w:rFonts w:ascii="仿宋_GB2312" w:hAnsi="仿宋_GB2312" w:cs="仿宋_GB2312" w:eastAsia="仿宋_GB2312"/>
                <w:sz w:val="20"/>
              </w:rPr>
              <w:t>140MPa，压力控制精度：±0.5%FS.，温度控制范围：至少覆盖-10℃</w:t>
            </w:r>
            <w:r>
              <w:rPr>
                <w:rFonts w:ascii="仿宋_GB2312" w:hAnsi="仿宋_GB2312" w:cs="仿宋_GB2312" w:eastAsia="仿宋_GB2312"/>
                <w:sz w:val="20"/>
              </w:rPr>
              <w:t>~</w:t>
            </w:r>
            <w:r>
              <w:rPr>
                <w:rFonts w:ascii="仿宋_GB2312" w:hAnsi="仿宋_GB2312" w:cs="仿宋_GB2312" w:eastAsia="仿宋_GB2312"/>
                <w:sz w:val="20"/>
              </w:rPr>
              <w:t>200℃，温度精控制度：≤0.01℃；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1.2 密度测量范围：至少覆盖0</w:t>
            </w:r>
            <w:r>
              <w:rPr>
                <w:rFonts w:ascii="仿宋_GB2312" w:hAnsi="仿宋_GB2312" w:cs="仿宋_GB2312" w:eastAsia="仿宋_GB2312"/>
                <w:sz w:val="20"/>
              </w:rPr>
              <w:t>~</w:t>
            </w:r>
            <w:r>
              <w:rPr>
                <w:rFonts w:ascii="仿宋_GB2312" w:hAnsi="仿宋_GB2312" w:cs="仿宋_GB2312" w:eastAsia="仿宋_GB2312"/>
                <w:sz w:val="20"/>
              </w:rPr>
              <w:t>3g/cm</w:t>
            </w:r>
            <w:r>
              <w:rPr>
                <w:rFonts w:ascii="仿宋_GB2312" w:hAnsi="仿宋_GB2312" w:cs="仿宋_GB2312" w:eastAsia="仿宋_GB2312"/>
                <w:sz w:val="20"/>
                <w:vertAlign w:val="superscript"/>
              </w:rPr>
              <w:t>3</w:t>
            </w:r>
            <w:r>
              <w:rPr>
                <w:rFonts w:ascii="仿宋_GB2312" w:hAnsi="仿宋_GB2312" w:cs="仿宋_GB2312" w:eastAsia="仿宋_GB2312"/>
                <w:sz w:val="20"/>
              </w:rPr>
              <w:t>，密度测量准确度：</w:t>
            </w:r>
            <w:r>
              <w:rPr>
                <w:rFonts w:ascii="仿宋_GB2312" w:hAnsi="仿宋_GB2312" w:cs="仿宋_GB2312" w:eastAsia="仿宋_GB2312"/>
                <w:sz w:val="20"/>
              </w:rPr>
              <w:t>≤0.0001 g/cm</w:t>
            </w:r>
            <w:r>
              <w:rPr>
                <w:rFonts w:ascii="仿宋_GB2312" w:hAnsi="仿宋_GB2312" w:cs="仿宋_GB2312" w:eastAsia="仿宋_GB2312"/>
                <w:sz w:val="20"/>
                <w:vertAlign w:val="superscript"/>
              </w:rPr>
              <w:t>3</w:t>
            </w:r>
            <w:r>
              <w:rPr>
                <w:rFonts w:ascii="仿宋_GB2312" w:hAnsi="仿宋_GB2312" w:cs="仿宋_GB2312" w:eastAsia="仿宋_GB2312"/>
                <w:sz w:val="20"/>
              </w:rPr>
              <w:t>，密度测量分辨率：</w:t>
            </w:r>
            <w:r>
              <w:rPr>
                <w:rFonts w:ascii="仿宋_GB2312" w:hAnsi="仿宋_GB2312" w:cs="仿宋_GB2312" w:eastAsia="仿宋_GB2312"/>
                <w:sz w:val="20"/>
              </w:rPr>
              <w:t>≤0.00001 g/cm</w:t>
            </w:r>
            <w:r>
              <w:rPr>
                <w:rFonts w:ascii="仿宋_GB2312" w:hAnsi="仿宋_GB2312" w:cs="仿宋_GB2312" w:eastAsia="仿宋_GB2312"/>
                <w:sz w:val="20"/>
                <w:vertAlign w:val="superscript"/>
              </w:rPr>
              <w:t>3</w:t>
            </w:r>
            <w:r>
              <w:rPr>
                <w:rFonts w:ascii="仿宋_GB2312" w:hAnsi="仿宋_GB2312" w:cs="仿宋_GB2312" w:eastAsia="仿宋_GB2312"/>
                <w:sz w:val="20"/>
              </w:rPr>
              <w:t>；</w:t>
            </w:r>
          </w:p>
          <w:p>
            <w:pPr>
              <w:pStyle w:val="null3"/>
            </w:pPr>
            <w:r>
              <w:rPr>
                <w:rFonts w:ascii="仿宋_GB2312" w:hAnsi="仿宋_GB2312" w:cs="仿宋_GB2312" w:eastAsia="仿宋_GB2312"/>
                <w:sz w:val="20"/>
              </w:rPr>
              <w:t>1.3 满足测试的最小样品量不超过2.5mL</w:t>
            </w:r>
            <w:r>
              <w:rPr>
                <w:rFonts w:ascii="仿宋_GB2312" w:hAnsi="仿宋_GB2312" w:cs="仿宋_GB2312" w:eastAsia="仿宋_GB2312"/>
                <w:sz w:val="21"/>
              </w:rPr>
              <w:t>，</w:t>
            </w:r>
            <w:r>
              <w:rPr>
                <w:rFonts w:ascii="仿宋_GB2312" w:hAnsi="仿宋_GB2312" w:cs="仿宋_GB2312" w:eastAsia="仿宋_GB2312"/>
                <w:sz w:val="20"/>
              </w:rPr>
              <w:t>测量池材质：金属材质，耐腐蚀高强度哈氏合金</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2、动力粘度测量单元：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2.1 测量范围：至少覆盖 0.3</w:t>
            </w:r>
            <w:r>
              <w:rPr>
                <w:rFonts w:ascii="仿宋_GB2312" w:hAnsi="仿宋_GB2312" w:cs="仿宋_GB2312" w:eastAsia="仿宋_GB2312"/>
                <w:sz w:val="20"/>
              </w:rPr>
              <w:t>~</w:t>
            </w:r>
            <w:r>
              <w:rPr>
                <w:rFonts w:ascii="仿宋_GB2312" w:hAnsi="仿宋_GB2312" w:cs="仿宋_GB2312" w:eastAsia="仿宋_GB2312"/>
                <w:sz w:val="20"/>
              </w:rPr>
              <w:t>30000mPa.s，温控范围：至少覆盖 -60℃</w:t>
            </w:r>
            <w:r>
              <w:rPr>
                <w:rFonts w:ascii="仿宋_GB2312" w:hAnsi="仿宋_GB2312" w:cs="仿宋_GB2312" w:eastAsia="仿宋_GB2312"/>
                <w:sz w:val="20"/>
              </w:rPr>
              <w:t>~</w:t>
            </w:r>
            <w:r>
              <w:rPr>
                <w:rFonts w:ascii="仿宋_GB2312" w:hAnsi="仿宋_GB2312" w:cs="仿宋_GB2312" w:eastAsia="仿宋_GB2312"/>
                <w:sz w:val="20"/>
              </w:rPr>
              <w:t>100℃；</w:t>
            </w:r>
          </w:p>
          <w:p>
            <w:pPr>
              <w:pStyle w:val="null3"/>
            </w:pPr>
            <w:r>
              <w:rPr>
                <w:rFonts w:ascii="仿宋_GB2312" w:hAnsi="仿宋_GB2312" w:cs="仿宋_GB2312" w:eastAsia="仿宋_GB2312"/>
                <w:sz w:val="20"/>
              </w:rPr>
              <w:t>⯅</w:t>
            </w:r>
            <w:r>
              <w:rPr>
                <w:rFonts w:ascii="仿宋_GB2312" w:hAnsi="仿宋_GB2312" w:cs="仿宋_GB2312" w:eastAsia="仿宋_GB2312"/>
                <w:sz w:val="20"/>
              </w:rPr>
              <w:t>2.2 满足测试最小样品量不超过2.0mL,单次测试即可获得运动粘度、动力粘度、浊点、冰点、密度等数据，运动粘度测量分辨率：≤0.0001 mm</w:t>
            </w:r>
            <w:r>
              <w:rPr>
                <w:rFonts w:ascii="仿宋_GB2312" w:hAnsi="仿宋_GB2312" w:cs="仿宋_GB2312" w:eastAsia="仿宋_GB2312"/>
                <w:sz w:val="20"/>
                <w:vertAlign w:val="superscript"/>
              </w:rPr>
              <w:t>2</w:t>
            </w:r>
            <w:r>
              <w:rPr>
                <w:rFonts w:ascii="仿宋_GB2312" w:hAnsi="仿宋_GB2312" w:cs="仿宋_GB2312" w:eastAsia="仿宋_GB2312"/>
                <w:sz w:val="20"/>
              </w:rPr>
              <w:t>/s，动力粘度分辨率：≤0.0001mPa.s,密度测量分辨率：≤0.00001 g/cm</w:t>
            </w:r>
            <w:r>
              <w:rPr>
                <w:rFonts w:ascii="仿宋_GB2312" w:hAnsi="仿宋_GB2312" w:cs="仿宋_GB2312" w:eastAsia="仿宋_GB2312"/>
                <w:sz w:val="20"/>
                <w:vertAlign w:val="superscript"/>
              </w:rPr>
              <w:t>3</w:t>
            </w:r>
            <w:r>
              <w:rPr>
                <w:rFonts w:ascii="仿宋_GB2312" w:hAnsi="仿宋_GB2312" w:cs="仿宋_GB2312" w:eastAsia="仿宋_GB2312"/>
                <w:sz w:val="20"/>
              </w:rPr>
              <w:t>，粘度重复性：</w:t>
            </w:r>
            <w:r>
              <w:rPr>
                <w:rFonts w:ascii="仿宋_GB2312" w:hAnsi="仿宋_GB2312" w:cs="仿宋_GB2312" w:eastAsia="仿宋_GB2312"/>
                <w:sz w:val="20"/>
              </w:rPr>
              <w:t>≤±0.1%，密度重复性：≤±0.00005g/cm</w:t>
            </w:r>
            <w:r>
              <w:rPr>
                <w:rFonts w:ascii="仿宋_GB2312" w:hAnsi="仿宋_GB2312" w:cs="仿宋_GB2312" w:eastAsia="仿宋_GB2312"/>
                <w:sz w:val="20"/>
                <w:vertAlign w:val="superscript"/>
              </w:rPr>
              <w:t>3</w:t>
            </w:r>
            <w:r>
              <w:rPr>
                <w:rFonts w:ascii="仿宋_GB2312" w:hAnsi="仿宋_GB2312" w:cs="仿宋_GB2312" w:eastAsia="仿宋_GB2312"/>
                <w:sz w:val="20"/>
              </w:rPr>
              <w:t>，冰点重复性：</w:t>
            </w:r>
            <w:r>
              <w:rPr>
                <w:rFonts w:ascii="仿宋_GB2312" w:hAnsi="仿宋_GB2312" w:cs="仿宋_GB2312" w:eastAsia="仿宋_GB2312"/>
                <w:sz w:val="20"/>
              </w:rPr>
              <w:t>≤0.5℃，浊点重复性：≤0.5℃。</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3、落球粘数测试单元：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3.1 剪切速率测定范围：至少覆盖0.5s</w:t>
            </w:r>
            <w:r>
              <w:rPr>
                <w:rFonts w:ascii="仿宋_GB2312" w:hAnsi="仿宋_GB2312" w:cs="仿宋_GB2312" w:eastAsia="仿宋_GB2312"/>
                <w:sz w:val="20"/>
                <w:vertAlign w:val="superscript"/>
              </w:rPr>
              <w:t>-1</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1000 s</w:t>
            </w:r>
            <w:r>
              <w:rPr>
                <w:rFonts w:ascii="仿宋_GB2312" w:hAnsi="仿宋_GB2312" w:cs="仿宋_GB2312" w:eastAsia="仿宋_GB2312"/>
                <w:sz w:val="20"/>
                <w:vertAlign w:val="superscript"/>
              </w:rPr>
              <w:t>-1</w:t>
            </w:r>
            <w:r>
              <w:rPr>
                <w:rFonts w:ascii="仿宋_GB2312" w:hAnsi="仿宋_GB2312" w:cs="仿宋_GB2312" w:eastAsia="仿宋_GB2312"/>
                <w:sz w:val="20"/>
              </w:rPr>
              <w:t>，倾斜度调节范围：至少覆盖</w:t>
            </w: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 xml:space="preserve">80°，倾斜度准确度：≤0.1°，倾斜度重复性：≤0.02°，动力粘度测量范围：至少覆盖0.3mPa.s </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10000mPa.s，动力粘度测量分辨率：≤0.00001 mPa.s, 动力粘度测试准确度：≤0.5%，动力粘度测试重复性：≤0.1%。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3.2 时间计数分辨率：≤0.001s，时间计数准确度：≤0.05%，控温方式采用环绕式高精度铂尔贴控温系统，温度控制范围：至少覆盖5</w:t>
            </w:r>
            <w:r>
              <w:rPr>
                <w:rFonts w:ascii="仿宋_GB2312" w:hAnsi="仿宋_GB2312" w:cs="仿宋_GB2312" w:eastAsia="仿宋_GB2312"/>
                <w:sz w:val="20"/>
              </w:rPr>
              <w:t>~</w:t>
            </w:r>
            <w:r>
              <w:rPr>
                <w:rFonts w:ascii="仿宋_GB2312" w:hAnsi="仿宋_GB2312" w:cs="仿宋_GB2312" w:eastAsia="仿宋_GB2312"/>
                <w:sz w:val="20"/>
              </w:rPr>
              <w:t>100℃，温度控制准确度：≤0.02℃，温度控制精度：≤0.001℃，温度控制重复性：≤0.005℃；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3.3 满足测试最小样品量不超过1.0mL，配备测量覆盖高、中、低粘度的微量粘数测量系统，并提供1.5</w:t>
            </w:r>
            <w:r>
              <w:rPr>
                <w:rFonts w:ascii="仿宋_GB2312" w:hAnsi="仿宋_GB2312" w:cs="仿宋_GB2312" w:eastAsia="仿宋_GB2312"/>
                <w:sz w:val="20"/>
              </w:rPr>
              <w:t>~</w:t>
            </w:r>
            <w:r>
              <w:rPr>
                <w:rFonts w:ascii="仿宋_GB2312" w:hAnsi="仿宋_GB2312" w:cs="仿宋_GB2312" w:eastAsia="仿宋_GB2312"/>
                <w:sz w:val="20"/>
              </w:rPr>
              <w:t>1.6mm（覆盖粘度范围0.3</w:t>
            </w:r>
            <w:r>
              <w:rPr>
                <w:rFonts w:ascii="仿宋_GB2312" w:hAnsi="仿宋_GB2312" w:cs="仿宋_GB2312" w:eastAsia="仿宋_GB2312"/>
                <w:sz w:val="20"/>
              </w:rPr>
              <w:t>~</w:t>
            </w:r>
            <w:r>
              <w:rPr>
                <w:rFonts w:ascii="仿宋_GB2312" w:hAnsi="仿宋_GB2312" w:cs="仿宋_GB2312" w:eastAsia="仿宋_GB2312"/>
                <w:sz w:val="20"/>
              </w:rPr>
              <w:t>1000 mPa.s），1.7</w:t>
            </w:r>
            <w:r>
              <w:rPr>
                <w:rFonts w:ascii="仿宋_GB2312" w:hAnsi="仿宋_GB2312" w:cs="仿宋_GB2312" w:eastAsia="仿宋_GB2312"/>
                <w:sz w:val="20"/>
              </w:rPr>
              <w:t>~</w:t>
            </w:r>
            <w:r>
              <w:rPr>
                <w:rFonts w:ascii="仿宋_GB2312" w:hAnsi="仿宋_GB2312" w:cs="仿宋_GB2312" w:eastAsia="仿宋_GB2312"/>
                <w:sz w:val="20"/>
              </w:rPr>
              <w:t>1.8mm（覆盖粘度范围1000~5000 mPa.s）,2.4</w:t>
            </w:r>
            <w:r>
              <w:rPr>
                <w:rFonts w:ascii="仿宋_GB2312" w:hAnsi="仿宋_GB2312" w:cs="仿宋_GB2312" w:eastAsia="仿宋_GB2312"/>
                <w:sz w:val="20"/>
              </w:rPr>
              <w:t>~</w:t>
            </w:r>
            <w:r>
              <w:rPr>
                <w:rFonts w:ascii="仿宋_GB2312" w:hAnsi="仿宋_GB2312" w:cs="仿宋_GB2312" w:eastAsia="仿宋_GB2312"/>
                <w:sz w:val="20"/>
              </w:rPr>
              <w:t>2.5mm（覆盖粘度范围5000~10000 mPa.s）三种规格微径毛细管；</w:t>
            </w:r>
          </w:p>
          <w:p>
            <w:pPr>
              <w:pStyle w:val="null3"/>
              <w:jc w:val="both"/>
            </w:pPr>
            <w:r>
              <w:rPr>
                <w:rFonts w:ascii="仿宋_GB2312" w:hAnsi="仿宋_GB2312" w:cs="仿宋_GB2312" w:eastAsia="仿宋_GB2312"/>
                <w:sz w:val="20"/>
              </w:rPr>
              <w:t>3.4 落球粘数测试单元内置聚合物软件包，用以计算和报告特性粘度、K值、平均摩尔质量等参数，具备聚合物评估功能和聚合物溶剂管理功能；</w:t>
            </w:r>
          </w:p>
          <w:p>
            <w:pPr>
              <w:pStyle w:val="null3"/>
            </w:pPr>
            <w:r>
              <w:rPr>
                <w:rFonts w:ascii="仿宋_GB2312" w:hAnsi="仿宋_GB2312" w:cs="仿宋_GB2312" w:eastAsia="仿宋_GB2312"/>
                <w:sz w:val="20"/>
              </w:rPr>
              <w:t>3.5 落球粘数测试单元耐受酸碱和强极性有机溶剂，滚球采用耐腐蚀镀金材质。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4、自动馏分分离单元：</w:t>
            </w:r>
          </w:p>
          <w:p>
            <w:pPr>
              <w:pStyle w:val="null3"/>
              <w:jc w:val="both"/>
            </w:pPr>
            <w:r>
              <w:rPr>
                <w:rFonts w:ascii="仿宋_GB2312" w:hAnsi="仿宋_GB2312" w:cs="仿宋_GB2312" w:eastAsia="仿宋_GB2312"/>
                <w:sz w:val="20"/>
              </w:rPr>
              <w:t>4.1 测试温度最高</w:t>
            </w:r>
            <w:r>
              <w:rPr>
                <w:rFonts w:ascii="仿宋_GB2312" w:hAnsi="仿宋_GB2312" w:cs="仿宋_GB2312" w:eastAsia="仿宋_GB2312"/>
                <w:sz w:val="21"/>
              </w:rPr>
              <w:t>≥</w:t>
            </w:r>
            <w:r>
              <w:rPr>
                <w:rFonts w:ascii="仿宋_GB2312" w:hAnsi="仿宋_GB2312" w:cs="仿宋_GB2312" w:eastAsia="仿宋_GB2312"/>
                <w:sz w:val="20"/>
              </w:rPr>
              <w:t>400℃，采用无冷却液半导体控温技术，温度分辨率≤0.1℃，可自定义固定点体积自动修正，配置自动灭火系统；</w:t>
            </w:r>
          </w:p>
          <w:p>
            <w:pPr>
              <w:pStyle w:val="null3"/>
            </w:pPr>
            <w:r>
              <w:rPr>
                <w:rFonts w:ascii="仿宋_GB2312" w:hAnsi="仿宋_GB2312" w:cs="仿宋_GB2312" w:eastAsia="仿宋_GB2312"/>
                <w:sz w:val="20"/>
              </w:rPr>
              <w:t>4.2 采用连续成像光学静态体积检测系统，体积检测分辨率：≤0.01ml，体积检测准确度≤0.1mL，可实现自校准。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0"/>
              </w:rPr>
              <w:t>5、自动闪火测试单元：</w:t>
            </w:r>
          </w:p>
          <w:p>
            <w:pPr>
              <w:pStyle w:val="null3"/>
              <w:jc w:val="both"/>
            </w:pPr>
            <w:r>
              <w:rPr>
                <w:rFonts w:ascii="仿宋_GB2312" w:hAnsi="仿宋_GB2312" w:cs="仿宋_GB2312" w:eastAsia="仿宋_GB2312"/>
                <w:sz w:val="20"/>
              </w:rPr>
              <w:t>5.1 闪火温度最高</w:t>
            </w:r>
            <w:r>
              <w:rPr>
                <w:rFonts w:ascii="仿宋_GB2312" w:hAnsi="仿宋_GB2312" w:cs="仿宋_GB2312" w:eastAsia="仿宋_GB2312"/>
                <w:sz w:val="21"/>
              </w:rPr>
              <w:t>≥</w:t>
            </w:r>
            <w:r>
              <w:rPr>
                <w:rFonts w:ascii="仿宋_GB2312" w:hAnsi="仿宋_GB2312" w:cs="仿宋_GB2312" w:eastAsia="仿宋_GB2312"/>
                <w:sz w:val="20"/>
              </w:rPr>
              <w:t>400℃，温度传感器为金属材质，集成温度校准功能，带</w:t>
            </w:r>
            <w:r>
              <w:rPr>
                <w:rFonts w:ascii="仿宋_GB2312" w:hAnsi="仿宋_GB2312" w:cs="仿宋_GB2312" w:eastAsia="仿宋_GB2312"/>
                <w:sz w:val="21"/>
              </w:rPr>
              <w:t>≥</w:t>
            </w:r>
            <w:r>
              <w:rPr>
                <w:rFonts w:ascii="仿宋_GB2312" w:hAnsi="仿宋_GB2312" w:cs="仿宋_GB2312" w:eastAsia="仿宋_GB2312"/>
                <w:sz w:val="20"/>
              </w:rPr>
              <w:t>10个温度校准点；</w:t>
            </w:r>
          </w:p>
          <w:p>
            <w:pPr>
              <w:pStyle w:val="null3"/>
            </w:pPr>
            <w:r>
              <w:rPr>
                <w:rFonts w:ascii="仿宋_GB2312" w:hAnsi="仿宋_GB2312" w:cs="仿宋_GB2312" w:eastAsia="仿宋_GB2312"/>
                <w:sz w:val="21"/>
              </w:rPr>
              <w:t>5.2</w:t>
            </w:r>
            <w:r>
              <w:rPr>
                <w:rFonts w:ascii="仿宋_GB2312" w:hAnsi="仿宋_GB2312" w:cs="仿宋_GB2312" w:eastAsia="仿宋_GB2312"/>
              </w:rPr>
              <w:t xml:space="preserve"> </w:t>
            </w:r>
            <w:r>
              <w:rPr>
                <w:rFonts w:ascii="仿宋_GB2312" w:hAnsi="仿宋_GB2312" w:cs="仿宋_GB2312" w:eastAsia="仿宋_GB2312"/>
                <w:sz w:val="21"/>
              </w:rPr>
              <w:t>可针对未知样品提供闪火点快速搜索功能，配置自动灭火系统</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数据管理与处理平台：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6.1 需配备数据执行管理软件，支持在多数据接口运行，可连接高温高压测试单元、动力粘度测试单元、落球粘度测试单元、自动馏分分离单元、自动闪火测试单元，</w:t>
            </w:r>
            <w:r>
              <w:rPr>
                <w:rFonts w:ascii="仿宋_GB2312" w:hAnsi="仿宋_GB2312" w:cs="仿宋_GB2312" w:eastAsia="仿宋_GB2312"/>
                <w:sz w:val="21"/>
                <w:shd w:fill="FFFFFF" w:val="clear"/>
              </w:rPr>
              <w:t>一次分析可采集上述测试单元所输出的所有参数指标，</w:t>
            </w:r>
            <w:r>
              <w:rPr>
                <w:rFonts w:ascii="仿宋_GB2312" w:hAnsi="仿宋_GB2312" w:cs="仿宋_GB2312" w:eastAsia="仿宋_GB2312"/>
                <w:sz w:val="21"/>
              </w:rPr>
              <w:t>实现多参数同步采集与分析，采集刷新频率</w:t>
            </w:r>
            <w:r>
              <w:rPr>
                <w:rFonts w:ascii="仿宋_GB2312" w:hAnsi="仿宋_GB2312" w:cs="仿宋_GB2312" w:eastAsia="仿宋_GB2312"/>
                <w:sz w:val="21"/>
              </w:rPr>
              <w:t>≤1Hz</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6.2 可根据测试需求设置任意温度点，自动测量并绘制密度-粘度-温度曲线；  </w:t>
            </w:r>
          </w:p>
          <w:p>
            <w:pPr>
              <w:pStyle w:val="null3"/>
            </w:pPr>
            <w:r>
              <w:rPr>
                <w:rFonts w:ascii="仿宋_GB2312" w:hAnsi="仿宋_GB2312" w:cs="仿宋_GB2312" w:eastAsia="仿宋_GB2312"/>
                <w:sz w:val="21"/>
              </w:rPr>
              <w:t>⯅</w:t>
            </w:r>
            <w:r>
              <w:rPr>
                <w:rFonts w:ascii="仿宋_GB2312" w:hAnsi="仿宋_GB2312" w:cs="仿宋_GB2312" w:eastAsia="仿宋_GB2312"/>
                <w:sz w:val="21"/>
              </w:rPr>
              <w:t>6.3</w:t>
            </w:r>
            <w:r>
              <w:rPr>
                <w:rFonts w:ascii="仿宋_GB2312" w:hAnsi="仿宋_GB2312" w:cs="仿宋_GB2312" w:eastAsia="仿宋_GB2312"/>
              </w:rPr>
              <w:t xml:space="preserve"> </w:t>
            </w:r>
            <w:r>
              <w:rPr>
                <w:rFonts w:ascii="仿宋_GB2312" w:hAnsi="仿宋_GB2312" w:cs="仿宋_GB2312" w:eastAsia="仿宋_GB2312"/>
                <w:sz w:val="21"/>
              </w:rPr>
              <w:t>可实现连续监测</w:t>
            </w:r>
            <w:r>
              <w:rPr>
                <w:rFonts w:ascii="仿宋_GB2312" w:hAnsi="仿宋_GB2312" w:cs="仿宋_GB2312" w:eastAsia="仿宋_GB2312"/>
                <w:sz w:val="21"/>
              </w:rPr>
              <w:t>≥20000个数据点，可连续检测≥500小时，可选接多种传感器，同时实现对压力、温度、流量、密度、动力粘度、特性粘度、冰点、浊点、馏分、闪点等同步测量</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0"/>
              </w:rPr>
              <w:t>7、配置要求：</w:t>
            </w:r>
          </w:p>
          <w:p>
            <w:pPr>
              <w:pStyle w:val="null3"/>
              <w:jc w:val="both"/>
            </w:pPr>
            <w:r>
              <w:rPr>
                <w:rFonts w:ascii="仿宋_GB2312" w:hAnsi="仿宋_GB2312" w:cs="仿宋_GB2312" w:eastAsia="仿宋_GB2312"/>
                <w:sz w:val="20"/>
              </w:rPr>
              <w:t>7.1、多功能多参数高温高压流体性能分析系统 1套（包含：高温高压密度主机1套，增压装置1套，高压进样装置1套，数显多通道数据监控终端1套，动力粘度测试单元1套，落球粘度测试单元1套，自动馏分分离单元1套，自动闪火测试单元1套，自动联动灭火装置2套，</w:t>
            </w:r>
            <w:r>
              <w:rPr>
                <w:rFonts w:ascii="仿宋_GB2312" w:hAnsi="仿宋_GB2312" w:cs="仿宋_GB2312" w:eastAsia="仿宋_GB2312"/>
                <w:sz w:val="20"/>
              </w:rPr>
              <w:t>粘度测量系统</w:t>
            </w:r>
            <w:r>
              <w:rPr>
                <w:rFonts w:ascii="仿宋_GB2312" w:hAnsi="仿宋_GB2312" w:cs="仿宋_GB2312" w:eastAsia="仿宋_GB2312"/>
                <w:sz w:val="20"/>
              </w:rPr>
              <w:t>(含1.5</w:t>
            </w:r>
            <w:r>
              <w:rPr>
                <w:rFonts w:ascii="仿宋_GB2312" w:hAnsi="仿宋_GB2312" w:cs="仿宋_GB2312" w:eastAsia="仿宋_GB2312"/>
                <w:sz w:val="20"/>
              </w:rPr>
              <w:t>~</w:t>
            </w:r>
            <w:r>
              <w:rPr>
                <w:rFonts w:ascii="仿宋_GB2312" w:hAnsi="仿宋_GB2312" w:cs="仿宋_GB2312" w:eastAsia="仿宋_GB2312"/>
                <w:sz w:val="20"/>
              </w:rPr>
              <w:t>1.6mm、1.7</w:t>
            </w:r>
            <w:r>
              <w:rPr>
                <w:rFonts w:ascii="仿宋_GB2312" w:hAnsi="仿宋_GB2312" w:cs="仿宋_GB2312" w:eastAsia="仿宋_GB2312"/>
                <w:sz w:val="20"/>
              </w:rPr>
              <w:t>~</w:t>
            </w:r>
            <w:r>
              <w:rPr>
                <w:rFonts w:ascii="仿宋_GB2312" w:hAnsi="仿宋_GB2312" w:cs="仿宋_GB2312" w:eastAsia="仿宋_GB2312"/>
                <w:sz w:val="20"/>
              </w:rPr>
              <w:t>1.8mm、2.4</w:t>
            </w:r>
            <w:r>
              <w:rPr>
                <w:rFonts w:ascii="仿宋_GB2312" w:hAnsi="仿宋_GB2312" w:cs="仿宋_GB2312" w:eastAsia="仿宋_GB2312"/>
                <w:sz w:val="20"/>
              </w:rPr>
              <w:t>~</w:t>
            </w:r>
            <w:r>
              <w:rPr>
                <w:rFonts w:ascii="仿宋_GB2312" w:hAnsi="仿宋_GB2312" w:cs="仿宋_GB2312" w:eastAsia="仿宋_GB2312"/>
                <w:sz w:val="20"/>
              </w:rPr>
              <w:t>2.5mm三种规格微径毛细管） 各1套，镀金滚球300个，循环浴装置2套）</w:t>
            </w:r>
          </w:p>
          <w:p>
            <w:pPr>
              <w:pStyle w:val="null3"/>
              <w:jc w:val="both"/>
            </w:pPr>
            <w:r>
              <w:rPr>
                <w:rFonts w:ascii="仿宋_GB2312" w:hAnsi="仿宋_GB2312" w:cs="仿宋_GB2312" w:eastAsia="仿宋_GB2312"/>
                <w:sz w:val="20"/>
              </w:rPr>
              <w:t>7.2、数据管理与处理平台 1套</w:t>
            </w:r>
          </w:p>
          <w:p>
            <w:pPr>
              <w:pStyle w:val="null3"/>
            </w:pPr>
            <w:r>
              <w:rPr>
                <w:rFonts w:ascii="仿宋_GB2312" w:hAnsi="仿宋_GB2312" w:cs="仿宋_GB2312" w:eastAsia="仿宋_GB2312"/>
                <w:sz w:val="21"/>
              </w:rPr>
              <w:t>7.3、</w:t>
            </w:r>
            <w:r>
              <w:rPr>
                <w:rFonts w:ascii="仿宋_GB2312" w:hAnsi="仿宋_GB2312" w:cs="仿宋_GB2312" w:eastAsia="仿宋_GB2312"/>
                <w:sz w:val="21"/>
              </w:rPr>
              <w:t>移动工作站</w:t>
            </w:r>
            <w:r>
              <w:rPr>
                <w:rFonts w:ascii="仿宋_GB2312" w:hAnsi="仿宋_GB2312" w:cs="仿宋_GB2312" w:eastAsia="仿宋_GB2312"/>
                <w:sz w:val="21"/>
              </w:rPr>
              <w:t>（配置要求：</w:t>
            </w:r>
            <w:r>
              <w:rPr>
                <w:rFonts w:ascii="仿宋_GB2312" w:hAnsi="仿宋_GB2312" w:cs="仿宋_GB2312" w:eastAsia="仿宋_GB2312"/>
                <w:sz w:val="21"/>
              </w:rPr>
              <w:t>Intel U7 255H或以上、64G内存或以上</w:t>
            </w:r>
            <w:r>
              <w:rPr>
                <w:rFonts w:ascii="仿宋_GB2312" w:hAnsi="仿宋_GB2312" w:cs="仿宋_GB2312" w:eastAsia="仿宋_GB2312"/>
                <w:sz w:val="21"/>
              </w:rPr>
              <w:t>）、</w:t>
            </w:r>
            <w:r>
              <w:rPr>
                <w:rFonts w:ascii="仿宋_GB2312" w:hAnsi="仿宋_GB2312" w:cs="仿宋_GB2312" w:eastAsia="仿宋_GB2312"/>
                <w:sz w:val="21"/>
              </w:rPr>
              <w:t>激光</w:t>
            </w:r>
            <w:r>
              <w:rPr>
                <w:rFonts w:ascii="仿宋_GB2312" w:hAnsi="仿宋_GB2312" w:cs="仿宋_GB2312" w:eastAsia="仿宋_GB2312"/>
                <w:sz w:val="21"/>
              </w:rPr>
              <w:t>打印机各</w:t>
            </w:r>
            <w:r>
              <w:rPr>
                <w:rFonts w:ascii="仿宋_GB2312" w:hAnsi="仿宋_GB2312" w:cs="仿宋_GB2312" w:eastAsia="仿宋_GB2312"/>
                <w:sz w:val="21"/>
              </w:rPr>
              <w:t>1套</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8、</w:t>
            </w:r>
            <w:r>
              <w:rPr>
                <w:rFonts w:ascii="仿宋_GB2312" w:hAnsi="仿宋_GB2312" w:cs="仿宋_GB2312" w:eastAsia="仿宋_GB2312"/>
              </w:rPr>
              <w:t>安装技术要求</w:t>
            </w:r>
          </w:p>
          <w:p>
            <w:pPr>
              <w:pStyle w:val="null3"/>
            </w:pPr>
            <w:r>
              <w:rPr>
                <w:rFonts w:ascii="仿宋_GB2312" w:hAnsi="仿宋_GB2312" w:cs="仿宋_GB2312" w:eastAsia="仿宋_GB2312"/>
              </w:rPr>
              <w:t>8.1</w:t>
            </w:r>
            <w:r>
              <w:rPr>
                <w:rFonts w:ascii="仿宋_GB2312" w:hAnsi="仿宋_GB2312" w:cs="仿宋_GB2312" w:eastAsia="仿宋_GB2312"/>
              </w:rPr>
              <w:t>场地基础承载要求</w:t>
            </w:r>
            <w:r>
              <w:rPr>
                <w:rFonts w:ascii="仿宋_GB2312" w:hAnsi="仿宋_GB2312" w:cs="仿宋_GB2312" w:eastAsia="仿宋_GB2312"/>
              </w:rPr>
              <w:t>:供货方需根据本次重型仪器整机自重、设备重心分布、配套附属构件总荷载，提供完整设备基础施工图纸、地面荷载验算报告及地面加固技术方案;设备放置区域地面均布承载力不得低于仪器满载总重量1.5倍，局部集中承重点位需满足设备支脚单点承重需求，地面平整度误差≤2mm/m，地面无沉降、空鼓、开裂缺陷;若现场原有地面承载力不满足安装条件，中标单位须免费提供地面加固、承重基座制作全套施工方案并完成施工，所有施工材料、人工、检测费用全部包含在投标总价内。</w:t>
            </w:r>
          </w:p>
          <w:p>
            <w:pPr>
              <w:pStyle w:val="null3"/>
            </w:pPr>
            <w:r>
              <w:rPr>
                <w:rFonts w:ascii="仿宋_GB2312" w:hAnsi="仿宋_GB2312" w:cs="仿宋_GB2312" w:eastAsia="仿宋_GB2312"/>
                <w:sz w:val="21"/>
              </w:rPr>
              <w:t>8.</w:t>
            </w:r>
            <w:r>
              <w:rPr>
                <w:rFonts w:ascii="仿宋_GB2312" w:hAnsi="仿宋_GB2312" w:cs="仿宋_GB2312" w:eastAsia="仿宋_GB2312"/>
                <w:sz w:val="21"/>
              </w:rPr>
              <w:t>2整机就位、调平与减震安装要求:设备进场就位后，中标单位配备专业高精度水平仪、重型减震调平底座，完成整机多点位调平作业，设备水平度误差控制在0.02mm/m以内;针对重型仪器运行震动、外界地面传导震动问题，配套定制阻尼减震基座、防震垫，隔绝设备运行振动对检测精度的干扰，同时避免设备自重振动破坏建筑地面结构;所有调平、减震组件为原厂标配，不使用简易垫块替代。</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交货时间：国产设备：本合同生效后90天内到货并安装调试交付使用。 进口设备：本合同生效后180天内到货并安装调试交付使用。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国产设备：预付款，“一次性付清”为系统固定描述内容，具体付款方式以下列内容为准：合同签订后，中标人开具预付款等额银行保函，采购人收到银行保函正本后10个工作日内支付预付款，最多支付至190万元， 剩余款项待验收合格后，并出具增值税专用发票，达到付款条件起10个工作日内，支付合同总金额的100.0%。 进口设备：进度款：合同签订后，由甲方通过双方认可的进口业务代理公司向中标人指定国外设备供应商开出100%信用证，其中90%货款凭外贸合同约定的发货单据及西安石油大学出具的开箱点货报告原件解付，达到付款条件起10个工作日内，支付合同总金额的90%。 其它：待设备验收合格后凭甲方签署的验收报告原件解付，达到付款条件起10个工作日内，支付合同总金额的10%，达到付款条件起10个工作日内，支付合同总金额的100.0%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 售后服务效率要求：7*24 即时响应（包括电话响应）；电话响应无法解决时，24小时内到达现场。修复时间48小时内；如48小时内无法修复，应提供相应解决方案。 售后服务标准要求：技术服务：1. 设备安装、调试和验收。2.卖方应在合同生效后的1个月内向用户提供详细的安装要求并提供技术咨询。3. 仪器到达用户所在地，在接到用户通知后一周内进行安装调试，直至通过验收。4. 技术培训：在用户所在地对用户进行为期1周的培训。培训内容包括仪器的技术原理、操作、数据处理、基本维护等。验收后半年内组织买方相关人员2人参加举办的相关应用培训班。5. 保修期：卖方提供三年的免费保修,保修期自仪器验收签字之日起计算。保修期间维修及零件更换费用由厂家负担。6. 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中标人所交付货物不符合其投标承诺，存在偷工减料、以次充好情形的，采购人要求更换一次后仍不符合约定的，采购人有权解除采购合同，并将有关情况上报政府采购监管部门处理。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1、报价要求：（1）投标人应当根据采购文件的要求和范围，以人民币为货币，以元为报价单位。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相关费用（按合同金额的0.6%收取）。包括外贸代理公司进口业务代理费、国内外银行手续费、报关费、商检费等）及进口货物按国家政策征收的一切税费（按国家政策规定甲方可以享受的免税部分除外）等全部相关费用；（3）投标人所提供的产品型号、产地等重要信息，需要与仪器机身保持一致。 2.产品交付并由采购人验收合格后，中标人申请，采购人将履约保证金（无息）退还中标人。 3、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499094051@qq.com（邮件命名：项目编号）。保函必须由具有开具投标保函资格的单位开具；若投标人违约，开具保函单位承担连带责任；（3）保证金的退还：自中标通知书发出之日起5个工作日内退还未中标人的投标保证金,自采购合同签订之日起5个工作日内退还中标人的投标保证金。 4、本项目需要落实的政府采购政策: （1）《政府采购促进中小企业发展管理办法》的通知--财库〔2020〕46号（2）财政部司法部关于政府采购支持监狱企业发展有关问题的通知--财库[2014]68号 （3）《财政部 发展改革委 生态环境部 市场监管总局关于调整优化节能产品 环境标志产品政府采购执行机制的通知》（财库〔2019〕9号）（4）《关于促进残疾人就业政府采购政策的通知》（财库[2017]141号）（5）《陕西省财政厅关于加快推进我省中小企业政府采购信用融资工作的通知》（陕财办采〔2020〕15 号）（6）《陕西省中小企业政府采购信用融资办法》陕财办采〔2018〕23号（7）《关于运用政府采购政策支持乡村产业振兴的通知》（财库〔2021〕19 号）（8）《关于进一步加大政府采购支持中小企业力度的通知》（财库〔2022〕19号）（9）《陕西省财政厅关于进一步落实政府采购支持中小企业相关政策的通知》（陕财办采〔2023〕3号）（10）《国务院办公厅关于在政府采购中实施本国产品标准及相关政策的通知》（国办发〔2025〕34号）（11）《关于推动解决政府采购异常低价问题的通知》（财库〔2026〕2号）（12）若享受以上政策优惠的企业，提供相应声明函或品目范围内产品有效认证证书。如有最新颁布的政府采购政策，按最新的文件执行。 5、中标人需要提交与电子化交易系统中一致的纸质版投标文件正本壹份打印并胶装（可顺丰邮寄），邮寄地址：西安市雁展路1111号莱安中心T6-15层，联系人：谢婷婷，联系电话：029-81206622/81206633-832。 6、招标文件中所有的商务要求均为实质性要求，投标人必须响应并满足。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1、具有独立承担民事责任能力的法人、其他组织或自然人，并出具合法有效的营业执照或事业单位法人证书等国家规定的相关证明，自然人参与的提供其身份证明； 2、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 3、提供2025年6月至今任意一个月的依法缴纳税收的相关凭据（时间以税款所属日期为准），凭据应有税务机关或代收机关的公章或业务专用章。依法免税或无须缴纳税收的投标人，应提供相应证明文件； 4、提供2025年6月至今已缴存的至少一个月的社会保障资金缴存单据或社保机构开具的社会保险参保缴费情况证明，依法不需要缴纳社会保障资金的单位应提供相关证明材料； 5、参加本次招标活动前三年内在经营活动中没有重大违法记录，以及未被列入失信被执行人、重大税收违法失信主体、严重失信主体名单的书面声明。本项目拒绝被列入失信被执行人、重大税收违法失信主体、严重失信主体的投标人参与； 6、提供具有履行合同所必需的设备和专业技术能力的承诺函。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提供法定代表人身份证明书，并与营业执照上信息一致。法定代表人授权代表参加投标的，须提供法定代表人授权书；（授权代表参与的需提供投标截止时间前半年任意一个月的社保缴纳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进口产品授权链</w:t>
            </w:r>
          </w:p>
        </w:tc>
        <w:tc>
          <w:tcPr>
            <w:tcW w:type="dxa" w:w="3322"/>
          </w:tcPr>
          <w:p>
            <w:pPr>
              <w:pStyle w:val="null3"/>
            </w:pPr>
            <w:r>
              <w:rPr>
                <w:rFonts w:ascii="仿宋_GB2312" w:hAnsi="仿宋_GB2312" w:cs="仿宋_GB2312" w:eastAsia="仿宋_GB2312"/>
              </w:rPr>
              <w:t>所投产品为进口产品的，须提供所投产品制造商授权书或总代理商授权书或具有授权权限的投标人对所投进口产品的授权书（提供总代理商授权书的须出具有效授权权限的相关证明文件，证明文件须能显示产品制造厂家对所投产品授权链条的完整性）</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投标人，拒绝参与本项目政府采购活动</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投标报价是否超过采购预算或最高限价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投标文件交货期符合招标文件要求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投标文件质保期符合招标文件要求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投标文件付款方式符合招标文件要求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投标人有法律、规章、规范性文件和招标文件规定的其他无效情形，按无效响应处理</w:t>
            </w:r>
          </w:p>
        </w:tc>
        <w:tc>
          <w:tcPr>
            <w:tcW w:type="dxa" w:w="3322"/>
          </w:tcPr>
          <w:p>
            <w:pPr>
              <w:pStyle w:val="null3"/>
            </w:pPr>
            <w:r>
              <w:rPr>
                <w:rFonts w:ascii="仿宋_GB2312" w:hAnsi="仿宋_GB2312" w:cs="仿宋_GB2312" w:eastAsia="仿宋_GB2312"/>
              </w:rPr>
              <w:t>投标人有法律、规章、规范性文件和招标文件规定的其他无效情形，按无效响应处理。标 “★”项为实质性响应条款，须提供相应佐证材料（不限于产品彩页、检测报告、功能截图等），未提供或虽提供但不符合的按无效文件处理。</w:t>
            </w:r>
          </w:p>
        </w:tc>
        <w:tc>
          <w:tcPr>
            <w:tcW w:type="dxa" w:w="1661"/>
          </w:tcPr>
          <w:p>
            <w:pPr>
              <w:pStyle w:val="null3"/>
            </w:pPr>
            <w:r>
              <w:rPr>
                <w:rFonts w:ascii="仿宋_GB2312" w:hAnsi="仿宋_GB2312" w:cs="仿宋_GB2312" w:eastAsia="仿宋_GB2312"/>
              </w:rPr>
              <w:t>投标函 1、详细评审---技术参数.docx 投标文件封面 商务条款响应说明.docx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技术参数完全满足招标文件要求，计34分；标“▲”号参数为重要参数，负偏离一项扣3分；非“▲”号参数，负偏离一项扣1分，扣完为止。 注：1.标“▲”号参数必须提供佐证材料（不限于产品彩页、检测报告、功能截图等），未提供佐证材料或提供的佐证材料无法证明或低于招标要求时按负偏离处理。 2.完全复制或者简单罗列招标文件技术参数要求的，技术参数项扣10分。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针对本项目提供具体的实施方案，方案内容至少包含：1、总体实施方案；2、计划进度安排；3、项目团队配备；4、供货组织安排；5、安装调试验收方案。 方案内容完整全面，项目执行与项目进度安排、项目验收流程控制明确务实、实践性与可行性强；每有一项缺项扣2分，每有一处内容存在缺陷，扣1分，扣完为止。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投标人提供全生命周期方案，至少包含：1、全生命周期的扩展性和延续性；2、硬件与软件的适配性，项目耗材、维护成本等。 方案内容完整全面、有针对性，科学合理可实施性强；每有一项缺项扣0.5分，每有一处内容存在缺陷，扣0.25分，扣完为止。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3、详细评审---全生命周期方案.docx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根据项目实际需求，提供质量保证方案。内容包含：1、产品性能、使用寿命及效果；2、质量保证措施。 方案内容完整全面，产品性能完善、使用寿命长，使用效果好。每有一项缺项扣2分，每有一处内容存在缺陷，扣1分，扣完为止。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1、售后服务网点的设定、日常维护保养；2、项目交付用户后出现故障响应时间及措施；3、备品备件、耗材及时更换的服务内容。方案内容完整全面，出现故障响应时间及时，响应措施完善；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投标人针对本项目提出具体的培训方案，方案内容至少包含：1、培训时间、培训人数、培训方式；2、培训内容应包括所提供产品的原理和技术性能、操作维护方法、安装调试、排除故障等各个方面。 方案内容完整，培训方式多样、培训内容涵盖全面；每有一项缺项扣1分，每有一处内容存在缺陷，扣0.5分，扣完为止。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6、详细评审---培训方案.docx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提供所投产品（国内市场）2023年6月1日至今（以合同签订日期为准）类似项目业绩。每提供1份得2分，最高得10分。 备注：提供合同复印件及发票复印件并加盖公章。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分项报价表（货物）.docx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投标报价得分=(评标基准价／投标报价)×35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分项报价表（货物）.docx</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详见附件：3、详细评审---全生命周期方案.docx</w:t>
      </w:r>
    </w:p>
    <w:p>
      <w:pPr>
        <w:pStyle w:val="null3"/>
        <w:ind w:firstLine="960"/>
      </w:pPr>
      <w:r>
        <w:rPr>
          <w:rFonts w:ascii="仿宋_GB2312" w:hAnsi="仿宋_GB2312" w:cs="仿宋_GB2312" w:eastAsia="仿宋_GB2312"/>
        </w:rPr>
        <w:t>详见附件：4、详细评审---质量保证.docx</w:t>
      </w:r>
    </w:p>
    <w:p>
      <w:pPr>
        <w:pStyle w:val="null3"/>
        <w:ind w:firstLine="960"/>
      </w:pPr>
      <w:r>
        <w:rPr>
          <w:rFonts w:ascii="仿宋_GB2312" w:hAnsi="仿宋_GB2312" w:cs="仿宋_GB2312" w:eastAsia="仿宋_GB2312"/>
        </w:rPr>
        <w:t>详见附件：5、详细评审---售后服务.docx</w:t>
      </w:r>
    </w:p>
    <w:p>
      <w:pPr>
        <w:pStyle w:val="null3"/>
        <w:ind w:firstLine="960"/>
      </w:pPr>
      <w:r>
        <w:rPr>
          <w:rFonts w:ascii="仿宋_GB2312" w:hAnsi="仿宋_GB2312" w:cs="仿宋_GB2312" w:eastAsia="仿宋_GB2312"/>
        </w:rPr>
        <w:t>详见附件：6、详细评审---培训方案.docx</w:t>
      </w:r>
    </w:p>
    <w:p>
      <w:pPr>
        <w:pStyle w:val="null3"/>
        <w:ind w:firstLine="960"/>
      </w:pPr>
      <w:r>
        <w:rPr>
          <w:rFonts w:ascii="仿宋_GB2312" w:hAnsi="仿宋_GB2312" w:cs="仿宋_GB2312" w:eastAsia="仿宋_GB2312"/>
        </w:rPr>
        <w:t>详见附件：7、详细评审---节能环保.docx</w:t>
      </w:r>
    </w:p>
    <w:p>
      <w:pPr>
        <w:pStyle w:val="null3"/>
        <w:ind w:firstLine="960"/>
      </w:pPr>
      <w:r>
        <w:rPr>
          <w:rFonts w:ascii="仿宋_GB2312" w:hAnsi="仿宋_GB2312" w:cs="仿宋_GB2312" w:eastAsia="仿宋_GB2312"/>
        </w:rPr>
        <w:t>详见附件：8、详细评审---业绩.docx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