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57B64C">
      <w:pPr>
        <w:pStyle w:val="5"/>
        <w:jc w:val="center"/>
        <w:outlineLvl w:val="1"/>
        <w:rPr>
          <w:rFonts w:hint="default"/>
          <w:highlight w:val="none"/>
        </w:rPr>
      </w:pPr>
      <w:bookmarkStart w:id="3" w:name="_GoBack"/>
      <w:r>
        <w:rPr>
          <w:rFonts w:ascii="仿宋_GB2312" w:hAnsi="仿宋_GB2312" w:eastAsia="仿宋_GB2312" w:cs="仿宋_GB2312"/>
          <w:b/>
          <w:sz w:val="36"/>
          <w:highlight w:val="none"/>
        </w:rPr>
        <w:t>第三章 招标项目技术、服务、商务及其他要求</w:t>
      </w:r>
    </w:p>
    <w:p w14:paraId="3CDAF861">
      <w:pPr>
        <w:pStyle w:val="5"/>
        <w:ind w:firstLine="480"/>
        <w:rPr>
          <w:rFonts w:hint="default"/>
          <w:highlight w:val="none"/>
        </w:rPr>
      </w:pPr>
      <w:r>
        <w:rPr>
          <w:rFonts w:ascii="仿宋_GB2312" w:hAnsi="仿宋_GB2312" w:eastAsia="仿宋_GB2312" w:cs="仿宋_GB2312"/>
          <w:highlight w:val="none"/>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500F959">
      <w:pPr>
        <w:pStyle w:val="5"/>
        <w:ind w:firstLine="480"/>
        <w:rPr>
          <w:rFonts w:hint="default"/>
          <w:highlight w:val="none"/>
        </w:rPr>
      </w:pPr>
      <w:r>
        <w:rPr>
          <w:rFonts w:ascii="仿宋_GB2312" w:hAnsi="仿宋_GB2312" w:eastAsia="仿宋_GB2312" w:cs="仿宋_GB2312"/>
          <w:highlight w:val="none"/>
        </w:rPr>
        <w:t xml:space="preserve"> （注：当采购包的评标方法为最低评标价法时带“★”的参数需求为实质性要求，供应商必须响应并满足的参数需求，采购人、采购代理机构应当根据项目实际需求合理设定，并明确具体要求。）</w:t>
      </w:r>
    </w:p>
    <w:p w14:paraId="04DB1570">
      <w:pPr>
        <w:pStyle w:val="5"/>
        <w:outlineLvl w:val="2"/>
        <w:rPr>
          <w:rFonts w:hint="default"/>
          <w:highlight w:val="none"/>
        </w:rPr>
      </w:pPr>
      <w:r>
        <w:rPr>
          <w:rFonts w:ascii="仿宋_GB2312" w:hAnsi="仿宋_GB2312" w:eastAsia="仿宋_GB2312" w:cs="仿宋_GB2312"/>
          <w:b/>
          <w:sz w:val="28"/>
          <w:highlight w:val="none"/>
        </w:rPr>
        <w:t>3.1采购项目概况</w:t>
      </w:r>
    </w:p>
    <w:p w14:paraId="5635A4CC">
      <w:pPr>
        <w:pStyle w:val="5"/>
        <w:ind w:firstLine="480"/>
        <w:rPr>
          <w:rFonts w:hint="default"/>
          <w:highlight w:val="none"/>
        </w:rPr>
      </w:pPr>
      <w:r>
        <w:rPr>
          <w:rFonts w:ascii="仿宋_GB2312" w:hAnsi="仿宋_GB2312" w:eastAsia="仿宋_GB2312" w:cs="仿宋_GB2312"/>
          <w:highlight w:val="none"/>
        </w:rPr>
        <w:t>本项目为</w:t>
      </w:r>
      <w:r>
        <w:rPr>
          <w:rFonts w:ascii="仿宋_GB2312" w:hAnsi="仿宋_GB2312" w:eastAsia="仿宋_GB2312" w:cs="仿宋_GB2312"/>
          <w:highlight w:val="none"/>
          <w:lang w:eastAsia="zh-CN"/>
        </w:rPr>
        <w:t>雁塔幼儿园大型玩教具购置</w:t>
      </w:r>
      <w:r>
        <w:rPr>
          <w:rFonts w:ascii="仿宋_GB2312" w:hAnsi="仿宋_GB2312" w:eastAsia="仿宋_GB2312" w:cs="仿宋_GB2312"/>
          <w:highlight w:val="none"/>
        </w:rPr>
        <w:t>，1批。具体内容详见招标文件。</w:t>
      </w:r>
    </w:p>
    <w:p w14:paraId="14AD4913">
      <w:pPr>
        <w:pStyle w:val="5"/>
        <w:outlineLvl w:val="2"/>
        <w:rPr>
          <w:rFonts w:hint="default"/>
          <w:highlight w:val="none"/>
        </w:rPr>
      </w:pPr>
      <w:r>
        <w:rPr>
          <w:rFonts w:ascii="仿宋_GB2312" w:hAnsi="仿宋_GB2312" w:eastAsia="仿宋_GB2312" w:cs="仿宋_GB2312"/>
          <w:b/>
          <w:sz w:val="28"/>
          <w:highlight w:val="none"/>
        </w:rPr>
        <w:t>3.2采购内容</w:t>
      </w:r>
    </w:p>
    <w:p w14:paraId="059E5394">
      <w:pPr>
        <w:pStyle w:val="5"/>
        <w:rPr>
          <w:rFonts w:hint="default"/>
          <w:highlight w:val="none"/>
        </w:rPr>
      </w:pPr>
      <w:r>
        <w:rPr>
          <w:rFonts w:ascii="仿宋_GB2312" w:hAnsi="仿宋_GB2312" w:eastAsia="仿宋_GB2312" w:cs="仿宋_GB2312"/>
          <w:highlight w:val="none"/>
        </w:rPr>
        <w:t>采购包1：</w:t>
      </w:r>
    </w:p>
    <w:p w14:paraId="4AC9EED5">
      <w:pPr>
        <w:pStyle w:val="5"/>
        <w:rPr>
          <w:rFonts w:hint="default"/>
          <w:highlight w:val="none"/>
        </w:rPr>
      </w:pPr>
      <w:r>
        <w:rPr>
          <w:rFonts w:ascii="仿宋_GB2312" w:hAnsi="仿宋_GB2312" w:eastAsia="仿宋_GB2312" w:cs="仿宋_GB2312"/>
          <w:highlight w:val="none"/>
        </w:rPr>
        <w:t>采购包预算金额（元）:</w:t>
      </w:r>
      <w:r>
        <w:rPr>
          <w:rFonts w:ascii="仿宋_GB2312" w:hAnsi="仿宋_GB2312" w:eastAsia="仿宋_GB2312" w:cs="仿宋_GB2312"/>
          <w:highlight w:val="none"/>
          <w:lang w:eastAsia="zh-CN"/>
        </w:rPr>
        <w:t>96</w:t>
      </w:r>
      <w:r>
        <w:rPr>
          <w:rFonts w:ascii="仿宋_GB2312" w:hAnsi="仿宋_GB2312" w:eastAsia="仿宋_GB2312" w:cs="仿宋_GB2312"/>
          <w:highlight w:val="none"/>
        </w:rPr>
        <w:t>0,000.00</w:t>
      </w:r>
    </w:p>
    <w:p w14:paraId="152670A8">
      <w:pPr>
        <w:pStyle w:val="5"/>
        <w:rPr>
          <w:rFonts w:hint="default"/>
          <w:highlight w:val="none"/>
        </w:rPr>
      </w:pPr>
      <w:r>
        <w:rPr>
          <w:rFonts w:ascii="仿宋_GB2312" w:hAnsi="仿宋_GB2312" w:eastAsia="仿宋_GB2312" w:cs="仿宋_GB2312"/>
          <w:highlight w:val="none"/>
        </w:rPr>
        <w:t>采购包最高限价（元）:</w:t>
      </w:r>
      <w:r>
        <w:rPr>
          <w:rFonts w:ascii="仿宋_GB2312" w:hAnsi="仿宋_GB2312" w:eastAsia="仿宋_GB2312" w:cs="仿宋_GB2312"/>
          <w:highlight w:val="none"/>
          <w:lang w:eastAsia="zh-CN"/>
        </w:rPr>
        <w:t>96</w:t>
      </w:r>
      <w:r>
        <w:rPr>
          <w:rFonts w:ascii="仿宋_GB2312" w:hAnsi="仿宋_GB2312" w:eastAsia="仿宋_GB2312" w:cs="仿宋_GB2312"/>
          <w:highlight w:val="none"/>
        </w:rPr>
        <w:t>0,000.00</w:t>
      </w:r>
    </w:p>
    <w:p w14:paraId="03256BF4">
      <w:pPr>
        <w:pStyle w:val="5"/>
        <w:rPr>
          <w:rFonts w:hint="default"/>
          <w:highlight w:val="none"/>
        </w:rPr>
      </w:pPr>
      <w:r>
        <w:rPr>
          <w:rFonts w:ascii="仿宋_GB2312" w:hAnsi="仿宋_GB2312" w:eastAsia="仿宋_GB2312" w:cs="仿宋_GB2312"/>
          <w:highlight w:val="none"/>
        </w:rPr>
        <w:t>供应商报价不允许超过标的金额</w:t>
      </w:r>
    </w:p>
    <w:p w14:paraId="0B38A491">
      <w:pPr>
        <w:pStyle w:val="5"/>
        <w:rPr>
          <w:rFonts w:hint="default"/>
          <w:highlight w:val="none"/>
        </w:rPr>
      </w:pPr>
      <w:r>
        <w:rPr>
          <w:rFonts w:ascii="仿宋_GB2312" w:hAnsi="仿宋_GB2312" w:eastAsia="仿宋_GB2312" w:cs="仿宋_GB2312"/>
          <w:highlight w:val="none"/>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5E8FCD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0FF8C11">
            <w:pPr>
              <w:pStyle w:val="5"/>
              <w:rPr>
                <w:rFonts w:hint="default"/>
                <w:highlight w:val="none"/>
              </w:rPr>
            </w:pPr>
            <w:r>
              <w:rPr>
                <w:rFonts w:ascii="仿宋_GB2312" w:hAnsi="仿宋_GB2312" w:eastAsia="仿宋_GB2312" w:cs="仿宋_GB2312"/>
                <w:highlight w:val="none"/>
              </w:rPr>
              <w:t>序号</w:t>
            </w:r>
          </w:p>
        </w:tc>
        <w:tc>
          <w:tcPr>
            <w:tcW w:w="755" w:type="dxa"/>
          </w:tcPr>
          <w:p w14:paraId="1B0675E8">
            <w:pPr>
              <w:pStyle w:val="5"/>
              <w:rPr>
                <w:rFonts w:hint="default"/>
                <w:highlight w:val="none"/>
              </w:rPr>
            </w:pPr>
            <w:r>
              <w:rPr>
                <w:rFonts w:ascii="仿宋_GB2312" w:hAnsi="仿宋_GB2312" w:eastAsia="仿宋_GB2312" w:cs="仿宋_GB2312"/>
                <w:highlight w:val="none"/>
              </w:rPr>
              <w:t>标的名称</w:t>
            </w:r>
          </w:p>
        </w:tc>
        <w:tc>
          <w:tcPr>
            <w:tcW w:w="755" w:type="dxa"/>
          </w:tcPr>
          <w:p w14:paraId="72AA0EE0">
            <w:pPr>
              <w:pStyle w:val="5"/>
              <w:rPr>
                <w:rFonts w:hint="default"/>
                <w:highlight w:val="none"/>
              </w:rPr>
            </w:pPr>
            <w:r>
              <w:rPr>
                <w:rFonts w:ascii="仿宋_GB2312" w:hAnsi="仿宋_GB2312" w:eastAsia="仿宋_GB2312" w:cs="仿宋_GB2312"/>
                <w:highlight w:val="none"/>
              </w:rPr>
              <w:t>数量</w:t>
            </w:r>
          </w:p>
        </w:tc>
        <w:tc>
          <w:tcPr>
            <w:tcW w:w="755" w:type="dxa"/>
          </w:tcPr>
          <w:p w14:paraId="2974B911">
            <w:pPr>
              <w:pStyle w:val="5"/>
              <w:rPr>
                <w:rFonts w:hint="default"/>
                <w:highlight w:val="none"/>
              </w:rPr>
            </w:pPr>
            <w:r>
              <w:rPr>
                <w:rFonts w:ascii="仿宋_GB2312" w:hAnsi="仿宋_GB2312" w:eastAsia="仿宋_GB2312" w:cs="仿宋_GB2312"/>
                <w:highlight w:val="none"/>
              </w:rPr>
              <w:t>标的金额 （元）</w:t>
            </w:r>
          </w:p>
        </w:tc>
        <w:tc>
          <w:tcPr>
            <w:tcW w:w="755" w:type="dxa"/>
          </w:tcPr>
          <w:p w14:paraId="7FA34A77">
            <w:pPr>
              <w:pStyle w:val="5"/>
              <w:rPr>
                <w:rFonts w:hint="default"/>
                <w:highlight w:val="none"/>
              </w:rPr>
            </w:pPr>
            <w:r>
              <w:rPr>
                <w:rFonts w:ascii="仿宋_GB2312" w:hAnsi="仿宋_GB2312" w:eastAsia="仿宋_GB2312" w:cs="仿宋_GB2312"/>
                <w:highlight w:val="none"/>
              </w:rPr>
              <w:t>计量单位</w:t>
            </w:r>
          </w:p>
        </w:tc>
        <w:tc>
          <w:tcPr>
            <w:tcW w:w="755" w:type="dxa"/>
          </w:tcPr>
          <w:p w14:paraId="041BBC92">
            <w:pPr>
              <w:pStyle w:val="5"/>
              <w:rPr>
                <w:rFonts w:hint="default"/>
                <w:highlight w:val="none"/>
              </w:rPr>
            </w:pPr>
            <w:r>
              <w:rPr>
                <w:rFonts w:ascii="仿宋_GB2312" w:hAnsi="仿宋_GB2312" w:eastAsia="仿宋_GB2312" w:cs="仿宋_GB2312"/>
                <w:highlight w:val="none"/>
              </w:rPr>
              <w:t>所属行业</w:t>
            </w:r>
          </w:p>
        </w:tc>
        <w:tc>
          <w:tcPr>
            <w:tcW w:w="755" w:type="dxa"/>
          </w:tcPr>
          <w:p w14:paraId="555DFE44">
            <w:pPr>
              <w:pStyle w:val="5"/>
              <w:rPr>
                <w:rFonts w:hint="default"/>
                <w:highlight w:val="none"/>
              </w:rPr>
            </w:pPr>
            <w:r>
              <w:rPr>
                <w:rFonts w:ascii="仿宋_GB2312" w:hAnsi="仿宋_GB2312" w:eastAsia="仿宋_GB2312" w:cs="仿宋_GB2312"/>
                <w:highlight w:val="none"/>
              </w:rPr>
              <w:t>是否核心产品</w:t>
            </w:r>
          </w:p>
        </w:tc>
        <w:tc>
          <w:tcPr>
            <w:tcW w:w="755" w:type="dxa"/>
          </w:tcPr>
          <w:p w14:paraId="270CE34D">
            <w:pPr>
              <w:pStyle w:val="5"/>
              <w:rPr>
                <w:rFonts w:hint="default"/>
                <w:highlight w:val="none"/>
              </w:rPr>
            </w:pPr>
            <w:r>
              <w:rPr>
                <w:rFonts w:ascii="仿宋_GB2312" w:hAnsi="仿宋_GB2312" w:eastAsia="仿宋_GB2312" w:cs="仿宋_GB2312"/>
                <w:highlight w:val="none"/>
              </w:rPr>
              <w:t>是否允许进口产品</w:t>
            </w:r>
          </w:p>
        </w:tc>
        <w:tc>
          <w:tcPr>
            <w:tcW w:w="755" w:type="dxa"/>
          </w:tcPr>
          <w:p w14:paraId="3D9B0E26">
            <w:pPr>
              <w:pStyle w:val="5"/>
              <w:rPr>
                <w:rFonts w:hint="default"/>
                <w:highlight w:val="none"/>
              </w:rPr>
            </w:pPr>
            <w:r>
              <w:rPr>
                <w:rFonts w:ascii="仿宋_GB2312" w:hAnsi="仿宋_GB2312" w:eastAsia="仿宋_GB2312" w:cs="仿宋_GB2312"/>
                <w:highlight w:val="none"/>
              </w:rPr>
              <w:t>是否属于节能产品</w:t>
            </w:r>
          </w:p>
        </w:tc>
        <w:tc>
          <w:tcPr>
            <w:tcW w:w="755" w:type="dxa"/>
          </w:tcPr>
          <w:p w14:paraId="14C485B6">
            <w:pPr>
              <w:pStyle w:val="5"/>
              <w:rPr>
                <w:rFonts w:hint="default"/>
                <w:highlight w:val="none"/>
              </w:rPr>
            </w:pPr>
            <w:r>
              <w:rPr>
                <w:rFonts w:ascii="仿宋_GB2312" w:hAnsi="仿宋_GB2312" w:eastAsia="仿宋_GB2312" w:cs="仿宋_GB2312"/>
                <w:highlight w:val="none"/>
              </w:rPr>
              <w:t>是否属于环境标志产品</w:t>
            </w:r>
          </w:p>
        </w:tc>
        <w:tc>
          <w:tcPr>
            <w:tcW w:w="755" w:type="dxa"/>
          </w:tcPr>
          <w:p w14:paraId="50CF3A2A">
            <w:pPr>
              <w:pStyle w:val="5"/>
              <w:rPr>
                <w:rFonts w:hint="default"/>
                <w:highlight w:val="none"/>
              </w:rPr>
            </w:pPr>
            <w:r>
              <w:rPr>
                <w:rFonts w:ascii="仿宋_GB2312" w:hAnsi="仿宋_GB2312" w:eastAsia="仿宋_GB2312" w:cs="仿宋_GB2312"/>
                <w:highlight w:val="none"/>
              </w:rPr>
              <w:t>是否实施本国产品政策</w:t>
            </w:r>
          </w:p>
        </w:tc>
      </w:tr>
      <w:tr w14:paraId="625CF9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CBFD0DA">
            <w:pPr>
              <w:pStyle w:val="5"/>
              <w:rPr>
                <w:rFonts w:hint="default"/>
                <w:highlight w:val="none"/>
              </w:rPr>
            </w:pPr>
            <w:r>
              <w:rPr>
                <w:rFonts w:ascii="仿宋_GB2312" w:hAnsi="仿宋_GB2312" w:eastAsia="仿宋_GB2312" w:cs="仿宋_GB2312"/>
                <w:highlight w:val="none"/>
              </w:rPr>
              <w:t>1</w:t>
            </w:r>
          </w:p>
        </w:tc>
        <w:tc>
          <w:tcPr>
            <w:tcW w:w="755" w:type="dxa"/>
          </w:tcPr>
          <w:p w14:paraId="075933BF">
            <w:pPr>
              <w:pStyle w:val="5"/>
              <w:rPr>
                <w:rFonts w:hint="default"/>
                <w:highlight w:val="none"/>
                <w:lang w:eastAsia="zh-CN"/>
              </w:rPr>
            </w:pPr>
            <w:r>
              <w:rPr>
                <w:rFonts w:ascii="仿宋_GB2312" w:hAnsi="仿宋_GB2312" w:eastAsia="仿宋_GB2312" w:cs="仿宋_GB2312"/>
                <w:highlight w:val="none"/>
                <w:lang w:eastAsia="zh-CN"/>
              </w:rPr>
              <w:t>雁塔幼儿园大型玩教具购置</w:t>
            </w:r>
          </w:p>
        </w:tc>
        <w:tc>
          <w:tcPr>
            <w:tcW w:w="755" w:type="dxa"/>
          </w:tcPr>
          <w:p w14:paraId="1EA016E0">
            <w:pPr>
              <w:pStyle w:val="5"/>
              <w:jc w:val="right"/>
              <w:rPr>
                <w:rFonts w:hint="default"/>
                <w:highlight w:val="none"/>
              </w:rPr>
            </w:pPr>
            <w:r>
              <w:rPr>
                <w:rFonts w:ascii="仿宋_GB2312" w:hAnsi="仿宋_GB2312" w:eastAsia="仿宋_GB2312" w:cs="仿宋_GB2312"/>
                <w:highlight w:val="none"/>
              </w:rPr>
              <w:t>1.00</w:t>
            </w:r>
          </w:p>
        </w:tc>
        <w:tc>
          <w:tcPr>
            <w:tcW w:w="755" w:type="dxa"/>
          </w:tcPr>
          <w:p w14:paraId="7F112FED">
            <w:pPr>
              <w:pStyle w:val="5"/>
              <w:jc w:val="right"/>
              <w:rPr>
                <w:rFonts w:hint="default"/>
                <w:highlight w:val="none"/>
              </w:rPr>
            </w:pPr>
            <w:r>
              <w:rPr>
                <w:rFonts w:ascii="仿宋_GB2312" w:hAnsi="仿宋_GB2312" w:eastAsia="仿宋_GB2312" w:cs="仿宋_GB2312"/>
                <w:highlight w:val="none"/>
                <w:lang w:eastAsia="zh-CN"/>
              </w:rPr>
              <w:t>96</w:t>
            </w:r>
            <w:r>
              <w:rPr>
                <w:rFonts w:ascii="仿宋_GB2312" w:hAnsi="仿宋_GB2312" w:eastAsia="仿宋_GB2312" w:cs="仿宋_GB2312"/>
                <w:highlight w:val="none"/>
              </w:rPr>
              <w:t>0,000.00</w:t>
            </w:r>
          </w:p>
        </w:tc>
        <w:tc>
          <w:tcPr>
            <w:tcW w:w="755" w:type="dxa"/>
          </w:tcPr>
          <w:p w14:paraId="04C290A1">
            <w:pPr>
              <w:pStyle w:val="5"/>
              <w:rPr>
                <w:rFonts w:hint="default"/>
                <w:highlight w:val="none"/>
              </w:rPr>
            </w:pPr>
            <w:r>
              <w:rPr>
                <w:rFonts w:ascii="仿宋_GB2312" w:hAnsi="仿宋_GB2312" w:eastAsia="仿宋_GB2312" w:cs="仿宋_GB2312"/>
                <w:highlight w:val="none"/>
              </w:rPr>
              <w:t>批</w:t>
            </w:r>
          </w:p>
        </w:tc>
        <w:tc>
          <w:tcPr>
            <w:tcW w:w="755" w:type="dxa"/>
          </w:tcPr>
          <w:p w14:paraId="4B314D3D">
            <w:pPr>
              <w:pStyle w:val="5"/>
              <w:rPr>
                <w:rFonts w:hint="default"/>
                <w:highlight w:val="none"/>
              </w:rPr>
            </w:pPr>
            <w:r>
              <w:rPr>
                <w:rFonts w:ascii="仿宋_GB2312" w:hAnsi="仿宋_GB2312" w:eastAsia="仿宋_GB2312" w:cs="仿宋_GB2312"/>
                <w:highlight w:val="none"/>
              </w:rPr>
              <w:t>工业</w:t>
            </w:r>
          </w:p>
        </w:tc>
        <w:tc>
          <w:tcPr>
            <w:tcW w:w="755" w:type="dxa"/>
          </w:tcPr>
          <w:p w14:paraId="086582E9">
            <w:pPr>
              <w:pStyle w:val="5"/>
              <w:rPr>
                <w:rFonts w:hint="default"/>
                <w:highlight w:val="none"/>
                <w:lang w:eastAsia="zh-CN"/>
              </w:rPr>
            </w:pPr>
            <w:r>
              <w:rPr>
                <w:rFonts w:ascii="仿宋_GB2312" w:hAnsi="仿宋_GB2312" w:eastAsia="仿宋_GB2312" w:cs="仿宋_GB2312"/>
                <w:highlight w:val="none"/>
                <w:lang w:eastAsia="zh-CN"/>
              </w:rPr>
              <w:t>是</w:t>
            </w:r>
          </w:p>
        </w:tc>
        <w:tc>
          <w:tcPr>
            <w:tcW w:w="755" w:type="dxa"/>
          </w:tcPr>
          <w:p w14:paraId="25C388AF">
            <w:pPr>
              <w:pStyle w:val="5"/>
              <w:rPr>
                <w:rFonts w:hint="default"/>
                <w:highlight w:val="none"/>
              </w:rPr>
            </w:pPr>
            <w:r>
              <w:rPr>
                <w:rFonts w:ascii="仿宋_GB2312" w:hAnsi="仿宋_GB2312" w:eastAsia="仿宋_GB2312" w:cs="仿宋_GB2312"/>
                <w:highlight w:val="none"/>
              </w:rPr>
              <w:t>否</w:t>
            </w:r>
          </w:p>
        </w:tc>
        <w:tc>
          <w:tcPr>
            <w:tcW w:w="755" w:type="dxa"/>
          </w:tcPr>
          <w:p w14:paraId="42E407B0">
            <w:pPr>
              <w:pStyle w:val="5"/>
              <w:rPr>
                <w:rFonts w:hint="default"/>
                <w:highlight w:val="none"/>
              </w:rPr>
            </w:pPr>
            <w:r>
              <w:rPr>
                <w:rFonts w:ascii="仿宋_GB2312" w:hAnsi="仿宋_GB2312" w:eastAsia="仿宋_GB2312" w:cs="仿宋_GB2312"/>
                <w:highlight w:val="none"/>
              </w:rPr>
              <w:t>否</w:t>
            </w:r>
          </w:p>
        </w:tc>
        <w:tc>
          <w:tcPr>
            <w:tcW w:w="755" w:type="dxa"/>
          </w:tcPr>
          <w:p w14:paraId="535A0DA9">
            <w:pPr>
              <w:pStyle w:val="5"/>
              <w:rPr>
                <w:rFonts w:hint="default"/>
                <w:highlight w:val="none"/>
              </w:rPr>
            </w:pPr>
            <w:r>
              <w:rPr>
                <w:rFonts w:ascii="仿宋_GB2312" w:hAnsi="仿宋_GB2312" w:eastAsia="仿宋_GB2312" w:cs="仿宋_GB2312"/>
                <w:highlight w:val="none"/>
              </w:rPr>
              <w:t>否</w:t>
            </w:r>
          </w:p>
        </w:tc>
        <w:tc>
          <w:tcPr>
            <w:tcW w:w="755" w:type="dxa"/>
          </w:tcPr>
          <w:p w14:paraId="14EFBCD6">
            <w:pPr>
              <w:pStyle w:val="5"/>
              <w:rPr>
                <w:rFonts w:hint="default"/>
                <w:highlight w:val="none"/>
              </w:rPr>
            </w:pPr>
            <w:r>
              <w:rPr>
                <w:rFonts w:ascii="仿宋_GB2312" w:hAnsi="仿宋_GB2312" w:eastAsia="仿宋_GB2312" w:cs="仿宋_GB2312"/>
                <w:highlight w:val="none"/>
              </w:rPr>
              <w:t>是</w:t>
            </w:r>
          </w:p>
        </w:tc>
      </w:tr>
    </w:tbl>
    <w:p w14:paraId="0E6C4BFB">
      <w:pPr>
        <w:pStyle w:val="5"/>
        <w:outlineLvl w:val="2"/>
        <w:rPr>
          <w:rFonts w:hint="default"/>
          <w:highlight w:val="none"/>
        </w:rPr>
      </w:pPr>
      <w:r>
        <w:rPr>
          <w:rFonts w:ascii="仿宋_GB2312" w:hAnsi="仿宋_GB2312" w:eastAsia="仿宋_GB2312" w:cs="仿宋_GB2312"/>
          <w:b/>
          <w:sz w:val="28"/>
          <w:highlight w:val="none"/>
        </w:rPr>
        <w:t>3.3技术要求</w:t>
      </w:r>
    </w:p>
    <w:p w14:paraId="6025B129">
      <w:pPr>
        <w:pStyle w:val="5"/>
        <w:rPr>
          <w:rFonts w:hint="default"/>
          <w:highlight w:val="none"/>
        </w:rPr>
      </w:pPr>
      <w:r>
        <w:rPr>
          <w:rFonts w:ascii="仿宋_GB2312" w:hAnsi="仿宋_GB2312" w:eastAsia="仿宋_GB2312" w:cs="仿宋_GB2312"/>
          <w:highlight w:val="none"/>
        </w:rPr>
        <w:t>采购包1：</w:t>
      </w:r>
    </w:p>
    <w:p w14:paraId="12E679CB">
      <w:pPr>
        <w:pStyle w:val="5"/>
        <w:rPr>
          <w:rFonts w:hint="default" w:eastAsia="仿宋_GB2312"/>
          <w:highlight w:val="none"/>
          <w:lang w:eastAsia="zh-CN"/>
        </w:rPr>
      </w:pPr>
      <w:r>
        <w:rPr>
          <w:rFonts w:ascii="仿宋_GB2312" w:hAnsi="仿宋_GB2312" w:eastAsia="仿宋_GB2312" w:cs="仿宋_GB2312"/>
          <w:highlight w:val="none"/>
        </w:rPr>
        <w:t>标的名称：</w:t>
      </w:r>
      <w:r>
        <w:rPr>
          <w:rFonts w:ascii="仿宋_GB2312" w:hAnsi="仿宋_GB2312" w:eastAsia="仿宋_GB2312" w:cs="仿宋_GB2312"/>
          <w:highlight w:val="none"/>
          <w:lang w:eastAsia="zh-CN"/>
        </w:rPr>
        <w:t>雁塔幼儿园大型玩教具购置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6"/>
        <w:gridCol w:w="1007"/>
        <w:gridCol w:w="6789"/>
      </w:tblGrid>
      <w:tr w14:paraId="77D96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6" w:type="dxa"/>
          </w:tcPr>
          <w:p w14:paraId="7134E6E4">
            <w:pPr>
              <w:pStyle w:val="5"/>
              <w:rPr>
                <w:rFonts w:hint="default"/>
                <w:highlight w:val="none"/>
              </w:rPr>
            </w:pPr>
            <w:r>
              <w:rPr>
                <w:rFonts w:ascii="仿宋_GB2312" w:hAnsi="仿宋_GB2312" w:eastAsia="仿宋_GB2312" w:cs="仿宋_GB2312"/>
                <w:highlight w:val="none"/>
              </w:rPr>
              <w:t>序号</w:t>
            </w:r>
          </w:p>
        </w:tc>
        <w:tc>
          <w:tcPr>
            <w:tcW w:w="1007" w:type="dxa"/>
          </w:tcPr>
          <w:p w14:paraId="2E113767">
            <w:pPr>
              <w:pStyle w:val="5"/>
              <w:rPr>
                <w:rFonts w:hint="default"/>
                <w:highlight w:val="none"/>
              </w:rPr>
            </w:pPr>
            <w:r>
              <w:rPr>
                <w:rFonts w:ascii="仿宋_GB2312" w:hAnsi="仿宋_GB2312" w:eastAsia="仿宋_GB2312" w:cs="仿宋_GB2312"/>
                <w:highlight w:val="none"/>
              </w:rPr>
              <w:t>参数性质</w:t>
            </w:r>
          </w:p>
        </w:tc>
        <w:tc>
          <w:tcPr>
            <w:tcW w:w="6789" w:type="dxa"/>
          </w:tcPr>
          <w:p w14:paraId="2E4B66AE">
            <w:pPr>
              <w:pStyle w:val="5"/>
              <w:rPr>
                <w:rFonts w:hint="default"/>
                <w:highlight w:val="none"/>
              </w:rPr>
            </w:pPr>
            <w:r>
              <w:rPr>
                <w:rFonts w:ascii="仿宋_GB2312" w:hAnsi="仿宋_GB2312" w:eastAsia="仿宋_GB2312" w:cs="仿宋_GB2312"/>
                <w:highlight w:val="none"/>
              </w:rPr>
              <w:t xml:space="preserve"> 技术参数与性能指标</w:t>
            </w:r>
          </w:p>
        </w:tc>
      </w:tr>
      <w:tr w14:paraId="5E7601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6" w:type="dxa"/>
          </w:tcPr>
          <w:p w14:paraId="24FD87D2">
            <w:pPr>
              <w:pStyle w:val="5"/>
              <w:rPr>
                <w:rFonts w:hint="default"/>
                <w:highlight w:val="none"/>
              </w:rPr>
            </w:pPr>
            <w:r>
              <w:rPr>
                <w:rFonts w:ascii="仿宋_GB2312" w:hAnsi="仿宋_GB2312" w:eastAsia="仿宋_GB2312" w:cs="仿宋_GB2312"/>
                <w:highlight w:val="none"/>
              </w:rPr>
              <w:t>1</w:t>
            </w:r>
          </w:p>
        </w:tc>
        <w:tc>
          <w:tcPr>
            <w:tcW w:w="1007" w:type="dxa"/>
          </w:tcPr>
          <w:p w14:paraId="5031A9BA">
            <w:pPr>
              <w:rPr>
                <w:highlight w:val="none"/>
              </w:rPr>
            </w:pPr>
          </w:p>
        </w:tc>
        <w:tc>
          <w:tcPr>
            <w:tcW w:w="6789" w:type="dxa"/>
          </w:tcPr>
          <w:p w14:paraId="31FFCBB5">
            <w:pPr>
              <w:pStyle w:val="5"/>
              <w:rPr>
                <w:rFonts w:hint="default" w:ascii="仿宋_GB2312" w:hAnsi="仿宋_GB2312" w:eastAsia="仿宋_GB2312" w:cs="仿宋_GB2312"/>
                <w:b/>
                <w:sz w:val="24"/>
                <w:highlight w:val="none"/>
              </w:rPr>
            </w:pPr>
            <w:r>
              <w:rPr>
                <w:rFonts w:ascii="仿宋_GB2312" w:hAnsi="仿宋_GB2312" w:eastAsia="仿宋_GB2312" w:cs="仿宋_GB2312"/>
                <w:b/>
                <w:sz w:val="24"/>
                <w:highlight w:val="none"/>
              </w:rPr>
              <w:t>一、采购清单</w:t>
            </w:r>
          </w:p>
          <w:tbl>
            <w:tblPr>
              <w:tblStyle w:val="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3"/>
              <w:gridCol w:w="2718"/>
              <w:gridCol w:w="1431"/>
              <w:gridCol w:w="1668"/>
            </w:tblGrid>
            <w:tr w14:paraId="6AB5E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5EBDF55D">
                  <w:pPr>
                    <w:spacing w:line="400" w:lineRule="exact"/>
                    <w:jc w:val="center"/>
                    <w:rPr>
                      <w:rFonts w:ascii="仿宋" w:hAnsi="仿宋" w:eastAsia="仿宋" w:cs="仿宋"/>
                      <w:b/>
                      <w:bCs/>
                      <w:sz w:val="20"/>
                      <w:szCs w:val="20"/>
                      <w:highlight w:val="none"/>
                    </w:rPr>
                  </w:pPr>
                  <w:r>
                    <w:rPr>
                      <w:rFonts w:hint="eastAsia" w:ascii="仿宋" w:hAnsi="仿宋" w:eastAsia="仿宋" w:cs="仿宋"/>
                      <w:b/>
                      <w:bCs/>
                      <w:sz w:val="20"/>
                      <w:szCs w:val="20"/>
                      <w:highlight w:val="none"/>
                    </w:rPr>
                    <w:t>序号</w:t>
                  </w:r>
                </w:p>
              </w:tc>
              <w:tc>
                <w:tcPr>
                  <w:tcW w:w="2071" w:type="pct"/>
                  <w:tcBorders>
                    <w:left w:val="single" w:color="auto" w:sz="4" w:space="0"/>
                    <w:right w:val="single" w:color="auto" w:sz="4" w:space="0"/>
                  </w:tcBorders>
                  <w:vAlign w:val="center"/>
                </w:tcPr>
                <w:p w14:paraId="3493827A">
                  <w:pPr>
                    <w:spacing w:line="400" w:lineRule="exact"/>
                    <w:jc w:val="center"/>
                    <w:rPr>
                      <w:rFonts w:ascii="仿宋" w:hAnsi="仿宋" w:eastAsia="仿宋" w:cs="仿宋"/>
                      <w:b/>
                      <w:bCs/>
                      <w:sz w:val="20"/>
                      <w:szCs w:val="20"/>
                      <w:highlight w:val="none"/>
                    </w:rPr>
                  </w:pPr>
                  <w:r>
                    <w:rPr>
                      <w:rFonts w:hint="eastAsia" w:ascii="仿宋" w:hAnsi="仿宋" w:eastAsia="仿宋" w:cs="仿宋"/>
                      <w:b/>
                      <w:bCs/>
                      <w:sz w:val="20"/>
                      <w:szCs w:val="20"/>
                      <w:highlight w:val="none"/>
                    </w:rPr>
                    <w:t>货物名称</w:t>
                  </w:r>
                </w:p>
              </w:tc>
              <w:tc>
                <w:tcPr>
                  <w:tcW w:w="1090" w:type="pct"/>
                  <w:tcBorders>
                    <w:left w:val="single" w:color="auto" w:sz="4" w:space="0"/>
                  </w:tcBorders>
                  <w:vAlign w:val="center"/>
                </w:tcPr>
                <w:p w14:paraId="5C6FCB7D">
                  <w:pPr>
                    <w:spacing w:line="400" w:lineRule="exact"/>
                    <w:jc w:val="center"/>
                    <w:rPr>
                      <w:rFonts w:ascii="仿宋" w:hAnsi="仿宋" w:eastAsia="仿宋" w:cs="仿宋"/>
                      <w:b/>
                      <w:bCs/>
                      <w:sz w:val="20"/>
                      <w:szCs w:val="20"/>
                      <w:highlight w:val="none"/>
                    </w:rPr>
                  </w:pPr>
                  <w:r>
                    <w:rPr>
                      <w:rFonts w:hint="eastAsia" w:ascii="仿宋" w:hAnsi="仿宋" w:eastAsia="仿宋" w:cs="仿宋"/>
                      <w:b/>
                      <w:bCs/>
                      <w:sz w:val="20"/>
                      <w:szCs w:val="20"/>
                      <w:highlight w:val="none"/>
                    </w:rPr>
                    <w:t>数量</w:t>
                  </w:r>
                </w:p>
              </w:tc>
              <w:tc>
                <w:tcPr>
                  <w:tcW w:w="1271" w:type="pct"/>
                  <w:vAlign w:val="center"/>
                </w:tcPr>
                <w:p w14:paraId="167B875C">
                  <w:pPr>
                    <w:spacing w:line="400" w:lineRule="exact"/>
                    <w:jc w:val="center"/>
                    <w:rPr>
                      <w:rFonts w:ascii="仿宋" w:hAnsi="仿宋" w:eastAsia="仿宋" w:cs="仿宋"/>
                      <w:b/>
                      <w:bCs/>
                      <w:sz w:val="20"/>
                      <w:szCs w:val="20"/>
                      <w:highlight w:val="none"/>
                    </w:rPr>
                  </w:pPr>
                  <w:r>
                    <w:rPr>
                      <w:rFonts w:hint="eastAsia" w:ascii="仿宋" w:hAnsi="仿宋" w:eastAsia="仿宋" w:cs="仿宋"/>
                      <w:b/>
                      <w:bCs/>
                      <w:sz w:val="20"/>
                      <w:szCs w:val="20"/>
                      <w:highlight w:val="none"/>
                    </w:rPr>
                    <w:t>单位</w:t>
                  </w:r>
                </w:p>
              </w:tc>
            </w:tr>
            <w:tr w14:paraId="6825C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6453E28B">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1</w:t>
                  </w:r>
                </w:p>
              </w:tc>
              <w:tc>
                <w:tcPr>
                  <w:tcW w:w="2071" w:type="pct"/>
                  <w:tcBorders>
                    <w:left w:val="single" w:color="auto" w:sz="4" w:space="0"/>
                    <w:right w:val="single" w:color="auto" w:sz="4" w:space="0"/>
                  </w:tcBorders>
                  <w:vAlign w:val="center"/>
                </w:tcPr>
                <w:p w14:paraId="5FFC28F0">
                  <w:pPr>
                    <w:spacing w:line="400" w:lineRule="exact"/>
                    <w:jc w:val="center"/>
                    <w:rPr>
                      <w:rFonts w:ascii="仿宋" w:hAnsi="仿宋" w:eastAsia="仿宋" w:cs="仿宋"/>
                      <w:sz w:val="20"/>
                      <w:szCs w:val="20"/>
                      <w:highlight w:val="none"/>
                    </w:rPr>
                  </w:pPr>
                  <w:r>
                    <w:rPr>
                      <w:rFonts w:hint="eastAsia" w:ascii="仿宋" w:hAnsi="仿宋" w:eastAsia="仿宋" w:cs="仿宋"/>
                      <w:color w:val="333333"/>
                      <w:sz w:val="20"/>
                      <w:szCs w:val="20"/>
                      <w:highlight w:val="none"/>
                    </w:rPr>
                    <w:t>主立柱</w:t>
                  </w:r>
                </w:p>
              </w:tc>
              <w:tc>
                <w:tcPr>
                  <w:tcW w:w="1090" w:type="pct"/>
                  <w:tcBorders>
                    <w:left w:val="single" w:color="auto" w:sz="4" w:space="0"/>
                  </w:tcBorders>
                  <w:vAlign w:val="center"/>
                </w:tcPr>
                <w:p w14:paraId="2DECC497">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1</w:t>
                  </w:r>
                </w:p>
              </w:tc>
              <w:tc>
                <w:tcPr>
                  <w:tcW w:w="1271" w:type="pct"/>
                  <w:vAlign w:val="center"/>
                </w:tcPr>
                <w:p w14:paraId="41DECBE8">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0185C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2F0FE8AE">
                  <w:pPr>
                    <w:spacing w:line="400" w:lineRule="exact"/>
                    <w:jc w:val="center"/>
                    <w:rPr>
                      <w:rFonts w:ascii="仿宋" w:hAnsi="仿宋" w:eastAsia="仿宋" w:cs="仿宋"/>
                      <w:b/>
                      <w:sz w:val="20"/>
                      <w:szCs w:val="20"/>
                      <w:highlight w:val="none"/>
                    </w:rPr>
                  </w:pPr>
                  <w:r>
                    <w:rPr>
                      <w:rFonts w:hint="eastAsia" w:ascii="仿宋" w:hAnsi="仿宋" w:eastAsia="仿宋" w:cs="仿宋"/>
                      <w:sz w:val="20"/>
                      <w:szCs w:val="20"/>
                      <w:highlight w:val="none"/>
                    </w:rPr>
                    <w:t>2</w:t>
                  </w:r>
                </w:p>
              </w:tc>
              <w:tc>
                <w:tcPr>
                  <w:tcW w:w="2071" w:type="pct"/>
                  <w:tcBorders>
                    <w:left w:val="single" w:color="auto" w:sz="4" w:space="0"/>
                    <w:right w:val="single" w:color="auto" w:sz="4" w:space="0"/>
                  </w:tcBorders>
                  <w:vAlign w:val="center"/>
                </w:tcPr>
                <w:p w14:paraId="1F2F64BE">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横梁/支撑梁</w:t>
                  </w:r>
                </w:p>
              </w:tc>
              <w:tc>
                <w:tcPr>
                  <w:tcW w:w="1090" w:type="pct"/>
                  <w:tcBorders>
                    <w:left w:val="single" w:color="auto" w:sz="4" w:space="0"/>
                  </w:tcBorders>
                  <w:vAlign w:val="center"/>
                </w:tcPr>
                <w:p w14:paraId="5241AAD9">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1</w:t>
                  </w:r>
                </w:p>
              </w:tc>
              <w:tc>
                <w:tcPr>
                  <w:tcW w:w="1271" w:type="pct"/>
                  <w:vAlign w:val="center"/>
                </w:tcPr>
                <w:p w14:paraId="69DBDAAC">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21462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3F21E5E1">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3</w:t>
                  </w:r>
                </w:p>
              </w:tc>
              <w:tc>
                <w:tcPr>
                  <w:tcW w:w="2071" w:type="pct"/>
                  <w:tcBorders>
                    <w:left w:val="single" w:color="auto" w:sz="4" w:space="0"/>
                    <w:right w:val="single" w:color="auto" w:sz="4" w:space="0"/>
                  </w:tcBorders>
                  <w:vAlign w:val="center"/>
                </w:tcPr>
                <w:p w14:paraId="010CB0CB">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平台面板</w:t>
                  </w:r>
                </w:p>
              </w:tc>
              <w:tc>
                <w:tcPr>
                  <w:tcW w:w="1090" w:type="pct"/>
                  <w:tcBorders>
                    <w:left w:val="single" w:color="auto" w:sz="4" w:space="0"/>
                  </w:tcBorders>
                  <w:shd w:val="clear" w:color="auto" w:fill="auto"/>
                  <w:vAlign w:val="center"/>
                </w:tcPr>
                <w:p w14:paraId="7FFC6126">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1</w:t>
                  </w:r>
                </w:p>
              </w:tc>
              <w:tc>
                <w:tcPr>
                  <w:tcW w:w="1271" w:type="pct"/>
                  <w:shd w:val="clear" w:color="auto" w:fill="auto"/>
                  <w:vAlign w:val="center"/>
                </w:tcPr>
                <w:p w14:paraId="2E3D6D63">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43542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5169432D">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4</w:t>
                  </w:r>
                </w:p>
              </w:tc>
              <w:tc>
                <w:tcPr>
                  <w:tcW w:w="2071" w:type="pct"/>
                  <w:tcBorders>
                    <w:left w:val="single" w:color="auto" w:sz="4" w:space="0"/>
                    <w:right w:val="single" w:color="auto" w:sz="4" w:space="0"/>
                  </w:tcBorders>
                  <w:vAlign w:val="center"/>
                </w:tcPr>
                <w:p w14:paraId="0189DA46">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安全护栏</w:t>
                  </w:r>
                </w:p>
              </w:tc>
              <w:tc>
                <w:tcPr>
                  <w:tcW w:w="1090" w:type="pct"/>
                  <w:tcBorders>
                    <w:left w:val="single" w:color="auto" w:sz="4" w:space="0"/>
                  </w:tcBorders>
                  <w:vAlign w:val="center"/>
                </w:tcPr>
                <w:p w14:paraId="2E1104EC">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1</w:t>
                  </w:r>
                </w:p>
              </w:tc>
              <w:tc>
                <w:tcPr>
                  <w:tcW w:w="1271" w:type="pct"/>
                  <w:vAlign w:val="center"/>
                </w:tcPr>
                <w:p w14:paraId="4C5753F1">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4C63D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314021E7">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5</w:t>
                  </w:r>
                </w:p>
              </w:tc>
              <w:tc>
                <w:tcPr>
                  <w:tcW w:w="2071" w:type="pct"/>
                  <w:tcBorders>
                    <w:left w:val="single" w:color="auto" w:sz="4" w:space="0"/>
                    <w:right w:val="single" w:color="auto" w:sz="4" w:space="0"/>
                  </w:tcBorders>
                  <w:vAlign w:val="center"/>
                </w:tcPr>
                <w:p w14:paraId="335F30BF">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滑梯/钻洞隧道</w:t>
                  </w:r>
                </w:p>
              </w:tc>
              <w:tc>
                <w:tcPr>
                  <w:tcW w:w="1090" w:type="pct"/>
                  <w:tcBorders>
                    <w:left w:val="single" w:color="auto" w:sz="4" w:space="0"/>
                  </w:tcBorders>
                  <w:shd w:val="clear" w:color="auto" w:fill="auto"/>
                  <w:vAlign w:val="center"/>
                </w:tcPr>
                <w:p w14:paraId="2BB3E0E3">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1</w:t>
                  </w:r>
                </w:p>
              </w:tc>
              <w:tc>
                <w:tcPr>
                  <w:tcW w:w="1271" w:type="pct"/>
                  <w:shd w:val="clear" w:color="auto" w:fill="auto"/>
                  <w:vAlign w:val="center"/>
                </w:tcPr>
                <w:p w14:paraId="1574AAB1">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7AD4D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335621D6">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6</w:t>
                  </w:r>
                </w:p>
              </w:tc>
              <w:tc>
                <w:tcPr>
                  <w:tcW w:w="2071" w:type="pct"/>
                  <w:tcBorders>
                    <w:left w:val="single" w:color="auto" w:sz="4" w:space="0"/>
                    <w:right w:val="single" w:color="auto" w:sz="4" w:space="0"/>
                  </w:tcBorders>
                  <w:vAlign w:val="center"/>
                </w:tcPr>
                <w:p w14:paraId="70E21214">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滑梯坡度</w:t>
                  </w:r>
                </w:p>
              </w:tc>
              <w:tc>
                <w:tcPr>
                  <w:tcW w:w="1090" w:type="pct"/>
                  <w:tcBorders>
                    <w:left w:val="single" w:color="auto" w:sz="4" w:space="0"/>
                  </w:tcBorders>
                  <w:shd w:val="clear" w:color="auto" w:fill="auto"/>
                  <w:vAlign w:val="center"/>
                </w:tcPr>
                <w:p w14:paraId="4AFA239F">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1</w:t>
                  </w:r>
                </w:p>
              </w:tc>
              <w:tc>
                <w:tcPr>
                  <w:tcW w:w="1271" w:type="pct"/>
                  <w:shd w:val="clear" w:color="auto" w:fill="auto"/>
                  <w:vAlign w:val="center"/>
                </w:tcPr>
                <w:p w14:paraId="3DFCF008">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557EF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1421BA2B">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7</w:t>
                  </w:r>
                </w:p>
              </w:tc>
              <w:tc>
                <w:tcPr>
                  <w:tcW w:w="2071" w:type="pct"/>
                  <w:tcBorders>
                    <w:left w:val="single" w:color="auto" w:sz="4" w:space="0"/>
                    <w:right w:val="single" w:color="auto" w:sz="4" w:space="0"/>
                  </w:tcBorders>
                  <w:vAlign w:val="center"/>
                </w:tcPr>
                <w:p w14:paraId="3CF14501">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彩虹隧道</w:t>
                  </w:r>
                </w:p>
              </w:tc>
              <w:tc>
                <w:tcPr>
                  <w:tcW w:w="1090" w:type="pct"/>
                  <w:tcBorders>
                    <w:left w:val="single" w:color="auto" w:sz="4" w:space="0"/>
                  </w:tcBorders>
                  <w:shd w:val="clear" w:color="auto" w:fill="auto"/>
                  <w:vAlign w:val="center"/>
                </w:tcPr>
                <w:p w14:paraId="09DD446C">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1</w:t>
                  </w:r>
                </w:p>
              </w:tc>
              <w:tc>
                <w:tcPr>
                  <w:tcW w:w="1271" w:type="pct"/>
                  <w:shd w:val="clear" w:color="auto" w:fill="auto"/>
                  <w:vAlign w:val="center"/>
                </w:tcPr>
                <w:p w14:paraId="47C5D624">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6F7B5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09A30657">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8</w:t>
                  </w:r>
                </w:p>
              </w:tc>
              <w:tc>
                <w:tcPr>
                  <w:tcW w:w="2071" w:type="pct"/>
                  <w:tcBorders>
                    <w:left w:val="single" w:color="auto" w:sz="4" w:space="0"/>
                    <w:right w:val="single" w:color="auto" w:sz="4" w:space="0"/>
                  </w:tcBorders>
                  <w:vAlign w:val="center"/>
                </w:tcPr>
                <w:p w14:paraId="4CBEABEB">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平台栈道组合</w:t>
                  </w:r>
                </w:p>
              </w:tc>
              <w:tc>
                <w:tcPr>
                  <w:tcW w:w="1090" w:type="pct"/>
                  <w:tcBorders>
                    <w:left w:val="single" w:color="auto" w:sz="4" w:space="0"/>
                  </w:tcBorders>
                  <w:vAlign w:val="center"/>
                </w:tcPr>
                <w:p w14:paraId="7FD1B66F">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1</w:t>
                  </w:r>
                </w:p>
              </w:tc>
              <w:tc>
                <w:tcPr>
                  <w:tcW w:w="1271" w:type="pct"/>
                  <w:vAlign w:val="center"/>
                </w:tcPr>
                <w:p w14:paraId="05F1A0BC">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49CE9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383239FA">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9</w:t>
                  </w:r>
                </w:p>
              </w:tc>
              <w:tc>
                <w:tcPr>
                  <w:tcW w:w="2071" w:type="pct"/>
                  <w:tcBorders>
                    <w:left w:val="single" w:color="auto" w:sz="4" w:space="0"/>
                    <w:right w:val="single" w:color="auto" w:sz="4" w:space="0"/>
                  </w:tcBorders>
                  <w:vAlign w:val="center"/>
                </w:tcPr>
                <w:p w14:paraId="5B9252B4">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直滑梯</w:t>
                  </w:r>
                </w:p>
              </w:tc>
              <w:tc>
                <w:tcPr>
                  <w:tcW w:w="1090" w:type="pct"/>
                  <w:tcBorders>
                    <w:left w:val="single" w:color="auto" w:sz="4" w:space="0"/>
                  </w:tcBorders>
                  <w:vAlign w:val="center"/>
                </w:tcPr>
                <w:p w14:paraId="65518139">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2</w:t>
                  </w:r>
                </w:p>
              </w:tc>
              <w:tc>
                <w:tcPr>
                  <w:tcW w:w="1271" w:type="pct"/>
                  <w:vAlign w:val="center"/>
                </w:tcPr>
                <w:p w14:paraId="3B3A593B">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5C75D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09F1BEFB">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10</w:t>
                  </w:r>
                </w:p>
              </w:tc>
              <w:tc>
                <w:tcPr>
                  <w:tcW w:w="2071" w:type="pct"/>
                  <w:tcBorders>
                    <w:left w:val="single" w:color="auto" w:sz="4" w:space="0"/>
                    <w:right w:val="single" w:color="auto" w:sz="4" w:space="0"/>
                  </w:tcBorders>
                  <w:vAlign w:val="center"/>
                </w:tcPr>
                <w:p w14:paraId="06407D16">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波浪滑梯</w:t>
                  </w:r>
                </w:p>
              </w:tc>
              <w:tc>
                <w:tcPr>
                  <w:tcW w:w="1090" w:type="pct"/>
                  <w:tcBorders>
                    <w:left w:val="single" w:color="auto" w:sz="4" w:space="0"/>
                  </w:tcBorders>
                  <w:vAlign w:val="center"/>
                </w:tcPr>
                <w:p w14:paraId="71E31EAB">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1</w:t>
                  </w:r>
                </w:p>
              </w:tc>
              <w:tc>
                <w:tcPr>
                  <w:tcW w:w="1271" w:type="pct"/>
                  <w:vAlign w:val="center"/>
                </w:tcPr>
                <w:p w14:paraId="42298803">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3A74F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1EEE693F">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11</w:t>
                  </w:r>
                </w:p>
              </w:tc>
              <w:tc>
                <w:tcPr>
                  <w:tcW w:w="2071" w:type="pct"/>
                  <w:tcBorders>
                    <w:left w:val="single" w:color="auto" w:sz="4" w:space="0"/>
                    <w:right w:val="single" w:color="auto" w:sz="4" w:space="0"/>
                  </w:tcBorders>
                  <w:vAlign w:val="center"/>
                </w:tcPr>
                <w:p w14:paraId="322C3EFB">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彩虹钻洞隧道</w:t>
                  </w:r>
                </w:p>
              </w:tc>
              <w:tc>
                <w:tcPr>
                  <w:tcW w:w="1090" w:type="pct"/>
                  <w:tcBorders>
                    <w:left w:val="single" w:color="auto" w:sz="4" w:space="0"/>
                  </w:tcBorders>
                  <w:vAlign w:val="center"/>
                </w:tcPr>
                <w:p w14:paraId="3CDC229B">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2</w:t>
                  </w:r>
                </w:p>
              </w:tc>
              <w:tc>
                <w:tcPr>
                  <w:tcW w:w="1271" w:type="pct"/>
                  <w:vAlign w:val="center"/>
                </w:tcPr>
                <w:p w14:paraId="7BBA1ACC">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0BBFE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544440A0">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12</w:t>
                  </w:r>
                </w:p>
              </w:tc>
              <w:tc>
                <w:tcPr>
                  <w:tcW w:w="2071" w:type="pct"/>
                  <w:tcBorders>
                    <w:left w:val="single" w:color="auto" w:sz="4" w:space="0"/>
                    <w:right w:val="single" w:color="auto" w:sz="4" w:space="0"/>
                  </w:tcBorders>
                  <w:vAlign w:val="center"/>
                </w:tcPr>
                <w:p w14:paraId="27016F6F">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攀爬网组合</w:t>
                  </w:r>
                </w:p>
              </w:tc>
              <w:tc>
                <w:tcPr>
                  <w:tcW w:w="1090" w:type="pct"/>
                  <w:tcBorders>
                    <w:left w:val="single" w:color="auto" w:sz="4" w:space="0"/>
                  </w:tcBorders>
                  <w:vAlign w:val="center"/>
                </w:tcPr>
                <w:p w14:paraId="3F0C6FCA">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2</w:t>
                  </w:r>
                </w:p>
              </w:tc>
              <w:tc>
                <w:tcPr>
                  <w:tcW w:w="1271" w:type="pct"/>
                  <w:vAlign w:val="center"/>
                </w:tcPr>
                <w:p w14:paraId="792A7C2E">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2E5DC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6B06F6DA">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13</w:t>
                  </w:r>
                </w:p>
              </w:tc>
              <w:tc>
                <w:tcPr>
                  <w:tcW w:w="2071" w:type="pct"/>
                  <w:tcBorders>
                    <w:left w:val="single" w:color="auto" w:sz="4" w:space="0"/>
                    <w:right w:val="single" w:color="auto" w:sz="4" w:space="0"/>
                  </w:tcBorders>
                  <w:vAlign w:val="center"/>
                </w:tcPr>
                <w:p w14:paraId="7FFAEFB2">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互动游戏区</w:t>
                  </w:r>
                </w:p>
              </w:tc>
              <w:tc>
                <w:tcPr>
                  <w:tcW w:w="1090" w:type="pct"/>
                  <w:tcBorders>
                    <w:left w:val="single" w:color="auto" w:sz="4" w:space="0"/>
                  </w:tcBorders>
                  <w:vAlign w:val="center"/>
                </w:tcPr>
                <w:p w14:paraId="45B23355">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1</w:t>
                  </w:r>
                </w:p>
              </w:tc>
              <w:tc>
                <w:tcPr>
                  <w:tcW w:w="1271" w:type="pct"/>
                  <w:vAlign w:val="center"/>
                </w:tcPr>
                <w:p w14:paraId="7C76AD48">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1BC8D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4BC3B170">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14</w:t>
                  </w:r>
                </w:p>
              </w:tc>
              <w:tc>
                <w:tcPr>
                  <w:tcW w:w="2071" w:type="pct"/>
                  <w:tcBorders>
                    <w:left w:val="single" w:color="auto" w:sz="4" w:space="0"/>
                    <w:right w:val="single" w:color="auto" w:sz="4" w:space="0"/>
                  </w:tcBorders>
                  <w:vAlign w:val="center"/>
                </w:tcPr>
                <w:p w14:paraId="449C7885">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辅助攀爬梯</w:t>
                  </w:r>
                </w:p>
              </w:tc>
              <w:tc>
                <w:tcPr>
                  <w:tcW w:w="1090" w:type="pct"/>
                  <w:tcBorders>
                    <w:left w:val="single" w:color="auto" w:sz="4" w:space="0"/>
                  </w:tcBorders>
                  <w:vAlign w:val="center"/>
                </w:tcPr>
                <w:p w14:paraId="3C6D6C95">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2</w:t>
                  </w:r>
                </w:p>
              </w:tc>
              <w:tc>
                <w:tcPr>
                  <w:tcW w:w="1271" w:type="pct"/>
                  <w:vAlign w:val="center"/>
                </w:tcPr>
                <w:p w14:paraId="1C83937D">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套</w:t>
                  </w:r>
                </w:p>
              </w:tc>
            </w:tr>
            <w:tr w14:paraId="47B9F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6" w:type="pct"/>
                  <w:tcBorders>
                    <w:right w:val="single" w:color="auto" w:sz="4" w:space="0"/>
                  </w:tcBorders>
                  <w:vAlign w:val="center"/>
                </w:tcPr>
                <w:p w14:paraId="1AF2EFB0">
                  <w:pPr>
                    <w:spacing w:line="400" w:lineRule="exact"/>
                    <w:jc w:val="center"/>
                    <w:rPr>
                      <w:rFonts w:ascii="仿宋" w:hAnsi="仿宋" w:eastAsia="仿宋" w:cs="仿宋"/>
                      <w:sz w:val="20"/>
                      <w:szCs w:val="20"/>
                      <w:highlight w:val="none"/>
                    </w:rPr>
                  </w:pPr>
                  <w:r>
                    <w:rPr>
                      <w:rFonts w:hint="eastAsia" w:ascii="仿宋" w:hAnsi="仿宋" w:eastAsia="仿宋" w:cs="仿宋"/>
                      <w:sz w:val="20"/>
                      <w:szCs w:val="20"/>
                      <w:highlight w:val="none"/>
                    </w:rPr>
                    <w:t>15</w:t>
                  </w:r>
                </w:p>
              </w:tc>
              <w:tc>
                <w:tcPr>
                  <w:tcW w:w="2071" w:type="pct"/>
                  <w:tcBorders>
                    <w:left w:val="single" w:color="auto" w:sz="4" w:space="0"/>
                    <w:right w:val="single" w:color="auto" w:sz="4" w:space="0"/>
                  </w:tcBorders>
                  <w:vAlign w:val="center"/>
                </w:tcPr>
                <w:p w14:paraId="075B957B">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风车趣味装饰</w:t>
                  </w:r>
                </w:p>
              </w:tc>
              <w:tc>
                <w:tcPr>
                  <w:tcW w:w="1090" w:type="pct"/>
                  <w:tcBorders>
                    <w:left w:val="single" w:color="auto" w:sz="4" w:space="0"/>
                  </w:tcBorders>
                  <w:vAlign w:val="center"/>
                </w:tcPr>
                <w:p w14:paraId="3FCDA9F7">
                  <w:pPr>
                    <w:spacing w:line="400" w:lineRule="exact"/>
                    <w:jc w:val="center"/>
                    <w:rPr>
                      <w:rFonts w:ascii="仿宋" w:hAnsi="仿宋" w:eastAsia="仿宋" w:cs="仿宋"/>
                      <w:bCs/>
                      <w:sz w:val="20"/>
                      <w:szCs w:val="20"/>
                      <w:highlight w:val="none"/>
                    </w:rPr>
                  </w:pPr>
                  <w:r>
                    <w:rPr>
                      <w:rFonts w:hint="eastAsia" w:ascii="仿宋" w:hAnsi="仿宋" w:eastAsia="仿宋" w:cs="仿宋"/>
                      <w:bCs/>
                      <w:sz w:val="20"/>
                      <w:szCs w:val="20"/>
                      <w:highlight w:val="none"/>
                    </w:rPr>
                    <w:t>4</w:t>
                  </w:r>
                </w:p>
              </w:tc>
              <w:tc>
                <w:tcPr>
                  <w:tcW w:w="1271" w:type="pct"/>
                  <w:vAlign w:val="center"/>
                </w:tcPr>
                <w:p w14:paraId="2589B012">
                  <w:pPr>
                    <w:spacing w:line="400" w:lineRule="exact"/>
                    <w:jc w:val="center"/>
                    <w:rPr>
                      <w:rFonts w:ascii="仿宋" w:hAnsi="仿宋" w:eastAsia="仿宋" w:cs="仿宋"/>
                      <w:b/>
                      <w:sz w:val="20"/>
                      <w:szCs w:val="20"/>
                      <w:highlight w:val="none"/>
                    </w:rPr>
                  </w:pPr>
                  <w:r>
                    <w:rPr>
                      <w:rFonts w:hint="eastAsia" w:ascii="仿宋" w:hAnsi="仿宋" w:eastAsia="仿宋" w:cs="仿宋"/>
                      <w:b/>
                      <w:sz w:val="20"/>
                      <w:szCs w:val="20"/>
                      <w:highlight w:val="none"/>
                    </w:rPr>
                    <w:t>个</w:t>
                  </w:r>
                </w:p>
              </w:tc>
            </w:tr>
          </w:tbl>
          <w:p w14:paraId="51DFA290">
            <w:pPr>
              <w:pStyle w:val="5"/>
              <w:rPr>
                <w:rFonts w:hint="default" w:ascii="仿宋_GB2312" w:hAnsi="仿宋_GB2312" w:eastAsia="仿宋_GB2312" w:cs="仿宋_GB2312"/>
                <w:b/>
                <w:sz w:val="24"/>
                <w:highlight w:val="none"/>
              </w:rPr>
            </w:pPr>
          </w:p>
          <w:p w14:paraId="2A8CB5E1">
            <w:pPr>
              <w:pStyle w:val="5"/>
              <w:rPr>
                <w:rFonts w:hint="default"/>
                <w:highlight w:val="none"/>
              </w:rPr>
            </w:pPr>
            <w:r>
              <w:rPr>
                <w:rFonts w:ascii="仿宋_GB2312" w:hAnsi="仿宋_GB2312" w:eastAsia="仿宋_GB2312" w:cs="仿宋_GB2312"/>
                <w:b/>
                <w:sz w:val="24"/>
                <w:highlight w:val="none"/>
                <w:shd w:val="clear" w:color="auto" w:fill="FFFFFF"/>
              </w:rPr>
              <w:t>二、技术参数</w:t>
            </w:r>
          </w:p>
          <w:tbl>
            <w:tblPr>
              <w:tblStyle w:val="3"/>
              <w:tblpPr w:leftFromText="180" w:rightFromText="180" w:vertAnchor="text" w:horzAnchor="page" w:tblpX="124" w:tblpY="321"/>
              <w:tblOverlap w:val="neve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4"/>
              <w:gridCol w:w="919"/>
              <w:gridCol w:w="5169"/>
            </w:tblGrid>
            <w:tr w14:paraId="4E864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trPr>
              <w:tc>
                <w:tcPr>
                  <w:tcW w:w="361" w:type="pct"/>
                  <w:tcBorders>
                    <w:right w:val="single" w:color="auto" w:sz="4" w:space="0"/>
                  </w:tcBorders>
                  <w:vAlign w:val="center"/>
                </w:tcPr>
                <w:p w14:paraId="14506189">
                  <w:pPr>
                    <w:jc w:val="center"/>
                    <w:rPr>
                      <w:rFonts w:ascii="仿宋" w:hAnsi="仿宋" w:eastAsia="仿宋" w:cs="仿宋"/>
                      <w:sz w:val="20"/>
                      <w:szCs w:val="20"/>
                      <w:highlight w:val="none"/>
                    </w:rPr>
                  </w:pPr>
                  <w:r>
                    <w:rPr>
                      <w:rFonts w:hint="eastAsia" w:ascii="仿宋" w:hAnsi="仿宋" w:eastAsia="仿宋" w:cs="仿宋"/>
                      <w:sz w:val="20"/>
                      <w:szCs w:val="20"/>
                      <w:highlight w:val="none"/>
                    </w:rPr>
                    <w:t>序号</w:t>
                  </w:r>
                </w:p>
              </w:tc>
              <w:tc>
                <w:tcPr>
                  <w:tcW w:w="700" w:type="pct"/>
                  <w:tcBorders>
                    <w:left w:val="single" w:color="auto" w:sz="4" w:space="0"/>
                    <w:right w:val="single" w:color="auto" w:sz="4" w:space="0"/>
                  </w:tcBorders>
                  <w:vAlign w:val="center"/>
                </w:tcPr>
                <w:p w14:paraId="03FFB2CE">
                  <w:pPr>
                    <w:jc w:val="center"/>
                    <w:rPr>
                      <w:rFonts w:ascii="仿宋" w:hAnsi="仿宋" w:eastAsia="仿宋" w:cs="仿宋"/>
                      <w:sz w:val="20"/>
                      <w:szCs w:val="20"/>
                      <w:highlight w:val="none"/>
                    </w:rPr>
                  </w:pPr>
                  <w:r>
                    <w:rPr>
                      <w:rFonts w:hint="eastAsia" w:ascii="仿宋" w:hAnsi="仿宋" w:eastAsia="仿宋" w:cs="仿宋"/>
                      <w:sz w:val="20"/>
                      <w:szCs w:val="20"/>
                      <w:highlight w:val="none"/>
                    </w:rPr>
                    <w:t>货物</w:t>
                  </w:r>
                </w:p>
                <w:p w14:paraId="68794E12">
                  <w:pPr>
                    <w:jc w:val="center"/>
                    <w:rPr>
                      <w:rFonts w:ascii="仿宋" w:hAnsi="仿宋" w:eastAsia="仿宋" w:cs="仿宋"/>
                      <w:sz w:val="20"/>
                      <w:szCs w:val="20"/>
                      <w:highlight w:val="none"/>
                    </w:rPr>
                  </w:pPr>
                  <w:r>
                    <w:rPr>
                      <w:rFonts w:hint="eastAsia" w:ascii="仿宋" w:hAnsi="仿宋" w:eastAsia="仿宋" w:cs="仿宋"/>
                      <w:sz w:val="20"/>
                      <w:szCs w:val="20"/>
                      <w:highlight w:val="none"/>
                    </w:rPr>
                    <w:t>名称</w:t>
                  </w:r>
                </w:p>
              </w:tc>
              <w:tc>
                <w:tcPr>
                  <w:tcW w:w="3938" w:type="pct"/>
                  <w:tcBorders>
                    <w:left w:val="single" w:color="auto" w:sz="4" w:space="0"/>
                  </w:tcBorders>
                  <w:vAlign w:val="center"/>
                </w:tcPr>
                <w:p w14:paraId="727BDFB3">
                  <w:pPr>
                    <w:jc w:val="center"/>
                    <w:rPr>
                      <w:rFonts w:ascii="仿宋" w:hAnsi="仿宋" w:eastAsia="仿宋" w:cs="仿宋"/>
                      <w:sz w:val="20"/>
                      <w:szCs w:val="20"/>
                      <w:highlight w:val="none"/>
                    </w:rPr>
                  </w:pPr>
                  <w:r>
                    <w:rPr>
                      <w:rFonts w:hint="eastAsia" w:ascii="仿宋" w:hAnsi="仿宋" w:eastAsia="仿宋" w:cs="仿宋"/>
                      <w:sz w:val="20"/>
                      <w:szCs w:val="20"/>
                      <w:highlight w:val="none"/>
                    </w:rPr>
                    <w:t>技术参数</w:t>
                  </w:r>
                </w:p>
              </w:tc>
            </w:tr>
            <w:tr w14:paraId="1F61F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52D8C60D">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1</w:t>
                  </w:r>
                </w:p>
              </w:tc>
              <w:tc>
                <w:tcPr>
                  <w:tcW w:w="700" w:type="pct"/>
                  <w:tcBorders>
                    <w:left w:val="single" w:color="auto" w:sz="4" w:space="0"/>
                    <w:right w:val="single" w:color="auto" w:sz="4" w:space="0"/>
                  </w:tcBorders>
                  <w:vAlign w:val="center"/>
                </w:tcPr>
                <w:p w14:paraId="2A211698">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主立柱</w:t>
                  </w:r>
                </w:p>
              </w:tc>
              <w:tc>
                <w:tcPr>
                  <w:tcW w:w="3938" w:type="pct"/>
                  <w:tcBorders>
                    <w:left w:val="single" w:color="auto" w:sz="4" w:space="0"/>
                  </w:tcBorders>
                  <w:vAlign w:val="center"/>
                </w:tcPr>
                <w:p w14:paraId="15F14B82">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材质：Q235B 国标镀锌钢管；</w:t>
                  </w:r>
                </w:p>
                <w:p w14:paraId="4F21DFE3">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规格：φ114×2mm，壁厚均匀，无裂缝、砂眼；</w:t>
                  </w:r>
                </w:p>
                <w:p w14:paraId="250F5D89">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执行标准：</w:t>
                  </w:r>
                  <w:bookmarkStart w:id="0" w:name="OLE_LINK1"/>
                  <w:r>
                    <w:rPr>
                      <w:rFonts w:hint="eastAsia" w:ascii="仿宋" w:hAnsi="仿宋" w:eastAsia="仿宋" w:cs="仿宋"/>
                      <w:color w:val="000000"/>
                      <w:kern w:val="0"/>
                      <w:sz w:val="20"/>
                      <w:szCs w:val="20"/>
                      <w:highlight w:val="none"/>
                      <w:lang w:bidi="ar"/>
                    </w:rPr>
                    <w:t>GB/T 700-2006</w:t>
                  </w:r>
                  <w:bookmarkEnd w:id="0"/>
                  <w:r>
                    <w:rPr>
                      <w:rFonts w:hint="eastAsia" w:ascii="仿宋" w:hAnsi="仿宋" w:eastAsia="仿宋" w:cs="仿宋"/>
                      <w:color w:val="000000"/>
                      <w:kern w:val="0"/>
                      <w:sz w:val="20"/>
                      <w:szCs w:val="20"/>
                      <w:highlight w:val="none"/>
                      <w:lang w:bidi="ar"/>
                    </w:rPr>
                    <w:t>；</w:t>
                  </w:r>
                </w:p>
              </w:tc>
            </w:tr>
            <w:tr w14:paraId="5F146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11146502">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2</w:t>
                  </w:r>
                </w:p>
              </w:tc>
              <w:tc>
                <w:tcPr>
                  <w:tcW w:w="700" w:type="pct"/>
                  <w:tcBorders>
                    <w:left w:val="single" w:color="auto" w:sz="4" w:space="0"/>
                    <w:right w:val="single" w:color="auto" w:sz="4" w:space="0"/>
                  </w:tcBorders>
                  <w:vAlign w:val="center"/>
                </w:tcPr>
                <w:p w14:paraId="3B7956B5">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横梁/支撑梁</w:t>
                  </w:r>
                </w:p>
              </w:tc>
              <w:tc>
                <w:tcPr>
                  <w:tcW w:w="3938" w:type="pct"/>
                  <w:tcBorders>
                    <w:left w:val="single" w:color="auto" w:sz="4" w:space="0"/>
                  </w:tcBorders>
                  <w:vAlign w:val="center"/>
                </w:tcPr>
                <w:p w14:paraId="4C38D051">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材质：Q235B方管；</w:t>
                  </w:r>
                </w:p>
                <w:p w14:paraId="26AA0711">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规格：80×80×3.0mm，表面热浸镀锌处理，镀锌层厚度≥85μm；</w:t>
                  </w:r>
                </w:p>
                <w:p w14:paraId="62E4B46C">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执行标准：GB/T 13912-2020；</w:t>
                  </w:r>
                </w:p>
              </w:tc>
            </w:tr>
            <w:tr w14:paraId="2245F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68A0495E">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3</w:t>
                  </w:r>
                </w:p>
              </w:tc>
              <w:tc>
                <w:tcPr>
                  <w:tcW w:w="700" w:type="pct"/>
                  <w:tcBorders>
                    <w:left w:val="single" w:color="auto" w:sz="4" w:space="0"/>
                    <w:right w:val="single" w:color="auto" w:sz="4" w:space="0"/>
                  </w:tcBorders>
                  <w:vAlign w:val="center"/>
                </w:tcPr>
                <w:p w14:paraId="2F391811">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平台面板</w:t>
                  </w:r>
                </w:p>
              </w:tc>
              <w:tc>
                <w:tcPr>
                  <w:tcW w:w="3938" w:type="pct"/>
                  <w:tcBorders>
                    <w:left w:val="single" w:color="auto" w:sz="4" w:space="0"/>
                  </w:tcBorders>
                  <w:vAlign w:val="center"/>
                </w:tcPr>
                <w:p w14:paraId="7F8AF92F">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材质：户外防腐木，厚度≥2.0mm；</w:t>
                  </w:r>
                </w:p>
                <w:p w14:paraId="0ABA6B82">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规格：表面喷涂户外环保木头专用漆，边缘圆角打磨，无尖锐棱角；</w:t>
                  </w:r>
                </w:p>
                <w:p w14:paraId="693A93B1">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执行标准：</w:t>
                  </w:r>
                  <w:bookmarkStart w:id="1" w:name="OLE_LINK2"/>
                  <w:r>
                    <w:rPr>
                      <w:rFonts w:hint="eastAsia" w:ascii="仿宋" w:hAnsi="仿宋" w:eastAsia="仿宋" w:cs="仿宋"/>
                      <w:color w:val="000000"/>
                      <w:kern w:val="0"/>
                      <w:sz w:val="20"/>
                      <w:szCs w:val="20"/>
                      <w:highlight w:val="none"/>
                      <w:lang w:bidi="ar"/>
                    </w:rPr>
                    <w:t>GB/T 9846-2015</w:t>
                  </w:r>
                  <w:bookmarkEnd w:id="1"/>
                  <w:r>
                    <w:rPr>
                      <w:rFonts w:hint="eastAsia" w:ascii="仿宋" w:hAnsi="仿宋" w:eastAsia="仿宋" w:cs="仿宋"/>
                      <w:color w:val="000000"/>
                      <w:kern w:val="0"/>
                      <w:sz w:val="20"/>
                      <w:szCs w:val="20"/>
                      <w:highlight w:val="none"/>
                      <w:lang w:bidi="ar"/>
                    </w:rPr>
                    <w:t>；</w:t>
                  </w:r>
                </w:p>
              </w:tc>
            </w:tr>
            <w:tr w14:paraId="7B6FE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3733A163">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4</w:t>
                  </w:r>
                </w:p>
              </w:tc>
              <w:tc>
                <w:tcPr>
                  <w:tcW w:w="700" w:type="pct"/>
                  <w:tcBorders>
                    <w:left w:val="single" w:color="auto" w:sz="4" w:space="0"/>
                    <w:right w:val="single" w:color="auto" w:sz="4" w:space="0"/>
                  </w:tcBorders>
                  <w:vAlign w:val="center"/>
                </w:tcPr>
                <w:p w14:paraId="3F797CF9">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安全护栏</w:t>
                  </w:r>
                </w:p>
              </w:tc>
              <w:tc>
                <w:tcPr>
                  <w:tcW w:w="3938" w:type="pct"/>
                  <w:tcBorders>
                    <w:left w:val="single" w:color="auto" w:sz="4" w:space="0"/>
                  </w:tcBorders>
                  <w:vAlign w:val="center"/>
                </w:tcPr>
                <w:p w14:paraId="1F61D514">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材质、规格：高度≥1200mm，竖杆间距≤110mm，横杆采用φ38×2.5mm镀锌钢管，表面静电喷塑，喷塑层厚度≥60μm，无攀爬落脚点；</w:t>
                  </w:r>
                </w:p>
                <w:p w14:paraId="1D9DA74E">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执行标准：GB 8408-2018；</w:t>
                  </w:r>
                </w:p>
              </w:tc>
            </w:tr>
            <w:tr w14:paraId="6E3C6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1584F27C">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5</w:t>
                  </w:r>
                </w:p>
              </w:tc>
              <w:tc>
                <w:tcPr>
                  <w:tcW w:w="700" w:type="pct"/>
                  <w:tcBorders>
                    <w:left w:val="single" w:color="auto" w:sz="4" w:space="0"/>
                    <w:right w:val="single" w:color="auto" w:sz="4" w:space="0"/>
                  </w:tcBorders>
                  <w:vAlign w:val="center"/>
                </w:tcPr>
                <w:p w14:paraId="2D537973">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滑梯/钻洞隧道</w:t>
                  </w:r>
                </w:p>
              </w:tc>
              <w:tc>
                <w:tcPr>
                  <w:tcW w:w="3938" w:type="pct"/>
                  <w:tcBorders>
                    <w:left w:val="single" w:color="auto" w:sz="4" w:space="0"/>
                  </w:tcBorders>
                  <w:vAlign w:val="center"/>
                </w:tcPr>
                <w:p w14:paraId="26C95CA6">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材质：食品级LLDPE（线性低密度聚乙烯）；</w:t>
                  </w:r>
                </w:p>
                <w:p w14:paraId="572EF654">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规格：壁厚≥8mm，滚塑一体成型，无接缝；</w:t>
                  </w:r>
                </w:p>
                <w:p w14:paraId="6D175C50">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环保要求：环保色母着色，耐晒不褪色，阻燃等级V-0级，表面光滑无毛刺；</w:t>
                  </w:r>
                </w:p>
                <w:p w14:paraId="52C8ACA6">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执行标准:GB 6675.1-2014；</w:t>
                  </w:r>
                </w:p>
              </w:tc>
            </w:tr>
            <w:tr w14:paraId="08EE6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638B0250">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6</w:t>
                  </w:r>
                </w:p>
              </w:tc>
              <w:tc>
                <w:tcPr>
                  <w:tcW w:w="700" w:type="pct"/>
                  <w:tcBorders>
                    <w:left w:val="single" w:color="auto" w:sz="4" w:space="0"/>
                    <w:right w:val="single" w:color="auto" w:sz="4" w:space="0"/>
                  </w:tcBorders>
                  <w:vAlign w:val="center"/>
                </w:tcPr>
                <w:p w14:paraId="17EBE7C1">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滑梯坡度</w:t>
                  </w:r>
                </w:p>
              </w:tc>
              <w:tc>
                <w:tcPr>
                  <w:tcW w:w="3938" w:type="pct"/>
                  <w:tcBorders>
                    <w:left w:val="single" w:color="auto" w:sz="4" w:space="0"/>
                  </w:tcBorders>
                  <w:vAlign w:val="center"/>
                </w:tcPr>
                <w:p w14:paraId="05CEE289">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安全要求：滑梯主体坡度30°～35°，末端缓冲区长度≥500mm，两侧挡板高度≥300mm，出口距地面高度≤300mm；</w:t>
                  </w:r>
                </w:p>
                <w:p w14:paraId="19D77D85">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执行标准：GB 8408-2018；</w:t>
                  </w:r>
                </w:p>
              </w:tc>
            </w:tr>
            <w:tr w14:paraId="74F3D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38A9542C">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7</w:t>
                  </w:r>
                </w:p>
              </w:tc>
              <w:tc>
                <w:tcPr>
                  <w:tcW w:w="700" w:type="pct"/>
                  <w:tcBorders>
                    <w:left w:val="single" w:color="auto" w:sz="4" w:space="0"/>
                    <w:right w:val="single" w:color="auto" w:sz="4" w:space="0"/>
                  </w:tcBorders>
                  <w:vAlign w:val="center"/>
                </w:tcPr>
                <w:p w14:paraId="4E5522DC">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彩虹隧道</w:t>
                  </w:r>
                </w:p>
              </w:tc>
              <w:tc>
                <w:tcPr>
                  <w:tcW w:w="3938" w:type="pct"/>
                  <w:tcBorders>
                    <w:left w:val="single" w:color="auto" w:sz="4" w:space="0"/>
                  </w:tcBorders>
                  <w:vAlign w:val="center"/>
                </w:tcPr>
                <w:p w14:paraId="5B88DD65">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sz w:val="20"/>
                      <w:szCs w:val="20"/>
                      <w:highlight w:val="none"/>
                    </w:rPr>
                    <w:t>材质：食品级LLDPE（线性低密度聚乙烯）；</w:t>
                  </w:r>
                </w:p>
                <w:p w14:paraId="7C2EA307">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规格：直径≥600mm，壁厚≥8mm，透明+彩色相间设计；</w:t>
                  </w:r>
                </w:p>
                <w:p w14:paraId="4C5A330F">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安全要求：</w:t>
                  </w:r>
                  <w:r>
                    <w:rPr>
                      <w:rFonts w:hint="eastAsia" w:ascii="仿宋" w:hAnsi="仿宋" w:eastAsia="仿宋" w:cs="仿宋"/>
                      <w:sz w:val="20"/>
                      <w:szCs w:val="20"/>
                      <w:highlight w:val="none"/>
                    </w:rPr>
                    <w:t>内部所有凸起构件高度≤2mm，全部圆角打磨，</w:t>
                  </w:r>
                  <w:r>
                    <w:rPr>
                      <w:rFonts w:hint="eastAsia" w:ascii="仿宋" w:hAnsi="仿宋" w:eastAsia="仿宋" w:cs="仿宋"/>
                      <w:color w:val="000000"/>
                      <w:kern w:val="0"/>
                      <w:sz w:val="20"/>
                      <w:szCs w:val="20"/>
                      <w:highlight w:val="none"/>
                      <w:lang w:bidi="ar"/>
                    </w:rPr>
                    <w:t>两端与平台牢固连接，无晃动；</w:t>
                  </w:r>
                </w:p>
              </w:tc>
            </w:tr>
            <w:tr w14:paraId="445D9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66F46C78">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8</w:t>
                  </w:r>
                </w:p>
              </w:tc>
              <w:tc>
                <w:tcPr>
                  <w:tcW w:w="700" w:type="pct"/>
                  <w:tcBorders>
                    <w:left w:val="single" w:color="auto" w:sz="4" w:space="0"/>
                    <w:right w:val="single" w:color="auto" w:sz="4" w:space="0"/>
                  </w:tcBorders>
                  <w:vAlign w:val="center"/>
                </w:tcPr>
                <w:p w14:paraId="69CA2229">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平台栈道组合</w:t>
                  </w:r>
                </w:p>
              </w:tc>
              <w:tc>
                <w:tcPr>
                  <w:tcW w:w="3938" w:type="pct"/>
                  <w:tcBorders>
                    <w:left w:val="single" w:color="auto" w:sz="4" w:space="0"/>
                  </w:tcBorders>
                  <w:vAlign w:val="center"/>
                </w:tcPr>
                <w:p w14:paraId="50FEBC96">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规格：长37m × 宽1.2m × 高1.2-1.5m ；</w:t>
                  </w:r>
                </w:p>
                <w:p w14:paraId="4BDB265B">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防滑平台+安全护栏+连接栈道，整体贯通，满足儿童通行与游戏；</w:t>
                  </w:r>
                </w:p>
                <w:p w14:paraId="5A19D6B7">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sz w:val="20"/>
                      <w:szCs w:val="20"/>
                      <w:highlight w:val="none"/>
                    </w:rPr>
                    <w:t>材质：</w:t>
                  </w:r>
                  <w:r>
                    <w:rPr>
                      <w:rFonts w:hint="eastAsia" w:ascii="仿宋" w:hAnsi="仿宋" w:eastAsia="仿宋" w:cs="仿宋"/>
                      <w:kern w:val="0"/>
                      <w:sz w:val="20"/>
                      <w:szCs w:val="20"/>
                      <w:highlight w:val="none"/>
                      <w:lang w:bidi="ar"/>
                    </w:rPr>
                    <w:t>户外防腐木（厚度≥2.0mm）+Q235B 国标镀锌钢管</w:t>
                  </w:r>
                </w:p>
              </w:tc>
            </w:tr>
            <w:tr w14:paraId="018CB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3F985882">
                  <w:pPr>
                    <w:widowControl/>
                    <w:jc w:val="center"/>
                    <w:textAlignment w:val="center"/>
                    <w:rPr>
                      <w:rFonts w:ascii="仿宋" w:hAnsi="仿宋" w:eastAsia="仿宋" w:cs="仿宋"/>
                      <w:sz w:val="20"/>
                      <w:szCs w:val="20"/>
                      <w:highlight w:val="none"/>
                    </w:rPr>
                  </w:pPr>
                  <w:r>
                    <w:rPr>
                      <w:rFonts w:hint="eastAsia" w:ascii="仿宋" w:hAnsi="仿宋" w:eastAsia="仿宋" w:cs="仿宋"/>
                      <w:sz w:val="20"/>
                      <w:szCs w:val="20"/>
                      <w:highlight w:val="none"/>
                    </w:rPr>
                    <w:t>9</w:t>
                  </w:r>
                </w:p>
              </w:tc>
              <w:tc>
                <w:tcPr>
                  <w:tcW w:w="700" w:type="pct"/>
                  <w:tcBorders>
                    <w:left w:val="single" w:color="auto" w:sz="4" w:space="0"/>
                    <w:right w:val="single" w:color="auto" w:sz="4" w:space="0"/>
                  </w:tcBorders>
                  <w:vAlign w:val="center"/>
                </w:tcPr>
                <w:p w14:paraId="38456F0F">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直滑梯</w:t>
                  </w:r>
                </w:p>
              </w:tc>
              <w:tc>
                <w:tcPr>
                  <w:tcW w:w="3938" w:type="pct"/>
                  <w:tcBorders>
                    <w:left w:val="single" w:color="auto" w:sz="4" w:space="0"/>
                  </w:tcBorders>
                  <w:vAlign w:val="center"/>
                </w:tcPr>
                <w:p w14:paraId="24BA4211">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规格：高度1.2m，长度2.5m；</w:t>
                  </w:r>
                </w:p>
                <w:p w14:paraId="32C8E3E4">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材质：LLDPE一体成型，末端缓冲设计，适合低龄儿童滑行；</w:t>
                  </w:r>
                </w:p>
              </w:tc>
            </w:tr>
            <w:tr w14:paraId="34AC3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15A9409B">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10</w:t>
                  </w:r>
                </w:p>
              </w:tc>
              <w:tc>
                <w:tcPr>
                  <w:tcW w:w="700" w:type="pct"/>
                  <w:tcBorders>
                    <w:left w:val="single" w:color="auto" w:sz="4" w:space="0"/>
                    <w:right w:val="single" w:color="auto" w:sz="4" w:space="0"/>
                  </w:tcBorders>
                  <w:vAlign w:val="center"/>
                </w:tcPr>
                <w:p w14:paraId="4569007B">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波浪滑梯</w:t>
                  </w:r>
                </w:p>
              </w:tc>
              <w:tc>
                <w:tcPr>
                  <w:tcW w:w="3938" w:type="pct"/>
                  <w:tcBorders>
                    <w:left w:val="single" w:color="auto" w:sz="4" w:space="0"/>
                  </w:tcBorders>
                  <w:vAlign w:val="center"/>
                </w:tcPr>
                <w:p w14:paraId="6E211A13">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规格：高度1.5m，长度3m；</w:t>
                  </w:r>
                </w:p>
                <w:p w14:paraId="309412E7">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造型：波浪造型，两侧防护挡板，增加滑行趣味性；</w:t>
                  </w:r>
                </w:p>
                <w:p w14:paraId="6DD50ADB">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材质：</w:t>
                  </w:r>
                  <w:r>
                    <w:rPr>
                      <w:rFonts w:hint="eastAsia" w:ascii="仿宋" w:hAnsi="仿宋" w:eastAsia="仿宋" w:cs="仿宋"/>
                      <w:sz w:val="20"/>
                      <w:szCs w:val="20"/>
                      <w:highlight w:val="none"/>
                    </w:rPr>
                    <w:t>食品级LLDPE，</w:t>
                  </w:r>
                  <w:r>
                    <w:rPr>
                      <w:rFonts w:hint="eastAsia" w:ascii="仿宋" w:hAnsi="仿宋" w:eastAsia="仿宋" w:cs="仿宋"/>
                      <w:color w:val="000000"/>
                      <w:kern w:val="0"/>
                      <w:sz w:val="20"/>
                      <w:szCs w:val="20"/>
                      <w:highlight w:val="none"/>
                      <w:lang w:bidi="ar"/>
                    </w:rPr>
                    <w:t>壁厚≥8mm，环保耐候；</w:t>
                  </w:r>
                </w:p>
              </w:tc>
            </w:tr>
            <w:tr w14:paraId="42A9E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16F4C9AC">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11</w:t>
                  </w:r>
                </w:p>
              </w:tc>
              <w:tc>
                <w:tcPr>
                  <w:tcW w:w="700" w:type="pct"/>
                  <w:tcBorders>
                    <w:left w:val="single" w:color="auto" w:sz="4" w:space="0"/>
                    <w:right w:val="single" w:color="auto" w:sz="4" w:space="0"/>
                  </w:tcBorders>
                  <w:vAlign w:val="center"/>
                </w:tcPr>
                <w:p w14:paraId="2A49419D">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彩虹钻洞隧道</w:t>
                  </w:r>
                </w:p>
              </w:tc>
              <w:tc>
                <w:tcPr>
                  <w:tcW w:w="3938" w:type="pct"/>
                  <w:tcBorders>
                    <w:left w:val="single" w:color="auto" w:sz="4" w:space="0"/>
                  </w:tcBorders>
                  <w:vAlign w:val="center"/>
                </w:tcPr>
                <w:p w14:paraId="12BB8330">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 xml:space="preserve">规格：长度2m，直径600mm； </w:t>
                  </w:r>
                </w:p>
                <w:p w14:paraId="2DAA9A31">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材质：彩色透明LLDPE材质，连接平台两端，提升游戏互动性；</w:t>
                  </w:r>
                </w:p>
              </w:tc>
            </w:tr>
            <w:tr w14:paraId="58388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2D0AED7E">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12</w:t>
                  </w:r>
                </w:p>
              </w:tc>
              <w:tc>
                <w:tcPr>
                  <w:tcW w:w="700" w:type="pct"/>
                  <w:tcBorders>
                    <w:left w:val="single" w:color="auto" w:sz="4" w:space="0"/>
                    <w:right w:val="single" w:color="auto" w:sz="4" w:space="0"/>
                  </w:tcBorders>
                  <w:vAlign w:val="center"/>
                </w:tcPr>
                <w:p w14:paraId="64AB10FC">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攀爬网组合</w:t>
                  </w:r>
                </w:p>
              </w:tc>
              <w:tc>
                <w:tcPr>
                  <w:tcW w:w="3938" w:type="pct"/>
                  <w:tcBorders>
                    <w:left w:val="single" w:color="auto" w:sz="4" w:space="0"/>
                  </w:tcBorders>
                  <w:vAlign w:val="center"/>
                </w:tcPr>
                <w:p w14:paraId="7F5C5C4B">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规格：网孔≤150×150mm，绳径≥16mm；</w:t>
                  </w:r>
                </w:p>
                <w:p w14:paraId="266960EB">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配置：垂直攀爬网、弧形攀爬网，锻炼儿童肢体协调能力；</w:t>
                  </w:r>
                </w:p>
              </w:tc>
            </w:tr>
            <w:tr w14:paraId="49BEB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36D97C50">
                  <w:pPr>
                    <w:widowControl/>
                    <w:jc w:val="center"/>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13</w:t>
                  </w:r>
                </w:p>
              </w:tc>
              <w:tc>
                <w:tcPr>
                  <w:tcW w:w="700" w:type="pct"/>
                  <w:tcBorders>
                    <w:left w:val="single" w:color="auto" w:sz="4" w:space="0"/>
                    <w:right w:val="single" w:color="auto" w:sz="4" w:space="0"/>
                  </w:tcBorders>
                  <w:vAlign w:val="center"/>
                </w:tcPr>
                <w:p w14:paraId="6A96C18E">
                  <w:pPr>
                    <w:widowControl/>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互动游戏区</w:t>
                  </w:r>
                </w:p>
              </w:tc>
              <w:tc>
                <w:tcPr>
                  <w:tcW w:w="3938" w:type="pct"/>
                  <w:tcBorders>
                    <w:left w:val="single" w:color="auto" w:sz="4" w:space="0"/>
                  </w:tcBorders>
                  <w:vAlign w:val="center"/>
                </w:tcPr>
                <w:p w14:paraId="5FBAEEE7">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功能要求：含认知、齿轮、迷宫游戏板，兼具趣味性与益智性；</w:t>
                  </w:r>
                </w:p>
                <w:p w14:paraId="60732408">
                  <w:pPr>
                    <w:widowControl/>
                    <w:numPr>
                      <w:ilvl w:val="0"/>
                      <w:numId w:val="1"/>
                    </w:numPr>
                    <w:jc w:val="left"/>
                    <w:textAlignment w:val="center"/>
                    <w:rPr>
                      <w:rFonts w:ascii="仿宋" w:hAnsi="仿宋" w:eastAsia="仿宋" w:cs="仿宋"/>
                      <w:sz w:val="20"/>
                      <w:szCs w:val="20"/>
                      <w:highlight w:val="none"/>
                    </w:rPr>
                  </w:pPr>
                  <w:r>
                    <w:rPr>
                      <w:rFonts w:hint="eastAsia" w:ascii="仿宋" w:hAnsi="仿宋" w:eastAsia="仿宋" w:cs="仿宋"/>
                      <w:color w:val="000000"/>
                      <w:kern w:val="0"/>
                      <w:sz w:val="20"/>
                      <w:szCs w:val="20"/>
                      <w:highlight w:val="none"/>
                      <w:lang w:bidi="ar"/>
                    </w:rPr>
                    <w:t>材质：HDPE材</w:t>
                  </w:r>
                  <w:bookmarkStart w:id="2" w:name="OLE_LINK5"/>
                  <w:r>
                    <w:rPr>
                      <w:rFonts w:hint="eastAsia" w:ascii="仿宋" w:hAnsi="仿宋" w:eastAsia="仿宋" w:cs="仿宋"/>
                      <w:color w:val="000000"/>
                      <w:kern w:val="0"/>
                      <w:sz w:val="20"/>
                      <w:szCs w:val="20"/>
                      <w:highlight w:val="none"/>
                      <w:lang w:bidi="ar"/>
                    </w:rPr>
                    <w:t>质，固定于平台侧面</w:t>
                  </w:r>
                  <w:bookmarkEnd w:id="2"/>
                  <w:r>
                    <w:rPr>
                      <w:rFonts w:hint="eastAsia" w:ascii="仿宋" w:hAnsi="仿宋" w:eastAsia="仿宋" w:cs="仿宋"/>
                      <w:color w:val="000000"/>
                      <w:kern w:val="0"/>
                      <w:sz w:val="20"/>
                      <w:szCs w:val="20"/>
                      <w:highlight w:val="none"/>
                      <w:lang w:bidi="ar"/>
                    </w:rPr>
                    <w:t>；</w:t>
                  </w:r>
                </w:p>
              </w:tc>
            </w:tr>
            <w:tr w14:paraId="4038F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7536C841">
                  <w:pPr>
                    <w:widowControl/>
                    <w:jc w:val="center"/>
                    <w:textAlignment w:val="center"/>
                    <w:rPr>
                      <w:rFonts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14</w:t>
                  </w:r>
                </w:p>
              </w:tc>
              <w:tc>
                <w:tcPr>
                  <w:tcW w:w="700" w:type="pct"/>
                  <w:tcBorders>
                    <w:left w:val="single" w:color="auto" w:sz="4" w:space="0"/>
                    <w:right w:val="single" w:color="auto" w:sz="4" w:space="0"/>
                  </w:tcBorders>
                  <w:vAlign w:val="center"/>
                </w:tcPr>
                <w:p w14:paraId="141C8119">
                  <w:pPr>
                    <w:widowControl/>
                    <w:jc w:val="left"/>
                    <w:textAlignment w:val="center"/>
                    <w:rPr>
                      <w:rFonts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辅助攀爬梯</w:t>
                  </w:r>
                </w:p>
              </w:tc>
              <w:tc>
                <w:tcPr>
                  <w:tcW w:w="3938" w:type="pct"/>
                  <w:tcBorders>
                    <w:left w:val="single" w:color="auto" w:sz="4" w:space="0"/>
                  </w:tcBorders>
                  <w:vAlign w:val="center"/>
                </w:tcPr>
                <w:p w14:paraId="3DF8CE03">
                  <w:pPr>
                    <w:widowControl/>
                    <w:numPr>
                      <w:ilvl w:val="0"/>
                      <w:numId w:val="1"/>
                    </w:numPr>
                    <w:jc w:val="left"/>
                    <w:textAlignment w:val="center"/>
                    <w:rPr>
                      <w:rFonts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规格：踏步高度≤150mm；</w:t>
                  </w:r>
                </w:p>
                <w:p w14:paraId="21D44DC2">
                  <w:pPr>
                    <w:widowControl/>
                    <w:numPr>
                      <w:ilvl w:val="0"/>
                      <w:numId w:val="1"/>
                    </w:numPr>
                    <w:jc w:val="left"/>
                    <w:textAlignment w:val="center"/>
                    <w:rPr>
                      <w:rFonts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配置：带安全扶手 2套 防滑踏板设计，方便儿童安全上下平台；</w:t>
                  </w:r>
                </w:p>
              </w:tc>
            </w:tr>
            <w:tr w14:paraId="0294C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1" w:type="pct"/>
                  <w:tcBorders>
                    <w:right w:val="single" w:color="auto" w:sz="4" w:space="0"/>
                  </w:tcBorders>
                  <w:vAlign w:val="center"/>
                </w:tcPr>
                <w:p w14:paraId="4914C5E6">
                  <w:pPr>
                    <w:widowControl/>
                    <w:jc w:val="center"/>
                    <w:textAlignment w:val="center"/>
                    <w:rPr>
                      <w:rFonts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15</w:t>
                  </w:r>
                </w:p>
              </w:tc>
              <w:tc>
                <w:tcPr>
                  <w:tcW w:w="700" w:type="pct"/>
                  <w:tcBorders>
                    <w:left w:val="single" w:color="auto" w:sz="4" w:space="0"/>
                    <w:right w:val="single" w:color="auto" w:sz="4" w:space="0"/>
                  </w:tcBorders>
                  <w:vAlign w:val="center"/>
                </w:tcPr>
                <w:p w14:paraId="39A1E884">
                  <w:pPr>
                    <w:widowControl/>
                    <w:jc w:val="left"/>
                    <w:textAlignment w:val="center"/>
                    <w:rPr>
                      <w:rFonts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风车趣味装饰</w:t>
                  </w:r>
                </w:p>
              </w:tc>
              <w:tc>
                <w:tcPr>
                  <w:tcW w:w="3938" w:type="pct"/>
                  <w:tcBorders>
                    <w:left w:val="single" w:color="auto" w:sz="4" w:space="0"/>
                  </w:tcBorders>
                  <w:vAlign w:val="center"/>
                </w:tcPr>
                <w:p w14:paraId="20E9D518">
                  <w:pPr>
                    <w:widowControl/>
                    <w:numPr>
                      <w:ilvl w:val="0"/>
                      <w:numId w:val="1"/>
                    </w:numPr>
                    <w:jc w:val="left"/>
                    <w:textAlignment w:val="center"/>
                    <w:rPr>
                      <w:rFonts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材质：ABS材质；</w:t>
                  </w:r>
                </w:p>
                <w:p w14:paraId="72ED750A">
                  <w:pPr>
                    <w:widowControl/>
                    <w:numPr>
                      <w:ilvl w:val="0"/>
                      <w:numId w:val="1"/>
                    </w:numPr>
                    <w:jc w:val="left"/>
                    <w:textAlignment w:val="center"/>
                    <w:rPr>
                      <w:rFonts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 xml:space="preserve">安全要求：无突出尖角，无安全风险； </w:t>
                  </w:r>
                </w:p>
                <w:p w14:paraId="342A0A05">
                  <w:pPr>
                    <w:widowControl/>
                    <w:numPr>
                      <w:ilvl w:val="0"/>
                      <w:numId w:val="1"/>
                    </w:numPr>
                    <w:jc w:val="left"/>
                    <w:textAlignment w:val="center"/>
                    <w:rPr>
                      <w:rFonts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数量≥4个</w:t>
                  </w:r>
                </w:p>
                <w:p w14:paraId="61740559">
                  <w:pPr>
                    <w:widowControl/>
                    <w:numPr>
                      <w:ilvl w:val="0"/>
                      <w:numId w:val="1"/>
                    </w:numPr>
                    <w:jc w:val="left"/>
                    <w:textAlignment w:val="center"/>
                    <w:rPr>
                      <w:rFonts w:ascii="仿宋" w:hAnsi="仿宋" w:eastAsia="仿宋" w:cs="仿宋"/>
                      <w:color w:val="000000"/>
                      <w:kern w:val="0"/>
                      <w:sz w:val="20"/>
                      <w:szCs w:val="20"/>
                      <w:highlight w:val="none"/>
                      <w:lang w:bidi="ar"/>
                    </w:rPr>
                  </w:pPr>
                  <w:r>
                    <w:rPr>
                      <w:rFonts w:hint="eastAsia" w:ascii="仿宋" w:hAnsi="仿宋" w:eastAsia="仿宋" w:cs="仿宋"/>
                      <w:color w:val="000000"/>
                      <w:kern w:val="0"/>
                      <w:sz w:val="20"/>
                      <w:szCs w:val="20"/>
                      <w:highlight w:val="none"/>
                      <w:lang w:bidi="ar"/>
                    </w:rPr>
                    <w:t>安装位置：护栏顶部，提升整体美观度；</w:t>
                  </w:r>
                </w:p>
              </w:tc>
            </w:tr>
          </w:tbl>
          <w:p w14:paraId="0F3EF6A7">
            <w:pPr>
              <w:pStyle w:val="5"/>
              <w:rPr>
                <w:rFonts w:hint="default"/>
                <w:highlight w:val="none"/>
              </w:rPr>
            </w:pPr>
          </w:p>
        </w:tc>
      </w:tr>
      <w:tr w14:paraId="1F110B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6" w:type="dxa"/>
          </w:tcPr>
          <w:p w14:paraId="0A1CC948">
            <w:pPr>
              <w:pStyle w:val="5"/>
              <w:rPr>
                <w:rFonts w:hint="default" w:ascii="仿宋_GB2312" w:hAnsi="仿宋_GB2312" w:eastAsia="仿宋_GB2312" w:cs="仿宋_GB2312"/>
                <w:highlight w:val="none"/>
              </w:rPr>
            </w:pPr>
          </w:p>
        </w:tc>
        <w:tc>
          <w:tcPr>
            <w:tcW w:w="1007" w:type="dxa"/>
          </w:tcPr>
          <w:p w14:paraId="60626865">
            <w:pPr>
              <w:rPr>
                <w:highlight w:val="none"/>
              </w:rPr>
            </w:pPr>
          </w:p>
        </w:tc>
        <w:tc>
          <w:tcPr>
            <w:tcW w:w="6789" w:type="dxa"/>
          </w:tcPr>
          <w:p w14:paraId="524A1CAD">
            <w:pPr>
              <w:pStyle w:val="5"/>
              <w:rPr>
                <w:rFonts w:hint="default" w:ascii="仿宋" w:hAnsi="仿宋" w:eastAsia="仿宋" w:cs="仿宋"/>
                <w:highlight w:val="none"/>
                <w:lang w:eastAsia="zh-CN"/>
              </w:rPr>
            </w:pPr>
            <w:r>
              <w:rPr>
                <w:rFonts w:ascii="仿宋" w:hAnsi="仿宋" w:eastAsia="仿宋" w:cs="仿宋"/>
                <w:highlight w:val="none"/>
                <w:lang w:eastAsia="zh-CN"/>
              </w:rPr>
              <w:t>三、其他要求</w:t>
            </w:r>
          </w:p>
          <w:p w14:paraId="3261A4C3">
            <w:pPr>
              <w:pStyle w:val="5"/>
              <w:rPr>
                <w:rFonts w:hint="default" w:ascii="仿宋" w:hAnsi="仿宋" w:eastAsia="仿宋" w:cs="仿宋"/>
                <w:highlight w:val="none"/>
                <w:lang w:eastAsia="zh-CN"/>
              </w:rPr>
            </w:pPr>
            <w:r>
              <w:rPr>
                <w:rFonts w:hint="default" w:ascii="仿宋" w:hAnsi="仿宋" w:eastAsia="仿宋" w:cs="仿宋"/>
                <w:highlight w:val="none"/>
                <w:lang w:eastAsia="zh-CN"/>
              </w:rPr>
              <w:t>（</w:t>
            </w:r>
            <w:r>
              <w:rPr>
                <w:rFonts w:ascii="仿宋" w:hAnsi="仿宋" w:eastAsia="仿宋" w:cs="仿宋"/>
                <w:highlight w:val="none"/>
                <w:lang w:eastAsia="zh-CN"/>
              </w:rPr>
              <w:t>一</w:t>
            </w:r>
            <w:r>
              <w:rPr>
                <w:rFonts w:hint="default" w:ascii="仿宋" w:hAnsi="仿宋" w:eastAsia="仿宋" w:cs="仿宋"/>
                <w:highlight w:val="none"/>
                <w:lang w:eastAsia="zh-CN"/>
              </w:rPr>
              <w:t>）保险要求</w:t>
            </w:r>
          </w:p>
          <w:p w14:paraId="1A1AD572">
            <w:pPr>
              <w:pStyle w:val="5"/>
              <w:rPr>
                <w:rFonts w:hint="default" w:ascii="仿宋" w:hAnsi="仿宋" w:eastAsia="仿宋" w:cs="仿宋"/>
                <w:highlight w:val="none"/>
                <w:lang w:eastAsia="zh-CN"/>
              </w:rPr>
            </w:pPr>
            <w:r>
              <w:rPr>
                <w:rFonts w:hint="default" w:ascii="仿宋" w:hAnsi="仿宋" w:eastAsia="仿宋" w:cs="仿宋"/>
                <w:highlight w:val="none"/>
                <w:lang w:eastAsia="zh-CN"/>
              </w:rPr>
              <w:t>1.风险承担</w:t>
            </w:r>
          </w:p>
          <w:p w14:paraId="59CAC936">
            <w:pPr>
              <w:pStyle w:val="5"/>
              <w:ind w:firstLine="400" w:firstLineChars="200"/>
              <w:rPr>
                <w:rFonts w:hint="default" w:ascii="仿宋" w:hAnsi="仿宋" w:eastAsia="仿宋" w:cs="仿宋"/>
                <w:highlight w:val="none"/>
                <w:lang w:eastAsia="zh-CN"/>
              </w:rPr>
            </w:pPr>
            <w:r>
              <w:rPr>
                <w:rFonts w:hint="default" w:ascii="仿宋" w:hAnsi="仿宋" w:eastAsia="仿宋" w:cs="仿宋"/>
                <w:highlight w:val="none"/>
                <w:lang w:eastAsia="zh-CN"/>
              </w:rPr>
              <w:t>在货物运抵采购人指定地点并经开箱验收合格前，货物毁损、灭失的风险由中标人承担。中标人应采取必要的防护措施，确保货物在运输、装卸及仓储过程中的安全。</w:t>
            </w:r>
          </w:p>
          <w:p w14:paraId="594D2232">
            <w:pPr>
              <w:pStyle w:val="5"/>
              <w:rPr>
                <w:rFonts w:hint="default" w:ascii="仿宋" w:hAnsi="仿宋" w:eastAsia="仿宋" w:cs="仿宋"/>
                <w:highlight w:val="none"/>
                <w:lang w:eastAsia="zh-CN"/>
              </w:rPr>
            </w:pPr>
            <w:r>
              <w:rPr>
                <w:rFonts w:hint="default" w:ascii="仿宋" w:hAnsi="仿宋" w:eastAsia="仿宋" w:cs="仿宋"/>
                <w:highlight w:val="none"/>
                <w:lang w:eastAsia="zh-CN"/>
              </w:rPr>
              <w:t>2.保险责任</w:t>
            </w:r>
          </w:p>
          <w:p w14:paraId="3FF53523">
            <w:pPr>
              <w:pStyle w:val="5"/>
              <w:rPr>
                <w:rFonts w:hint="default" w:ascii="仿宋" w:hAnsi="仿宋" w:eastAsia="仿宋" w:cs="仿宋"/>
                <w:highlight w:val="none"/>
                <w:lang w:eastAsia="zh-CN"/>
              </w:rPr>
            </w:pPr>
            <w:r>
              <w:rPr>
                <w:rFonts w:hint="default" w:ascii="仿宋" w:hAnsi="仿宋" w:eastAsia="仿宋" w:cs="仿宋"/>
                <w:highlight w:val="none"/>
                <w:lang w:eastAsia="zh-CN"/>
              </w:rPr>
              <w:t>（1）中标人负责办理货物从发货地至采购人指定交货地点的全程运输保险。</w:t>
            </w:r>
          </w:p>
          <w:p w14:paraId="5B03B77A">
            <w:pPr>
              <w:pStyle w:val="5"/>
              <w:rPr>
                <w:rFonts w:hint="default" w:ascii="仿宋" w:hAnsi="仿宋" w:eastAsia="仿宋" w:cs="仿宋"/>
                <w:highlight w:val="none"/>
                <w:lang w:eastAsia="zh-CN"/>
              </w:rPr>
            </w:pPr>
            <w:r>
              <w:rPr>
                <w:rFonts w:hint="default" w:ascii="仿宋" w:hAnsi="仿宋" w:eastAsia="仿宋" w:cs="仿宋"/>
                <w:highlight w:val="none"/>
                <w:lang w:eastAsia="zh-CN"/>
              </w:rPr>
              <w:t>（2）投保险种应至少包含货物运输一切险（或同等效力的险种），并根据货物特性附加必要的特殊险（如易碎品破碎险、防锈险等）。</w:t>
            </w:r>
          </w:p>
          <w:p w14:paraId="3934521B">
            <w:pPr>
              <w:pStyle w:val="5"/>
              <w:rPr>
                <w:rFonts w:hint="default" w:ascii="仿宋" w:hAnsi="仿宋" w:eastAsia="仿宋" w:cs="仿宋"/>
                <w:highlight w:val="none"/>
                <w:lang w:eastAsia="zh-CN"/>
              </w:rPr>
            </w:pPr>
            <w:r>
              <w:rPr>
                <w:rFonts w:hint="default" w:ascii="仿宋" w:hAnsi="仿宋" w:eastAsia="仿宋" w:cs="仿宋"/>
                <w:highlight w:val="none"/>
                <w:lang w:eastAsia="zh-CN"/>
              </w:rPr>
              <w:t>（3）保险金额应不低于合同总价款的100%，并以采购人为被保险人或共同受益人。</w:t>
            </w:r>
          </w:p>
          <w:p w14:paraId="1C64756C">
            <w:pPr>
              <w:pStyle w:val="5"/>
              <w:rPr>
                <w:rFonts w:hint="default" w:ascii="仿宋" w:hAnsi="仿宋" w:eastAsia="仿宋" w:cs="仿宋"/>
                <w:highlight w:val="none"/>
                <w:lang w:eastAsia="zh-CN"/>
              </w:rPr>
            </w:pPr>
            <w:r>
              <w:rPr>
                <w:rFonts w:hint="default" w:ascii="仿宋" w:hAnsi="仿宋" w:eastAsia="仿宋" w:cs="仿宋"/>
                <w:highlight w:val="none"/>
                <w:lang w:eastAsia="zh-CN"/>
              </w:rPr>
              <w:t>（4）保险期间自货物离开中标人仓库或工厂起，至货物运抵采购人指定交货地点并由双方完成开箱外观检验止。</w:t>
            </w:r>
          </w:p>
          <w:p w14:paraId="18596B63">
            <w:pPr>
              <w:pStyle w:val="5"/>
              <w:rPr>
                <w:rFonts w:hint="default" w:ascii="仿宋" w:hAnsi="仿宋" w:eastAsia="仿宋" w:cs="仿宋"/>
                <w:highlight w:val="none"/>
                <w:lang w:eastAsia="zh-CN"/>
              </w:rPr>
            </w:pPr>
            <w:r>
              <w:rPr>
                <w:rFonts w:hint="default" w:ascii="仿宋" w:hAnsi="仿宋" w:eastAsia="仿宋" w:cs="仿宋"/>
                <w:highlight w:val="none"/>
                <w:lang w:eastAsia="zh-CN"/>
              </w:rPr>
              <w:t>3.索赔与理赔</w:t>
            </w:r>
          </w:p>
          <w:p w14:paraId="2F0366E2">
            <w:pPr>
              <w:pStyle w:val="5"/>
              <w:ind w:firstLine="400" w:firstLineChars="200"/>
              <w:rPr>
                <w:rFonts w:hint="default" w:ascii="仿宋" w:hAnsi="仿宋" w:eastAsia="仿宋" w:cs="仿宋"/>
                <w:highlight w:val="none"/>
                <w:lang w:eastAsia="zh-CN"/>
              </w:rPr>
            </w:pPr>
            <w:r>
              <w:rPr>
                <w:rFonts w:hint="default" w:ascii="仿宋" w:hAnsi="仿宋" w:eastAsia="仿宋" w:cs="仿宋"/>
                <w:highlight w:val="none"/>
                <w:lang w:eastAsia="zh-CN"/>
              </w:rPr>
              <w:t>若在运输或保管过程中发生保险范围内的损失，中标人应负责立即向保险公司索赔。若因中标人未及时投保、投保金额不足或未正确填写被保险人，导致采购人无法获得足额赔偿的，由中标人承担全部赔偿责任。</w:t>
            </w:r>
          </w:p>
          <w:p w14:paraId="068EF504">
            <w:pPr>
              <w:pStyle w:val="5"/>
              <w:rPr>
                <w:rFonts w:hint="default" w:ascii="仿宋" w:hAnsi="仿宋" w:eastAsia="仿宋" w:cs="仿宋"/>
                <w:highlight w:val="none"/>
                <w:lang w:eastAsia="zh-CN"/>
              </w:rPr>
            </w:pPr>
            <w:r>
              <w:rPr>
                <w:rFonts w:ascii="仿宋" w:hAnsi="仿宋" w:eastAsia="仿宋" w:cs="仿宋"/>
                <w:highlight w:val="none"/>
                <w:lang w:eastAsia="zh-CN"/>
              </w:rPr>
              <w:t>（二）供货安装要求</w:t>
            </w:r>
          </w:p>
          <w:p w14:paraId="1F982045">
            <w:pPr>
              <w:pStyle w:val="5"/>
              <w:ind w:firstLine="400" w:firstLineChars="200"/>
              <w:rPr>
                <w:rFonts w:hint="default" w:ascii="仿宋" w:hAnsi="仿宋" w:eastAsia="仿宋" w:cs="仿宋"/>
                <w:highlight w:val="none"/>
                <w:lang w:eastAsia="zh-CN"/>
              </w:rPr>
            </w:pPr>
            <w:r>
              <w:rPr>
                <w:rFonts w:ascii="仿宋" w:hAnsi="仿宋" w:eastAsia="仿宋" w:cs="仿宋"/>
                <w:highlight w:val="none"/>
                <w:lang w:eastAsia="zh-CN"/>
              </w:rPr>
              <w:t>中标人应按照合同约定、采购文件及投标（响应）文件的承诺，向采购人提供完整的货物、技术资料（包括但不限于产品说明书、合格证、保修卡、安装图纸、操作手册等）、专用工具及备品备件。</w:t>
            </w:r>
          </w:p>
          <w:p w14:paraId="5AEB8850">
            <w:pPr>
              <w:pStyle w:val="5"/>
              <w:rPr>
                <w:rFonts w:hint="default" w:ascii="仿宋" w:hAnsi="仿宋" w:eastAsia="仿宋" w:cs="仿宋"/>
                <w:highlight w:val="none"/>
                <w:lang w:eastAsia="zh-CN"/>
              </w:rPr>
            </w:pPr>
            <w:r>
              <w:rPr>
                <w:rFonts w:ascii="仿宋" w:hAnsi="仿宋" w:eastAsia="仿宋" w:cs="仿宋"/>
                <w:highlight w:val="none"/>
                <w:lang w:eastAsia="zh-CN"/>
              </w:rPr>
              <w:t>1.现场条件确认</w:t>
            </w:r>
          </w:p>
          <w:p w14:paraId="534333C4">
            <w:pPr>
              <w:pStyle w:val="5"/>
              <w:ind w:firstLine="400" w:firstLineChars="200"/>
              <w:rPr>
                <w:rFonts w:hint="default" w:ascii="仿宋" w:hAnsi="仿宋" w:eastAsia="仿宋" w:cs="仿宋"/>
                <w:highlight w:val="none"/>
                <w:lang w:eastAsia="zh-CN"/>
              </w:rPr>
            </w:pPr>
            <w:r>
              <w:rPr>
                <w:rFonts w:ascii="仿宋" w:hAnsi="仿宋" w:eastAsia="仿宋" w:cs="仿宋"/>
                <w:highlight w:val="none"/>
                <w:lang w:eastAsia="zh-CN"/>
              </w:rPr>
              <w:t>中标人在安装前，应与采购人共同勘查现场，确认水、电、场地等基础条件满足安装要求。</w:t>
            </w:r>
          </w:p>
          <w:p w14:paraId="29B44712">
            <w:pPr>
              <w:pStyle w:val="5"/>
              <w:rPr>
                <w:rFonts w:hint="default" w:ascii="仿宋" w:hAnsi="仿宋" w:eastAsia="仿宋" w:cs="仿宋"/>
                <w:highlight w:val="none"/>
                <w:lang w:eastAsia="zh-CN"/>
              </w:rPr>
            </w:pPr>
            <w:r>
              <w:rPr>
                <w:rFonts w:ascii="仿宋" w:hAnsi="仿宋" w:eastAsia="仿宋" w:cs="仿宋"/>
                <w:highlight w:val="none"/>
                <w:lang w:eastAsia="zh-CN"/>
              </w:rPr>
              <w:t>2.安装人员资质</w:t>
            </w:r>
          </w:p>
          <w:p w14:paraId="0ABDB061">
            <w:pPr>
              <w:pStyle w:val="5"/>
              <w:ind w:firstLine="400" w:firstLineChars="200"/>
              <w:rPr>
                <w:rFonts w:hint="default" w:ascii="仿宋" w:hAnsi="仿宋" w:eastAsia="仿宋" w:cs="仿宋"/>
                <w:highlight w:val="none"/>
                <w:lang w:eastAsia="zh-CN"/>
              </w:rPr>
            </w:pPr>
            <w:r>
              <w:rPr>
                <w:rFonts w:ascii="仿宋" w:hAnsi="仿宋" w:eastAsia="仿宋" w:cs="仿宋"/>
                <w:highlight w:val="none"/>
                <w:lang w:eastAsia="zh-CN"/>
              </w:rPr>
              <w:t>中标人应派具备相应技术能力的人员进行安装。如设备属于国家规定的特种设备，安装人员须持有国家规定从业资格（如特种设备作业、电工、焊工等强制性证书）。</w:t>
            </w:r>
          </w:p>
          <w:p w14:paraId="575D4EAB">
            <w:pPr>
              <w:pStyle w:val="5"/>
              <w:ind w:firstLine="400" w:firstLineChars="200"/>
              <w:rPr>
                <w:rFonts w:hint="default" w:ascii="仿宋" w:hAnsi="仿宋" w:eastAsia="仿宋" w:cs="仿宋"/>
                <w:highlight w:val="none"/>
                <w:lang w:eastAsia="zh-CN"/>
              </w:rPr>
            </w:pPr>
            <w:r>
              <w:rPr>
                <w:rFonts w:ascii="仿宋" w:hAnsi="仿宋" w:eastAsia="仿宋" w:cs="仿宋"/>
                <w:highlight w:val="none"/>
                <w:lang w:eastAsia="zh-CN"/>
              </w:rPr>
              <w:t>安装人员在施工期间应遵守采购人现场管理规定，佩戴工作证件，做到文明施工、安全施工。</w:t>
            </w:r>
          </w:p>
          <w:p w14:paraId="466A17B1">
            <w:pPr>
              <w:pStyle w:val="5"/>
              <w:rPr>
                <w:rFonts w:hint="default" w:ascii="仿宋" w:hAnsi="仿宋" w:eastAsia="仿宋" w:cs="仿宋"/>
                <w:highlight w:val="none"/>
                <w:lang w:eastAsia="zh-CN"/>
              </w:rPr>
            </w:pPr>
            <w:r>
              <w:rPr>
                <w:rFonts w:ascii="仿宋" w:hAnsi="仿宋" w:eastAsia="仿宋" w:cs="仿宋"/>
                <w:highlight w:val="none"/>
                <w:lang w:eastAsia="zh-CN"/>
              </w:rPr>
              <w:t>3.安装标准</w:t>
            </w:r>
          </w:p>
          <w:p w14:paraId="0F045CA5">
            <w:pPr>
              <w:pStyle w:val="5"/>
              <w:ind w:firstLine="400" w:firstLineChars="200"/>
              <w:rPr>
                <w:rFonts w:hint="default" w:ascii="仿宋" w:hAnsi="仿宋" w:eastAsia="仿宋" w:cs="仿宋"/>
                <w:highlight w:val="none"/>
                <w:lang w:eastAsia="zh-CN"/>
              </w:rPr>
            </w:pPr>
            <w:r>
              <w:rPr>
                <w:rFonts w:ascii="仿宋" w:hAnsi="仿宋" w:eastAsia="仿宋" w:cs="仿宋"/>
                <w:highlight w:val="none"/>
                <w:lang w:eastAsia="zh-CN"/>
              </w:rPr>
              <w:t>安装质量应符合国家现行有效的技术标准、行业规范以及制造商规定的安装要求。安装过程中，中标人应采取必要的安全防护措施，设置警示标志。因中标人原因造成的人员伤亡或财产损失，由中标人承担全部责任。</w:t>
            </w:r>
          </w:p>
          <w:p w14:paraId="1617426D">
            <w:pPr>
              <w:pStyle w:val="5"/>
              <w:rPr>
                <w:rFonts w:hint="default" w:ascii="仿宋" w:hAnsi="仿宋" w:eastAsia="仿宋" w:cs="仿宋"/>
                <w:highlight w:val="none"/>
                <w:lang w:eastAsia="zh-CN"/>
              </w:rPr>
            </w:pPr>
            <w:r>
              <w:rPr>
                <w:rFonts w:ascii="仿宋" w:hAnsi="仿宋" w:eastAsia="仿宋" w:cs="仿宋"/>
                <w:highlight w:val="none"/>
                <w:lang w:eastAsia="zh-CN"/>
              </w:rPr>
              <w:t>4.调试与试运行</w:t>
            </w:r>
          </w:p>
          <w:p w14:paraId="6FB8E5CB">
            <w:pPr>
              <w:pStyle w:val="5"/>
              <w:ind w:firstLine="400" w:firstLineChars="200"/>
              <w:rPr>
                <w:rFonts w:hint="default" w:ascii="仿宋" w:hAnsi="仿宋" w:eastAsia="仿宋" w:cs="仿宋"/>
                <w:highlight w:val="none"/>
                <w:lang w:eastAsia="zh-CN"/>
              </w:rPr>
            </w:pPr>
            <w:r>
              <w:rPr>
                <w:rFonts w:ascii="仿宋" w:hAnsi="仿宋" w:eastAsia="仿宋" w:cs="仿宋"/>
                <w:highlight w:val="none"/>
                <w:lang w:eastAsia="zh-CN"/>
              </w:rPr>
              <w:t>安装完成后，中标人应进行使用调试，确保各项功能、性能指标符合合同约定及投标承诺。</w:t>
            </w:r>
          </w:p>
        </w:tc>
      </w:tr>
    </w:tbl>
    <w:p w14:paraId="6DE59B59">
      <w:pPr>
        <w:rPr>
          <w:highlight w:val="none"/>
        </w:rPr>
      </w:pPr>
    </w:p>
    <w:bookmarkEnd w:id="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951156"/>
    <w:multiLevelType w:val="singleLevel"/>
    <w:tmpl w:val="98951156"/>
    <w:lvl w:ilvl="0" w:tentative="0">
      <w:start w:val="1"/>
      <w:numFmt w:val="decimal"/>
      <w:suff w:val="nothing"/>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045BB2"/>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简单一点</cp:lastModifiedBy>
  <dcterms:modified xsi:type="dcterms:W3CDTF">2026-07-17T09:19:23Z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eyJoZGlkIjoiOGI1NjUzZTFhYWM0NmYwYjE1NTBlNzgxOGI1YTIyMDMiLCJ1c2VySWQiOiI0MzI2ODg4MDgifQ==</vt:lpwstr>
  </property>
</Properties>
</file>