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02F8E">
      <w:pPr>
        <w:pStyle w:val="3"/>
        <w:ind w:firstLine="480" w:firstLineChars="200"/>
        <w:rPr>
          <w:rFonts w:hint="eastAsia" w:ascii="宋体" w:hAnsi="宋体" w:eastAsia="宋体" w:cs="宋体"/>
          <w:sz w:val="24"/>
          <w:szCs w:val="24"/>
          <w:highlight w:val="none"/>
        </w:rPr>
      </w:pPr>
    </w:p>
    <w:p w14:paraId="68B90596">
      <w:pPr>
        <w:pStyle w:val="3"/>
        <w:ind w:firstLine="480" w:firstLineChars="200"/>
        <w:rPr>
          <w:rFonts w:hint="eastAsia" w:ascii="宋体" w:hAnsi="宋体" w:eastAsia="宋体" w:cs="宋体"/>
          <w:sz w:val="24"/>
          <w:szCs w:val="24"/>
          <w:highlight w:val="none"/>
        </w:rPr>
      </w:pPr>
    </w:p>
    <w:p w14:paraId="5A8D9D7F">
      <w:pPr>
        <w:pStyle w:val="3"/>
        <w:ind w:firstLine="480" w:firstLineChars="200"/>
        <w:rPr>
          <w:rFonts w:hint="eastAsia" w:ascii="宋体" w:hAnsi="宋体" w:eastAsia="宋体" w:cs="宋体"/>
          <w:sz w:val="24"/>
          <w:szCs w:val="24"/>
          <w:highlight w:val="none"/>
        </w:rPr>
      </w:pPr>
    </w:p>
    <w:p w14:paraId="354D1DF5">
      <w:pPr>
        <w:pStyle w:val="3"/>
        <w:ind w:firstLine="2570" w:firstLineChars="800"/>
        <w:jc w:val="both"/>
        <w:rPr>
          <w:rFonts w:hint="eastAsia" w:ascii="宋体" w:hAnsi="宋体" w:eastAsia="宋体" w:cs="宋体"/>
          <w:b/>
          <w:bCs/>
          <w:sz w:val="32"/>
          <w:szCs w:val="32"/>
          <w:highlight w:val="none"/>
        </w:rPr>
      </w:pPr>
      <w:r>
        <w:rPr>
          <w:rFonts w:hint="eastAsia" w:ascii="仿宋" w:hAnsi="仿宋" w:eastAsia="仿宋"/>
          <w:b/>
          <w:bCs/>
          <w:sz w:val="32"/>
          <w:szCs w:val="32"/>
          <w:highlight w:val="none"/>
          <w:u w:val="single"/>
          <w:lang w:val="en-US" w:eastAsia="zh-CN"/>
        </w:rPr>
        <w:t xml:space="preserve"> </w:t>
      </w:r>
      <w:r>
        <w:rPr>
          <w:rFonts w:hint="eastAsia" w:ascii="宋体" w:hAnsi="宋体" w:eastAsia="宋体" w:cs="宋体"/>
          <w:b/>
          <w:bCs/>
          <w:kern w:val="2"/>
          <w:sz w:val="44"/>
          <w:szCs w:val="44"/>
          <w:highlight w:val="none"/>
          <w:u w:val="single"/>
          <w:lang w:val="en-US" w:eastAsia="zh-CN" w:bidi="ar-SA"/>
        </w:rPr>
        <w:t xml:space="preserve">                </w:t>
      </w:r>
      <w:r>
        <w:rPr>
          <w:rFonts w:hint="eastAsia" w:ascii="宋体" w:hAnsi="宋体" w:eastAsia="宋体" w:cs="宋体"/>
          <w:b/>
          <w:bCs/>
          <w:kern w:val="2"/>
          <w:sz w:val="44"/>
          <w:szCs w:val="44"/>
          <w:highlight w:val="none"/>
          <w:lang w:val="en-US" w:eastAsia="zh-CN" w:bidi="ar-SA"/>
        </w:rPr>
        <w:t>项目</w:t>
      </w:r>
    </w:p>
    <w:p w14:paraId="4CC53C49">
      <w:pPr>
        <w:pStyle w:val="3"/>
        <w:ind w:firstLine="560" w:firstLineChars="200"/>
        <w:rPr>
          <w:rFonts w:hint="eastAsia" w:ascii="宋体" w:hAnsi="宋体" w:eastAsia="宋体" w:cs="宋体"/>
          <w:sz w:val="28"/>
          <w:szCs w:val="28"/>
          <w:highlight w:val="none"/>
        </w:rPr>
      </w:pPr>
    </w:p>
    <w:p w14:paraId="4B02B644">
      <w:pPr>
        <w:pStyle w:val="3"/>
        <w:ind w:firstLine="560" w:firstLineChars="200"/>
        <w:rPr>
          <w:rFonts w:hint="eastAsia" w:ascii="宋体" w:hAnsi="宋体" w:eastAsia="宋体" w:cs="宋体"/>
          <w:sz w:val="28"/>
          <w:szCs w:val="28"/>
          <w:highlight w:val="none"/>
        </w:rPr>
      </w:pPr>
    </w:p>
    <w:p w14:paraId="1631EABD">
      <w:pPr>
        <w:pStyle w:val="3"/>
        <w:ind w:firstLine="560" w:firstLineChars="200"/>
        <w:rPr>
          <w:rFonts w:hint="eastAsia" w:ascii="宋体" w:hAnsi="宋体" w:eastAsia="宋体" w:cs="宋体"/>
          <w:sz w:val="28"/>
          <w:szCs w:val="28"/>
          <w:highlight w:val="none"/>
        </w:rPr>
      </w:pPr>
    </w:p>
    <w:p w14:paraId="370F7AF5">
      <w:pPr>
        <w:pStyle w:val="3"/>
        <w:ind w:firstLine="560" w:firstLineChars="200"/>
        <w:rPr>
          <w:rFonts w:hint="eastAsia" w:ascii="宋体" w:hAnsi="宋体" w:eastAsia="宋体" w:cs="宋体"/>
          <w:sz w:val="28"/>
          <w:szCs w:val="28"/>
          <w:highlight w:val="none"/>
        </w:rPr>
      </w:pPr>
    </w:p>
    <w:p w14:paraId="45C2DE53">
      <w:pPr>
        <w:pStyle w:val="2"/>
        <w:jc w:val="center"/>
        <w:rPr>
          <w:rFonts w:hint="eastAsia" w:ascii="宋体" w:hAnsi="宋体" w:eastAsia="宋体" w:cs="宋体"/>
          <w:sz w:val="44"/>
          <w:szCs w:val="44"/>
          <w:highlight w:val="none"/>
        </w:rPr>
      </w:pPr>
      <w:r>
        <w:rPr>
          <w:rFonts w:hint="eastAsia" w:ascii="宋体" w:hAnsi="宋体" w:eastAsia="宋体" w:cs="宋体"/>
          <w:sz w:val="44"/>
          <w:szCs w:val="44"/>
          <w:highlight w:val="none"/>
          <w:lang w:val="en-US" w:eastAsia="zh-CN"/>
        </w:rPr>
        <w:t>政府采购</w:t>
      </w:r>
      <w:r>
        <w:rPr>
          <w:rFonts w:hint="eastAsia" w:ascii="宋体" w:hAnsi="宋体" w:eastAsia="宋体" w:cs="宋体"/>
          <w:sz w:val="44"/>
          <w:szCs w:val="44"/>
          <w:highlight w:val="none"/>
        </w:rPr>
        <w:t>合同</w:t>
      </w:r>
    </w:p>
    <w:p w14:paraId="189AF1C4">
      <w:pPr>
        <w:pStyle w:val="3"/>
        <w:ind w:firstLine="560" w:firstLineChars="200"/>
        <w:rPr>
          <w:rFonts w:hint="eastAsia" w:ascii="宋体" w:hAnsi="宋体" w:eastAsia="宋体" w:cs="宋体"/>
          <w:sz w:val="28"/>
          <w:szCs w:val="28"/>
          <w:highlight w:val="none"/>
        </w:rPr>
      </w:pPr>
    </w:p>
    <w:p w14:paraId="2A82B4DD">
      <w:pPr>
        <w:pStyle w:val="3"/>
        <w:ind w:firstLine="560" w:firstLineChars="200"/>
        <w:rPr>
          <w:rFonts w:hint="eastAsia" w:ascii="宋体" w:hAnsi="宋体" w:eastAsia="宋体" w:cs="宋体"/>
          <w:sz w:val="28"/>
          <w:szCs w:val="28"/>
          <w:highlight w:val="none"/>
        </w:rPr>
      </w:pPr>
    </w:p>
    <w:p w14:paraId="6DBF6647">
      <w:pPr>
        <w:pStyle w:val="3"/>
        <w:ind w:firstLine="560" w:firstLineChars="200"/>
        <w:rPr>
          <w:rFonts w:hint="eastAsia" w:ascii="宋体" w:hAnsi="宋体" w:eastAsia="宋体" w:cs="宋体"/>
          <w:sz w:val="28"/>
          <w:szCs w:val="28"/>
          <w:highlight w:val="none"/>
        </w:rPr>
      </w:pPr>
    </w:p>
    <w:p w14:paraId="655408E6">
      <w:pPr>
        <w:pStyle w:val="3"/>
        <w:ind w:firstLine="560" w:firstLineChars="200"/>
        <w:rPr>
          <w:rFonts w:hint="eastAsia" w:ascii="宋体" w:hAnsi="宋体" w:eastAsia="宋体" w:cs="宋体"/>
          <w:sz w:val="28"/>
          <w:szCs w:val="28"/>
          <w:highlight w:val="none"/>
        </w:rPr>
      </w:pPr>
    </w:p>
    <w:p w14:paraId="2CB50913">
      <w:pPr>
        <w:pStyle w:val="3"/>
        <w:ind w:left="0" w:leftChars="0" w:firstLine="1478" w:firstLineChars="528"/>
        <w:rPr>
          <w:rFonts w:hint="eastAsia" w:ascii="宋体" w:hAnsi="宋体" w:eastAsia="宋体" w:cs="宋体"/>
          <w:sz w:val="28"/>
          <w:szCs w:val="28"/>
          <w:highlight w:val="none"/>
          <w:lang w:val="en-US"/>
        </w:rPr>
      </w:pPr>
      <w:r>
        <w:rPr>
          <w:rFonts w:hint="eastAsia" w:ascii="宋体" w:hAnsi="宋体" w:eastAsia="宋体" w:cs="宋体"/>
          <w:sz w:val="28"/>
          <w:szCs w:val="28"/>
          <w:highlight w:val="none"/>
        </w:rPr>
        <w:t>合同编号：</w:t>
      </w:r>
      <w:r>
        <w:rPr>
          <w:rFonts w:hint="eastAsia" w:ascii="宋体" w:hAnsi="宋体" w:eastAsia="宋体" w:cs="宋体"/>
          <w:sz w:val="28"/>
          <w:szCs w:val="28"/>
          <w:highlight w:val="none"/>
          <w:lang w:val="en-US" w:eastAsia="zh-CN"/>
        </w:rPr>
        <w:t xml:space="preserve">                                       </w:t>
      </w:r>
    </w:p>
    <w:p w14:paraId="13CC114A">
      <w:pPr>
        <w:pStyle w:val="3"/>
        <w:ind w:left="0" w:leftChars="0" w:firstLine="1478" w:firstLineChars="528"/>
        <w:jc w:val="center"/>
        <w:rPr>
          <w:rFonts w:hint="eastAsia" w:ascii="宋体" w:hAnsi="宋体" w:eastAsia="宋体" w:cs="宋体"/>
          <w:sz w:val="28"/>
          <w:szCs w:val="28"/>
          <w:highlight w:val="none"/>
        </w:rPr>
      </w:pPr>
    </w:p>
    <w:p w14:paraId="72852785">
      <w:pPr>
        <w:pStyle w:val="3"/>
        <w:ind w:left="0" w:leftChars="0" w:firstLine="1478" w:firstLineChars="528"/>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甲</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方：</w:t>
      </w:r>
      <w:r>
        <w:rPr>
          <w:rFonts w:hint="eastAsia" w:ascii="宋体" w:hAnsi="宋体" w:eastAsia="宋体" w:cs="宋体"/>
          <w:sz w:val="28"/>
          <w:szCs w:val="28"/>
          <w:highlight w:val="none"/>
          <w:lang w:val="en-US" w:eastAsia="zh-CN"/>
        </w:rPr>
        <w:t xml:space="preserve">                                      </w:t>
      </w:r>
    </w:p>
    <w:p w14:paraId="67A7EE3F">
      <w:pPr>
        <w:pStyle w:val="3"/>
        <w:ind w:left="0" w:leftChars="0" w:firstLine="1478" w:firstLineChars="528"/>
        <w:jc w:val="center"/>
        <w:rPr>
          <w:rFonts w:hint="eastAsia" w:ascii="宋体" w:hAnsi="宋体" w:eastAsia="宋体" w:cs="宋体"/>
          <w:sz w:val="28"/>
          <w:szCs w:val="28"/>
          <w:highlight w:val="none"/>
        </w:rPr>
      </w:pPr>
    </w:p>
    <w:p w14:paraId="6CE28143">
      <w:pPr>
        <w:pStyle w:val="3"/>
        <w:ind w:left="0" w:leftChars="0" w:firstLine="1478" w:firstLineChars="528"/>
        <w:jc w:val="both"/>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rPr>
        <w:t>乙</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方：</w:t>
      </w:r>
      <w:r>
        <w:rPr>
          <w:rFonts w:hint="eastAsia" w:ascii="宋体" w:hAnsi="宋体" w:eastAsia="宋体" w:cs="宋体"/>
          <w:sz w:val="28"/>
          <w:szCs w:val="28"/>
          <w:highlight w:val="none"/>
          <w:lang w:val="en-US" w:eastAsia="zh-CN"/>
        </w:rPr>
        <w:t xml:space="preserve">                                      </w:t>
      </w:r>
    </w:p>
    <w:p w14:paraId="06F0E942">
      <w:pPr>
        <w:pStyle w:val="3"/>
        <w:ind w:left="0" w:leftChars="0" w:firstLine="1478" w:firstLineChars="528"/>
        <w:jc w:val="left"/>
        <w:rPr>
          <w:rFonts w:hint="eastAsia" w:ascii="宋体" w:hAnsi="宋体" w:eastAsia="宋体" w:cs="宋体"/>
          <w:sz w:val="28"/>
          <w:szCs w:val="28"/>
          <w:highlight w:val="none"/>
          <w:lang w:val="en-US" w:eastAsia="zh-CN"/>
        </w:rPr>
      </w:pPr>
    </w:p>
    <w:p w14:paraId="042CC913">
      <w:pPr>
        <w:pStyle w:val="3"/>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4"/>
          <w:szCs w:val="24"/>
          <w:highlight w:val="none"/>
        </w:rPr>
      </w:pPr>
      <w:r>
        <w:rPr>
          <w:rFonts w:hint="eastAsia" w:ascii="宋体" w:hAnsi="宋体" w:eastAsia="宋体" w:cs="宋体"/>
          <w:sz w:val="28"/>
          <w:szCs w:val="28"/>
          <w:highlight w:val="none"/>
        </w:rPr>
        <w:br w:type="page"/>
      </w:r>
      <w:bookmarkStart w:id="0" w:name="_Toc532895264"/>
      <w:r>
        <w:rPr>
          <w:rFonts w:hint="eastAsia" w:ascii="宋体" w:hAnsi="宋体" w:eastAsia="宋体" w:cs="宋体"/>
          <w:sz w:val="24"/>
          <w:szCs w:val="24"/>
          <w:highlight w:val="none"/>
        </w:rPr>
        <w:t>根据《中华人民共和国政府采购法》、《中华人民共和国民法典》等有关法律法规规定，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(采购人名称)(以下简称：“甲方”)通过</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(采购方式)确定</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(供应商名称)(以下简称：“乙方”)为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(项目名称)的成交供应商。甲乙双方同意签署</w:t>
      </w:r>
      <w:r>
        <w:rPr>
          <w:rFonts w:hint="eastAsia" w:ascii="宋体" w:hAnsi="宋体" w:eastAsia="宋体" w:cs="宋体"/>
          <w:sz w:val="24"/>
          <w:szCs w:val="24"/>
          <w:highlight w:val="none"/>
          <w:lang w:val="zh-CN" w:eastAsia="zh-CN"/>
        </w:rPr>
        <w:t>如下协议，以便共同信守。</w:t>
      </w:r>
    </w:p>
    <w:p w14:paraId="7FAE29F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lang w:val="zh-CN"/>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223F3B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1" w:name="_Toc16955"/>
      <w:bookmarkStart w:id="2" w:name="_Toc13753"/>
      <w:bookmarkStart w:id="3" w:name="_Toc25066"/>
      <w:bookmarkStart w:id="4" w:name="_Toc8395"/>
      <w:r>
        <w:rPr>
          <w:rFonts w:hint="eastAsia" w:ascii="宋体" w:hAnsi="宋体" w:eastAsia="宋体" w:cs="宋体"/>
          <w:sz w:val="24"/>
          <w:szCs w:val="24"/>
          <w:highlight w:val="none"/>
          <w:lang w:val="zh-CN"/>
        </w:rPr>
        <w:t>二、合同价款</w:t>
      </w:r>
      <w:bookmarkEnd w:id="1"/>
      <w:bookmarkEnd w:id="2"/>
      <w:bookmarkEnd w:id="3"/>
      <w:bookmarkEnd w:id="4"/>
    </w:p>
    <w:p w14:paraId="45AF56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1、合同总价：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元（¥：</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w:t>
      </w:r>
    </w:p>
    <w:p w14:paraId="427254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2、合同总价：包括新设备制造费、保管费、运杂费、装卸费、保险费、管理费、改造费、安装调试费、垃圾清运费检测验收费、专用工具、备品备件、技术资料、培训费、税金及其它相关的一切费用。</w:t>
      </w:r>
    </w:p>
    <w:p w14:paraId="443D8F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3、合同总价一次包死，不受市场价变化的影响。</w:t>
      </w:r>
    </w:p>
    <w:p w14:paraId="7698D7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5" w:name="_Toc13431"/>
      <w:bookmarkStart w:id="6" w:name="_Toc4533"/>
      <w:bookmarkStart w:id="7" w:name="_Toc8170"/>
      <w:bookmarkStart w:id="8" w:name="_Toc18956"/>
      <w:r>
        <w:rPr>
          <w:rFonts w:hint="eastAsia" w:ascii="宋体" w:hAnsi="宋体" w:eastAsia="宋体" w:cs="宋体"/>
          <w:sz w:val="24"/>
          <w:szCs w:val="24"/>
          <w:highlight w:val="none"/>
          <w:lang w:val="zh-CN"/>
        </w:rPr>
        <w:t>三、合同结算</w:t>
      </w:r>
      <w:bookmarkEnd w:id="5"/>
      <w:bookmarkEnd w:id="6"/>
      <w:bookmarkEnd w:id="7"/>
      <w:bookmarkEnd w:id="8"/>
    </w:p>
    <w:p w14:paraId="7848E5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1、结算方式：</w:t>
      </w:r>
      <w:r>
        <w:rPr>
          <w:rFonts w:hint="eastAsia" w:ascii="宋体" w:hAnsi="宋体" w:eastAsia="宋体" w:cs="宋体"/>
          <w:sz w:val="24"/>
          <w:szCs w:val="24"/>
          <w:highlight w:val="none"/>
          <w:lang w:eastAsia="zh-CN"/>
        </w:rPr>
        <w:t>由采购双方签订合同时具体</w:t>
      </w:r>
      <w:bookmarkStart w:id="41" w:name="_GoBack"/>
      <w:bookmarkEnd w:id="41"/>
      <w:r>
        <w:rPr>
          <w:rFonts w:hint="eastAsia" w:ascii="宋体" w:hAnsi="宋体" w:eastAsia="宋体" w:cs="宋体"/>
          <w:sz w:val="24"/>
          <w:szCs w:val="24"/>
          <w:highlight w:val="none"/>
          <w:lang w:eastAsia="zh-CN"/>
        </w:rPr>
        <w:t>约定。</w:t>
      </w:r>
    </w:p>
    <w:p w14:paraId="5D8CFFB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eastAsia="zh-CN"/>
        </w:rPr>
        <w:t>、付款比例：</w:t>
      </w:r>
    </w:p>
    <w:p w14:paraId="4ECD87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结算，在付款前必须开具等额发票给</w:t>
      </w:r>
      <w:r>
        <w:rPr>
          <w:rFonts w:hint="eastAsia" w:ascii="宋体" w:hAnsi="宋体" w:eastAsia="宋体" w:cs="宋体"/>
          <w:sz w:val="24"/>
          <w:szCs w:val="24"/>
          <w:highlight w:val="none"/>
          <w:lang w:val="en-US" w:eastAsia="zh-CN"/>
        </w:rPr>
        <w:t>甲方</w:t>
      </w:r>
      <w:r>
        <w:rPr>
          <w:rFonts w:hint="eastAsia" w:ascii="宋体" w:hAnsi="宋体" w:eastAsia="宋体" w:cs="宋体"/>
          <w:sz w:val="24"/>
          <w:szCs w:val="24"/>
          <w:highlight w:val="none"/>
          <w:lang w:eastAsia="zh-CN"/>
        </w:rPr>
        <w:t>。</w:t>
      </w:r>
    </w:p>
    <w:p w14:paraId="7F9685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bookmarkStart w:id="9" w:name="_Toc3546"/>
      <w:bookmarkStart w:id="10" w:name="_Toc22596"/>
      <w:bookmarkStart w:id="11" w:name="_Toc22900"/>
      <w:bookmarkStart w:id="12" w:name="_Toc4254"/>
      <w:r>
        <w:rPr>
          <w:rFonts w:hint="eastAsia" w:ascii="宋体" w:hAnsi="宋体" w:eastAsia="宋体" w:cs="宋体"/>
          <w:sz w:val="24"/>
          <w:szCs w:val="24"/>
          <w:highlight w:val="none"/>
          <w:lang w:val="en-US" w:eastAsia="zh-CN"/>
        </w:rPr>
        <w:t>预付款，合同签订后，达到付款条件起10个工作日内，支付合同总金额的40.0%</w:t>
      </w:r>
      <w:r>
        <w:rPr>
          <w:rFonts w:hint="eastAsia" w:ascii="宋体" w:hAnsi="宋体" w:cs="宋体"/>
          <w:sz w:val="24"/>
          <w:szCs w:val="24"/>
          <w:highlight w:val="none"/>
          <w:lang w:val="en-US" w:eastAsia="zh-CN"/>
        </w:rPr>
        <w:t>；</w:t>
      </w:r>
    </w:p>
    <w:p w14:paraId="0F39C4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进度款，乙方根据合同安装调试实施，培训结束后，经验收符合设备质量验收规范要求，将设备移交甲方正常使用。，达到付款条件起10个工作日内，支付合同总金额的55.0%；</w:t>
      </w:r>
    </w:p>
    <w:p w14:paraId="3CAC76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进度款，设备正常使用满一年后，达到付款条件起10个工作日内，支付合同总金额的5.0%；</w:t>
      </w:r>
    </w:p>
    <w:p w14:paraId="047C3C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四、交货条件</w:t>
      </w:r>
      <w:bookmarkEnd w:id="9"/>
      <w:bookmarkEnd w:id="10"/>
      <w:bookmarkEnd w:id="11"/>
      <w:bookmarkEnd w:id="12"/>
    </w:p>
    <w:p w14:paraId="06FC59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1、交货地点：采购人指定地点</w:t>
      </w:r>
    </w:p>
    <w:p w14:paraId="10F855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zh-CN"/>
        </w:rPr>
        <w:t>2、交货期：合同签订后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zh-CN"/>
        </w:rPr>
        <w:t>日历天内</w:t>
      </w:r>
      <w:r>
        <w:rPr>
          <w:rFonts w:hint="eastAsia" w:ascii="宋体" w:hAnsi="宋体" w:eastAsia="宋体" w:cs="宋体"/>
          <w:sz w:val="24"/>
          <w:szCs w:val="24"/>
          <w:highlight w:val="none"/>
          <w:lang w:val="en-US" w:eastAsia="zh-CN"/>
        </w:rPr>
        <w:t>供货安装调试完毕。</w:t>
      </w:r>
    </w:p>
    <w:p w14:paraId="6E386CD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eastAsia="zh-CN"/>
        </w:rPr>
      </w:pPr>
      <w:bookmarkStart w:id="13" w:name="_Toc9437"/>
      <w:bookmarkStart w:id="14" w:name="_Toc30818"/>
      <w:bookmarkStart w:id="15" w:name="_Toc1926"/>
      <w:bookmarkStart w:id="16" w:name="_Toc24407"/>
      <w:r>
        <w:rPr>
          <w:rFonts w:hint="eastAsia" w:ascii="宋体" w:hAnsi="宋体" w:eastAsia="宋体" w:cs="宋体"/>
          <w:sz w:val="24"/>
          <w:szCs w:val="24"/>
          <w:highlight w:val="none"/>
          <w:lang w:val="zh-CN"/>
        </w:rPr>
        <w:t>五、运输</w:t>
      </w:r>
      <w:bookmarkEnd w:id="13"/>
      <w:bookmarkEnd w:id="14"/>
      <w:bookmarkEnd w:id="15"/>
      <w:bookmarkEnd w:id="16"/>
    </w:p>
    <w:p w14:paraId="0B9AF3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1、运杂费：一次包死，已包含在合同总价内，包括从产品供应地点到交货地点所包含的运输费、保险费、搬运费</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调试费</w:t>
      </w:r>
      <w:r>
        <w:rPr>
          <w:rFonts w:hint="eastAsia" w:ascii="宋体" w:hAnsi="宋体" w:eastAsia="宋体" w:cs="宋体"/>
          <w:sz w:val="24"/>
          <w:szCs w:val="24"/>
          <w:highlight w:val="none"/>
        </w:rPr>
        <w:t>等一切费用。</w:t>
      </w:r>
    </w:p>
    <w:p w14:paraId="7A8262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运输方式：</w:t>
      </w:r>
      <w:r>
        <w:rPr>
          <w:rFonts w:hint="eastAsia" w:ascii="宋体" w:hAnsi="宋体" w:eastAsia="宋体" w:cs="宋体"/>
          <w:sz w:val="24"/>
          <w:szCs w:val="24"/>
          <w:highlight w:val="none"/>
          <w:lang w:eastAsia="zh-CN"/>
        </w:rPr>
        <w:t>由供应商自行选取适合的运输方式。</w:t>
      </w:r>
    </w:p>
    <w:p w14:paraId="7C7EB9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17" w:name="_Toc7164"/>
      <w:bookmarkStart w:id="18" w:name="_Toc15766"/>
      <w:bookmarkStart w:id="19" w:name="_Toc28124"/>
      <w:bookmarkStart w:id="20" w:name="_Toc25630"/>
      <w:r>
        <w:rPr>
          <w:rFonts w:hint="eastAsia" w:ascii="宋体" w:hAnsi="宋体" w:eastAsia="宋体" w:cs="宋体"/>
          <w:sz w:val="24"/>
          <w:szCs w:val="24"/>
          <w:highlight w:val="none"/>
          <w:lang w:val="zh-CN"/>
        </w:rPr>
        <w:t>六、质量保证</w:t>
      </w:r>
      <w:bookmarkEnd w:id="17"/>
      <w:bookmarkEnd w:id="18"/>
      <w:bookmarkEnd w:id="19"/>
      <w:bookmarkEnd w:id="20"/>
    </w:p>
    <w:p w14:paraId="1F04C9A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1、乙方提供货物必须是原品牌制造厂制造的最新工艺、生产的最新产品。</w:t>
      </w:r>
    </w:p>
    <w:p w14:paraId="53C2BD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2、所供货物必须是经过办理正常手续的全新产品。</w:t>
      </w:r>
    </w:p>
    <w:p w14:paraId="6878A7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3、所供货物是经过国家法定检验、注册、准许市场销售的合法产品。</w:t>
      </w:r>
    </w:p>
    <w:p w14:paraId="5FBE53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4、货物性能稳定、具有较好的使用效果，质量保证措施完善，符合国家相关标准。</w:t>
      </w:r>
    </w:p>
    <w:p w14:paraId="1009A6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zh-CN" w:eastAsia="zh-CN"/>
        </w:rPr>
        <w:t>质保期为验收合格后</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年</w:t>
      </w:r>
      <w:r>
        <w:rPr>
          <w:rFonts w:hint="eastAsia" w:ascii="宋体" w:hAnsi="宋体" w:eastAsia="宋体" w:cs="宋体"/>
          <w:sz w:val="24"/>
          <w:szCs w:val="24"/>
          <w:highlight w:val="none"/>
        </w:rPr>
        <w:t>，到期后免费延长质保期。设备质保期按设备安装验收合格办理入库之日算起。质保期满后如需更换零部件，只收取零部件成本费，终身免费维护保养。</w:t>
      </w:r>
    </w:p>
    <w:p w14:paraId="44C440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6、包装要求</w:t>
      </w:r>
    </w:p>
    <w:p w14:paraId="598E14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6-1、除</w:t>
      </w:r>
      <w:r>
        <w:rPr>
          <w:rFonts w:hint="eastAsia" w:ascii="宋体" w:hAnsi="宋体" w:cs="宋体"/>
          <w:sz w:val="24"/>
          <w:szCs w:val="24"/>
          <w:highlight w:val="none"/>
          <w:lang w:val="en-US" w:eastAsia="zh-CN"/>
        </w:rPr>
        <w:t>本</w:t>
      </w:r>
      <w:r>
        <w:rPr>
          <w:rFonts w:hint="eastAsia" w:ascii="宋体" w:hAnsi="宋体" w:eastAsia="宋体" w:cs="宋体"/>
          <w:sz w:val="24"/>
          <w:szCs w:val="24"/>
          <w:highlight w:val="none"/>
        </w:rPr>
        <w:t>合同另有规定外，乙方提供的全部货物，均应按标准保护措施进行包装，并确保货物安全无损运抵甲方指定地点。</w:t>
      </w:r>
    </w:p>
    <w:p w14:paraId="14D38D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6-2、每一个包装箱内应附一份详细装箱单和质量合格证。</w:t>
      </w:r>
    </w:p>
    <w:p w14:paraId="0A394F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7、知识产权：乙方应保证甲方在使用该货物或其任何一部分时免受第三方提出侵犯其专利权、商标权或工业设计权的起诉。</w:t>
      </w:r>
    </w:p>
    <w:p w14:paraId="7F27F0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21" w:name="_Toc26330"/>
      <w:bookmarkStart w:id="22" w:name="_Toc20761"/>
      <w:bookmarkStart w:id="23" w:name="_Toc31407"/>
      <w:bookmarkStart w:id="24" w:name="_Toc14979"/>
      <w:r>
        <w:rPr>
          <w:rFonts w:hint="eastAsia" w:ascii="宋体" w:hAnsi="宋体" w:eastAsia="宋体" w:cs="宋体"/>
          <w:sz w:val="24"/>
          <w:szCs w:val="24"/>
          <w:highlight w:val="none"/>
          <w:lang w:val="zh-CN"/>
        </w:rPr>
        <w:t>七、技术服务</w:t>
      </w:r>
      <w:bookmarkEnd w:id="21"/>
      <w:bookmarkEnd w:id="22"/>
      <w:bookmarkEnd w:id="23"/>
      <w:bookmarkEnd w:id="24"/>
    </w:p>
    <w:p w14:paraId="73FB774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1、对技术服务的要求：乙方应随同货物提供相应的中文技术文件(包括产品合格证、装箱清单、操作手册、使用说明</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检测报告、维护手册、服务指南等资料)，现场安装、调试、试运行技术保障服务。</w:t>
      </w:r>
    </w:p>
    <w:p w14:paraId="65B845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2、技术资料：</w:t>
      </w:r>
    </w:p>
    <w:p w14:paraId="48E747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2-1、产品合格证及检验报告；</w:t>
      </w:r>
    </w:p>
    <w:p w14:paraId="532EEC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2-2、产品使用说明书（中文）；</w:t>
      </w:r>
    </w:p>
    <w:p w14:paraId="28A882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2-3、其他技术资料。</w:t>
      </w:r>
    </w:p>
    <w:p w14:paraId="25C555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3、售后服务</w:t>
      </w:r>
    </w:p>
    <w:p w14:paraId="445F8B5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3-1、质保期内维保标准不得低于国家标准及相关规定。</w:t>
      </w:r>
    </w:p>
    <w:p w14:paraId="120DF3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3-2、如果乙方在收到通知后2</w:t>
      </w:r>
      <w:r>
        <w:rPr>
          <w:rFonts w:hint="eastAsia" w:ascii="宋体" w:hAnsi="宋体" w:cs="宋体"/>
          <w:sz w:val="24"/>
          <w:szCs w:val="24"/>
          <w:highlight w:val="none"/>
          <w:lang w:val="en-US" w:eastAsia="zh-CN"/>
        </w:rPr>
        <w:t>个日历</w:t>
      </w:r>
      <w:r>
        <w:rPr>
          <w:rFonts w:hint="eastAsia" w:ascii="宋体" w:hAnsi="宋体" w:eastAsia="宋体" w:cs="宋体"/>
          <w:sz w:val="24"/>
          <w:szCs w:val="24"/>
          <w:highlight w:val="none"/>
        </w:rPr>
        <w:t>天内没有弥补缺陷，甲方可采取必要的补救措施，但其风险和费用将由乙方承担，甲方根据合同规定对乙方行使的其它权力不受影响。甲方亦可从合同价款中扣回索赔金额。</w:t>
      </w:r>
    </w:p>
    <w:p w14:paraId="7FD305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4、伴随服务</w:t>
      </w:r>
    </w:p>
    <w:p w14:paraId="21FF286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4-1、乙方应提供相应的中文的技术文件。</w:t>
      </w:r>
    </w:p>
    <w:p w14:paraId="4F1A47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4-2、必须的其它技术资料。</w:t>
      </w:r>
    </w:p>
    <w:p w14:paraId="6452BE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4-3、伴随服务的费用已含在合同价中，不单独进行支付。</w:t>
      </w:r>
    </w:p>
    <w:p w14:paraId="332F7C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25" w:name="_Toc13698"/>
      <w:bookmarkStart w:id="26" w:name="_Toc26261"/>
      <w:bookmarkStart w:id="27" w:name="_Toc28234"/>
      <w:bookmarkStart w:id="28" w:name="_Toc29120"/>
      <w:r>
        <w:rPr>
          <w:rFonts w:hint="eastAsia" w:ascii="宋体" w:hAnsi="宋体" w:eastAsia="宋体" w:cs="宋体"/>
          <w:sz w:val="24"/>
          <w:szCs w:val="24"/>
          <w:highlight w:val="none"/>
          <w:lang w:val="zh-CN"/>
        </w:rPr>
        <w:t>八、验收</w:t>
      </w:r>
      <w:bookmarkEnd w:id="25"/>
      <w:bookmarkEnd w:id="26"/>
      <w:bookmarkEnd w:id="27"/>
      <w:bookmarkEnd w:id="28"/>
    </w:p>
    <w:p w14:paraId="25E6AB8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1、通过检验的货物方可进行安装、调试、达到使用条件时由采购单位负责组织验收；验收合格须交接项目实施的全部资料，并填写政府采购项目验收报告单。验收须以合同、</w:t>
      </w:r>
      <w:r>
        <w:rPr>
          <w:rFonts w:hint="eastAsia" w:ascii="宋体" w:hAnsi="宋体" w:eastAsia="宋体" w:cs="宋体"/>
          <w:sz w:val="24"/>
          <w:szCs w:val="24"/>
          <w:highlight w:val="none"/>
          <w:lang w:eastAsia="zh-CN"/>
        </w:rPr>
        <w:t>招标</w:t>
      </w:r>
      <w:r>
        <w:rPr>
          <w:rFonts w:hint="eastAsia" w:ascii="宋体" w:hAnsi="宋体" w:eastAsia="宋体" w:cs="宋体"/>
          <w:sz w:val="24"/>
          <w:szCs w:val="24"/>
          <w:highlight w:val="none"/>
        </w:rPr>
        <w:t>文件及</w:t>
      </w:r>
      <w:r>
        <w:rPr>
          <w:rFonts w:hint="eastAsia" w:ascii="宋体" w:hAnsi="宋体" w:eastAsia="宋体" w:cs="宋体"/>
          <w:sz w:val="24"/>
          <w:szCs w:val="24"/>
          <w:highlight w:val="none"/>
          <w:lang w:eastAsia="zh-CN"/>
        </w:rPr>
        <w:t>投标</w:t>
      </w:r>
      <w:r>
        <w:rPr>
          <w:rFonts w:hint="eastAsia" w:ascii="宋体" w:hAnsi="宋体" w:eastAsia="宋体" w:cs="宋体"/>
          <w:sz w:val="24"/>
          <w:szCs w:val="24"/>
          <w:highlight w:val="none"/>
        </w:rPr>
        <w:t>文件、澄清及国家相应的标准、规范等为依据。</w:t>
      </w:r>
    </w:p>
    <w:p w14:paraId="055CE7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、质保期满后：由乙方出具质保期运行质量报告，作为质保金支付依据，若存在质量问题，应按相应规定协商处理。</w:t>
      </w:r>
    </w:p>
    <w:p w14:paraId="1E991D3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、验收依据：</w:t>
      </w:r>
    </w:p>
    <w:p w14:paraId="7AC0C1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-1、合同文本、合同附件、</w:t>
      </w:r>
      <w:r>
        <w:rPr>
          <w:rFonts w:hint="eastAsia" w:ascii="宋体" w:hAnsi="宋体" w:eastAsia="宋体" w:cs="宋体"/>
          <w:sz w:val="24"/>
          <w:szCs w:val="24"/>
          <w:highlight w:val="none"/>
          <w:lang w:val="en-US" w:eastAsia="zh-CN"/>
        </w:rPr>
        <w:t>竞争性</w:t>
      </w:r>
      <w:r>
        <w:rPr>
          <w:rFonts w:hint="eastAsia" w:ascii="宋体" w:hAnsi="宋体" w:cs="宋体"/>
          <w:sz w:val="24"/>
          <w:szCs w:val="24"/>
          <w:highlight w:val="none"/>
          <w:lang w:val="en-US" w:eastAsia="zh-CN"/>
        </w:rPr>
        <w:t>询价</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p>
    <w:p w14:paraId="48E665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-2、国内相应的标准、规范。</w:t>
      </w:r>
    </w:p>
    <w:p w14:paraId="45699AD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29" w:name="_Toc23939"/>
      <w:bookmarkStart w:id="30" w:name="_Toc8320"/>
      <w:bookmarkStart w:id="31" w:name="_Toc17276"/>
      <w:bookmarkStart w:id="32" w:name="_Toc8158"/>
      <w:r>
        <w:rPr>
          <w:rFonts w:hint="eastAsia" w:ascii="宋体" w:hAnsi="宋体" w:eastAsia="宋体" w:cs="宋体"/>
          <w:sz w:val="24"/>
          <w:szCs w:val="24"/>
          <w:highlight w:val="none"/>
          <w:lang w:val="zh-CN"/>
        </w:rPr>
        <w:t>九、违约责任</w:t>
      </w:r>
      <w:bookmarkEnd w:id="29"/>
      <w:bookmarkEnd w:id="30"/>
      <w:bookmarkEnd w:id="31"/>
      <w:bookmarkEnd w:id="32"/>
    </w:p>
    <w:p w14:paraId="7D4499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1、按《中华人民共和国民法典》中的相关条款执行。</w:t>
      </w:r>
    </w:p>
    <w:p w14:paraId="7EFE63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2、本合同履行期间，如乙方未能按照本合同约定完成相应目标成效要求，甲方有权要求乙方按照本合同总价款30%支付违约金，同时甲方有权视乙方违约情况决定是否单方解除本合同，并要求乙方赔偿甲方损失。</w:t>
      </w:r>
    </w:p>
    <w:p w14:paraId="2A71A9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3、除本合同另有约定或因不可抗力情形之外，任何一方因违反本合同项下的任何义务或保证与承诺不实的，即构成违约，应向对方承担违约责任，赔偿因违反合同而给对方造成的全部实际产生的直接经济损失。</w:t>
      </w:r>
    </w:p>
    <w:p w14:paraId="7DA590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4、违约终止合同：未按合同要求提供货物或质量不能满足技术要求，甲方会同监督机构有权终止合同，对乙方违约行为进行追究，同时按政府采购法的有关规定进行相应的处罚。</w:t>
      </w:r>
    </w:p>
    <w:p w14:paraId="67189A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33" w:name="_Toc21667"/>
      <w:bookmarkStart w:id="34" w:name="_Toc22465"/>
      <w:bookmarkStart w:id="35" w:name="_Toc1096"/>
      <w:bookmarkStart w:id="36" w:name="_Toc8686"/>
      <w:r>
        <w:rPr>
          <w:rFonts w:hint="eastAsia" w:ascii="宋体" w:hAnsi="宋体" w:eastAsia="宋体" w:cs="宋体"/>
          <w:sz w:val="24"/>
          <w:szCs w:val="24"/>
          <w:highlight w:val="none"/>
          <w:lang w:val="zh-CN"/>
        </w:rPr>
        <w:t>十、合同组成</w:t>
      </w:r>
      <w:bookmarkEnd w:id="33"/>
      <w:bookmarkEnd w:id="34"/>
      <w:bookmarkEnd w:id="35"/>
      <w:bookmarkEnd w:id="36"/>
    </w:p>
    <w:p w14:paraId="3851CF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val="en-US" w:eastAsia="zh-CN"/>
        </w:rPr>
        <w:t>成交</w:t>
      </w:r>
      <w:r>
        <w:rPr>
          <w:rFonts w:hint="eastAsia" w:ascii="宋体" w:hAnsi="宋体" w:eastAsia="宋体" w:cs="宋体"/>
          <w:sz w:val="24"/>
          <w:szCs w:val="24"/>
          <w:highlight w:val="none"/>
        </w:rPr>
        <w:t>通知书</w:t>
      </w:r>
    </w:p>
    <w:p w14:paraId="61A736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2、合同文件</w:t>
      </w:r>
    </w:p>
    <w:p w14:paraId="674D5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3、国家相关规范及标准</w:t>
      </w:r>
    </w:p>
    <w:p w14:paraId="5CD8C1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4、供货设备技术规格及参数表</w:t>
      </w:r>
    </w:p>
    <w:p w14:paraId="36AF2C0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w:t>
      </w:r>
      <w:r>
        <w:rPr>
          <w:rFonts w:hint="eastAsia" w:ascii="宋体" w:hAnsi="宋体" w:eastAsia="宋体" w:cs="宋体"/>
          <w:sz w:val="24"/>
          <w:szCs w:val="24"/>
          <w:highlight w:val="none"/>
          <w:lang w:val="en-US" w:eastAsia="zh-CN"/>
        </w:rPr>
        <w:t>竞争性</w:t>
      </w:r>
      <w:r>
        <w:rPr>
          <w:rFonts w:hint="eastAsia" w:ascii="宋体" w:hAnsi="宋体" w:cs="宋体"/>
          <w:sz w:val="24"/>
          <w:szCs w:val="24"/>
          <w:highlight w:val="none"/>
          <w:lang w:val="en-US" w:eastAsia="zh-CN"/>
        </w:rPr>
        <w:t>询价</w:t>
      </w:r>
      <w:r>
        <w:rPr>
          <w:rFonts w:hint="eastAsia" w:ascii="宋体" w:hAnsi="宋体" w:eastAsia="宋体" w:cs="宋体"/>
          <w:sz w:val="24"/>
          <w:szCs w:val="24"/>
          <w:highlight w:val="none"/>
        </w:rPr>
        <w:t>文件</w:t>
      </w:r>
    </w:p>
    <w:p w14:paraId="65A36D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w:t>
      </w:r>
    </w:p>
    <w:p w14:paraId="0B80A7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zh-CN"/>
        </w:rPr>
      </w:pPr>
      <w:bookmarkStart w:id="37" w:name="_Toc30300"/>
      <w:bookmarkStart w:id="38" w:name="_Toc27099"/>
      <w:bookmarkStart w:id="39" w:name="_Toc134"/>
      <w:bookmarkStart w:id="40" w:name="_Toc13524"/>
      <w:r>
        <w:rPr>
          <w:rFonts w:hint="eastAsia" w:ascii="宋体" w:hAnsi="宋体" w:eastAsia="宋体" w:cs="宋体"/>
          <w:sz w:val="24"/>
          <w:szCs w:val="24"/>
          <w:highlight w:val="none"/>
          <w:lang w:val="zh-CN"/>
        </w:rPr>
        <w:t>十一、合同生效及其它</w:t>
      </w:r>
      <w:bookmarkEnd w:id="37"/>
      <w:bookmarkEnd w:id="38"/>
      <w:bookmarkEnd w:id="39"/>
      <w:bookmarkEnd w:id="40"/>
    </w:p>
    <w:p w14:paraId="5BDC2B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1、合同未尽事宜、由甲、乙双方协商，作为合同补充，与原合同具有同等法律效力。</w:t>
      </w:r>
    </w:p>
    <w:p w14:paraId="523DDB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2、本合同正本一式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份，甲方、乙方双方分别执</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w:t>
      </w:r>
    </w:p>
    <w:p w14:paraId="2E9AB84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3、合同经甲乙双方盖章、签字后生效，合同签订地点为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600D59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4、生效时间：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443E36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tbl>
      <w:tblPr>
        <w:tblStyle w:val="4"/>
        <w:tblpPr w:leftFromText="180" w:rightFromText="180" w:vertAnchor="text" w:horzAnchor="page" w:tblpX="1517" w:tblpY="613"/>
        <w:tblOverlap w:val="never"/>
        <w:tblW w:w="9286" w:type="dxa"/>
        <w:tblInd w:w="0" w:type="dxa"/>
        <w:tblLayout w:type="fixed"/>
        <w:tblCellMar>
          <w:top w:w="0" w:type="dxa"/>
          <w:left w:w="108" w:type="dxa"/>
          <w:bottom w:w="0" w:type="dxa"/>
          <w:right w:w="108" w:type="dxa"/>
        </w:tblCellMar>
      </w:tblPr>
      <w:tblGrid>
        <w:gridCol w:w="4643"/>
        <w:gridCol w:w="4643"/>
      </w:tblGrid>
      <w:tr w14:paraId="1302EC03">
        <w:tblPrEx>
          <w:tblCellMar>
            <w:top w:w="0" w:type="dxa"/>
            <w:left w:w="108" w:type="dxa"/>
            <w:bottom w:w="0" w:type="dxa"/>
            <w:right w:w="108" w:type="dxa"/>
          </w:tblCellMar>
        </w:tblPrEx>
        <w:tc>
          <w:tcPr>
            <w:tcW w:w="4643" w:type="dxa"/>
            <w:noWrap w:val="0"/>
            <w:vAlign w:val="top"/>
          </w:tcPr>
          <w:p w14:paraId="2B24BAD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甲方名称（盖章）</w:t>
            </w:r>
            <w:r>
              <w:rPr>
                <w:rFonts w:hint="eastAsia" w:ascii="宋体" w:hAnsi="宋体" w:eastAsia="宋体" w:cs="宋体"/>
                <w:sz w:val="24"/>
                <w:szCs w:val="24"/>
                <w:highlight w:val="none"/>
                <w:lang w:eastAsia="zh-CN"/>
              </w:rPr>
              <w:t>：</w:t>
            </w:r>
          </w:p>
          <w:p w14:paraId="1F4AEF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738002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代表人（签字）：</w:t>
            </w:r>
          </w:p>
          <w:p w14:paraId="464D215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057374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1450936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帐号：</w:t>
            </w:r>
          </w:p>
        </w:tc>
        <w:tc>
          <w:tcPr>
            <w:tcW w:w="4643" w:type="dxa"/>
            <w:noWrap w:val="0"/>
            <w:vAlign w:val="top"/>
          </w:tcPr>
          <w:p w14:paraId="72714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乙方名称（盖章）</w:t>
            </w:r>
            <w:r>
              <w:rPr>
                <w:rFonts w:hint="eastAsia" w:ascii="宋体" w:hAnsi="宋体" w:eastAsia="宋体" w:cs="宋体"/>
                <w:sz w:val="24"/>
                <w:szCs w:val="24"/>
                <w:highlight w:val="none"/>
                <w:lang w:eastAsia="zh-CN"/>
              </w:rPr>
              <w:t>：</w:t>
            </w:r>
          </w:p>
          <w:p w14:paraId="6CDCD7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p w14:paraId="5063EF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代表人（签字）：</w:t>
            </w:r>
          </w:p>
          <w:p w14:paraId="41C7EE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p w14:paraId="2E79F7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p w14:paraId="1070CB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帐号：</w:t>
            </w:r>
          </w:p>
        </w:tc>
      </w:tr>
    </w:tbl>
    <w:p w14:paraId="6AEF33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1B98D0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2C39C3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83FB184">
      <w:pPr>
        <w:widowControl w:val="0"/>
        <w:spacing w:line="324" w:lineRule="auto"/>
        <w:ind w:firstLine="200" w:firstLineChars="100"/>
        <w:jc w:val="both"/>
        <w:rPr>
          <w:rFonts w:hint="eastAsia" w:ascii="宋体" w:hAnsi="宋体" w:eastAsia="宋体" w:cs="宋体"/>
          <w:color w:val="993300"/>
          <w:spacing w:val="-20"/>
          <w:kern w:val="2"/>
          <w:sz w:val="24"/>
          <w:szCs w:val="24"/>
          <w:highlight w:val="none"/>
          <w:lang w:val="en-US" w:eastAsia="zh-CN" w:bidi="ar-SA"/>
        </w:rPr>
      </w:pPr>
    </w:p>
    <w:p w14:paraId="74D5D6E9">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附件1：采购项目清单（格式自拟）</w:t>
      </w:r>
    </w:p>
    <w:bookmarkEnd w:id="0"/>
    <w:p w14:paraId="6F0737A1"/>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45994"/>
    <w:rsid w:val="10BB5534"/>
    <w:rsid w:val="21983F70"/>
    <w:rsid w:val="29A4110C"/>
    <w:rsid w:val="36B83D65"/>
    <w:rsid w:val="418F1B67"/>
    <w:rsid w:val="4A37545D"/>
    <w:rsid w:val="54346217"/>
    <w:rsid w:val="58BD260A"/>
    <w:rsid w:val="624978DE"/>
    <w:rsid w:val="67EE0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6"/>
    <w:basedOn w:val="1"/>
    <w:next w:val="1"/>
    <w:qFormat/>
    <w:uiPriority w:val="99"/>
    <w:pPr>
      <w:keepNext/>
      <w:keepLines/>
      <w:spacing w:before="240" w:after="64" w:line="320" w:lineRule="auto"/>
      <w:outlineLvl w:val="5"/>
    </w:pPr>
    <w:rPr>
      <w:rFonts w:ascii="Calibri Light" w:hAnsi="Calibri Light"/>
      <w:b/>
      <w:bCs/>
      <w:sz w:val="2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2173</Words>
  <Characters>2215</Characters>
  <Lines>0</Lines>
  <Paragraphs>0</Paragraphs>
  <TotalTime>92</TotalTime>
  <ScaleCrop>false</ScaleCrop>
  <LinksUpToDate>false</LinksUpToDate>
  <CharactersWithSpaces>2437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2026-07-18T09:47:00Z</dcterms:created>
  <dc:creator>Administrator</dc:creator>
  <cp:lastModifiedBy>伤了心的女人怎么办</cp:lastModifiedBy>
  <dcterms:modified xsi:type="dcterms:W3CDTF">2026-07-18T12:17:44Z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eyJoZGlkIjoiZWQ5YTIxOTUwNDU1MDA2YzZhZTRhMmFlMjJjZjAxMzgiLCJ1c2VySWQiOiIxMDYxNDQyNDg1In0=</vt:lpwstr>
  </property>
  <property fmtid="{D5CDD505-2E9C-101B-9397-08002B2CF9AE}" pid="4" name="ICV">
    <vt:lpwstr>901D58010F19474C8FAE1BAE0AE5E68C_12</vt:lpwstr>
  </property>
</Properties>
</file>