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版本号：CHBM-2026-066-320260902002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淳化县中省政法转移支付自定装备采购项目（C包）</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CHBM-2026-066-3</w:t>
      </w:r>
      <w:r>
        <w:br/>
      </w:r>
      <w:r>
        <w:br/>
      </w:r>
      <w:r>
        <w:br/>
      </w:r>
    </w:p>
    <w:p>
      <w:pPr>
        <w:pStyle w:val="null3"/>
        <w:jc w:val="center"/>
        <w:outlineLvl w:val="2"/>
      </w:pPr>
      <w:r>
        <w:rPr>
          <w:rFonts w:ascii="仿宋_GB2312" w:hAnsi="仿宋_GB2312" w:cs="仿宋_GB2312" w:eastAsia="仿宋_GB2312"/>
          <w:sz w:val="28"/>
          <w:b/>
        </w:rPr>
        <w:t>淳化县公安局</w:t>
      </w:r>
    </w:p>
    <w:p>
      <w:pPr>
        <w:pStyle w:val="null3"/>
        <w:jc w:val="center"/>
        <w:outlineLvl w:val="2"/>
      </w:pPr>
      <w:r>
        <w:rPr>
          <w:rFonts w:ascii="仿宋_GB2312" w:hAnsi="仿宋_GB2312" w:cs="仿宋_GB2312" w:eastAsia="仿宋_GB2312"/>
          <w:sz w:val="28"/>
          <w:b/>
        </w:rPr>
        <w:t>淳化县政府采购中心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淳化县政府采购中心</w:t>
      </w:r>
      <w:r>
        <w:rPr>
          <w:rFonts w:ascii="仿宋_GB2312" w:hAnsi="仿宋_GB2312" w:cs="仿宋_GB2312" w:eastAsia="仿宋_GB2312"/>
        </w:rPr>
        <w:t>（以下简称“代理机构”）受</w:t>
      </w:r>
      <w:r>
        <w:rPr>
          <w:rFonts w:ascii="仿宋_GB2312" w:hAnsi="仿宋_GB2312" w:cs="仿宋_GB2312" w:eastAsia="仿宋_GB2312"/>
        </w:rPr>
        <w:t>淳化县公安局</w:t>
      </w:r>
      <w:r>
        <w:rPr>
          <w:rFonts w:ascii="仿宋_GB2312" w:hAnsi="仿宋_GB2312" w:cs="仿宋_GB2312" w:eastAsia="仿宋_GB2312"/>
        </w:rPr>
        <w:t>委托，拟对</w:t>
      </w:r>
      <w:r>
        <w:rPr>
          <w:rFonts w:ascii="仿宋_GB2312" w:hAnsi="仿宋_GB2312" w:cs="仿宋_GB2312" w:eastAsia="仿宋_GB2312"/>
        </w:rPr>
        <w:t>淳化县中省政法转移支付自定装备采购项目（C包）</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CHBM-2026-066-3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淳化县中省政法转移支付自定装备采购项目（C包）</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淳化县中省政法转移支付自定装备采购项目（C包）</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1、营业主体：投标人应是独立承担民事责任能力的法人、其他组织或自然人，法人、其他组织须提供合法有效的营业执照(或事业单位法人证书)等证明资料，自然人须提供身份证明。</w:t>
      </w:r>
    </w:p>
    <w:p>
      <w:pPr>
        <w:pStyle w:val="null3"/>
      </w:pPr>
      <w:r>
        <w:rPr>
          <w:rFonts w:ascii="仿宋_GB2312" w:hAnsi="仿宋_GB2312" w:cs="仿宋_GB2312" w:eastAsia="仿宋_GB2312"/>
        </w:rPr>
        <w:t>2、身份证明：法定代表人授权委托书（附法定代表人身份证复印件及被授权人身份证复印件）；法定代表人直接参加磋商只需提供法定代表人身份证明书（附法定代表人身份证复印件）</w:t>
      </w:r>
    </w:p>
    <w:p>
      <w:pPr>
        <w:pStyle w:val="null3"/>
      </w:pPr>
      <w:r>
        <w:rPr>
          <w:rFonts w:ascii="仿宋_GB2312" w:hAnsi="仿宋_GB2312" w:cs="仿宋_GB2312" w:eastAsia="仿宋_GB2312"/>
        </w:rPr>
        <w:t>3、财务状况报告：投标人需提供2024年度或2025年度经审计的供应商财务审计报告或者开标前三个月内的银行资信证 明或财政部门认可的政府采购专业担保机构出具的投标担保函；</w:t>
      </w:r>
    </w:p>
    <w:p>
      <w:pPr>
        <w:pStyle w:val="null3"/>
      </w:pPr>
      <w:r>
        <w:rPr>
          <w:rFonts w:ascii="仿宋_GB2312" w:hAnsi="仿宋_GB2312" w:cs="仿宋_GB2312" w:eastAsia="仿宋_GB2312"/>
        </w:rPr>
        <w:t>4、税收缴纳证明：提供开标截止时间前半年内任意一个月的纳税证明或完税证明；依法免税的单位应提供相关证明材料；</w:t>
      </w:r>
    </w:p>
    <w:p>
      <w:pPr>
        <w:pStyle w:val="null3"/>
      </w:pPr>
      <w:r>
        <w:rPr>
          <w:rFonts w:ascii="仿宋_GB2312" w:hAnsi="仿宋_GB2312" w:cs="仿宋_GB2312" w:eastAsia="仿宋_GB2312"/>
        </w:rPr>
        <w:t>5、社会保障资金缴纳证明：提供开标截止时间前半年内任意一个月的社保机构开具的社会保险参保缴费情况证明；依法不需要缴纳社会保障资金的单位应提供相关证明材料；</w:t>
      </w:r>
    </w:p>
    <w:p>
      <w:pPr>
        <w:pStyle w:val="null3"/>
      </w:pPr>
      <w:r>
        <w:rPr>
          <w:rFonts w:ascii="仿宋_GB2312" w:hAnsi="仿宋_GB2312" w:cs="仿宋_GB2312" w:eastAsia="仿宋_GB2312"/>
        </w:rPr>
        <w:t>6、无重大违法记录书面声明：参加本次招标前3年内，在政府采购经营活动中没有重大违法记录的书面声明</w:t>
      </w:r>
    </w:p>
    <w:p>
      <w:pPr>
        <w:pStyle w:val="null3"/>
      </w:pPr>
      <w:r>
        <w:rPr>
          <w:rFonts w:ascii="仿宋_GB2312" w:hAnsi="仿宋_GB2312" w:cs="仿宋_GB2312" w:eastAsia="仿宋_GB2312"/>
        </w:rPr>
        <w:t>7、信用查询：不得为“信用中国”网站(http://www.creditchina.gov.cn)列入“失信被执行人（页面跳转至“中国执行信息公开网http://zxgk.court.gov.cn/shixin/）、重大税收违法失信主体”的投标人；不得为中国政府采购网 (http://www.ccgp.gov.cn)“政府采购严重违法失信行为记录名单”中的投标人；</w:t>
      </w:r>
    </w:p>
    <w:p>
      <w:pPr>
        <w:pStyle w:val="null3"/>
      </w:pPr>
      <w:r>
        <w:rPr>
          <w:rFonts w:ascii="仿宋_GB2312" w:hAnsi="仿宋_GB2312" w:cs="仿宋_GB2312" w:eastAsia="仿宋_GB2312"/>
        </w:rPr>
        <w:t>8、专业技术能力声明：具有履行合同所必需的设备和专业技术能力；</w:t>
      </w:r>
    </w:p>
    <w:p>
      <w:pPr>
        <w:pStyle w:val="null3"/>
      </w:pPr>
      <w:r>
        <w:rPr>
          <w:rFonts w:ascii="仿宋_GB2312" w:hAnsi="仿宋_GB2312" w:cs="仿宋_GB2312" w:eastAsia="仿宋_GB2312"/>
        </w:rPr>
        <w:t>9、单位负责人为同一人或者存在直接控股、管理关系的不同投标人、不得参加同一合同项下的政府采购活动。：单位负责人为同一人或者存在直接控股、管理关系的不同投标人、不得参加同一合同项下的政府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淳化县公安局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县城平安巷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岐建平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13689185036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淳化县政府采购中心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陕西省咸阳市淳化县陕西省咸阳市淳化县财政局南院</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15596156398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淳化县财政局采购管理股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蒙超</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15991096969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淳化县公安局</w:t>
      </w:r>
      <w:r>
        <w:rPr>
          <w:rFonts w:ascii="仿宋_GB2312" w:hAnsi="仿宋_GB2312" w:cs="仿宋_GB2312" w:eastAsia="仿宋_GB2312"/>
        </w:rPr>
        <w:t>和</w:t>
      </w:r>
      <w:r>
        <w:rPr>
          <w:rFonts w:ascii="仿宋_GB2312" w:hAnsi="仿宋_GB2312" w:cs="仿宋_GB2312" w:eastAsia="仿宋_GB2312"/>
        </w:rPr>
        <w:t>淳化县政府采购中心</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淳化县公安局</w:t>
      </w:r>
      <w:r>
        <w:rPr>
          <w:rFonts w:ascii="仿宋_GB2312" w:hAnsi="仿宋_GB2312" w:cs="仿宋_GB2312" w:eastAsia="仿宋_GB2312"/>
        </w:rPr>
        <w:t>负责解释。除上述招标文件内容，其他内容由</w:t>
      </w:r>
      <w:r>
        <w:rPr>
          <w:rFonts w:ascii="仿宋_GB2312" w:hAnsi="仿宋_GB2312" w:cs="仿宋_GB2312" w:eastAsia="仿宋_GB2312"/>
        </w:rPr>
        <w:t>淳化县政府采购中心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淳化县公安局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淳化县政府采购中心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依据投标文件技术参数</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淳化县政府采购中心</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淳化县政府采购中心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淳化县政府采购中心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联系人：赵伟</w:t>
      </w:r>
    </w:p>
    <w:p>
      <w:pPr>
        <w:pStyle w:val="null3"/>
      </w:pPr>
      <w:r>
        <w:rPr>
          <w:rFonts w:ascii="仿宋_GB2312" w:hAnsi="仿宋_GB2312" w:cs="仿宋_GB2312" w:eastAsia="仿宋_GB2312"/>
        </w:rPr>
        <w:t>联系电话：15596156398</w:t>
      </w:r>
    </w:p>
    <w:p>
      <w:pPr>
        <w:pStyle w:val="null3"/>
      </w:pPr>
      <w:r>
        <w:rPr>
          <w:rFonts w:ascii="仿宋_GB2312" w:hAnsi="仿宋_GB2312" w:cs="仿宋_GB2312" w:eastAsia="仿宋_GB2312"/>
        </w:rPr>
        <w:t>地址：淳化县财政局南院</w:t>
      </w:r>
    </w:p>
    <w:p>
      <w:pPr>
        <w:pStyle w:val="null3"/>
      </w:pPr>
      <w:r>
        <w:rPr>
          <w:rFonts w:ascii="仿宋_GB2312" w:hAnsi="仿宋_GB2312" w:cs="仿宋_GB2312" w:eastAsia="仿宋_GB2312"/>
        </w:rPr>
        <w:t>邮编：711200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基础管控中心采购项目，采购造型吊顶、乳胶漆粉刷、造型背景墙、LED宣传屏、墙面板、铺贴地砖、铺贴地暖、墙面大型LED显示屏、研判会议桌、定制工作台、电脑椅、电脑、打印机、文件柜、电线、空调风管机、电线、弱电、音响设备、摄像头等</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基础管控中心建设</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标的名称：基础管控中心建设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106"/>
              <w:gridCol w:w="198"/>
              <w:gridCol w:w="1005"/>
              <w:gridCol w:w="233"/>
              <w:gridCol w:w="256"/>
              <w:gridCol w:w="312"/>
              <w:gridCol w:w="256"/>
              <w:gridCol w:w="182"/>
            </w:tblGrid>
            <w:tr>
              <w:tc>
                <w:tcPr>
                  <w:tcW w:type="dxa" w:w="2548"/>
                  <w:gridSpan w:val="8"/>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1"/>
                      <w:b/>
                      <w:color w:val="FF0000"/>
                    </w:rPr>
                    <w:t>淳化县公安局公安基础管控大厅信息化建设技术参数及数量</w:t>
                  </w:r>
                </w:p>
              </w:tc>
            </w:tr>
            <w:tr>
              <w:tc>
                <w:tcPr>
                  <w:tcW w:type="dxa" w:w="106"/>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pPr>
                    <w:pStyle w:val="null3"/>
                    <w:jc w:val="center"/>
                  </w:pPr>
                  <w:r>
                    <w:rPr>
                      <w:rFonts w:ascii="仿宋_GB2312" w:hAnsi="仿宋_GB2312" w:cs="仿宋_GB2312" w:eastAsia="仿宋_GB2312"/>
                      <w:sz w:val="24"/>
                      <w:b/>
                      <w:color w:val="FF0000"/>
                    </w:rPr>
                    <w:t>序号</w:t>
                  </w:r>
                </w:p>
              </w:tc>
              <w:tc>
                <w:tcPr>
                  <w:tcW w:type="dxa" w:w="198"/>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pPr>
                    <w:pStyle w:val="null3"/>
                    <w:jc w:val="center"/>
                  </w:pPr>
                  <w:r>
                    <w:rPr>
                      <w:rFonts w:ascii="仿宋_GB2312" w:hAnsi="仿宋_GB2312" w:cs="仿宋_GB2312" w:eastAsia="仿宋_GB2312"/>
                      <w:sz w:val="24"/>
                      <w:b/>
                      <w:color w:val="FF0000"/>
                    </w:rPr>
                    <w:t>名称</w:t>
                  </w:r>
                </w:p>
              </w:tc>
              <w:tc>
                <w:tcPr>
                  <w:tcW w:type="dxa" w:w="1005"/>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pPr>
                    <w:pStyle w:val="null3"/>
                    <w:jc w:val="center"/>
                  </w:pPr>
                  <w:r>
                    <w:rPr>
                      <w:rFonts w:ascii="仿宋_GB2312" w:hAnsi="仿宋_GB2312" w:cs="仿宋_GB2312" w:eastAsia="仿宋_GB2312"/>
                      <w:sz w:val="24"/>
                      <w:b/>
                      <w:color w:val="FF0000"/>
                    </w:rPr>
                    <w:t>技术参数</w:t>
                  </w:r>
                </w:p>
              </w:tc>
              <w:tc>
                <w:tcPr>
                  <w:tcW w:type="dxa" w:w="233"/>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pPr>
                    <w:pStyle w:val="null3"/>
                    <w:jc w:val="center"/>
                  </w:pPr>
                  <w:r>
                    <w:rPr>
                      <w:rFonts w:ascii="仿宋_GB2312" w:hAnsi="仿宋_GB2312" w:cs="仿宋_GB2312" w:eastAsia="仿宋_GB2312"/>
                      <w:sz w:val="24"/>
                      <w:b/>
                      <w:color w:val="FF0000"/>
                    </w:rPr>
                    <w:t>单位</w:t>
                  </w:r>
                </w:p>
              </w:tc>
              <w:tc>
                <w:tcPr>
                  <w:tcW w:type="dxa" w:w="256"/>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pPr>
                    <w:pStyle w:val="null3"/>
                    <w:jc w:val="center"/>
                  </w:pPr>
                  <w:r>
                    <w:rPr>
                      <w:rFonts w:ascii="仿宋_GB2312" w:hAnsi="仿宋_GB2312" w:cs="仿宋_GB2312" w:eastAsia="仿宋_GB2312"/>
                      <w:sz w:val="24"/>
                      <w:b/>
                      <w:color w:val="FF0000"/>
                    </w:rPr>
                    <w:t>数量</w:t>
                  </w:r>
                </w:p>
              </w:tc>
              <w:tc>
                <w:tcPr>
                  <w:tcW w:type="dxa" w:w="312"/>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pPr>
                    <w:pStyle w:val="null3"/>
                    <w:jc w:val="center"/>
                  </w:pPr>
                  <w:r>
                    <w:rPr>
                      <w:rFonts w:ascii="仿宋_GB2312" w:hAnsi="仿宋_GB2312" w:cs="仿宋_GB2312" w:eastAsia="仿宋_GB2312"/>
                      <w:sz w:val="24"/>
                      <w:b/>
                      <w:color w:val="FF0000"/>
                    </w:rPr>
                    <w:t>单价</w:t>
                  </w:r>
                </w:p>
              </w:tc>
              <w:tc>
                <w:tcPr>
                  <w:tcW w:type="dxa" w:w="256"/>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pPr>
                    <w:pStyle w:val="null3"/>
                    <w:jc w:val="center"/>
                  </w:pPr>
                  <w:r>
                    <w:rPr>
                      <w:rFonts w:ascii="仿宋_GB2312" w:hAnsi="仿宋_GB2312" w:cs="仿宋_GB2312" w:eastAsia="仿宋_GB2312"/>
                      <w:sz w:val="24"/>
                      <w:b/>
                      <w:color w:val="FF0000"/>
                    </w:rPr>
                    <w:t>合计</w:t>
                  </w:r>
                </w:p>
              </w:tc>
              <w:tc>
                <w:tcPr>
                  <w:tcW w:type="dxa" w:w="182"/>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pPr>
                    <w:pStyle w:val="null3"/>
                    <w:jc w:val="center"/>
                  </w:pPr>
                  <w:r>
                    <w:rPr>
                      <w:rFonts w:ascii="仿宋_GB2312" w:hAnsi="仿宋_GB2312" w:cs="仿宋_GB2312" w:eastAsia="仿宋_GB2312"/>
                      <w:sz w:val="24"/>
                      <w:b/>
                      <w:color w:val="FF0000"/>
                    </w:rPr>
                    <w:t>备注</w:t>
                  </w: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9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LED屏</w:t>
                  </w:r>
                </w:p>
              </w:tc>
              <w:tc>
                <w:tcPr>
                  <w:tcW w:type="dxa" w:w="100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LED屏尺寸为4.26米*2.34米；模块数量：长13高14；总块数：182；整屏像素：长3328高1792；备板：2张；规格：P1.5</w:t>
                  </w:r>
                </w:p>
              </w:tc>
              <w:tc>
                <w:tcPr>
                  <w:tcW w:type="dxa" w:w="233"/>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0"/>
                      <w:color w:val="000000"/>
                    </w:rPr>
                    <w:t>m</w:t>
                  </w:r>
                  <w:r>
                    <w:rPr>
                      <w:rFonts w:ascii="仿宋_GB2312" w:hAnsi="仿宋_GB2312" w:cs="仿宋_GB2312" w:eastAsia="仿宋_GB2312"/>
                      <w:sz w:val="20"/>
                      <w:color w:val="000000"/>
                    </w:rPr>
                    <w:t>2</w:t>
                  </w: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9.97</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9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视频拼接器</w:t>
                  </w:r>
                </w:p>
              </w:tc>
              <w:tc>
                <w:tcPr>
                  <w:tcW w:type="dxa" w:w="100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配置4路HDMI/DVI/VGA信号输入,4路HDMI信号输出，信号可在拼接屏的任意位置开窗、叠加、拉伸、漫游、跨屏、缩放或画中画显示，支持并具备全面热插拔，带电拔出不影响其他模块的正常运行。支持并具备7*24H连续正常工作；平均无故障运行时间≧100000小时，大屏显示支持信号开窗实时上屏和信号窗口预布局两种模式，信号窗口预布局过程中，拼接屏显示画面不受影响，可对显示画面校对，无误后再上屏显示；支持多组大屏预布局模式保存、调用、在线编辑。</w:t>
                  </w:r>
                </w:p>
              </w:tc>
              <w:tc>
                <w:tcPr>
                  <w:tcW w:type="dxa" w:w="233"/>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19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配电柜</w:t>
                  </w:r>
                </w:p>
              </w:tc>
              <w:tc>
                <w:tcPr>
                  <w:tcW w:type="dxa" w:w="100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20KW智能配电柜（含PLC控制系统）可远程&amp;定时开关机；具备过压、过流、欠压、短路等保护措施和分步延时启动功能</w:t>
                  </w:r>
                </w:p>
              </w:tc>
              <w:tc>
                <w:tcPr>
                  <w:tcW w:type="dxa" w:w="233"/>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19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铝型材支架</w:t>
                  </w:r>
                </w:p>
              </w:tc>
              <w:tc>
                <w:tcPr>
                  <w:tcW w:type="dxa" w:w="100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LED小间距专用铝型材支架、确保安装平整度</w:t>
                  </w:r>
                </w:p>
              </w:tc>
              <w:tc>
                <w:tcPr>
                  <w:tcW w:type="dxa" w:w="233"/>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0"/>
                      <w:color w:val="000000"/>
                    </w:rPr>
                    <w:t>m</w:t>
                  </w:r>
                  <w:r>
                    <w:rPr>
                      <w:rFonts w:ascii="仿宋_GB2312" w:hAnsi="仿宋_GB2312" w:cs="仿宋_GB2312" w:eastAsia="仿宋_GB2312"/>
                      <w:sz w:val="20"/>
                      <w:color w:val="000000"/>
                    </w:rPr>
                    <w:t>2</w:t>
                  </w: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9.97</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19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大屏安装</w:t>
                  </w:r>
                </w:p>
              </w:tc>
              <w:tc>
                <w:tcPr>
                  <w:tcW w:type="dxa" w:w="100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屏体四周窄包边装饰+产品安装+调试培训</w:t>
                  </w:r>
                </w:p>
              </w:tc>
              <w:tc>
                <w:tcPr>
                  <w:tcW w:type="dxa" w:w="233"/>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0"/>
                      <w:color w:val="000000"/>
                    </w:rPr>
                    <w:t>m</w:t>
                  </w:r>
                  <w:r>
                    <w:rPr>
                      <w:rFonts w:ascii="仿宋_GB2312" w:hAnsi="仿宋_GB2312" w:cs="仿宋_GB2312" w:eastAsia="仿宋_GB2312"/>
                      <w:sz w:val="20"/>
                      <w:color w:val="000000"/>
                    </w:rPr>
                    <w:t>2</w:t>
                  </w: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9.97</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19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解码器</w:t>
                  </w:r>
                </w:p>
              </w:tc>
              <w:tc>
                <w:tcPr>
                  <w:tcW w:type="dxa" w:w="100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8路视频解码器</w:t>
                  </w:r>
                </w:p>
              </w:tc>
              <w:tc>
                <w:tcPr>
                  <w:tcW w:type="dxa" w:w="233"/>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7</w:t>
                  </w:r>
                </w:p>
              </w:tc>
              <w:tc>
                <w:tcPr>
                  <w:tcW w:type="dxa" w:w="19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控制台</w:t>
                  </w:r>
                </w:p>
              </w:tc>
              <w:tc>
                <w:tcPr>
                  <w:tcW w:type="dxa" w:w="100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pPr>
                  <w:r>
                    <w:rPr>
                      <w:rFonts w:ascii="仿宋_GB2312" w:hAnsi="仿宋_GB2312" w:cs="仿宋_GB2312" w:eastAsia="仿宋_GB2312"/>
                      <w:sz w:val="19"/>
                      <w:color w:val="000000"/>
                    </w:rPr>
                    <w:t>1:材质;E1级别环保密度板，板材内部结构均匀，密度适中，具有良好的稳固性，其表面平整光滑，是家具行业常选的板材。2:亮光烤漆工艺;油漆选用亮光涂漆，耐黄，耐磨安全无毒，经过多道工序处理，油漆致密性高于普通油漆工艺3:LED灯带、台面带线孔。</w:t>
                  </w:r>
                </w:p>
              </w:tc>
              <w:tc>
                <w:tcPr>
                  <w:tcW w:type="dxa" w:w="233"/>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工位</w:t>
                  </w: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8</w:t>
                  </w:r>
                </w:p>
              </w:tc>
              <w:tc>
                <w:tcPr>
                  <w:tcW w:type="dxa" w:w="19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研判会议桌和椅子</w:t>
                  </w:r>
                </w:p>
              </w:tc>
              <w:tc>
                <w:tcPr>
                  <w:tcW w:type="dxa" w:w="100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现代板式会议桌，带8把座椅。长度4米*宽度1.5米；含两组多功能插座</w:t>
                  </w:r>
                </w:p>
              </w:tc>
              <w:tc>
                <w:tcPr>
                  <w:tcW w:type="dxa" w:w="233"/>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c>
                <w:tcPr>
                  <w:tcW w:type="dxa" w:w="19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人体工学椅</w:t>
                  </w:r>
                </w:p>
              </w:tc>
              <w:tc>
                <w:tcPr>
                  <w:tcW w:type="dxa" w:w="100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面料采用优质弹力网，弹力网具有透气性好，结实耐用带有记忆功能等特点；椅子主要承重配件铝合金材质，表面采用精抛工艺，美观大方结实耐用。功能：1.高低升降自如，座版可以延伸；2.靠背上下分三档调节自如，更能有效的支撑后背和腰部，任意角度可以锁定适合任何环境；3.软扶手可以升降高低，前后左右调节适合自己的舒适位置。</w:t>
                  </w:r>
                </w:p>
              </w:tc>
              <w:tc>
                <w:tcPr>
                  <w:tcW w:type="dxa" w:w="233"/>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把</w:t>
                  </w: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音频处理器</w:t>
                  </w:r>
                </w:p>
              </w:tc>
              <w:tc>
                <w:tcPr>
                  <w:tcW w:type="dxa" w:w="10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96KHz采样频率，32-bit DSP处理器，24-bit A/D及D/A转换；提供USB、485接口、和WIFI可连接电脑；具备2.0真彩屏显示，5段输入/输出电平显示LED,静音显示LED灯，按键指示LED灯；每路输入具有31段GEQ和10段PEQ。每个输入/通道31段图示均衡（GEQ)，频率范围从19.7Hz到21.9kHz，分频点按标准1/3倍频程划分，增益范围从-30dB到+15dB。输出具有10段PEQ.每段参量均衡(PEQ)有参数（Parametric)、L-Shelf6dB、L-Shelf 12dB、High-Shelf6dB、High-Shelf12dB多种EQ类型选择。每段参量均衡（PEQ）均可设置为相位调节滤波器（Phase shifter)、相位调节范围0°-180° 和全通滤波器设置；参量均衡（PEQ)频率范围从19.7Hz到21.9kHz可调，增益范围从-30dB到+15dB可调，带宽范围从0.017到4.750倍程（Oct)可调；输入输出音量可调范围为-40dB到+12dB，最小步进0.1ddB；每个输出通道具有相位反转功能，通道复制功能，使调节更方便；每个输入/输出通道可设置最长延时达1000ms，带延时调整开关。输出高通、低通滤波器有多种斜率和类型供选择，滤波器斜率有：-12dB、-24dB、-36dB、-48dB,滤波器类型有：巴特沃斯（Butterworth)、贝塞尔（Bessel)、宁可锐（Linkwitz-Riley)；每个输入/输出通道均有压缩器，可调节各压缩器的门限值、压缩比、上冲时间和释放时间；可以存储多达12个预置。预设文件完全存储当前所有通道的所有控制数据。可在面板通过按键菜单操作直接给设备加密及解锁，保护设备设置安全。具备多通道链接功能，可同时设置多个通道参数；直观友好的电脑界面，支持USB、RS485、WIFI等多种方式与上位机连接；支持插U盘进即时录音（此功能选配）；通道：2进4出、2-XLR和6-TRS：平衡或非平衡输入方式.输入阻抗 平衡：18K.最大输入电平：8V(VPP).输出阻抗 平衡：100欧.最大输出电平：&lt;22dB.动态范围：&gt;110dB（A未计权）.失真度：0. 05%（+ 20dBu, 1kHz）.频率响应：+/- 0.5dB （20Hz-20kHz）.信噪比：&gt;103dB.电源：AC80-240V/50-60Hz</w:t>
                  </w:r>
                </w:p>
              </w:tc>
              <w:tc>
                <w:tcPr>
                  <w:tcW w:type="dxa" w:w="233"/>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数字反馈抑制器</w:t>
                  </w:r>
                </w:p>
              </w:tc>
              <w:tc>
                <w:tcPr>
                  <w:tcW w:type="dxa" w:w="10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采用自适应环境啸叫抑制算法，采用高速浮点数字音频处理器和先进的子带（Sub-Band)回声消除(Echo Cancellation)技术，可高速全自动完全消除啸叫和回声，同时让现场音频精准清晰实时送出，内置自适应动态噪声滤波器，可滤掉现场环境的背景噪声但不影响语音信号高质量的传送。系统智能电平控制技术，可以获的到清晰、持续的、信号电平无明显波动的语音信号。内置AGC双向控制，具有区分加强信号和轻柔信号的能力，保持对讲话声调的连贯和语音易于听清楚，维持听感上的舒适性，能提升增益达6-15dB。内置24Bit  A/D、D/A转换；24位DSP处理器，48KHz采样高速浮点运算数字音频处理器和最先进的子带（Sub-Band) 回声消除（Echo cancellation)技术，可有效消除回声和啸叫。全自动化操作的工作方式，免人工调试，无论房间环境中位置、温度、湿度、装饰的改变，系统安装都无需进行声场调试，精准可靠使用简单。内置自适应动态噪声滤波器，可滤掉现场环境的背景噪声但不影响语音信号高质量的传送。提高信噪比，改善音质。内置AGC自动增益控制，可以获得到清晰、持续平稳的语音信号。内置数字高低通调节控制，可限制语音频响内置数字压限器:可提高拾音的距离内置10段图示均衡器：频率控制更精确各功能可通过本机或连接电脑设置</w:t>
                  </w:r>
                  <w:r>
                    <w:br/>
                  </w:r>
                  <w:r>
                    <w:rPr>
                      <w:rFonts w:ascii="仿宋_GB2312" w:hAnsi="仿宋_GB2312" w:cs="仿宋_GB2312" w:eastAsia="仿宋_GB2312"/>
                      <w:sz w:val="19"/>
                      <w:color w:val="000000"/>
                    </w:rPr>
                    <w:t xml:space="preserve"> 技术参数：2-XLR和2-TRS： 平衡或非平衡输入方式输入阻抗 平衡：22K，最大输入电平： 4（VPP）2-XLR和2-TRS： 平衡或非平衡输出方式输出阻抗 平衡：150欧，非平衡： 300欧最大输出电平： 4.0V（VPP）采样频率： 48KHz动态范围： &gt;100dB（A计权）失真度： &lt;0. 5%频率响应： +/- 2dB （直通频响30Hz to 20kHz.反馈抑制频响     50Hz~18KHz)底噪声： &lt;1mV</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调音台</w:t>
                  </w:r>
                </w:p>
              </w:tc>
              <w:tc>
                <w:tcPr>
                  <w:tcW w:type="dxa" w:w="10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8路平衡式话筒输入，MP3播放器功能2.话筒提供优质的+48V幻像电源3.低噪音的前置放大，具有强大的抗干扰能力4.配备高档调音台才具有的信号输入点（外接信号处理器）5.三段均衡6.电路板采用双面SMT贴片技术，使性能稳定可靠7.两组AUX辅助输出可选择为推子前（返送）推子后（外接处理器）8.采用16种数字显示延时数码效果器，使声音特别动听技术参数：1．最大输出电平：19dBm (1 KHz, THD=0.5%)2．剩余噪声：-74dB3．信噪比：71dB4．等效噪声源输入电动势：-120dBm5．耳机输出功率： 40mw (1 KHz, THD=0.5%, 200Ω)6．均衡：低频： 80Hz±15dB;中频： 2.5KHz±15dB;高频： 12KHz±15dB7．增益控制：8．单声道： 50dB9．立体声： +4dB~-10dB10．频率响应： 20Hz~20 KHz (+1dB,-3dB)11．总谐波失真+噪声： ≤0.05%(1KHz,0.775V)</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双通道数字功放</w:t>
                  </w:r>
                </w:p>
              </w:tc>
              <w:tc>
                <w:tcPr>
                  <w:tcW w:type="dxa" w:w="10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高能效比CLASS-D架构，实现高效能比和低发热量的优势同时延长设备使用寿命；高效率功率转换电路、功率输出强劲，低能源损耗，节能减排，绿色环保。功放内部集成开关电源设计，采用铝制面板；每个独立通道内置全自动电路保护功能，包括软启动、直流、过载、过热、欠压、短路保护及削波限幅等有效的保证设备安全长期使用；双风道高效内部进出风设计，搭载双风扇散热排风系统，有效排除热量避免积热，确保设备长时间、高可靠性运行和使用；数字处理技术提高声音信号精度和清晰度，降低设备底噪，搭配液压轴承风扇优秀风噪控制，满足近场使用场景需求；前面板提供精准增益（音量）控制，有电源、信号、消波和保护的工作信号灯；支持立体声、并接、桥接三种工作模式切换；采用XLR平衡输入端子，专业SPEAKON四芯输出端子，高效信号传输，插拔便捷。功率（8Ω）：2X300W；功率（4Ω）：2X450W；桥接功率（8Ω）：1X900W；RMS输出电压 ：49.0 V；THD+N总谐波失真加噪声：0.05%；频率响应：20Hz－20KHz(±0.2dB)；S/N信噪比：≥100dB；阻尼系数：≥1000；输入灵敏度：0.775Vrms，26dB可选；输入阻抗：20KΩ平衡输入/10KΩ不平衡输入；保护功能：过热压限、过载保护、输出直流保护、短路保护、内置软启动保护。电压工作范围：AC100－240V(±10%),50Hz/60Hz；</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电源时序开关</w:t>
                  </w:r>
                </w:p>
              </w:tc>
              <w:tc>
                <w:tcPr>
                  <w:tcW w:type="dxa" w:w="10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2寸彩色液晶智能显示屏，可实时显示当前电压，日期时间，通道开关状态；每通道独立设有Bypass设置，可ALL Bypass或单独Bypass支持面板LOCK锁定功能，防止误操作；内置时钟芯片，可根据日期时间定时设置自动开关机；智能化不须人为操作支持多台设备级联顺序控制，级联自动检测设置；配置232接口，支持外部中控设备控制；                                                                                                                                                                                具备USB标准5V供电接口，支持USB工作灯供电及充电；每台设备自带设备编码ID检测和设置，可实现远程集中控制10组设备开关场景数据保存/调用，场景管理应用简单便捷；欠压、超压检测及报警单路额定输出电流：13A 额定总输出电流：30A；RFI/EMI独立电源滤波器，滤除外部杂波信号及设备间干扰信号为每路设备提供干净而稳定的电源；额定输出电压：交流220V.50Hz；可控制电源： 8路外加2路输出辅助通道,10chs；每路动作延时时间：0-999秒；供电电源：AC220V 50/60Hz 30A；状态显示：2寸彩色液晶实时显示当前电压,日期,时间,每路开关状态；单路额定输出电流：13A；额定总输出电流：30A；定时器功能：具有定时功能；</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8寸高保真同轴吸顶音箱</w:t>
                  </w:r>
                </w:p>
              </w:tc>
              <w:tc>
                <w:tcPr>
                  <w:tcW w:type="dxa" w:w="10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0"/>
                      <w:color w:val="000000"/>
                    </w:rPr>
                    <w:t>高保真同轴喇叭带金属后罩吸顶音箱；1×8寸橡胶折环黑色PP低音音盆，1×1寸高音音膜；标称阻抗：8Ω；额定功率：80W；峰值功率：320W；频率响应：90Hz-20KHz；灵敏度: 92dB@1W/1m；扩散角度：水平150</w:t>
                  </w:r>
                  <w:r>
                    <w:rPr>
                      <w:rFonts w:ascii="仿宋_GB2312" w:hAnsi="仿宋_GB2312" w:cs="仿宋_GB2312" w:eastAsia="仿宋_GB2312"/>
                      <w:sz w:val="20"/>
                      <w:color w:val="000000"/>
                    </w:rPr>
                    <w:t>º</w:t>
                  </w:r>
                  <w:r>
                    <w:rPr>
                      <w:rFonts w:ascii="仿宋_GB2312" w:hAnsi="仿宋_GB2312" w:cs="仿宋_GB2312" w:eastAsia="仿宋_GB2312"/>
                      <w:sz w:val="20"/>
                      <w:color w:val="000000"/>
                    </w:rPr>
                    <w:t>、垂直150</w:t>
                  </w:r>
                  <w:r>
                    <w:rPr>
                      <w:rFonts w:ascii="仿宋_GB2312" w:hAnsi="仿宋_GB2312" w:cs="仿宋_GB2312" w:eastAsia="仿宋_GB2312"/>
                      <w:sz w:val="20"/>
                      <w:color w:val="000000"/>
                    </w:rPr>
                    <w:t>º</w:t>
                  </w:r>
                  <w:r>
                    <w:rPr>
                      <w:rFonts w:ascii="仿宋_GB2312" w:hAnsi="仿宋_GB2312" w:cs="仿宋_GB2312" w:eastAsia="仿宋_GB2312"/>
                      <w:sz w:val="20"/>
                      <w:color w:val="000000"/>
                    </w:rPr>
                    <w:t>；尺寸规格：270×190mm，开孔240mm；外观颜色：白色；</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支</w:t>
                  </w:r>
                </w:p>
              </w:tc>
              <w:tc>
                <w:tcPr>
                  <w:tcW w:type="dxa" w:w="2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一拖二无线话筒</w:t>
                  </w:r>
                </w:p>
              </w:tc>
              <w:tc>
                <w:tcPr>
                  <w:tcW w:type="dxa" w:w="10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选用双调谐真分集设计，接收机可以从2支天线分别接收同一支无线话筒的信号，通过内部高速CPU检测出信号较强的一路；每通道配备45个频点，可依据当地实际频率状况实现手动频率调节，便于叠机使用；选用UHF频段，结合PLL数字相位锁定技术，谐波辐射降至最低水平，一台接收机最多可同时支持4个无线单元连接；配备后置一键锁功能；具有一键搜频功能；接收机采用1U金属机箱设计，多级高精度滤波电路，三重数字ID静噪锁码技术，不但保密性强，而且抗干扰更加出众；内置CPU SQ自动调节功能，信号弱时可以自动调节接收机灵敏度增加接收距离，话筒信号强时可自动调低可避免杂音干扰；接收机搭载高清LCD大屏可显示各通道工作信道、工作频点、接收信号、音频信号，话筒工作电压的同时接收机的工作状态显示屏背光可变颜色；各频道支持单独或混合输出，可调节输出音量，确保麦克风不产生破裂声。每通道输出音量可独立调整，满足多样化需求；BNC天线座设计，可以连天线增益系统，增加接收距离及稳定的接收效果。各天线座带9V幻象供电，可直接连接定向天线板或强波器，不需要外置电源供电；采用DC12V-1000mA开关电源适配器，内置DC转DC电路效率高、可以输出大电流、静态电流小，纹波小，而且发热极小，减小器件损耗，更加耐用。在180-240V交流电压巨幅变动下，仍能保持系统稳定；</w:t>
                  </w:r>
                  <w:r>
                    <w:br/>
                  </w:r>
                  <w:r>
                    <w:rPr>
                      <w:rFonts w:ascii="仿宋_GB2312" w:hAnsi="仿宋_GB2312" w:cs="仿宋_GB2312" w:eastAsia="仿宋_GB2312"/>
                      <w:sz w:val="19"/>
                      <w:color w:val="000000"/>
                    </w:rPr>
                    <w:t xml:space="preserve"> 发射器采用110欧低阻抗动圈咪芯搭配优质匹配电路，拾音距离远，中音浑厚 圆润饱满，高保真声音还原、清晰度高； 发射器设计可换式接头，通用各大品牌咪头或电容式咪头更加人性化；UHF 470-960MHz频率范围可选，默认出厂使用频率为612-698MHz。一台接收机可同时支持2个无线单元连接；</w:t>
                  </w:r>
                  <w:r>
                    <w:br/>
                  </w:r>
                  <w:r>
                    <w:rPr>
                      <w:rFonts w:ascii="仿宋_GB2312" w:hAnsi="仿宋_GB2312" w:cs="仿宋_GB2312" w:eastAsia="仿宋_GB2312"/>
                      <w:sz w:val="19"/>
                      <w:color w:val="000000"/>
                    </w:rPr>
                    <w:t xml:space="preserve"> 接收机参数：振荡方式：锁相环频率合成；频率范围：UHF 612MHz-698MHz；调节方式：FM；最大频偏：±50KHz；灵敏度：输入6dBuV时S/N&gt;80dB；</w:t>
                  </w:r>
                  <w:r>
                    <w:br/>
                  </w:r>
                  <w:r>
                    <w:rPr>
                      <w:rFonts w:ascii="仿宋_GB2312" w:hAnsi="仿宋_GB2312" w:cs="仿宋_GB2312" w:eastAsia="仿宋_GB2312"/>
                      <w:sz w:val="19"/>
                      <w:color w:val="000000"/>
                    </w:rPr>
                    <w:t xml:space="preserve"> 信噪比：&gt;105dB（A）；音频响应：60Hz-16KHz(±3dB)；输出：平衡0-300mV，非平衡0-300mV；频率稳定性：&lt;±0.005%；失真度：&lt;0.5%@1KHz；工作电压：DC 12V；工作电流：1000mA；</w:t>
                  </w:r>
                  <w:r>
                    <w:br/>
                  </w:r>
                  <w:r>
                    <w:rPr>
                      <w:rFonts w:ascii="仿宋_GB2312" w:hAnsi="仿宋_GB2312" w:cs="仿宋_GB2312" w:eastAsia="仿宋_GB2312"/>
                      <w:sz w:val="19"/>
                      <w:color w:val="000000"/>
                    </w:rPr>
                    <w:t xml:space="preserve"> 手持式发射器参数： 载波频率范围：UHF 612MHz-698MHz；振荡方式：PLL相位锁定频率合成；谐波辐射：&lt;45dBm；调制方式： FM；频带宽度： 86MHz超宽带；射频RF输出功率：10mW/30mW；电池类型： AA x2；电流消耗：150mA(典型)；电池使用时长：约5小时；音频压缩： 数字音频压缩电路；音频输入接口： 3-pin迷尔XLR插口 ，输入增益3级可调；音头： 动圈式/电容式，心形指向性；</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2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音箱线</w:t>
                  </w:r>
                </w:p>
              </w:tc>
              <w:tc>
                <w:tcPr>
                  <w:tcW w:type="dxa" w:w="10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纯铜高保真100芯</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c>
                <w:tcPr>
                  <w:tcW w:type="dxa" w:w="2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80</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机柜</w:t>
                  </w:r>
                </w:p>
              </w:tc>
              <w:tc>
                <w:tcPr>
                  <w:tcW w:type="dxa" w:w="10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2米网络机柜</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双绞线</w:t>
                  </w:r>
                </w:p>
              </w:tc>
              <w:tc>
                <w:tcPr>
                  <w:tcW w:type="dxa" w:w="10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六类非屏蔽双绞线</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c>
                <w:tcPr>
                  <w:tcW w:type="dxa" w:w="2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1500</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地面刻槽</w:t>
                  </w:r>
                </w:p>
              </w:tc>
              <w:tc>
                <w:tcPr>
                  <w:tcW w:type="dxa" w:w="10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25*25MM</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c>
                <w:tcPr>
                  <w:tcW w:type="dxa" w:w="2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60</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配管</w:t>
                  </w:r>
                </w:p>
              </w:tc>
              <w:tc>
                <w:tcPr>
                  <w:tcW w:type="dxa" w:w="100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JDG20</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c>
                <w:tcPr>
                  <w:tcW w:type="dxa" w:w="2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60</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配线架</w:t>
                  </w:r>
                </w:p>
              </w:tc>
              <w:tc>
                <w:tcPr>
                  <w:tcW w:type="dxa" w:w="10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24口六类网络配线架</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信息面板</w:t>
                  </w:r>
                </w:p>
              </w:tc>
              <w:tc>
                <w:tcPr>
                  <w:tcW w:type="dxa" w:w="10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双孔信息面板+底盒</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2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六类信息模块</w:t>
                  </w:r>
                </w:p>
              </w:tc>
              <w:tc>
                <w:tcPr>
                  <w:tcW w:type="dxa" w:w="10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六类信息模块</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2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半球摄像机</w:t>
                  </w:r>
                </w:p>
              </w:tc>
              <w:tc>
                <w:tcPr>
                  <w:tcW w:type="dxa" w:w="10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≥200万像素网络摄像机</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主电缆</w:t>
                  </w:r>
                </w:p>
              </w:tc>
              <w:tc>
                <w:tcPr>
                  <w:tcW w:type="dxa" w:w="10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4*25+1*16</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c>
                <w:tcPr>
                  <w:tcW w:type="dxa" w:w="2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50</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配电箱</w:t>
                  </w:r>
                </w:p>
              </w:tc>
              <w:tc>
                <w:tcPr>
                  <w:tcW w:type="dxa" w:w="10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500*400*140mm，含NM1-100/3P 100A 塑壳断路器，3P D63A空开</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电源线</w:t>
                  </w:r>
                </w:p>
              </w:tc>
              <w:tc>
                <w:tcPr>
                  <w:tcW w:type="dxa" w:w="10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BV2.5</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c>
                <w:tcPr>
                  <w:tcW w:type="dxa" w:w="2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400</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电源插座</w:t>
                  </w:r>
                </w:p>
              </w:tc>
              <w:tc>
                <w:tcPr>
                  <w:tcW w:type="dxa" w:w="100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5孔</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2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KGB管材</w:t>
                  </w:r>
                </w:p>
              </w:tc>
              <w:tc>
                <w:tcPr>
                  <w:tcW w:type="dxa" w:w="100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JDG20</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c>
                <w:tcPr>
                  <w:tcW w:type="dxa" w:w="2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50</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高清线</w:t>
                  </w:r>
                </w:p>
              </w:tc>
              <w:tc>
                <w:tcPr>
                  <w:tcW w:type="dxa" w:w="100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HDMI线20米4K</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根</w:t>
                  </w:r>
                </w:p>
              </w:tc>
              <w:tc>
                <w:tcPr>
                  <w:tcW w:type="dxa" w:w="2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沙发、茶几</w:t>
                  </w:r>
                </w:p>
              </w:tc>
              <w:tc>
                <w:tcPr>
                  <w:tcW w:type="dxa" w:w="100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3人沙发和茶几</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2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茶吧机</w:t>
                  </w:r>
                </w:p>
              </w:tc>
              <w:tc>
                <w:tcPr>
                  <w:tcW w:type="dxa" w:w="100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高800mm</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2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公安网控制机</w:t>
                  </w:r>
                </w:p>
              </w:tc>
              <w:tc>
                <w:tcPr>
                  <w:tcW w:type="dxa" w:w="100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i5-14400;内存16G；硬盘：512G固态硬盘；显卡4G独立显卡；显示器：24时LED显示器；操作系统</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36</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视频网控制机</w:t>
                  </w:r>
                </w:p>
              </w:tc>
              <w:tc>
                <w:tcPr>
                  <w:tcW w:type="dxa" w:w="100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i5-14400;内存16G；硬盘：512G固态硬盘；显卡4G独立显卡；显示器：24时LED显示器；操作系统</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37</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互联网控制机</w:t>
                  </w:r>
                </w:p>
              </w:tc>
              <w:tc>
                <w:tcPr>
                  <w:tcW w:type="dxa" w:w="100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i5-14400;内存16G；硬盘：512G固态硬盘；集成显卡；显示器：24时LED显示器；操作系统.</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38</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打印机</w:t>
                  </w:r>
                </w:p>
              </w:tc>
              <w:tc>
                <w:tcPr>
                  <w:tcW w:type="dxa" w:w="100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1"/>
                    </w:rPr>
                    <w:t>A4 墨仓式彩色 3 合 1 一体机（打印 / 复印 / 扫描）</w:t>
                  </w:r>
                  <w:r>
                    <w:rPr>
                      <w:rFonts w:ascii="仿宋_GB2312" w:hAnsi="仿宋_GB2312" w:cs="仿宋_GB2312" w:eastAsia="仿宋_GB2312"/>
                      <w:sz w:val="21"/>
                      <w:color w:val="000000"/>
                    </w:rPr>
                    <w:t>能效：一级能效</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39</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文件柜</w:t>
                  </w:r>
                </w:p>
              </w:tc>
              <w:tc>
                <w:tcPr>
                  <w:tcW w:type="dxa" w:w="100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材质木质、烤漆、厚度0.8cm</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2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40</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楼层接入交换机</w:t>
                  </w:r>
                </w:p>
              </w:tc>
              <w:tc>
                <w:tcPr>
                  <w:tcW w:type="dxa" w:w="10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交换容量≥1.36TGbps,包转发率≥128Mpps ，≥24个10/100/1000BASE-T端口 ，≥4个1G SFP端口,本次配3个千兆光模块</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3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41</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辅材</w:t>
                  </w:r>
                </w:p>
              </w:tc>
              <w:tc>
                <w:tcPr>
                  <w:tcW w:type="dxa" w:w="10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水晶头、线扎、接头等</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w:t>
                  </w:r>
                </w:p>
              </w:tc>
              <w:tc>
                <w:tcPr>
                  <w:tcW w:type="dxa" w:w="2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42</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小计</w:t>
                  </w:r>
                </w:p>
              </w:tc>
              <w:tc>
                <w:tcPr>
                  <w:tcW w:type="dxa" w:w="10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材料费小计</w:t>
                  </w:r>
                </w:p>
              </w:tc>
              <w:tc>
                <w:tcPr>
                  <w:tcW w:type="dxa" w:w="1057"/>
                  <w:gridSpan w:val="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pPr>
                    <w:pStyle w:val="null3"/>
                    <w:jc w:val="center"/>
                  </w:pPr>
                  <w:r>
                    <w:rPr>
                      <w:rFonts w:ascii="仿宋_GB2312" w:hAnsi="仿宋_GB2312" w:cs="仿宋_GB2312" w:eastAsia="仿宋_GB2312"/>
                      <w:sz w:val="19"/>
                      <w:b/>
                      <w:color w:val="FF0000"/>
                    </w:rPr>
                    <w:t>43</w:t>
                  </w:r>
                </w:p>
              </w:tc>
              <w:tc>
                <w:tcPr>
                  <w:tcW w:type="dxa" w:w="198"/>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pPr>
                    <w:pStyle w:val="null3"/>
                    <w:jc w:val="center"/>
                  </w:pPr>
                  <w:r>
                    <w:rPr>
                      <w:rFonts w:ascii="仿宋_GB2312" w:hAnsi="仿宋_GB2312" w:cs="仿宋_GB2312" w:eastAsia="仿宋_GB2312"/>
                      <w:sz w:val="19"/>
                      <w:b/>
                      <w:color w:val="FF0000"/>
                    </w:rPr>
                    <w:t>施工调试费</w:t>
                  </w:r>
                </w:p>
              </w:tc>
              <w:tc>
                <w:tcPr>
                  <w:tcW w:type="dxa" w:w="1005"/>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pPr>
                    <w:pStyle w:val="null3"/>
                    <w:jc w:val="center"/>
                  </w:pPr>
                  <w:r>
                    <w:rPr>
                      <w:rFonts w:ascii="仿宋_GB2312" w:hAnsi="仿宋_GB2312" w:cs="仿宋_GB2312" w:eastAsia="仿宋_GB2312"/>
                      <w:sz w:val="19"/>
                      <w:b/>
                      <w:color w:val="FF0000"/>
                    </w:rPr>
                    <w:t>材料费*10%</w:t>
                  </w:r>
                </w:p>
              </w:tc>
              <w:tc>
                <w:tcPr>
                  <w:tcW w:type="dxa" w:w="1057"/>
                  <w:gridSpan w:val="4"/>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pPr>
                    <w:pStyle w:val="null3"/>
                    <w:jc w:val="center"/>
                  </w:pPr>
                  <w:r>
                    <w:rPr>
                      <w:rFonts w:ascii="仿宋_GB2312" w:hAnsi="仿宋_GB2312" w:cs="仿宋_GB2312" w:eastAsia="仿宋_GB2312"/>
                      <w:sz w:val="19"/>
                      <w:b/>
                      <w:color w:val="FF0000"/>
                    </w:rPr>
                    <w:t>44</w:t>
                  </w:r>
                </w:p>
              </w:tc>
              <w:tc>
                <w:tcPr>
                  <w:tcW w:type="dxa" w:w="198"/>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pPr>
                    <w:pStyle w:val="null3"/>
                    <w:jc w:val="center"/>
                  </w:pPr>
                  <w:r>
                    <w:rPr>
                      <w:rFonts w:ascii="仿宋_GB2312" w:hAnsi="仿宋_GB2312" w:cs="仿宋_GB2312" w:eastAsia="仿宋_GB2312"/>
                      <w:sz w:val="19"/>
                      <w:b/>
                      <w:color w:val="FF0000"/>
                    </w:rPr>
                    <w:t>税金</w:t>
                  </w:r>
                </w:p>
              </w:tc>
              <w:tc>
                <w:tcPr>
                  <w:tcW w:type="dxa" w:w="1005"/>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pPr>
                    <w:pStyle w:val="null3"/>
                    <w:jc w:val="center"/>
                  </w:pPr>
                  <w:r>
                    <w:rPr>
                      <w:rFonts w:ascii="仿宋_GB2312" w:hAnsi="仿宋_GB2312" w:cs="仿宋_GB2312" w:eastAsia="仿宋_GB2312"/>
                      <w:sz w:val="19"/>
                      <w:b/>
                      <w:color w:val="FF0000"/>
                    </w:rPr>
                    <w:t>（材料费+安装调试费）*6%</w:t>
                  </w:r>
                </w:p>
              </w:tc>
              <w:tc>
                <w:tcPr>
                  <w:tcW w:type="dxa" w:w="1057"/>
                  <w:gridSpan w:val="4"/>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pPr>
                    <w:pStyle w:val="null3"/>
                    <w:jc w:val="center"/>
                  </w:pPr>
                  <w:r>
                    <w:rPr>
                      <w:rFonts w:ascii="仿宋_GB2312" w:hAnsi="仿宋_GB2312" w:cs="仿宋_GB2312" w:eastAsia="仿宋_GB2312"/>
                      <w:sz w:val="19"/>
                      <w:b/>
                      <w:color w:val="FF0000"/>
                    </w:rPr>
                    <w:t>45</w:t>
                  </w:r>
                </w:p>
              </w:tc>
              <w:tc>
                <w:tcPr>
                  <w:tcW w:type="dxa" w:w="198"/>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pPr>
                    <w:pStyle w:val="null3"/>
                    <w:jc w:val="center"/>
                  </w:pPr>
                  <w:r>
                    <w:rPr>
                      <w:rFonts w:ascii="仿宋_GB2312" w:hAnsi="仿宋_GB2312" w:cs="仿宋_GB2312" w:eastAsia="仿宋_GB2312"/>
                      <w:sz w:val="19"/>
                      <w:b/>
                      <w:color w:val="FF0000"/>
                    </w:rPr>
                    <w:t>合计</w:t>
                  </w:r>
                </w:p>
              </w:tc>
              <w:tc>
                <w:tcPr>
                  <w:tcW w:type="dxa" w:w="1005"/>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tc>
              <w:tc>
                <w:tcPr>
                  <w:tcW w:type="dxa" w:w="1057"/>
                  <w:gridSpan w:val="4"/>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tc>
            </w:tr>
          </w:tbl>
          <w:tbl>
            <w:tblPr>
              <w:tblBorders>
                <w:top w:val="single"/>
                <w:left w:val="single"/>
                <w:bottom w:val="single"/>
                <w:right w:val="single"/>
                <w:insideH w:val="single"/>
                <w:insideV w:val="single"/>
              </w:tblBorders>
            </w:tblPr>
            <w:tblGrid>
              <w:gridCol w:w="141"/>
              <w:gridCol w:w="271"/>
              <w:gridCol w:w="1218"/>
              <w:gridCol w:w="137"/>
              <w:gridCol w:w="144"/>
              <w:gridCol w:w="231"/>
              <w:gridCol w:w="231"/>
              <w:gridCol w:w="176"/>
            </w:tblGrid>
            <w:tr>
              <w:tc>
                <w:tcPr>
                  <w:tcW w:type="dxa" w:w="2549"/>
                  <w:gridSpan w:val="8"/>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1"/>
                      <w:b/>
                      <w:color w:val="FF0000"/>
                    </w:rPr>
                    <w:t>淳化县公安局公安基础管控大厅装修技术参数及数量</w:t>
                  </w:r>
                </w:p>
              </w:tc>
            </w:tr>
            <w:tr>
              <w:tc>
                <w:tcPr>
                  <w:tcW w:type="dxa" w:w="141"/>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pPr>
                    <w:pStyle w:val="null3"/>
                    <w:jc w:val="center"/>
                  </w:pPr>
                  <w:r>
                    <w:rPr>
                      <w:rFonts w:ascii="仿宋_GB2312" w:hAnsi="仿宋_GB2312" w:cs="仿宋_GB2312" w:eastAsia="仿宋_GB2312"/>
                      <w:sz w:val="24"/>
                      <w:b/>
                      <w:color w:val="FF0000"/>
                    </w:rPr>
                    <w:t>序号</w:t>
                  </w:r>
                </w:p>
              </w:tc>
              <w:tc>
                <w:tcPr>
                  <w:tcW w:type="dxa" w:w="271"/>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pPr>
                    <w:pStyle w:val="null3"/>
                    <w:jc w:val="center"/>
                  </w:pPr>
                  <w:r>
                    <w:rPr>
                      <w:rFonts w:ascii="仿宋_GB2312" w:hAnsi="仿宋_GB2312" w:cs="仿宋_GB2312" w:eastAsia="仿宋_GB2312"/>
                      <w:sz w:val="24"/>
                      <w:b/>
                      <w:color w:val="FF0000"/>
                    </w:rPr>
                    <w:t>名称</w:t>
                  </w:r>
                </w:p>
              </w:tc>
              <w:tc>
                <w:tcPr>
                  <w:tcW w:type="dxa" w:w="1218"/>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pPr>
                    <w:pStyle w:val="null3"/>
                    <w:jc w:val="center"/>
                  </w:pPr>
                  <w:r>
                    <w:rPr>
                      <w:rFonts w:ascii="仿宋_GB2312" w:hAnsi="仿宋_GB2312" w:cs="仿宋_GB2312" w:eastAsia="仿宋_GB2312"/>
                      <w:sz w:val="24"/>
                      <w:b/>
                      <w:color w:val="FF0000"/>
                    </w:rPr>
                    <w:t>技术参数</w:t>
                  </w:r>
                </w:p>
              </w:tc>
              <w:tc>
                <w:tcPr>
                  <w:tcW w:type="dxa" w:w="137"/>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pPr>
                    <w:pStyle w:val="null3"/>
                    <w:jc w:val="center"/>
                  </w:pPr>
                  <w:r>
                    <w:rPr>
                      <w:rFonts w:ascii="仿宋_GB2312" w:hAnsi="仿宋_GB2312" w:cs="仿宋_GB2312" w:eastAsia="仿宋_GB2312"/>
                      <w:sz w:val="24"/>
                      <w:b/>
                      <w:color w:val="FF0000"/>
                    </w:rPr>
                    <w:t>单位</w:t>
                  </w:r>
                </w:p>
              </w:tc>
              <w:tc>
                <w:tcPr>
                  <w:tcW w:type="dxa" w:w="144"/>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pPr>
                    <w:pStyle w:val="null3"/>
                    <w:jc w:val="center"/>
                  </w:pPr>
                  <w:r>
                    <w:rPr>
                      <w:rFonts w:ascii="仿宋_GB2312" w:hAnsi="仿宋_GB2312" w:cs="仿宋_GB2312" w:eastAsia="仿宋_GB2312"/>
                      <w:sz w:val="24"/>
                      <w:b/>
                      <w:color w:val="FF0000"/>
                    </w:rPr>
                    <w:t>数量</w:t>
                  </w:r>
                </w:p>
              </w:tc>
              <w:tc>
                <w:tcPr>
                  <w:tcW w:type="dxa" w:w="231"/>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pPr>
                    <w:pStyle w:val="null3"/>
                    <w:jc w:val="center"/>
                  </w:pPr>
                  <w:r>
                    <w:rPr>
                      <w:rFonts w:ascii="仿宋_GB2312" w:hAnsi="仿宋_GB2312" w:cs="仿宋_GB2312" w:eastAsia="仿宋_GB2312"/>
                      <w:sz w:val="24"/>
                      <w:b/>
                      <w:color w:val="FF0000"/>
                    </w:rPr>
                    <w:t>单价</w:t>
                  </w:r>
                </w:p>
              </w:tc>
              <w:tc>
                <w:tcPr>
                  <w:tcW w:type="dxa" w:w="231"/>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pPr>
                    <w:pStyle w:val="null3"/>
                    <w:jc w:val="center"/>
                  </w:pPr>
                  <w:r>
                    <w:rPr>
                      <w:rFonts w:ascii="仿宋_GB2312" w:hAnsi="仿宋_GB2312" w:cs="仿宋_GB2312" w:eastAsia="仿宋_GB2312"/>
                      <w:sz w:val="24"/>
                      <w:b/>
                      <w:color w:val="FF0000"/>
                    </w:rPr>
                    <w:t>合计</w:t>
                  </w:r>
                </w:p>
              </w:tc>
              <w:tc>
                <w:tcPr>
                  <w:tcW w:type="dxa" w:w="176"/>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pPr>
                    <w:pStyle w:val="null3"/>
                    <w:jc w:val="center"/>
                  </w:pPr>
                  <w:r>
                    <w:rPr>
                      <w:rFonts w:ascii="仿宋_GB2312" w:hAnsi="仿宋_GB2312" w:cs="仿宋_GB2312" w:eastAsia="仿宋_GB2312"/>
                      <w:sz w:val="24"/>
                      <w:b/>
                      <w:color w:val="FF0000"/>
                    </w:rPr>
                    <w:t>备注</w:t>
                  </w:r>
                </w:p>
              </w:tc>
            </w:tr>
            <w:tr>
              <w:tc>
                <w:tcPr>
                  <w:tcW w:type="dxa" w:w="14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拆除现有地板砖</w:t>
                  </w:r>
                </w:p>
              </w:tc>
              <w:tc>
                <w:tcPr>
                  <w:tcW w:type="dxa" w:w="1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现有地面拆除</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平米</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81</w:t>
                  </w:r>
                </w:p>
              </w:tc>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地暖铺设</w:t>
                  </w:r>
                </w:p>
              </w:tc>
              <w:tc>
                <w:tcPr>
                  <w:tcW w:type="dxa" w:w="1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地暖管铺设、含分水器等设备</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平米</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81</w:t>
                  </w:r>
                </w:p>
              </w:tc>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吊顶拆除</w:t>
                  </w:r>
                </w:p>
              </w:tc>
              <w:tc>
                <w:tcPr>
                  <w:tcW w:type="dxa" w:w="1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矿棉板和铝塑板吊顶拆除</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平米</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81</w:t>
                  </w:r>
                </w:p>
              </w:tc>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地砖铺贴</w:t>
                  </w:r>
                </w:p>
              </w:tc>
              <w:tc>
                <w:tcPr>
                  <w:tcW w:type="dxa" w:w="1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800*800人工辅材费，采用瓷砖胶铺贴工艺，水泥标号为32.5#，地面找平；水泥施工厚度为50㎜以内；</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平米</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81</w:t>
                  </w:r>
                </w:p>
              </w:tc>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指纹锁</w:t>
                  </w:r>
                </w:p>
              </w:tc>
              <w:tc>
                <w:tcPr>
                  <w:tcW w:type="dxa" w:w="1218"/>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木门套</w:t>
                  </w:r>
                </w:p>
              </w:tc>
              <w:tc>
                <w:tcPr>
                  <w:tcW w:type="dxa" w:w="1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实木门套</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防盗门</w:t>
                  </w:r>
                </w:p>
              </w:tc>
              <w:tc>
                <w:tcPr>
                  <w:tcW w:type="dxa" w:w="1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2000*960钢制防盗门</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轻钢龙骨纸面石膏板吊顶含造型</w:t>
                  </w:r>
                </w:p>
              </w:tc>
              <w:tc>
                <w:tcPr>
                  <w:tcW w:type="dxa" w:w="1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8全丝杆钢筋吊杆、50型轻钢龙骨、15mm防火板、9mm纸面石膏板，左右两侧宽度500MM，高度200MM，前后宽度200MM</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平米</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81</w:t>
                  </w:r>
                </w:p>
              </w:tc>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乳胶漆粉刷</w:t>
                  </w:r>
                </w:p>
              </w:tc>
              <w:tc>
                <w:tcPr>
                  <w:tcW w:type="dxa" w:w="1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立邦乳胶3遍、2遍腻子、打磨平整</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平米</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81</w:t>
                  </w:r>
                </w:p>
              </w:tc>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饰面板铺贴</w:t>
                  </w:r>
                </w:p>
              </w:tc>
              <w:tc>
                <w:tcPr>
                  <w:tcW w:type="dxa" w:w="1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实木墙板，基层处理：轻钢龙骨、内放隔音岩棉、木工板基层、装饰墙板饰面。</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平米</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109.66</w:t>
                  </w:r>
                </w:p>
              </w:tc>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公安蓝背景墙</w:t>
                  </w:r>
                </w:p>
              </w:tc>
              <w:tc>
                <w:tcPr>
                  <w:tcW w:type="dxa" w:w="1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500mm*2800mm，材质为环保防撞板，拼接处用金属条，辅料双面胶、泡沫胶、结构胶，基层处理：木龙骨支架、木工板打底，警徽制作、文字制作。</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灯带</w:t>
                  </w:r>
                </w:p>
              </w:tc>
              <w:tc>
                <w:tcPr>
                  <w:tcW w:type="dxa" w:w="1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宽3cm，LED灯</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40</w:t>
                  </w:r>
                </w:p>
              </w:tc>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定制软膜灯箱</w:t>
                  </w:r>
                </w:p>
              </w:tc>
              <w:tc>
                <w:tcPr>
                  <w:tcW w:type="dxa" w:w="1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宽3cm,LED灯</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射灯</w:t>
                  </w:r>
                </w:p>
              </w:tc>
              <w:tc>
                <w:tcPr>
                  <w:tcW w:type="dxa" w:w="1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8W</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w:t>
                  </w:r>
                </w:p>
              </w:tc>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筒灯</w:t>
                  </w:r>
                </w:p>
              </w:tc>
              <w:tc>
                <w:tcPr>
                  <w:tcW w:type="dxa" w:w="1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嵌入式8W</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w:t>
                  </w:r>
                </w:p>
              </w:tc>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遮光窗帘</w:t>
                  </w:r>
                </w:p>
              </w:tc>
              <w:tc>
                <w:tcPr>
                  <w:tcW w:type="dxa" w:w="1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电动遮阳窗帘</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窗套</w:t>
                  </w:r>
                </w:p>
              </w:tc>
              <w:tc>
                <w:tcPr>
                  <w:tcW w:type="dxa" w:w="1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实木</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灯开关</w:t>
                  </w:r>
                </w:p>
              </w:tc>
              <w:tc>
                <w:tcPr>
                  <w:tcW w:type="dxa" w:w="1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2联</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电源插排</w:t>
                  </w:r>
                </w:p>
              </w:tc>
              <w:tc>
                <w:tcPr>
                  <w:tcW w:type="dxa" w:w="1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8位2米电源线</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电源线</w:t>
                  </w:r>
                </w:p>
              </w:tc>
              <w:tc>
                <w:tcPr>
                  <w:tcW w:type="dxa" w:w="1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BV4</w:t>
                  </w:r>
                  <w:r>
                    <w:rPr>
                      <w:rFonts w:ascii="仿宋_GB2312" w:hAnsi="仿宋_GB2312" w:cs="仿宋_GB2312" w:eastAsia="仿宋_GB2312"/>
                      <w:sz w:val="20"/>
                      <w:color w:val="000000"/>
                    </w:rPr>
                    <w:t>㎟</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100</w:t>
                  </w:r>
                </w:p>
              </w:tc>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配管</w:t>
                  </w:r>
                </w:p>
              </w:tc>
              <w:tc>
                <w:tcPr>
                  <w:tcW w:type="dxa" w:w="1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KGB管</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100</w:t>
                  </w:r>
                </w:p>
              </w:tc>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警徽、广告字</w:t>
                  </w:r>
                </w:p>
              </w:tc>
              <w:tc>
                <w:tcPr>
                  <w:tcW w:type="dxa" w:w="1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宣传文字、警徽</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空调迁移</w:t>
                  </w:r>
                </w:p>
              </w:tc>
              <w:tc>
                <w:tcPr>
                  <w:tcW w:type="dxa" w:w="1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两台利旧空调迁移安装（含充氟利昂）</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踢脚线</w:t>
                  </w:r>
                </w:p>
              </w:tc>
              <w:tc>
                <w:tcPr>
                  <w:tcW w:type="dxa" w:w="1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木质高8cm </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w:t>
                  </w:r>
                </w:p>
              </w:tc>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垃圾清运和保洁</w:t>
                  </w:r>
                </w:p>
              </w:tc>
              <w:tc>
                <w:tcPr>
                  <w:tcW w:type="dxa" w:w="1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垃圾清运和保洁</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辅材</w:t>
                  </w:r>
                </w:p>
              </w:tc>
              <w:tc>
                <w:tcPr>
                  <w:tcW w:type="dxa" w:w="1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线扎、接头、胶布、连接器、16A空调专用插座等</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1"/>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pPr>
                    <w:pStyle w:val="null3"/>
                    <w:jc w:val="center"/>
                  </w:pPr>
                  <w:r>
                    <w:rPr>
                      <w:rFonts w:ascii="仿宋_GB2312" w:hAnsi="仿宋_GB2312" w:cs="仿宋_GB2312" w:eastAsia="仿宋_GB2312"/>
                      <w:sz w:val="19"/>
                      <w:b/>
                      <w:color w:val="FF0000"/>
                    </w:rPr>
                    <w:t>27</w:t>
                  </w:r>
                </w:p>
              </w:tc>
              <w:tc>
                <w:tcPr>
                  <w:tcW w:type="dxa" w:w="271"/>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pPr>
                    <w:pStyle w:val="null3"/>
                    <w:jc w:val="center"/>
                  </w:pPr>
                  <w:r>
                    <w:rPr>
                      <w:rFonts w:ascii="仿宋_GB2312" w:hAnsi="仿宋_GB2312" w:cs="仿宋_GB2312" w:eastAsia="仿宋_GB2312"/>
                      <w:sz w:val="19"/>
                      <w:b/>
                      <w:color w:val="FF0000"/>
                    </w:rPr>
                    <w:t>小计</w:t>
                  </w:r>
                </w:p>
              </w:tc>
              <w:tc>
                <w:tcPr>
                  <w:tcW w:type="dxa" w:w="1218"/>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tc>
              <w:tc>
                <w:tcPr>
                  <w:tcW w:type="dxa" w:w="743"/>
                  <w:gridSpan w:val="4"/>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tc>
              <w:tc>
                <w:tcPr>
                  <w:tcW w:type="dxa" w:w="176"/>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tc>
            </w:tr>
            <w:tr>
              <w:tc>
                <w:tcPr>
                  <w:tcW w:type="dxa" w:w="141"/>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pPr>
                    <w:pStyle w:val="null3"/>
                    <w:jc w:val="center"/>
                  </w:pPr>
                  <w:r>
                    <w:rPr>
                      <w:rFonts w:ascii="仿宋_GB2312" w:hAnsi="仿宋_GB2312" w:cs="仿宋_GB2312" w:eastAsia="仿宋_GB2312"/>
                      <w:sz w:val="19"/>
                      <w:b/>
                      <w:color w:val="FF0000"/>
                    </w:rPr>
                    <w:t>28</w:t>
                  </w:r>
                </w:p>
              </w:tc>
              <w:tc>
                <w:tcPr>
                  <w:tcW w:type="dxa" w:w="271"/>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pPr>
                    <w:pStyle w:val="null3"/>
                    <w:jc w:val="center"/>
                  </w:pPr>
                  <w:r>
                    <w:rPr>
                      <w:rFonts w:ascii="仿宋_GB2312" w:hAnsi="仿宋_GB2312" w:cs="仿宋_GB2312" w:eastAsia="仿宋_GB2312"/>
                      <w:sz w:val="19"/>
                      <w:b/>
                      <w:color w:val="FF0000"/>
                    </w:rPr>
                    <w:t>施工调试费</w:t>
                  </w:r>
                </w:p>
              </w:tc>
              <w:tc>
                <w:tcPr>
                  <w:tcW w:type="dxa" w:w="1218"/>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pPr>
                    <w:pStyle w:val="null3"/>
                    <w:jc w:val="center"/>
                  </w:pPr>
                  <w:r>
                    <w:rPr>
                      <w:rFonts w:ascii="仿宋_GB2312" w:hAnsi="仿宋_GB2312" w:cs="仿宋_GB2312" w:eastAsia="仿宋_GB2312"/>
                      <w:sz w:val="19"/>
                      <w:b/>
                      <w:color w:val="FF0000"/>
                    </w:rPr>
                    <w:t>材料费*10%</w:t>
                  </w:r>
                </w:p>
              </w:tc>
              <w:tc>
                <w:tcPr>
                  <w:tcW w:type="dxa" w:w="743"/>
                  <w:gridSpan w:val="4"/>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tc>
              <w:tc>
                <w:tcPr>
                  <w:tcW w:type="dxa" w:w="176"/>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tc>
            </w:tr>
            <w:tr>
              <w:tc>
                <w:tcPr>
                  <w:tcW w:type="dxa" w:w="141"/>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pPr>
                    <w:pStyle w:val="null3"/>
                    <w:jc w:val="center"/>
                  </w:pPr>
                  <w:r>
                    <w:rPr>
                      <w:rFonts w:ascii="仿宋_GB2312" w:hAnsi="仿宋_GB2312" w:cs="仿宋_GB2312" w:eastAsia="仿宋_GB2312"/>
                      <w:sz w:val="19"/>
                      <w:b/>
                      <w:color w:val="FF0000"/>
                    </w:rPr>
                    <w:t>29</w:t>
                  </w:r>
                </w:p>
              </w:tc>
              <w:tc>
                <w:tcPr>
                  <w:tcW w:type="dxa" w:w="271"/>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pPr>
                    <w:pStyle w:val="null3"/>
                    <w:jc w:val="center"/>
                  </w:pPr>
                  <w:r>
                    <w:rPr>
                      <w:rFonts w:ascii="仿宋_GB2312" w:hAnsi="仿宋_GB2312" w:cs="仿宋_GB2312" w:eastAsia="仿宋_GB2312"/>
                      <w:sz w:val="19"/>
                      <w:b/>
                      <w:color w:val="FF0000"/>
                    </w:rPr>
                    <w:t>税金</w:t>
                  </w:r>
                </w:p>
              </w:tc>
              <w:tc>
                <w:tcPr>
                  <w:tcW w:type="dxa" w:w="1218"/>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pPr>
                    <w:pStyle w:val="null3"/>
                    <w:jc w:val="center"/>
                  </w:pPr>
                  <w:r>
                    <w:rPr>
                      <w:rFonts w:ascii="仿宋_GB2312" w:hAnsi="仿宋_GB2312" w:cs="仿宋_GB2312" w:eastAsia="仿宋_GB2312"/>
                      <w:sz w:val="19"/>
                      <w:b/>
                      <w:color w:val="FF0000"/>
                    </w:rPr>
                    <w:t>（材料费+安装调试费）*6%</w:t>
                  </w:r>
                </w:p>
              </w:tc>
              <w:tc>
                <w:tcPr>
                  <w:tcW w:type="dxa" w:w="743"/>
                  <w:gridSpan w:val="4"/>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tc>
              <w:tc>
                <w:tcPr>
                  <w:tcW w:type="dxa" w:w="176"/>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tc>
            </w:tr>
            <w:tr>
              <w:tc>
                <w:tcPr>
                  <w:tcW w:type="dxa" w:w="141"/>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pPr>
                    <w:pStyle w:val="null3"/>
                    <w:jc w:val="center"/>
                  </w:pPr>
                  <w:r>
                    <w:rPr>
                      <w:rFonts w:ascii="仿宋_GB2312" w:hAnsi="仿宋_GB2312" w:cs="仿宋_GB2312" w:eastAsia="仿宋_GB2312"/>
                      <w:sz w:val="19"/>
                      <w:b/>
                      <w:color w:val="FF0000"/>
                    </w:rPr>
                    <w:t>30</w:t>
                  </w:r>
                </w:p>
              </w:tc>
              <w:tc>
                <w:tcPr>
                  <w:tcW w:type="dxa" w:w="271"/>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pPr>
                    <w:pStyle w:val="null3"/>
                    <w:jc w:val="center"/>
                  </w:pPr>
                  <w:r>
                    <w:rPr>
                      <w:rFonts w:ascii="仿宋_GB2312" w:hAnsi="仿宋_GB2312" w:cs="仿宋_GB2312" w:eastAsia="仿宋_GB2312"/>
                      <w:sz w:val="19"/>
                      <w:b/>
                      <w:color w:val="FF0000"/>
                    </w:rPr>
                    <w:t>合计</w:t>
                  </w:r>
                </w:p>
              </w:tc>
              <w:tc>
                <w:tcPr>
                  <w:tcW w:type="dxa" w:w="1218"/>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tc>
              <w:tc>
                <w:tcPr>
                  <w:tcW w:type="dxa" w:w="743"/>
                  <w:gridSpan w:val="4"/>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tc>
              <w:tc>
                <w:tcPr>
                  <w:tcW w:type="dxa" w:w="176"/>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tc>
            </w:tr>
          </w:tbl>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2026年9月30日前完成</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淳化县公安局院内</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其他，验收合格后一次性支付，达到付款条件起15个工作日内，支付合同总金额的100.0%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依据投标文件技术参数</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1、履约保证金的有效期为12个月，该项目质保期为12个月。2、如乙方未能履行合同规定的义务，甲方有权从履约保证金中取得补偿。</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1、因货物的质量问题发生争议，由质量技术监督部门或其指定的质量鉴定机构进行质量鉴定。货物符合标准的，鉴定费由甲方承担；货物不符合质量标准的，鉴定费由乙方承担。 2、因履行本合同引起的或与本合同有关的争议，甲、乙双方应首先通过友好协商解决，如果协商不成，则采取以下第2种方式解决争议： （1）向甲方所在地有管辖权的人民法院提起诉讼； （2）向甲方所在地仲裁委员会按其仲裁规则申请仲裁。 3．在仲裁期间，本合同应继续履行。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技术参数偏离表.docx 开标一览表 投标函 标的清单 方案.docx 投标文件封面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营业主体</w:t>
            </w:r>
          </w:p>
        </w:tc>
        <w:tc>
          <w:tcPr>
            <w:tcW w:type="dxa" w:w="3322"/>
          </w:tcPr>
          <w:p>
            <w:pPr>
              <w:pStyle w:val="null3"/>
            </w:pPr>
            <w:r>
              <w:rPr>
                <w:rFonts w:ascii="仿宋_GB2312" w:hAnsi="仿宋_GB2312" w:cs="仿宋_GB2312" w:eastAsia="仿宋_GB2312"/>
              </w:rPr>
              <w:t>投标人应是独立承担民事责任能力的法人、其他组织或自然人，法人、其他组织须提供合法有效的营业执照(或事业单位法人证书)等证明资料，自然人须提供身份证明。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法定代表人授权委托书（附法定代表人身份证复印件及被授权人身份证复印件）；法定代表人直接参加磋商只需提供法定代表人身份证明书（附法定代表人身份证复印件）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投标人需提供2024年度或2025年度经审计的供应商财务审计报告或者开标前三个月内的银行资信证 明或财政部门认可的政府采购专业担保机构出具的投标担保函；</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提供开标截止时间前半年内任意一个月的纳税证明或完税证明；依法免税的单位应提供相关证明材料；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提供开标截止时间前半年内任意一个月的社保机构开具的社会保险参保缴费情况证明；依法不需要缴纳社会保障资金的单位应提供相关证明材料；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参加本次招标前3年内，在政府采购经营活动中没有重大违法记录的书面声明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不得为“信用中国”网站(http://www.creditchina.gov.cn)列入“失信被执行人（页面跳转至“中国执行信息公开网http://zxgk.court.gov.cn/shixin/）、重大税收违法失信主体”的投标人；不得为中国政府采购网 (http://www.ccgp.gov.cn)“政府采购严重违法失信行为记录名单”中的投标人；</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专业技术能力声明</w:t>
            </w:r>
          </w:p>
        </w:tc>
        <w:tc>
          <w:tcPr>
            <w:tcW w:type="dxa" w:w="3322"/>
          </w:tcPr>
          <w:p>
            <w:pPr>
              <w:pStyle w:val="null3"/>
            </w:pPr>
            <w:r>
              <w:rPr>
                <w:rFonts w:ascii="仿宋_GB2312" w:hAnsi="仿宋_GB2312" w:cs="仿宋_GB2312" w:eastAsia="仿宋_GB2312"/>
              </w:rPr>
              <w:t>具有履行合同所必需的设备和专业技术能力；</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方案.docx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响应主体</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方案.docx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文件组成</w:t>
            </w:r>
          </w:p>
        </w:tc>
        <w:tc>
          <w:tcPr>
            <w:tcW w:type="dxa" w:w="3322"/>
          </w:tcPr>
          <w:p>
            <w:pPr>
              <w:pStyle w:val="null3"/>
            </w:pPr>
            <w:r>
              <w:rPr>
                <w:rFonts w:ascii="仿宋_GB2312" w:hAnsi="仿宋_GB2312" w:cs="仿宋_GB2312" w:eastAsia="仿宋_GB2312"/>
              </w:rPr>
              <w:t>符合招标文件格式要求</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方案.docx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方案.docx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应符合</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方案.docx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法律、法规规定的其他情形</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方案.docx 投标文件封面 监狱企业的证明文件 投标人应提交的相关资格证明材料</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技术指标及配置</w:t>
            </w:r>
          </w:p>
        </w:tc>
        <w:tc>
          <w:tcPr>
            <w:tcW w:type="dxa" w:w="2492"/>
          </w:tcPr>
          <w:p>
            <w:pPr>
              <w:pStyle w:val="null3"/>
            </w:pPr>
            <w:r>
              <w:rPr>
                <w:rFonts w:ascii="仿宋_GB2312" w:hAnsi="仿宋_GB2312" w:cs="仿宋_GB2312" w:eastAsia="仿宋_GB2312"/>
              </w:rPr>
              <w:t>所投产品技术参数清楚、明确并能逐条响应并满足招标文件内容及要求，中所有参数要求，得30分。每出现1项负偏离扣1分，扣完本项30分为止。（未提供佐证材料或佐证材料无法证明其响应性的视为负偏离） 备注：佐证材料需清晰可辨，并加盖供应商公章。</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技术参数偏离表.docx</w:t>
            </w:r>
          </w:p>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供应商提供所投第三章《技术要求》中产品的合法来源渠道证明文件，满分3分，不提供不得分。以下资料提供任意一种:1、如供应商为所投产品代理商:提供货物的合法来源渠道证明文件(例如:产品制造商授权、销售协议、代理协议等证明文件)，每提供一份证明文件得0.5分，满分3分。2、如供应商为所投产品的制造商:需提供情况说明(说明某一项产品为制造商自己生产)，情况说明每涉及一项产品得0.5分，满分3分。备注:以加盖供应商公章的证明材料复印件为计分依据</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技术参数偏离表.docx</w:t>
            </w:r>
          </w:p>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环境标志产品</w:t>
            </w:r>
          </w:p>
        </w:tc>
        <w:tc>
          <w:tcPr>
            <w:tcW w:type="dxa" w:w="2492"/>
          </w:tcPr>
          <w:p>
            <w:pPr>
              <w:pStyle w:val="null3"/>
            </w:pPr>
            <w:r>
              <w:rPr>
                <w:rFonts w:ascii="仿宋_GB2312" w:hAnsi="仿宋_GB2312" w:cs="仿宋_GB2312" w:eastAsia="仿宋_GB2312"/>
              </w:rPr>
              <w:t>所投产品为“环境标志产品政府采购品目清单”内的，应提供该产品由国家确定的认证机构出具的中国环境标志产品认证证书且处于有效期内的，每提供一个得0.5分，满分3分。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技术参数偏离表.docx</w:t>
            </w:r>
          </w:p>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进度计划保障方案</w:t>
            </w:r>
          </w:p>
        </w:tc>
        <w:tc>
          <w:tcPr>
            <w:tcW w:type="dxa" w:w="2492"/>
          </w:tcPr>
          <w:p>
            <w:pPr>
              <w:pStyle w:val="null3"/>
            </w:pPr>
            <w:r>
              <w:rPr>
                <w:rFonts w:ascii="仿宋_GB2312" w:hAnsi="仿宋_GB2312" w:cs="仿宋_GB2312" w:eastAsia="仿宋_GB2312"/>
              </w:rPr>
              <w:t>供应商针对本项目提出进度计划 保障方案，包含但不限于①阶段划分与里程任务、②任务分解与时间安排、③责任分工与资源配置、④进度监控与汇报机制等，内容完整、详细、合理、可操作性强，符合项目要求。每项满分2分，缺项不得分 , 每项内容存在缺陷，扣0.5分。缺陷是指内容不合理、虽有内容但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技术参数偏离表.docx</w:t>
            </w:r>
          </w:p>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供应商针对本项目提出实施方案，包含但不限于①供货方案、②安装与调试、③维修保养的培训服务、④应急预案等，内容完整、详细、合理、可操作性强，符合项目要求。每项满分2分，缺项不得分 , 每项内容存在缺陷，扣0.5分。缺陷是指内容不合理、虽有内容但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技术参数偏离表.docx</w:t>
            </w:r>
          </w:p>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供应商针对本项目提出质量保证方案，包含但不限于①质量目标与承诺、②质量管理体系、③全过程质量控制措施、④质量风险防控与应急预案等，内容完整、详细、合理、可操作性强，符合项目要求。每项满分1分，缺项不得分 , 每项内容存在缺陷，扣0.5分。缺陷是指内容不合理、虽有内容但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技术参数偏离表.docx</w:t>
            </w:r>
          </w:p>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供应商针对本项目提出售后服务方案，包含但不限于①备品备件及耗材保障方案及承诺、②质保期间的响应保障方案、③相关服务承诺、④售后人员保障等，内容完整、详细、合理、可操作性强，符合项目要求。每项满分2分，缺项不得分 , 每项内容存在缺陷，扣0.5分。缺陷是指内容不合理、虽有内容但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技术参数偏离表.docx</w:t>
            </w:r>
          </w:p>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投标人需截止开标日期提近三年（2023年8月至今）类似业绩：每提供一项得 2 分，最高得 6分（提供类似业绩的中标通知书和合同），不提供或提供的资料不全不得分。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技术参数偏离表.docx</w:t>
            </w:r>
          </w:p>
          <w:p>
            <w:pPr>
              <w:pStyle w:val="null3"/>
            </w:pPr>
            <w:r>
              <w:rPr>
                <w:rFonts w:ascii="仿宋_GB2312" w:hAnsi="仿宋_GB2312" w:cs="仿宋_GB2312" w:eastAsia="仿宋_GB2312"/>
              </w:rPr>
              <w:t>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技术参数偏离表.docx</w:t>
            </w:r>
          </w:p>
          <w:p>
            <w:pPr>
              <w:pStyle w:val="null3"/>
            </w:pPr>
            <w:r>
              <w:rPr>
                <w:rFonts w:ascii="仿宋_GB2312" w:hAnsi="仿宋_GB2312" w:cs="仿宋_GB2312" w:eastAsia="仿宋_GB2312"/>
              </w:rPr>
              <w:t>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价格分采用低价优先法计算，即满足本招标文件要求的最低投标报价为评标基准价，其价格分为满分，其它供应商的价格分统一按照下列公式计算：投标报价得分=（评标基准价／投标报价）×价格分分值（精 确到小数点后两位）。 超过了采购项目最高限价的，为无效投标。</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技术参数偏离表.docx</w:t>
            </w:r>
          </w:p>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技术参数偏离表.docx</w:t>
            </w:r>
          </w:p>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详见附件：技术参数偏离表.docx</w:t>
      </w:r>
    </w:p>
    <w:p>
      <w:pPr>
        <w:pStyle w:val="null3"/>
        <w:ind w:firstLine="960"/>
      </w:pPr>
      <w:r>
        <w:rPr>
          <w:rFonts w:ascii="仿宋_GB2312" w:hAnsi="仿宋_GB2312" w:cs="仿宋_GB2312" w:eastAsia="仿宋_GB2312"/>
        </w:rPr>
        <w:t>详见附件：方案.docx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