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版本号：ZX2026-05-8020260612001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2026年毕业生公寓粉刷及修补类工程项目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ZX2026-05-80</w:t>
      </w:r>
      <w:r>
        <w:br/>
      </w:r>
      <w:r>
        <w:br/>
      </w:r>
      <w:r>
        <w:br/>
      </w:r>
    </w:p>
    <w:p>
      <w:pPr>
        <w:pStyle w:val="null3"/>
        <w:jc w:val="center"/>
        <w:outlineLvl w:val="2"/>
      </w:pPr>
      <w:r>
        <w:rPr>
          <w:rFonts w:ascii="仿宋_GB2312" w:hAnsi="仿宋_GB2312" w:cs="仿宋_GB2312" w:eastAsia="仿宋_GB2312"/>
          <w:sz w:val="28"/>
          <w:b/>
        </w:rPr>
        <w:t>西安邮电大学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西安邮电大学</w:t>
      </w:r>
      <w:r>
        <w:rPr>
          <w:rFonts w:ascii="仿宋_GB2312" w:hAnsi="仿宋_GB2312" w:cs="仿宋_GB2312" w:eastAsia="仿宋_GB2312"/>
        </w:rPr>
        <w:t>委托，拟对</w:t>
      </w:r>
      <w:r>
        <w:rPr>
          <w:rFonts w:ascii="仿宋_GB2312" w:hAnsi="仿宋_GB2312" w:cs="仿宋_GB2312" w:eastAsia="仿宋_GB2312"/>
        </w:rPr>
        <w:t>2026年毕业生公寓粉刷及修补类工程项目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ZX2026-05-80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2026年毕业生公寓粉刷及修补类工程项目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2026年毕业生公寓粉刷及修补类工程项目，共分为3个采购包。具体详见磋商文件第3章。 本项目兼投不兼中，供应商可投多个包但最多只能中一个包。评审按照“采购包1、采购包2、采购包3”顺序进行评审，如供应商已经被推荐为前述包第一成交候选人，可参与后续其他采购包评审，但不再被推荐为成交候选人。</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采购包1（采购包1）：属于专门面向中小企业采购。</w:t>
      </w:r>
    </w:p>
    <w:p>
      <w:pPr>
        <w:pStyle w:val="null3"/>
      </w:pPr>
      <w:r>
        <w:rPr>
          <w:rFonts w:ascii="仿宋_GB2312" w:hAnsi="仿宋_GB2312" w:cs="仿宋_GB2312" w:eastAsia="仿宋_GB2312"/>
        </w:rPr>
        <w:t>采购包2（采购包2）：属于专门面向中小企业采购。</w:t>
      </w:r>
    </w:p>
    <w:p>
      <w:pPr>
        <w:pStyle w:val="null3"/>
      </w:pPr>
      <w:r>
        <w:rPr>
          <w:rFonts w:ascii="仿宋_GB2312" w:hAnsi="仿宋_GB2312" w:cs="仿宋_GB2312" w:eastAsia="仿宋_GB2312"/>
        </w:rPr>
        <w:t>采购包3（采购包3）：属于专门面向中小企业采购。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参加磋商的，须提供法定代表⼈⾝份证；法定代表⼈授权本单位他⼈参加磋商的，须提供法定代表⼈授权委托书及被授权人开标前六个月内任意一个月（不含开标当月）在本公司缴纳的社保证明。</w:t>
      </w:r>
    </w:p>
    <w:p>
      <w:pPr>
        <w:pStyle w:val="null3"/>
      </w:pPr>
      <w:r>
        <w:rPr>
          <w:rFonts w:ascii="仿宋_GB2312" w:hAnsi="仿宋_GB2312" w:cs="仿宋_GB2312" w:eastAsia="仿宋_GB2312"/>
        </w:rPr>
        <w:t>2、本项目不接受联合体投标，不允许分包：本项目不接受联合体投标，不允许分包。供应商应提供《非联合体不分包投标声明》。</w:t>
      </w:r>
    </w:p>
    <w:p>
      <w:pPr>
        <w:pStyle w:val="null3"/>
      </w:pPr>
      <w:r>
        <w:rPr>
          <w:rFonts w:ascii="仿宋_GB2312" w:hAnsi="仿宋_GB2312" w:cs="仿宋_GB2312" w:eastAsia="仿宋_GB2312"/>
        </w:rPr>
        <w:t>3、施工资质：供应商须具备建筑工程施工总承包三级以上（含三级）资质或建筑装修装饰工程专业承包二级以上（含二级）资质，同时具备有效的安全生产许可证。</w:t>
      </w:r>
    </w:p>
    <w:p>
      <w:pPr>
        <w:pStyle w:val="null3"/>
      </w:pPr>
      <w:r>
        <w:rPr>
          <w:rFonts w:ascii="仿宋_GB2312" w:hAnsi="仿宋_GB2312" w:cs="仿宋_GB2312" w:eastAsia="仿宋_GB2312"/>
        </w:rPr>
        <w:t>4、项目负责人资质和专业要求：拟派项目经理具有建筑工程专业二级以上（含二级）注册建造师执业资格，并具有合法有效的安全生产考核合格证（建安B证），须在本单位注册，且无其他在建工程（提供无在建工程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参加磋商的，须提供法定代表⼈⾝份证；法定代表⼈授权本单位他⼈参加磋商的，须提供法定代表⼈授权委托书及被授权人开标前六个月内任意一个月（不含开标当月）在本公司缴纳的社保证明。</w:t>
      </w:r>
    </w:p>
    <w:p>
      <w:pPr>
        <w:pStyle w:val="null3"/>
      </w:pPr>
      <w:r>
        <w:rPr>
          <w:rFonts w:ascii="仿宋_GB2312" w:hAnsi="仿宋_GB2312" w:cs="仿宋_GB2312" w:eastAsia="仿宋_GB2312"/>
        </w:rPr>
        <w:t>2、本项目不接受联合体投标，不允许分包：本项目不接受联合体投标，不允许分包。供应商应提供《非联合体不分包投标声明》。</w:t>
      </w:r>
    </w:p>
    <w:p>
      <w:pPr>
        <w:pStyle w:val="null3"/>
      </w:pPr>
      <w:r>
        <w:rPr>
          <w:rFonts w:ascii="仿宋_GB2312" w:hAnsi="仿宋_GB2312" w:cs="仿宋_GB2312" w:eastAsia="仿宋_GB2312"/>
        </w:rPr>
        <w:t>3、施工资质：供应商须具备建筑工程施工总承包三级以上（含三级）资质或建筑装修装饰工程专业承包二级以上（含二级）资质，同时具备有效的安全生产许可证。</w:t>
      </w:r>
    </w:p>
    <w:p>
      <w:pPr>
        <w:pStyle w:val="null3"/>
      </w:pPr>
      <w:r>
        <w:rPr>
          <w:rFonts w:ascii="仿宋_GB2312" w:hAnsi="仿宋_GB2312" w:cs="仿宋_GB2312" w:eastAsia="仿宋_GB2312"/>
        </w:rPr>
        <w:t>4、项目负责人资质和专业要求：拟派项目经理具有建筑工程专业二级以上（含二级）注册建造师执业资格，并具有合法有效的安全生产考核合格证（建安B证），须在本单位注册，且无其他在建工程（提供无在建工程承诺书）。</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委托书：法定代表⼈参加磋商的，须提供法定代表⼈⾝份证；法定代表⼈授权本单位他⼈参加磋商的，须提供法定代表⼈授权委托书及被授权人开标前六个月内任意一个月（不含开标当月）在本公司缴纳的社保证明。</w:t>
      </w:r>
    </w:p>
    <w:p>
      <w:pPr>
        <w:pStyle w:val="null3"/>
      </w:pPr>
      <w:r>
        <w:rPr>
          <w:rFonts w:ascii="仿宋_GB2312" w:hAnsi="仿宋_GB2312" w:cs="仿宋_GB2312" w:eastAsia="仿宋_GB2312"/>
        </w:rPr>
        <w:t>2、本项目不接受联合体投标，不允许分包：本项目不接受联合体投标，不允许分包。供应商应提供《非联合体不分包投标声明》。</w:t>
      </w:r>
    </w:p>
    <w:p>
      <w:pPr>
        <w:pStyle w:val="null3"/>
      </w:pPr>
      <w:r>
        <w:rPr>
          <w:rFonts w:ascii="仿宋_GB2312" w:hAnsi="仿宋_GB2312" w:cs="仿宋_GB2312" w:eastAsia="仿宋_GB2312"/>
        </w:rPr>
        <w:t>3、施工资质：供应商须具备建筑工程施工总承包三级以上（含三级）资质或建筑装修装饰工程专业承包二级以上（含二级）资质，同时具备有效的安全生产许可证。</w:t>
      </w:r>
    </w:p>
    <w:p>
      <w:pPr>
        <w:pStyle w:val="null3"/>
      </w:pPr>
      <w:r>
        <w:rPr>
          <w:rFonts w:ascii="仿宋_GB2312" w:hAnsi="仿宋_GB2312" w:cs="仿宋_GB2312" w:eastAsia="仿宋_GB2312"/>
        </w:rPr>
        <w:t>4、项目负责人资质和专业要求：拟派项目经理具有建筑工程专业二级以上（含二级）注册建造师执业资格，并具有合法有效的安全生产考核合格证（建安B证），须在本单位注册，且无其他在建工程（提供无在建工程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西安邮电大学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西安市长安区西长安街618号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029-88166850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曹婷 王宇轩 崔文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采购包1：711,317.84元</w:t>
            </w:r>
          </w:p>
          <w:p>
            <w:pPr>
              <w:pStyle w:val="null3"/>
            </w:pPr>
            <w:r>
              <w:rPr>
                <w:rFonts w:ascii="仿宋_GB2312" w:hAnsi="仿宋_GB2312" w:cs="仿宋_GB2312" w:eastAsia="仿宋_GB2312"/>
              </w:rPr>
              <w:t>采购包2：616,653.68元</w:t>
            </w:r>
          </w:p>
          <w:p>
            <w:pPr>
              <w:pStyle w:val="null3"/>
            </w:pPr>
            <w:r>
              <w:rPr>
                <w:rFonts w:ascii="仿宋_GB2312" w:hAnsi="仿宋_GB2312" w:cs="仿宋_GB2312" w:eastAsia="仿宋_GB2312"/>
              </w:rPr>
              <w:t>采购包3：748,004.66元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采购包1保证金金额：12,580.00元</w:t>
            </w:r>
          </w:p>
          <w:p>
            <w:pPr>
              <w:pStyle w:val="null3"/>
            </w:pPr>
            <w:r>
              <w:rPr>
                <w:rFonts w:ascii="仿宋_GB2312" w:hAnsi="仿宋_GB2312" w:cs="仿宋_GB2312" w:eastAsia="仿宋_GB2312"/>
              </w:rPr>
              <w:t>采购包2保证金金额：10,580.00元</w:t>
            </w:r>
          </w:p>
          <w:p>
            <w:pPr>
              <w:pStyle w:val="null3"/>
            </w:pPr>
            <w:r>
              <w:rPr>
                <w:rFonts w:ascii="仿宋_GB2312" w:hAnsi="仿宋_GB2312" w:cs="仿宋_GB2312" w:eastAsia="仿宋_GB2312"/>
              </w:rPr>
              <w:t>采购包3保证金金额：13,580.00元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说明：要求提供，本项目履约保证金为合同金额的5%，项目验收合格后及时退还。交纳形式为银行转账等非现金形式。</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说明：要求提供，本项目履约保证金为合同金额的5%，项目验收合格后及时退还。交纳形式为银行转账等非现金形式。</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说明：要求提供，本项目履约保证金为合同金额的5%，项目验收合格后及时退还。交纳形式为银行转账等非现金形式。</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金额50万元以内的参照国家计委计价格[2002]1980号通知规定按标准收取；成交金额50万元及以上的参照国家计委计价格[2002]1980号通知规定按标准下浮20%收取，由成交供应商支付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踏勘时间：2026-06-24 10:00:00</w:t>
            </w:r>
          </w:p>
          <w:p>
            <w:pPr>
              <w:pStyle w:val="null3"/>
              <w:ind w:firstLine="975"/>
            </w:pPr>
            <w:r>
              <w:rPr>
                <w:rFonts w:ascii="仿宋_GB2312" w:hAnsi="仿宋_GB2312" w:cs="仿宋_GB2312" w:eastAsia="仿宋_GB2312"/>
              </w:rPr>
              <w:t>踏勘地点：西安邮电大学长安校区西区北门门口</w:t>
            </w:r>
          </w:p>
          <w:p>
            <w:pPr>
              <w:pStyle w:val="null3"/>
              <w:ind w:firstLine="975"/>
            </w:pPr>
            <w:r>
              <w:rPr>
                <w:rFonts w:ascii="仿宋_GB2312" w:hAnsi="仿宋_GB2312" w:cs="仿宋_GB2312" w:eastAsia="仿宋_GB2312"/>
              </w:rPr>
              <w:t>联系人：杨老师</w:t>
            </w:r>
          </w:p>
          <w:p>
            <w:pPr>
              <w:pStyle w:val="null3"/>
              <w:ind w:firstLine="975"/>
            </w:pPr>
            <w:r>
              <w:rPr>
                <w:rFonts w:ascii="仿宋_GB2312" w:hAnsi="仿宋_GB2312" w:cs="仿宋_GB2312" w:eastAsia="仿宋_GB2312"/>
              </w:rPr>
              <w:t>联系电话号码：029-88166209</w:t>
            </w:r>
          </w:p>
          <w:p>
            <w:pPr>
              <w:pStyle w:val="null3"/>
            </w:pPr>
            <w:r>
              <w:rPr>
                <w:rFonts w:ascii="仿宋_GB2312" w:hAnsi="仿宋_GB2312" w:cs="仿宋_GB2312" w:eastAsia="仿宋_GB2312"/>
              </w:rPr>
              <w:t>采购包2：组织现场踏勘：是</w:t>
            </w:r>
          </w:p>
          <w:p>
            <w:pPr>
              <w:pStyle w:val="null3"/>
              <w:ind w:firstLine="975"/>
            </w:pPr>
            <w:r>
              <w:rPr>
                <w:rFonts w:ascii="仿宋_GB2312" w:hAnsi="仿宋_GB2312" w:cs="仿宋_GB2312" w:eastAsia="仿宋_GB2312"/>
              </w:rPr>
              <w:t>踏勘时间：2026-06-24 10:00:00</w:t>
            </w:r>
          </w:p>
          <w:p>
            <w:pPr>
              <w:pStyle w:val="null3"/>
              <w:ind w:firstLine="975"/>
            </w:pPr>
            <w:r>
              <w:rPr>
                <w:rFonts w:ascii="仿宋_GB2312" w:hAnsi="仿宋_GB2312" w:cs="仿宋_GB2312" w:eastAsia="仿宋_GB2312"/>
              </w:rPr>
              <w:t>踏勘地点：西安邮电大学长安校区西区北门门口</w:t>
            </w:r>
          </w:p>
          <w:p>
            <w:pPr>
              <w:pStyle w:val="null3"/>
              <w:ind w:firstLine="975"/>
            </w:pPr>
            <w:r>
              <w:rPr>
                <w:rFonts w:ascii="仿宋_GB2312" w:hAnsi="仿宋_GB2312" w:cs="仿宋_GB2312" w:eastAsia="仿宋_GB2312"/>
              </w:rPr>
              <w:t>联系人：杨老师</w:t>
            </w:r>
          </w:p>
          <w:p>
            <w:pPr>
              <w:pStyle w:val="null3"/>
              <w:ind w:firstLine="975"/>
            </w:pPr>
            <w:r>
              <w:rPr>
                <w:rFonts w:ascii="仿宋_GB2312" w:hAnsi="仿宋_GB2312" w:cs="仿宋_GB2312" w:eastAsia="仿宋_GB2312"/>
              </w:rPr>
              <w:t>联系电话号码：029-88166209</w:t>
            </w:r>
          </w:p>
          <w:p>
            <w:pPr>
              <w:pStyle w:val="null3"/>
            </w:pPr>
            <w:r>
              <w:rPr>
                <w:rFonts w:ascii="仿宋_GB2312" w:hAnsi="仿宋_GB2312" w:cs="仿宋_GB2312" w:eastAsia="仿宋_GB2312"/>
              </w:rPr>
              <w:t>采购包3：组织现场踏勘：是</w:t>
            </w:r>
          </w:p>
          <w:p>
            <w:pPr>
              <w:pStyle w:val="null3"/>
              <w:ind w:firstLine="975"/>
            </w:pPr>
            <w:r>
              <w:rPr>
                <w:rFonts w:ascii="仿宋_GB2312" w:hAnsi="仿宋_GB2312" w:cs="仿宋_GB2312" w:eastAsia="仿宋_GB2312"/>
              </w:rPr>
              <w:t>踏勘时间：2026-06-24 10:00:00</w:t>
            </w:r>
          </w:p>
          <w:p>
            <w:pPr>
              <w:pStyle w:val="null3"/>
              <w:ind w:firstLine="975"/>
            </w:pPr>
            <w:r>
              <w:rPr>
                <w:rFonts w:ascii="仿宋_GB2312" w:hAnsi="仿宋_GB2312" w:cs="仿宋_GB2312" w:eastAsia="仿宋_GB2312"/>
              </w:rPr>
              <w:t>踏勘地点：西安邮电大学长安校区西区北门门口</w:t>
            </w:r>
          </w:p>
          <w:p>
            <w:pPr>
              <w:pStyle w:val="null3"/>
              <w:ind w:firstLine="975"/>
            </w:pPr>
            <w:r>
              <w:rPr>
                <w:rFonts w:ascii="仿宋_GB2312" w:hAnsi="仿宋_GB2312" w:cs="仿宋_GB2312" w:eastAsia="仿宋_GB2312"/>
              </w:rPr>
              <w:t>联系人：杨老师</w:t>
            </w:r>
          </w:p>
          <w:p>
            <w:pPr>
              <w:pStyle w:val="null3"/>
              <w:ind w:firstLine="975"/>
            </w:pPr>
            <w:r>
              <w:rPr>
                <w:rFonts w:ascii="仿宋_GB2312" w:hAnsi="仿宋_GB2312" w:cs="仿宋_GB2312" w:eastAsia="仿宋_GB2312"/>
              </w:rPr>
              <w:t>联系电话号码：029-88166209</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西安邮电大学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西安邮电大学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西安邮电大学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采购包3：项目单价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一、按照磋商文件、供应商响应文件及合同文本执行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一、按照磋商文件、供应商响应文件及合同文本执行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一、按照磋商文件、供应商响应文件及合同文本执行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 三、验收结果合格的，采购人应向成交供应商出具履约验收报告，成交供应商凭验收报告办理相关手续。 四、验收结果不合格的，履约保证金将不予退还，给采购人造成的损失超过履约保证金数额的，还应当对超过部分予以赔偿；没有提交履约保证金的，应当对采购人的损失承担赔偿责任。</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联系人：曹婷 祁鑫</w:t>
      </w:r>
    </w:p>
    <w:p>
      <w:pPr>
        <w:pStyle w:val="null3"/>
      </w:pPr>
      <w:r>
        <w:rPr>
          <w:rFonts w:ascii="仿宋_GB2312" w:hAnsi="仿宋_GB2312" w:cs="仿宋_GB2312" w:eastAsia="仿宋_GB2312"/>
        </w:rPr>
        <w:t>联系电话：029-88110800转8032</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711,317.84</w:t>
      </w:r>
    </w:p>
    <w:p>
      <w:pPr>
        <w:pStyle w:val="null3"/>
      </w:pPr>
      <w:r>
        <w:rPr>
          <w:rFonts w:ascii="仿宋_GB2312" w:hAnsi="仿宋_GB2312" w:cs="仿宋_GB2312" w:eastAsia="仿宋_GB2312"/>
        </w:rPr>
        <w:t>采购包最高限价（元）: 711,317.84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2026年毕业生公寓粉刷及修补类工程项目（标段一）</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711,317.84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616,653.68</w:t>
      </w:r>
    </w:p>
    <w:p>
      <w:pPr>
        <w:pStyle w:val="null3"/>
      </w:pPr>
      <w:r>
        <w:rPr>
          <w:rFonts w:ascii="仿宋_GB2312" w:hAnsi="仿宋_GB2312" w:cs="仿宋_GB2312" w:eastAsia="仿宋_GB2312"/>
        </w:rPr>
        <w:t>采购包最高限价（元）: 616,653.68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2026年毕业生公寓粉刷及修补类工程项目（标段二）</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616,653.68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748,004.66</w:t>
      </w:r>
    </w:p>
    <w:p>
      <w:pPr>
        <w:pStyle w:val="null3"/>
      </w:pPr>
      <w:r>
        <w:rPr>
          <w:rFonts w:ascii="仿宋_GB2312" w:hAnsi="仿宋_GB2312" w:cs="仿宋_GB2312" w:eastAsia="仿宋_GB2312"/>
        </w:rPr>
        <w:t>采购包最高限价（元）: 748,004.66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2026年毕业生公寓粉刷及修补类工程项目（标段三）</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748,004.66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标的名称：2026年毕业生公寓粉刷及修补类工程项目（标段一）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1、排查学生宿舍用电用水安全隐患，并提供隐患清单（不含维修）。</w:t>
            </w:r>
          </w:p>
          <w:p>
            <w:pPr>
              <w:pStyle w:val="null3"/>
            </w:pPr>
            <w:r>
              <w:rPr>
                <w:rFonts w:ascii="仿宋_GB2312" w:hAnsi="仿宋_GB2312" w:cs="仿宋_GB2312" w:eastAsia="仿宋_GB2312"/>
              </w:rPr>
              <w:t>2、具体详见</w:t>
            </w:r>
            <w:r>
              <w:rPr>
                <w:rFonts w:ascii="仿宋_GB2312" w:hAnsi="仿宋_GB2312" w:cs="仿宋_GB2312" w:eastAsia="仿宋_GB2312"/>
              </w:rPr>
              <w:t>工程量清单。</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标的名称：2026年毕业生公寓粉刷及修补类工程项目（标段二）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1、排查学生宿舍用电用水安全隐患，并提供隐患清单（不含维修）。</w:t>
            </w:r>
          </w:p>
          <w:p>
            <w:pPr>
              <w:pStyle w:val="null3"/>
            </w:pPr>
            <w:r>
              <w:rPr>
                <w:rFonts w:ascii="仿宋_GB2312" w:hAnsi="仿宋_GB2312" w:cs="仿宋_GB2312" w:eastAsia="仿宋_GB2312"/>
              </w:rPr>
              <w:t>2、具体详见</w:t>
            </w:r>
            <w:r>
              <w:rPr>
                <w:rFonts w:ascii="仿宋_GB2312" w:hAnsi="仿宋_GB2312" w:cs="仿宋_GB2312" w:eastAsia="仿宋_GB2312"/>
              </w:rPr>
              <w:t>工程量清单。</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标的名称：2026年毕业生公寓粉刷及修补类工程项目（标段三）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1、排查学生宿舍用电用水安全隐患，并提供隐患清单（不含维修）。</w:t>
            </w:r>
          </w:p>
          <w:p>
            <w:pPr>
              <w:pStyle w:val="null3"/>
            </w:pPr>
            <w:r>
              <w:rPr>
                <w:rFonts w:ascii="仿宋_GB2312" w:hAnsi="仿宋_GB2312" w:cs="仿宋_GB2312" w:eastAsia="仿宋_GB2312"/>
              </w:rPr>
              <w:t>2、具体详见</w:t>
            </w:r>
            <w:r>
              <w:rPr>
                <w:rFonts w:ascii="仿宋_GB2312" w:hAnsi="仿宋_GB2312" w:cs="仿宋_GB2312" w:eastAsia="仿宋_GB2312"/>
              </w:rPr>
              <w:t>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质量标准执行国家、陕西省、西安市现行工程质量验评标准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质量标准执行国家、陕西省、西安市现行工程质量验评标准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质量标准执行国家、陕西省、西安市现行工程质量验评标准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采购包1、2、3： 1.工期要求：30日历日内。 2.施工地点：西安邮电大学指定地点。 3.质保期：项目质保2年。 4.工程质量：合格。 5.采购资金的支付方式及时间： （1）工程完成后，供应商报采购人及监理进行初验，初验合格后，供应商向采购人申请正式验收，采购人收到申请后组织相关专业人员对项目进行验收，验收合格后甲方支付到合同金额50%的工程款。 （2）供应商向采购人报送结算资料，经采购人审计结算且供应商确认结算金额后，甲方付款至结算审定金额的97%，待质保期满且无质量问题后付款至结算审定金额的100%。</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清单报价编制要求：（1）按照本项目GBQ清单及《陕西省建设工程工程量清单计价规则》、《陕西省建筑装饰工程消耗量定额》、《陕西省安装工程消耗量定额》、《陕西省建设工程消耗量定额勘误及补充定额》、《陕西省建筑装饰安装工程价目表》计价及其配套文件等编制。（2）供应商应充分考虑磋商文件的各项要求和本工程的实际情况，根据自身实力，充分考虑材料价格、人工费、物价上涨等市场变化的风险，自主报价，风险自担。（3）不可竞争的规费、税金、安全文明施工费按计价规则的规定计取，营改增按陕建发调整陕西省建设工程计价依据的通知执行，磋商报价中包含所有费用。（4）本工程材料采购需采购人进行认质。 3.3.2本项目各包工程量清单详见附件。 3.3.3本项目为固定综合单价合同，清单所列工程量是预计数量，实际结算按实际完成的工程量进行结算。 3.3.4本项目兼投不兼中，供应商可投多个包但最多只能中一个包。评审按照“采购包1、采购包2、采购包3”顺序进行评审，如供应商已经被推荐为前述包第一成交候选人，可参与后续其他采购包评审，但不再被推荐为成交候选人。 3.3.5踏勘注意事项：（1）请各供应商在踏勘时间前，将踏勘人员姓名及手机号码发送至代理机构邮箱（438904813@qq.com）；（2）供应商因自身原因未按时进行现场踏勘，而导致的任何风险，由供应商自行承担；（3）凡因对施工现场、施工环境、市场行情等了解不清而造成的后果和风险，由供应商自行承担；（4）踏勘相关费用及安全由供应商自行承担；（5）踏勘时各供应商有疑问可以在现场提出，由采购人当场解答，否则视为供应商再无疑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投标人应提供相关文件证明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 ：法人提供会计师事务所出具有效的2024或2025年度审计报告（审计报告须具有注册会计师行业统一监管平台https://acc.mof.gov.cn赋予的验证码）（成立时间至提交响应文件截止时间不足一年的可提供成立后任意时段的资产负债表），或提交自2025年12月1日以来银行出具的资信证明（以上两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供应商需在项目电子化交易系统中按要求填写《响应函》完成承诺并进行电子签章。提供直接控股和直接管理关系清单。若与其他供应商存在单位负责人为同一人或者存在直接控股、管理关系的，则磋商无效。</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投标人应提供相关文件证明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 ：法人提供会计师事务所出具有效的2024或2025年度审计报告（审计报告须具有注册会计师行业统一监管平台https://acc.mof.gov.cn赋予的验证码）（成立时间至提交响应文件截止时间不足一年的可提供成立后任意时段的资产负债表），或提交自2025年12月1日以来银行出具的资信证明（以上两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供应商需在项目电子化交易系统中按要求填写《响应函》完成承诺并进行电子签章。提供直接控股和直接管理关系清单。若与其他供应商存在单位负责人为同一人或者存在直接控股、管理关系的，则磋商无效。</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投标人应提供相关文件证明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 ：法人提供会计师事务所出具有效的2024或2025年度审计报告（审计报告须具有注册会计师行业统一监管平台https://acc.mof.gov.cn赋予的验证码）（成立时间至提交响应文件截止时间不足一年的可提供成立后任意时段的资产负债表），或提交自2025年12月1日以来银行出具的资信证明（以上两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供应商需在项目电子化交易系统中按要求填写《响应函》完成承诺并进行电子签章。提供直接控股和直接管理关系清单。若与其他供应商存在单位负责人为同一人或者存在直接控股、管理关系的，则磋商无效。</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法定代表⼈参加磋商的，须提供法定代表⼈⾝份证；法定代表⼈授权本单位他⼈参加磋商的，须提供法定代表⼈授权委托书及被授权人开标前六个月内任意一个月（不含开标当月）在本公司缴纳的社保证明。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供应商须具备建筑工程施工总承包三级以上（含三级）资质或建筑装修装饰工程专业承包二级以上（含二级）资质，同时具备有效的安全生产许可证。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项目负责人资质和专业要求</w:t>
            </w:r>
          </w:p>
        </w:tc>
        <w:tc>
          <w:tcPr>
            <w:tcW w:type="dxa" w:w="3322"/>
          </w:tcPr>
          <w:p>
            <w:pPr>
              <w:pStyle w:val="null3"/>
            </w:pPr>
            <w:r>
              <w:rPr>
                <w:rFonts w:ascii="仿宋_GB2312" w:hAnsi="仿宋_GB2312" w:cs="仿宋_GB2312" w:eastAsia="仿宋_GB2312"/>
              </w:rPr>
              <w:t>拟派项目经理具有建筑工程专业二级以上（含二级）注册建造师执业资格，并具有合法有效的安全生产考核合格证（建安B证），须在本单位注册，且无其他在建工程（提供无在建工程承诺书）。</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法定代表⼈参加磋商的，须提供法定代表⼈⾝份证；法定代表⼈授权本单位他⼈参加磋商的，须提供法定代表⼈授权委托书及被授权人开标前六个月内任意一个月（不含开标当月）在本公司缴纳的社保证明。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供应商须具备建筑工程施工总承包三级以上（含三级）资质或建筑装修装饰工程专业承包二级以上（含二级）资质，同时具备有效的安全生产许可证。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项目负责人资质和专业要求</w:t>
            </w:r>
          </w:p>
        </w:tc>
        <w:tc>
          <w:tcPr>
            <w:tcW w:type="dxa" w:w="3322"/>
          </w:tcPr>
          <w:p>
            <w:pPr>
              <w:pStyle w:val="null3"/>
            </w:pPr>
            <w:r>
              <w:rPr>
                <w:rFonts w:ascii="仿宋_GB2312" w:hAnsi="仿宋_GB2312" w:cs="仿宋_GB2312" w:eastAsia="仿宋_GB2312"/>
              </w:rPr>
              <w:t>拟派项目经理具有建筑工程专业二级以上（含二级）注册建造师执业资格，并具有合法有效的安全生产考核合格证（建安B证），须在本单位注册，且无其他在建工程（提供无在建工程承诺书）。</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法定代表⼈参加磋商的，须提供法定代表⼈⾝份证；法定代表⼈授权本单位他⼈参加磋商的，须提供法定代表⼈授权委托书及被授权人开标前六个月内任意一个月（不含开标当月）在本公司缴纳的社保证明。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供应商须具备建筑工程施工总承包三级以上（含三级）资质或建筑装修装饰工程专业承包二级以上（含二级）资质，同时具备有效的安全生产许可证。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项目负责人资质和专业要求</w:t>
            </w:r>
          </w:p>
        </w:tc>
        <w:tc>
          <w:tcPr>
            <w:tcW w:type="dxa" w:w="3322"/>
          </w:tcPr>
          <w:p>
            <w:pPr>
              <w:pStyle w:val="null3"/>
            </w:pPr>
            <w:r>
              <w:rPr>
                <w:rFonts w:ascii="仿宋_GB2312" w:hAnsi="仿宋_GB2312" w:cs="仿宋_GB2312" w:eastAsia="仿宋_GB2312"/>
              </w:rPr>
              <w:t>拟派项目经理具有建筑工程专业二级以上（含二级）注册建造师执业资格，并具有合法有效的安全生产考核合格证（建安B证），须在本单位注册，且无其他在建工程（提供无在建工程承诺书）。</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1）响应文件按照磋商文件规定要求签署、盖章的；（2）响应有效期满足磋商文件要求的；（3）报价未超过磋商文件中规定的采购预算或最高限价的；（4）满足本磋商文件中第三章“三、针对本项目的其他技术服务要求”条款内容的；（5）无法律、规章、规范性文件和磋商文件规定的其他无效情形。</w:t>
            </w:r>
          </w:p>
        </w:tc>
        <w:tc>
          <w:tcPr>
            <w:tcW w:type="dxa" w:w="1661"/>
          </w:tcPr>
          <w:p>
            <w:pPr>
              <w:pStyle w:val="null3"/>
            </w:pPr>
            <w:r>
              <w:rPr>
                <w:rFonts w:ascii="仿宋_GB2312" w:hAnsi="仿宋_GB2312" w:cs="仿宋_GB2312" w:eastAsia="仿宋_GB2312"/>
              </w:rPr>
              <w:t>响应文件封面 已标价工程量清单 实质性商务部分偏离表.docx 12其他资料.docx 报价函 标的清单 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1）响应文件按照磋商文件规定要求签署、盖章的；（2）响应有效期满足磋商文件要求的；（3）报价未超过磋商文件中规定的采购预算或最高限价的；（4）满足本磋商文件中第三章“三、针对本项目的其他技术服务要求”条款内容的；（5）无法律、规章、规范性文件和磋商文件规定的其他无效情形。</w:t>
            </w:r>
          </w:p>
        </w:tc>
        <w:tc>
          <w:tcPr>
            <w:tcW w:type="dxa" w:w="1661"/>
          </w:tcPr>
          <w:p>
            <w:pPr>
              <w:pStyle w:val="null3"/>
            </w:pPr>
            <w:r>
              <w:rPr>
                <w:rFonts w:ascii="仿宋_GB2312" w:hAnsi="仿宋_GB2312" w:cs="仿宋_GB2312" w:eastAsia="仿宋_GB2312"/>
              </w:rPr>
              <w:t>响应文件封面 已标价工程量清单 实质性商务部分偏离表.docx 12其他资料.docx 报价函 标的清单 供应商资格证明文件.docx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1）响应文件按照磋商文件规定要求签署、盖章的；（2）响应有效期满足磋商文件要求的；（3）报价未超过磋商文件中规定的采购预算或最高限价的；（4）满足本磋商文件中第三章“三、针对本项目的其他技术服务要求”条款内容的；（5）无法律、规章、规范性文件和磋商文件规定的其他无效情形。</w:t>
            </w:r>
          </w:p>
        </w:tc>
        <w:tc>
          <w:tcPr>
            <w:tcW w:type="dxa" w:w="1661"/>
          </w:tcPr>
          <w:p>
            <w:pPr>
              <w:pStyle w:val="null3"/>
            </w:pPr>
            <w:r>
              <w:rPr>
                <w:rFonts w:ascii="仿宋_GB2312" w:hAnsi="仿宋_GB2312" w:cs="仿宋_GB2312" w:eastAsia="仿宋_GB2312"/>
              </w:rPr>
              <w:t>响应文件封面 已标价工程量清单 实质性商务部分偏离表.docx 12其他资料.docx 报价函 标的清单 供应商资格证明文件.docx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供应商提供针对本项目的施工方案，至少包含①施工前检查准备②整体施工流程 ③关键部位施工方案④施工工艺⑤劳动力配置计划⑥施工现场设施保护及成品保护方案⑦环境保护⑧用电用水安全隐患排查方案。 满足项目实施要求，无瑕疵：16分； 内容每存在1处瑕疵扣1分； 内容存在16处及以上瑕疵或未提供计0分。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针对瑕疵定义同此处。）</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1施工方案.docx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供应商针对本项目工期要求及施工特点，提供施工进度计划，至少包含①工程各阶段进度施工计划②提供施工进度计划横道图③进度控制保证措施。 满足项目实施要求，无瑕疵：6分； 内容每存在1处瑕疵扣1分； 内容存在6处及以上瑕疵或未提供计0分。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2施工进度计划.docx</w:t>
            </w:r>
          </w:p>
        </w:tc>
      </w:tr>
      <w:tr>
        <w:tc>
          <w:tcPr>
            <w:tcW w:type="dxa" w:w="831"/>
            <w:vMerge/>
          </w:tcPr>
          <w:p/>
        </w:tc>
        <w:tc>
          <w:tcPr>
            <w:tcW w:type="dxa" w:w="1661"/>
          </w:tcPr>
          <w:p>
            <w:pPr>
              <w:pStyle w:val="null3"/>
            </w:pPr>
            <w:r>
              <w:rPr>
                <w:rFonts w:ascii="仿宋_GB2312" w:hAnsi="仿宋_GB2312" w:cs="仿宋_GB2312" w:eastAsia="仿宋_GB2312"/>
              </w:rPr>
              <w:t>质量技术组织措施</w:t>
            </w:r>
          </w:p>
        </w:tc>
        <w:tc>
          <w:tcPr>
            <w:tcW w:type="dxa" w:w="2492"/>
          </w:tcPr>
          <w:p>
            <w:pPr>
              <w:pStyle w:val="null3"/>
            </w:pPr>
            <w:r>
              <w:rPr>
                <w:rFonts w:ascii="仿宋_GB2312" w:hAnsi="仿宋_GB2312" w:cs="仿宋_GB2312" w:eastAsia="仿宋_GB2312"/>
              </w:rPr>
              <w:t>供应商提供针对本项目的质量技术组织措施，包括①质量目标②施工前期、中期、后期质量保障措施③质量全过程检查制度④材料质量保障体系⑤施工质量保证承诺。 满足项目实施要求，无瑕疵：10分； 内容每存在1处瑕疵扣1分； 内容存在10处及以上瑕疵或未提供计0分。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3质量技术组织措施.docx</w:t>
            </w:r>
          </w:p>
        </w:tc>
      </w:tr>
      <w:tr>
        <w:tc>
          <w:tcPr>
            <w:tcW w:type="dxa" w:w="831"/>
            <w:vMerge/>
          </w:tcPr>
          <w:p/>
        </w:tc>
        <w:tc>
          <w:tcPr>
            <w:tcW w:type="dxa" w:w="1661"/>
          </w:tcPr>
          <w:p>
            <w:pPr>
              <w:pStyle w:val="null3"/>
            </w:pPr>
            <w:r>
              <w:rPr>
                <w:rFonts w:ascii="仿宋_GB2312" w:hAnsi="仿宋_GB2312" w:cs="仿宋_GB2312" w:eastAsia="仿宋_GB2312"/>
              </w:rPr>
              <w:t>施工组织设计</w:t>
            </w:r>
          </w:p>
        </w:tc>
        <w:tc>
          <w:tcPr>
            <w:tcW w:type="dxa" w:w="2492"/>
          </w:tcPr>
          <w:p>
            <w:pPr>
              <w:pStyle w:val="null3"/>
            </w:pPr>
            <w:r>
              <w:rPr>
                <w:rFonts w:ascii="仿宋_GB2312" w:hAnsi="仿宋_GB2312" w:cs="仿宋_GB2312" w:eastAsia="仿宋_GB2312"/>
              </w:rPr>
              <w:t>供应商提供针对本项目的施工组织设计，内容至少包括①施工资源投入计划②雨季施工方案③新技术、新产品、新工艺、新材料的应用④工程竣工验收、结算、移交的组织和配合措施。 满足项目实施要求，无瑕疵：8分； 内容每存在1处瑕疵扣1分； 内容存在8处及以上瑕疵或未提供计0分。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4施工组织设计.docx</w:t>
            </w:r>
          </w:p>
        </w:tc>
      </w:tr>
      <w:tr>
        <w:tc>
          <w:tcPr>
            <w:tcW w:type="dxa" w:w="831"/>
            <w:vMerge/>
          </w:tcPr>
          <w:p/>
        </w:tc>
        <w:tc>
          <w:tcPr>
            <w:tcW w:type="dxa" w:w="1661"/>
          </w:tcPr>
          <w:p>
            <w:pPr>
              <w:pStyle w:val="null3"/>
            </w:pPr>
            <w:r>
              <w:rPr>
                <w:rFonts w:ascii="仿宋_GB2312" w:hAnsi="仿宋_GB2312" w:cs="仿宋_GB2312" w:eastAsia="仿宋_GB2312"/>
              </w:rPr>
              <w:t>安全施工方案</w:t>
            </w:r>
          </w:p>
        </w:tc>
        <w:tc>
          <w:tcPr>
            <w:tcW w:type="dxa" w:w="2492"/>
          </w:tcPr>
          <w:p>
            <w:pPr>
              <w:pStyle w:val="null3"/>
            </w:pPr>
            <w:r>
              <w:rPr>
                <w:rFonts w:ascii="仿宋_GB2312" w:hAnsi="仿宋_GB2312" w:cs="仿宋_GB2312" w:eastAsia="仿宋_GB2312"/>
              </w:rPr>
              <w:t>供应商提供针对本项目的安全文明施工方案，内容至少包括①安全管理体系②安全生产管理制度③安全保障措施④现场安全管控方案及应急处理能力。 满足项目实施要求，无瑕疵：8分； 内容每存在1处瑕疵扣1分； 内容存在8处及以上瑕疵或未提供计0分。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5安全施工方案.docx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供应商提供针对本项目的项目组织机构，至少包括①组织机构框架②项目人员构成情况（岗位设置、专业种类及能力、有技术职称的人员比例）。 满足项目实施要求，无瑕疵：4分； 内容每存在1处瑕疵扣1分； 内容存在4处及以上瑕疵或未提供计0分。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6项目组织机构.docx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供应商结合工程环境、特点，提供针对本项目的安全文明施工措施，包括①施工过程中安全保护措施②文明施工控制措施③工程产生垃圾处理方案等。 满足项目实施要求，无瑕疵：6分； 内容每存在1处瑕疵扣1分； 内容存在6处及以上瑕疵或未提供计0分。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7安全文明施工措施.docx</w:t>
            </w:r>
          </w:p>
        </w:tc>
      </w:tr>
      <w:tr>
        <w:tc>
          <w:tcPr>
            <w:tcW w:type="dxa" w:w="831"/>
            <w:vMerge/>
          </w:tcPr>
          <w:p/>
        </w:tc>
        <w:tc>
          <w:tcPr>
            <w:tcW w:type="dxa" w:w="1661"/>
          </w:tcPr>
          <w:p>
            <w:pPr>
              <w:pStyle w:val="null3"/>
            </w:pPr>
            <w:r>
              <w:rPr>
                <w:rFonts w:ascii="仿宋_GB2312" w:hAnsi="仿宋_GB2312" w:cs="仿宋_GB2312" w:eastAsia="仿宋_GB2312"/>
              </w:rPr>
              <w:t>主材选择</w:t>
            </w:r>
          </w:p>
        </w:tc>
        <w:tc>
          <w:tcPr>
            <w:tcW w:type="dxa" w:w="2492"/>
          </w:tcPr>
          <w:p>
            <w:pPr>
              <w:pStyle w:val="null3"/>
            </w:pPr>
            <w:r>
              <w:rPr>
                <w:rFonts w:ascii="仿宋_GB2312" w:hAnsi="仿宋_GB2312" w:cs="仿宋_GB2312" w:eastAsia="仿宋_GB2312"/>
              </w:rPr>
              <w:t>供应商提供本项目主材（乳胶漆、油漆）清单，至少包含品牌信息，清单完整计2分，存在缺漏项或未提供计0分。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8主材选择.docx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已完工），扫描件必须清晰体现签约主体和日期、项目名称及内容、合同金额等核心要素，否则不计为有效业绩。每提供1个有效业绩得1分，最高得5分。 备注：响应文件中提供合同扫描件加盖供应商公章。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9业绩.docx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供应商根据本项目需求，提供施工单位的施工保修承诺书，内容至少包括①保修内容、范围②质量保修责任。 满足项目实施要求，无瑕疵：4分； 内容每存在1处瑕疵扣1分； 内容存在4处及以上瑕疵或未提供计0分。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10保修承诺.docx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磋商产品中每有一项为节能产品经国家认证的得0.5分，每有一项为环境标志产品经国家认证的得0.5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11节能环保.docx</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价格分统一采用低价优先法计算，即满足磋商文件要求且响应价格最低的响应报价为评标基准价，其价格分为满分。其他供应商的价格分统一按照下列公式计算： 价格分=(评标基准价／响应报价)×报价分值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供应商提供针对本项目的施工方案，至少包含①施工前检查准备②整体施工流程 ③关键部位施工方案④施工工艺⑤劳动力配置计划⑥施工现场设施保护及成品保护方案⑦环境保护⑧用电用水安全隐患排查方案。 满足项目实施要求，无瑕疵：16分； 内容每存在1处瑕疵扣1分； 内容存在16处及以上瑕疵或未提供计0分。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针对瑕疵定义同此处。）</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1施工方案.docx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供应商针对本项目工期要求及施工特点，提供施工进度计划，至少包含①工程各阶段进度施工计划②提供施工进度计划横道图③进度控制保证措施。 满足项目实施要求，无瑕疵：6分； 内容每存在1处瑕疵扣1分； 内容存在6处及以上瑕疵或未提供计0分。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2施工进度计划.docx</w:t>
            </w:r>
          </w:p>
        </w:tc>
      </w:tr>
      <w:tr>
        <w:tc>
          <w:tcPr>
            <w:tcW w:type="dxa" w:w="831"/>
            <w:vMerge/>
          </w:tcPr>
          <w:p/>
        </w:tc>
        <w:tc>
          <w:tcPr>
            <w:tcW w:type="dxa" w:w="1661"/>
          </w:tcPr>
          <w:p>
            <w:pPr>
              <w:pStyle w:val="null3"/>
            </w:pPr>
            <w:r>
              <w:rPr>
                <w:rFonts w:ascii="仿宋_GB2312" w:hAnsi="仿宋_GB2312" w:cs="仿宋_GB2312" w:eastAsia="仿宋_GB2312"/>
              </w:rPr>
              <w:t>质量技术组织措施</w:t>
            </w:r>
          </w:p>
        </w:tc>
        <w:tc>
          <w:tcPr>
            <w:tcW w:type="dxa" w:w="2492"/>
          </w:tcPr>
          <w:p>
            <w:pPr>
              <w:pStyle w:val="null3"/>
            </w:pPr>
            <w:r>
              <w:rPr>
                <w:rFonts w:ascii="仿宋_GB2312" w:hAnsi="仿宋_GB2312" w:cs="仿宋_GB2312" w:eastAsia="仿宋_GB2312"/>
              </w:rPr>
              <w:t>供应商提供针对本项目的质量技术组织措施，包括①质量目标②施工前期、中期、后期质量保障措施③质量全过程检查制度④材料质量保障体系⑤施工质量保证承诺。 满足项目实施要求，无瑕疵：10分； 内容每存在1处瑕疵扣1分； 内容存在10处及以上瑕疵或未提供计0分。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3质量技术组织措施.docx</w:t>
            </w:r>
          </w:p>
        </w:tc>
      </w:tr>
      <w:tr>
        <w:tc>
          <w:tcPr>
            <w:tcW w:type="dxa" w:w="831"/>
            <w:vMerge/>
          </w:tcPr>
          <w:p/>
        </w:tc>
        <w:tc>
          <w:tcPr>
            <w:tcW w:type="dxa" w:w="1661"/>
          </w:tcPr>
          <w:p>
            <w:pPr>
              <w:pStyle w:val="null3"/>
            </w:pPr>
            <w:r>
              <w:rPr>
                <w:rFonts w:ascii="仿宋_GB2312" w:hAnsi="仿宋_GB2312" w:cs="仿宋_GB2312" w:eastAsia="仿宋_GB2312"/>
              </w:rPr>
              <w:t>施工组织设计</w:t>
            </w:r>
          </w:p>
        </w:tc>
        <w:tc>
          <w:tcPr>
            <w:tcW w:type="dxa" w:w="2492"/>
          </w:tcPr>
          <w:p>
            <w:pPr>
              <w:pStyle w:val="null3"/>
            </w:pPr>
            <w:r>
              <w:rPr>
                <w:rFonts w:ascii="仿宋_GB2312" w:hAnsi="仿宋_GB2312" w:cs="仿宋_GB2312" w:eastAsia="仿宋_GB2312"/>
              </w:rPr>
              <w:t>供应商提供针对本项目的施工组织设计，内容至少包括①施工资源投入计划②雨季施工方案③新技术、新产品、新工艺、新材料的应用④工程竣工验收、结算、移交的组织和配合措施。 满足项目实施要求，无瑕疵：8分； 内容每存在1处瑕疵扣1分； 内容存在8处及以上瑕疵或未提供计0分。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4施工组织设计.docx</w:t>
            </w:r>
          </w:p>
        </w:tc>
      </w:tr>
      <w:tr>
        <w:tc>
          <w:tcPr>
            <w:tcW w:type="dxa" w:w="831"/>
            <w:vMerge/>
          </w:tcPr>
          <w:p/>
        </w:tc>
        <w:tc>
          <w:tcPr>
            <w:tcW w:type="dxa" w:w="1661"/>
          </w:tcPr>
          <w:p>
            <w:pPr>
              <w:pStyle w:val="null3"/>
            </w:pPr>
            <w:r>
              <w:rPr>
                <w:rFonts w:ascii="仿宋_GB2312" w:hAnsi="仿宋_GB2312" w:cs="仿宋_GB2312" w:eastAsia="仿宋_GB2312"/>
              </w:rPr>
              <w:t>安全施工方案</w:t>
            </w:r>
          </w:p>
        </w:tc>
        <w:tc>
          <w:tcPr>
            <w:tcW w:type="dxa" w:w="2492"/>
          </w:tcPr>
          <w:p>
            <w:pPr>
              <w:pStyle w:val="null3"/>
            </w:pPr>
            <w:r>
              <w:rPr>
                <w:rFonts w:ascii="仿宋_GB2312" w:hAnsi="仿宋_GB2312" w:cs="仿宋_GB2312" w:eastAsia="仿宋_GB2312"/>
              </w:rPr>
              <w:t>供应商提供针对本项目的安全文明施工方案，内容至少包括①安全管理体系②安全生产管理制度③安全保障措施④现场安全管控方案及应急处理能力。 满足项目实施要求，无瑕疵：8分； 内容每存在1处瑕疵扣1分； 内容存在8处及以上瑕疵或未提供计0分。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5安全施工方案.docx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供应商提供针对本项目的项目组织机构，至少包括①组织机构框架②项目人员构成情况（岗位设置、专业种类及能力、有技术职称的人员比例）。 满足项目实施要求，无瑕疵：4分； 内容每存在1处瑕疵扣1分； 内容存在4处及以上瑕疵或未提供计0分。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6项目组织机构.docx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供应商结合工程环境、特点，提供针对本项目的安全文明施工措施，包括①施工过程中安全保护措施②文明施工控制措施③工程产生垃圾处理方案等。 满足项目实施要求，无瑕疵：6分； 内容每存在1处瑕疵扣1分； 内容存在6处及以上瑕疵或未提供计0分。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7安全文明施工措施.docx</w:t>
            </w:r>
          </w:p>
        </w:tc>
      </w:tr>
      <w:tr>
        <w:tc>
          <w:tcPr>
            <w:tcW w:type="dxa" w:w="831"/>
            <w:vMerge/>
          </w:tcPr>
          <w:p/>
        </w:tc>
        <w:tc>
          <w:tcPr>
            <w:tcW w:type="dxa" w:w="1661"/>
          </w:tcPr>
          <w:p>
            <w:pPr>
              <w:pStyle w:val="null3"/>
            </w:pPr>
            <w:r>
              <w:rPr>
                <w:rFonts w:ascii="仿宋_GB2312" w:hAnsi="仿宋_GB2312" w:cs="仿宋_GB2312" w:eastAsia="仿宋_GB2312"/>
              </w:rPr>
              <w:t>主材选择</w:t>
            </w:r>
          </w:p>
        </w:tc>
        <w:tc>
          <w:tcPr>
            <w:tcW w:type="dxa" w:w="2492"/>
          </w:tcPr>
          <w:p>
            <w:pPr>
              <w:pStyle w:val="null3"/>
            </w:pPr>
            <w:r>
              <w:rPr>
                <w:rFonts w:ascii="仿宋_GB2312" w:hAnsi="仿宋_GB2312" w:cs="仿宋_GB2312" w:eastAsia="仿宋_GB2312"/>
              </w:rPr>
              <w:t>供应商提供本项目主材（乳胶漆、油漆）清单，至少包含品牌信息，清单完整计2分，存在缺漏项或未提供计0分。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8主材选择.docx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已完工），扫描件必须清晰体现签约主体和日期、项目名称及内容、合同金额等核心要素，否则不计为有效业绩。每提供1个有效业绩得1分，最高得5分。 备注：响应文件中提供合同扫描件加盖供应商公章。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9业绩.docx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供应商根据本项目需求，提供施工单位的施工保修承诺书，内容至少包括①保修内容、范围②质量保修责任。 满足项目实施要求，无瑕疵：4分； 内容每存在1处瑕疵扣1分； 内容存在4处及以上瑕疵或未提供计0分。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10保修承诺.docx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磋商产品中每有一项为节能产品经国家认证的得0.5分，每有一项为环境标志产品经国家认证的得0.5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11节能环保.docx</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价格分统一采用低价优先法计算，即满足磋商文件要求且响应价格最低的响应报价为评标基准价，其价格分为满分。其他供应商的价格分统一按照下列公式计算： 价格分=(评标基准价／响应报价)×报价分值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供应商提供针对本项目的施工方案，至少包含①施工前检查准备②整体施工流程 ③关键部位施工方案④施工工艺⑤劳动力配置计划⑥施工现场设施保护及成品保护方案⑦环境保护⑧用电用水安全隐患排查方案。 满足项目实施要求，无瑕疵：16分； 内容每存在1处瑕疵扣1分； 内容存在16处及以上瑕疵或未提供计0分。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针对瑕疵定义同此处。）</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1施工方案.docx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供应商针对本项目工期要求及施工特点，提供施工进度计划，至少包含①工程各阶段进度施工计划②提供施工进度计划横道图③进度控制保证措施。 满足项目实施要求，无瑕疵：6分； 内容每存在1处瑕疵扣1分； 内容存在6处及以上瑕疵或未提供计0分。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2施工进度计划.docx</w:t>
            </w:r>
          </w:p>
        </w:tc>
      </w:tr>
      <w:tr>
        <w:tc>
          <w:tcPr>
            <w:tcW w:type="dxa" w:w="831"/>
            <w:vMerge/>
          </w:tcPr>
          <w:p/>
        </w:tc>
        <w:tc>
          <w:tcPr>
            <w:tcW w:type="dxa" w:w="1661"/>
          </w:tcPr>
          <w:p>
            <w:pPr>
              <w:pStyle w:val="null3"/>
            </w:pPr>
            <w:r>
              <w:rPr>
                <w:rFonts w:ascii="仿宋_GB2312" w:hAnsi="仿宋_GB2312" w:cs="仿宋_GB2312" w:eastAsia="仿宋_GB2312"/>
              </w:rPr>
              <w:t>质量技术组织措施</w:t>
            </w:r>
          </w:p>
        </w:tc>
        <w:tc>
          <w:tcPr>
            <w:tcW w:type="dxa" w:w="2492"/>
          </w:tcPr>
          <w:p>
            <w:pPr>
              <w:pStyle w:val="null3"/>
            </w:pPr>
            <w:r>
              <w:rPr>
                <w:rFonts w:ascii="仿宋_GB2312" w:hAnsi="仿宋_GB2312" w:cs="仿宋_GB2312" w:eastAsia="仿宋_GB2312"/>
              </w:rPr>
              <w:t>供应商提供针对本项目的质量技术组织措施，包括①质量目标②施工前期、中期、后期质量保障措施③质量全过程检查制度④材料质量保障体系⑤施工质量保证承诺。 满足项目实施要求，无瑕疵：10分； 内容每存在1处瑕疵扣1分； 内容存在10处及以上瑕疵或未提供计0分。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3质量技术组织措施.docx</w:t>
            </w:r>
          </w:p>
        </w:tc>
      </w:tr>
      <w:tr>
        <w:tc>
          <w:tcPr>
            <w:tcW w:type="dxa" w:w="831"/>
            <w:vMerge/>
          </w:tcPr>
          <w:p/>
        </w:tc>
        <w:tc>
          <w:tcPr>
            <w:tcW w:type="dxa" w:w="1661"/>
          </w:tcPr>
          <w:p>
            <w:pPr>
              <w:pStyle w:val="null3"/>
            </w:pPr>
            <w:r>
              <w:rPr>
                <w:rFonts w:ascii="仿宋_GB2312" w:hAnsi="仿宋_GB2312" w:cs="仿宋_GB2312" w:eastAsia="仿宋_GB2312"/>
              </w:rPr>
              <w:t>施工组织设计</w:t>
            </w:r>
          </w:p>
        </w:tc>
        <w:tc>
          <w:tcPr>
            <w:tcW w:type="dxa" w:w="2492"/>
          </w:tcPr>
          <w:p>
            <w:pPr>
              <w:pStyle w:val="null3"/>
            </w:pPr>
            <w:r>
              <w:rPr>
                <w:rFonts w:ascii="仿宋_GB2312" w:hAnsi="仿宋_GB2312" w:cs="仿宋_GB2312" w:eastAsia="仿宋_GB2312"/>
              </w:rPr>
              <w:t>供应商提供针对本项目的施工组织设计，内容至少包括①施工资源投入计划②雨季施工方案③新技术、新产品、新工艺、新材料的应用④工程竣工验收、结算、移交的组织和配合措施。 满足项目实施要求，无瑕疵：8分； 内容每存在1处瑕疵扣1分； 内容存在8处及以上瑕疵或未提供计0分。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4施工组织设计.docx</w:t>
            </w:r>
          </w:p>
        </w:tc>
      </w:tr>
      <w:tr>
        <w:tc>
          <w:tcPr>
            <w:tcW w:type="dxa" w:w="831"/>
            <w:vMerge/>
          </w:tcPr>
          <w:p/>
        </w:tc>
        <w:tc>
          <w:tcPr>
            <w:tcW w:type="dxa" w:w="1661"/>
          </w:tcPr>
          <w:p>
            <w:pPr>
              <w:pStyle w:val="null3"/>
            </w:pPr>
            <w:r>
              <w:rPr>
                <w:rFonts w:ascii="仿宋_GB2312" w:hAnsi="仿宋_GB2312" w:cs="仿宋_GB2312" w:eastAsia="仿宋_GB2312"/>
              </w:rPr>
              <w:t>安全施工方案</w:t>
            </w:r>
          </w:p>
        </w:tc>
        <w:tc>
          <w:tcPr>
            <w:tcW w:type="dxa" w:w="2492"/>
          </w:tcPr>
          <w:p>
            <w:pPr>
              <w:pStyle w:val="null3"/>
            </w:pPr>
            <w:r>
              <w:rPr>
                <w:rFonts w:ascii="仿宋_GB2312" w:hAnsi="仿宋_GB2312" w:cs="仿宋_GB2312" w:eastAsia="仿宋_GB2312"/>
              </w:rPr>
              <w:t>供应商提供针对本项目的安全文明施工方案，内容至少包括①安全管理体系②安全生产管理制度③安全保障措施④现场安全管控方案及应急处理能力。 满足项目实施要求，无瑕疵：8分； 内容每存在1处瑕疵扣1分； 内容存在8处及以上瑕疵或未提供计0分。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5安全施工方案.docx</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供应商提供针对本项目的项目组织机构，至少包括①组织机构框架②项目人员构成情况（岗位设置、专业种类及能力、有技术职称的人员比例）。 满足项目实施要求，无瑕疵：4分； 内容每存在1处瑕疵扣1分； 内容存在4处及以上瑕疵或未提供计0分。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6项目组织机构.docx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供应商结合工程环境、特点，提供针对本项目的安全文明施工措施，包括①施工过程中安全保护措施②文明施工控制措施③工程产生垃圾处理方案等。 满足项目实施要求，无瑕疵：6分； 内容每存在1处瑕疵扣1分； 内容存在6处及以上瑕疵或未提供计0分。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7安全文明施工措施.docx</w:t>
            </w:r>
          </w:p>
        </w:tc>
      </w:tr>
      <w:tr>
        <w:tc>
          <w:tcPr>
            <w:tcW w:type="dxa" w:w="831"/>
            <w:vMerge/>
          </w:tcPr>
          <w:p/>
        </w:tc>
        <w:tc>
          <w:tcPr>
            <w:tcW w:type="dxa" w:w="1661"/>
          </w:tcPr>
          <w:p>
            <w:pPr>
              <w:pStyle w:val="null3"/>
            </w:pPr>
            <w:r>
              <w:rPr>
                <w:rFonts w:ascii="仿宋_GB2312" w:hAnsi="仿宋_GB2312" w:cs="仿宋_GB2312" w:eastAsia="仿宋_GB2312"/>
              </w:rPr>
              <w:t>主材选择</w:t>
            </w:r>
          </w:p>
        </w:tc>
        <w:tc>
          <w:tcPr>
            <w:tcW w:type="dxa" w:w="2492"/>
          </w:tcPr>
          <w:p>
            <w:pPr>
              <w:pStyle w:val="null3"/>
            </w:pPr>
            <w:r>
              <w:rPr>
                <w:rFonts w:ascii="仿宋_GB2312" w:hAnsi="仿宋_GB2312" w:cs="仿宋_GB2312" w:eastAsia="仿宋_GB2312"/>
              </w:rPr>
              <w:t>供应商提供本项目主材（乳胶漆、油漆）清单，至少包含品牌信息，清单完整计2分，存在缺漏项或未提供计0分。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8主材选择.docx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已完工），扫描件必须清晰体现签约主体和日期、项目名称及内容、合同金额等核心要素，否则不计为有效业绩。每提供1个有效业绩得1分，最高得5分。 备注：响应文件中提供合同扫描件加盖供应商公章。</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9业绩.docx</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供应商根据本项目需求，提供施工单位的施工保修承诺书，内容至少包括①保修内容、范围②质量保修责任。 满足项目实施要求，无瑕疵：4分； 内容每存在1处瑕疵扣1分； 内容存在4处及以上瑕疵或未提供计0分。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10保修承诺.docx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供应商磋商产品中每有一项为节能产品经国家认证的得0.5分，每有一项为环境标志产品经国家认证的得0.5分，最多得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11节能环保.docx</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价格分统一采用低价优先法计算，即满足磋商文件要求且响应价格最低的响应报价为评标基准价，其价格分为满分。其他供应商的价格分统一按照下列公式计算： 价格分=(评标基准价／响应报价)×报价分值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详见附件：实质性商务部分偏离表.docx</w:t>
      </w:r>
    </w:p>
    <w:p>
      <w:pPr>
        <w:pStyle w:val="null3"/>
        <w:ind w:firstLine="960"/>
      </w:pPr>
      <w:r>
        <w:rPr>
          <w:rFonts w:ascii="仿宋_GB2312" w:hAnsi="仿宋_GB2312" w:cs="仿宋_GB2312" w:eastAsia="仿宋_GB2312"/>
        </w:rPr>
        <w:t>详见附件：1施工方案.docx</w:t>
      </w:r>
    </w:p>
    <w:p>
      <w:pPr>
        <w:pStyle w:val="null3"/>
        <w:ind w:firstLine="960"/>
      </w:pPr>
      <w:r>
        <w:rPr>
          <w:rFonts w:ascii="仿宋_GB2312" w:hAnsi="仿宋_GB2312" w:cs="仿宋_GB2312" w:eastAsia="仿宋_GB2312"/>
        </w:rPr>
        <w:t>详见附件：2施工进度计划.docx</w:t>
      </w:r>
    </w:p>
    <w:p>
      <w:pPr>
        <w:pStyle w:val="null3"/>
        <w:ind w:firstLine="960"/>
      </w:pPr>
      <w:r>
        <w:rPr>
          <w:rFonts w:ascii="仿宋_GB2312" w:hAnsi="仿宋_GB2312" w:cs="仿宋_GB2312" w:eastAsia="仿宋_GB2312"/>
        </w:rPr>
        <w:t>详见附件：3质量技术组织措施.docx</w:t>
      </w:r>
    </w:p>
    <w:p>
      <w:pPr>
        <w:pStyle w:val="null3"/>
        <w:ind w:firstLine="960"/>
      </w:pPr>
      <w:r>
        <w:rPr>
          <w:rFonts w:ascii="仿宋_GB2312" w:hAnsi="仿宋_GB2312" w:cs="仿宋_GB2312" w:eastAsia="仿宋_GB2312"/>
        </w:rPr>
        <w:t>详见附件：4施工组织设计.docx</w:t>
      </w:r>
    </w:p>
    <w:p>
      <w:pPr>
        <w:pStyle w:val="null3"/>
        <w:ind w:firstLine="960"/>
      </w:pPr>
      <w:r>
        <w:rPr>
          <w:rFonts w:ascii="仿宋_GB2312" w:hAnsi="仿宋_GB2312" w:cs="仿宋_GB2312" w:eastAsia="仿宋_GB2312"/>
        </w:rPr>
        <w:t>详见附件：5安全施工方案.docx</w:t>
      </w:r>
    </w:p>
    <w:p>
      <w:pPr>
        <w:pStyle w:val="null3"/>
        <w:ind w:firstLine="960"/>
      </w:pPr>
      <w:r>
        <w:rPr>
          <w:rFonts w:ascii="仿宋_GB2312" w:hAnsi="仿宋_GB2312" w:cs="仿宋_GB2312" w:eastAsia="仿宋_GB2312"/>
        </w:rPr>
        <w:t>详见附件：6项目组织机构.docx</w:t>
      </w:r>
    </w:p>
    <w:p>
      <w:pPr>
        <w:pStyle w:val="null3"/>
        <w:ind w:firstLine="960"/>
      </w:pPr>
      <w:r>
        <w:rPr>
          <w:rFonts w:ascii="仿宋_GB2312" w:hAnsi="仿宋_GB2312" w:cs="仿宋_GB2312" w:eastAsia="仿宋_GB2312"/>
        </w:rPr>
        <w:t>详见附件：7安全文明施工措施.docx</w:t>
      </w:r>
    </w:p>
    <w:p>
      <w:pPr>
        <w:pStyle w:val="null3"/>
        <w:ind w:firstLine="960"/>
      </w:pPr>
      <w:r>
        <w:rPr>
          <w:rFonts w:ascii="仿宋_GB2312" w:hAnsi="仿宋_GB2312" w:cs="仿宋_GB2312" w:eastAsia="仿宋_GB2312"/>
        </w:rPr>
        <w:t>详见附件：8主材选择.docx</w:t>
      </w:r>
    </w:p>
    <w:p>
      <w:pPr>
        <w:pStyle w:val="null3"/>
        <w:ind w:firstLine="960"/>
      </w:pPr>
      <w:r>
        <w:rPr>
          <w:rFonts w:ascii="仿宋_GB2312" w:hAnsi="仿宋_GB2312" w:cs="仿宋_GB2312" w:eastAsia="仿宋_GB2312"/>
        </w:rPr>
        <w:t>详见附件：9业绩.docx</w:t>
      </w:r>
    </w:p>
    <w:p>
      <w:pPr>
        <w:pStyle w:val="null3"/>
        <w:ind w:firstLine="960"/>
      </w:pPr>
      <w:r>
        <w:rPr>
          <w:rFonts w:ascii="仿宋_GB2312" w:hAnsi="仿宋_GB2312" w:cs="仿宋_GB2312" w:eastAsia="仿宋_GB2312"/>
        </w:rPr>
        <w:t>详见附件：10保修承诺.docx</w:t>
      </w:r>
    </w:p>
    <w:p>
      <w:pPr>
        <w:pStyle w:val="null3"/>
        <w:ind w:firstLine="960"/>
      </w:pPr>
      <w:r>
        <w:rPr>
          <w:rFonts w:ascii="仿宋_GB2312" w:hAnsi="仿宋_GB2312" w:cs="仿宋_GB2312" w:eastAsia="仿宋_GB2312"/>
        </w:rPr>
        <w:t>详见附件：11节能环保.docx</w:t>
      </w:r>
    </w:p>
    <w:p>
      <w:pPr>
        <w:pStyle w:val="null3"/>
        <w:ind w:firstLine="960"/>
      </w:pPr>
      <w:r>
        <w:rPr>
          <w:rFonts w:ascii="仿宋_GB2312" w:hAnsi="仿宋_GB2312" w:cs="仿宋_GB2312" w:eastAsia="仿宋_GB2312"/>
        </w:rPr>
        <w:t>详见附件：12其他资料.docx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详见附件：实质性商务部分偏离表.docx</w:t>
      </w:r>
    </w:p>
    <w:p>
      <w:pPr>
        <w:pStyle w:val="null3"/>
        <w:ind w:firstLine="960"/>
      </w:pPr>
      <w:r>
        <w:rPr>
          <w:rFonts w:ascii="仿宋_GB2312" w:hAnsi="仿宋_GB2312" w:cs="仿宋_GB2312" w:eastAsia="仿宋_GB2312"/>
        </w:rPr>
        <w:t>详见附件：1施工方案.docx</w:t>
      </w:r>
    </w:p>
    <w:p>
      <w:pPr>
        <w:pStyle w:val="null3"/>
        <w:ind w:firstLine="960"/>
      </w:pPr>
      <w:r>
        <w:rPr>
          <w:rFonts w:ascii="仿宋_GB2312" w:hAnsi="仿宋_GB2312" w:cs="仿宋_GB2312" w:eastAsia="仿宋_GB2312"/>
        </w:rPr>
        <w:t>详见附件：2施工进度计划.docx</w:t>
      </w:r>
    </w:p>
    <w:p>
      <w:pPr>
        <w:pStyle w:val="null3"/>
        <w:ind w:firstLine="960"/>
      </w:pPr>
      <w:r>
        <w:rPr>
          <w:rFonts w:ascii="仿宋_GB2312" w:hAnsi="仿宋_GB2312" w:cs="仿宋_GB2312" w:eastAsia="仿宋_GB2312"/>
        </w:rPr>
        <w:t>详见附件：3质量技术组织措施.docx</w:t>
      </w:r>
    </w:p>
    <w:p>
      <w:pPr>
        <w:pStyle w:val="null3"/>
        <w:ind w:firstLine="960"/>
      </w:pPr>
      <w:r>
        <w:rPr>
          <w:rFonts w:ascii="仿宋_GB2312" w:hAnsi="仿宋_GB2312" w:cs="仿宋_GB2312" w:eastAsia="仿宋_GB2312"/>
        </w:rPr>
        <w:t>详见附件：4施工组织设计.docx</w:t>
      </w:r>
    </w:p>
    <w:p>
      <w:pPr>
        <w:pStyle w:val="null3"/>
        <w:ind w:firstLine="960"/>
      </w:pPr>
      <w:r>
        <w:rPr>
          <w:rFonts w:ascii="仿宋_GB2312" w:hAnsi="仿宋_GB2312" w:cs="仿宋_GB2312" w:eastAsia="仿宋_GB2312"/>
        </w:rPr>
        <w:t>详见附件：5安全施工方案.docx</w:t>
      </w:r>
    </w:p>
    <w:p>
      <w:pPr>
        <w:pStyle w:val="null3"/>
        <w:ind w:firstLine="960"/>
      </w:pPr>
      <w:r>
        <w:rPr>
          <w:rFonts w:ascii="仿宋_GB2312" w:hAnsi="仿宋_GB2312" w:cs="仿宋_GB2312" w:eastAsia="仿宋_GB2312"/>
        </w:rPr>
        <w:t>详见附件：6项目组织机构.docx</w:t>
      </w:r>
    </w:p>
    <w:p>
      <w:pPr>
        <w:pStyle w:val="null3"/>
        <w:ind w:firstLine="960"/>
      </w:pPr>
      <w:r>
        <w:rPr>
          <w:rFonts w:ascii="仿宋_GB2312" w:hAnsi="仿宋_GB2312" w:cs="仿宋_GB2312" w:eastAsia="仿宋_GB2312"/>
        </w:rPr>
        <w:t>详见附件：7安全文明施工措施.docx</w:t>
      </w:r>
    </w:p>
    <w:p>
      <w:pPr>
        <w:pStyle w:val="null3"/>
        <w:ind w:firstLine="960"/>
      </w:pPr>
      <w:r>
        <w:rPr>
          <w:rFonts w:ascii="仿宋_GB2312" w:hAnsi="仿宋_GB2312" w:cs="仿宋_GB2312" w:eastAsia="仿宋_GB2312"/>
        </w:rPr>
        <w:t>详见附件：8主材选择.docx</w:t>
      </w:r>
    </w:p>
    <w:p>
      <w:pPr>
        <w:pStyle w:val="null3"/>
        <w:ind w:firstLine="960"/>
      </w:pPr>
      <w:r>
        <w:rPr>
          <w:rFonts w:ascii="仿宋_GB2312" w:hAnsi="仿宋_GB2312" w:cs="仿宋_GB2312" w:eastAsia="仿宋_GB2312"/>
        </w:rPr>
        <w:t>详见附件：9业绩.docx</w:t>
      </w:r>
    </w:p>
    <w:p>
      <w:pPr>
        <w:pStyle w:val="null3"/>
        <w:ind w:firstLine="960"/>
      </w:pPr>
      <w:r>
        <w:rPr>
          <w:rFonts w:ascii="仿宋_GB2312" w:hAnsi="仿宋_GB2312" w:cs="仿宋_GB2312" w:eastAsia="仿宋_GB2312"/>
        </w:rPr>
        <w:t>详见附件：10保修承诺.docx</w:t>
      </w:r>
    </w:p>
    <w:p>
      <w:pPr>
        <w:pStyle w:val="null3"/>
        <w:ind w:firstLine="960"/>
      </w:pPr>
      <w:r>
        <w:rPr>
          <w:rFonts w:ascii="仿宋_GB2312" w:hAnsi="仿宋_GB2312" w:cs="仿宋_GB2312" w:eastAsia="仿宋_GB2312"/>
        </w:rPr>
        <w:t>详见附件：11节能环保.docx</w:t>
      </w:r>
    </w:p>
    <w:p>
      <w:pPr>
        <w:pStyle w:val="null3"/>
        <w:ind w:firstLine="960"/>
      </w:pPr>
      <w:r>
        <w:rPr>
          <w:rFonts w:ascii="仿宋_GB2312" w:hAnsi="仿宋_GB2312" w:cs="仿宋_GB2312" w:eastAsia="仿宋_GB2312"/>
        </w:rPr>
        <w:t>详见附件：12其他资料.docx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详见附件：实质性商务部分偏离表.docx</w:t>
      </w:r>
    </w:p>
    <w:p>
      <w:pPr>
        <w:pStyle w:val="null3"/>
        <w:ind w:firstLine="960"/>
      </w:pPr>
      <w:r>
        <w:rPr>
          <w:rFonts w:ascii="仿宋_GB2312" w:hAnsi="仿宋_GB2312" w:cs="仿宋_GB2312" w:eastAsia="仿宋_GB2312"/>
        </w:rPr>
        <w:t>详见附件：1施工方案.docx</w:t>
      </w:r>
    </w:p>
    <w:p>
      <w:pPr>
        <w:pStyle w:val="null3"/>
        <w:ind w:firstLine="960"/>
      </w:pPr>
      <w:r>
        <w:rPr>
          <w:rFonts w:ascii="仿宋_GB2312" w:hAnsi="仿宋_GB2312" w:cs="仿宋_GB2312" w:eastAsia="仿宋_GB2312"/>
        </w:rPr>
        <w:t>详见附件：2施工进度计划.docx</w:t>
      </w:r>
    </w:p>
    <w:p>
      <w:pPr>
        <w:pStyle w:val="null3"/>
        <w:ind w:firstLine="960"/>
      </w:pPr>
      <w:r>
        <w:rPr>
          <w:rFonts w:ascii="仿宋_GB2312" w:hAnsi="仿宋_GB2312" w:cs="仿宋_GB2312" w:eastAsia="仿宋_GB2312"/>
        </w:rPr>
        <w:t>详见附件：3质量技术组织措施.docx</w:t>
      </w:r>
    </w:p>
    <w:p>
      <w:pPr>
        <w:pStyle w:val="null3"/>
        <w:ind w:firstLine="960"/>
      </w:pPr>
      <w:r>
        <w:rPr>
          <w:rFonts w:ascii="仿宋_GB2312" w:hAnsi="仿宋_GB2312" w:cs="仿宋_GB2312" w:eastAsia="仿宋_GB2312"/>
        </w:rPr>
        <w:t>详见附件：4施工组织设计.docx</w:t>
      </w:r>
    </w:p>
    <w:p>
      <w:pPr>
        <w:pStyle w:val="null3"/>
        <w:ind w:firstLine="960"/>
      </w:pPr>
      <w:r>
        <w:rPr>
          <w:rFonts w:ascii="仿宋_GB2312" w:hAnsi="仿宋_GB2312" w:cs="仿宋_GB2312" w:eastAsia="仿宋_GB2312"/>
        </w:rPr>
        <w:t>详见附件：5安全施工方案.docx</w:t>
      </w:r>
    </w:p>
    <w:p>
      <w:pPr>
        <w:pStyle w:val="null3"/>
        <w:ind w:firstLine="960"/>
      </w:pPr>
      <w:r>
        <w:rPr>
          <w:rFonts w:ascii="仿宋_GB2312" w:hAnsi="仿宋_GB2312" w:cs="仿宋_GB2312" w:eastAsia="仿宋_GB2312"/>
        </w:rPr>
        <w:t>详见附件：6项目组织机构.docx</w:t>
      </w:r>
    </w:p>
    <w:p>
      <w:pPr>
        <w:pStyle w:val="null3"/>
        <w:ind w:firstLine="960"/>
      </w:pPr>
      <w:r>
        <w:rPr>
          <w:rFonts w:ascii="仿宋_GB2312" w:hAnsi="仿宋_GB2312" w:cs="仿宋_GB2312" w:eastAsia="仿宋_GB2312"/>
        </w:rPr>
        <w:t>详见附件：7安全文明施工措施.docx</w:t>
      </w:r>
    </w:p>
    <w:p>
      <w:pPr>
        <w:pStyle w:val="null3"/>
        <w:ind w:firstLine="960"/>
      </w:pPr>
      <w:r>
        <w:rPr>
          <w:rFonts w:ascii="仿宋_GB2312" w:hAnsi="仿宋_GB2312" w:cs="仿宋_GB2312" w:eastAsia="仿宋_GB2312"/>
        </w:rPr>
        <w:t>详见附件：8主材选择.docx</w:t>
      </w:r>
    </w:p>
    <w:p>
      <w:pPr>
        <w:pStyle w:val="null3"/>
        <w:ind w:firstLine="960"/>
      </w:pPr>
      <w:r>
        <w:rPr>
          <w:rFonts w:ascii="仿宋_GB2312" w:hAnsi="仿宋_GB2312" w:cs="仿宋_GB2312" w:eastAsia="仿宋_GB2312"/>
        </w:rPr>
        <w:t>详见附件：9业绩.docx</w:t>
      </w:r>
    </w:p>
    <w:p>
      <w:pPr>
        <w:pStyle w:val="null3"/>
        <w:ind w:firstLine="960"/>
      </w:pPr>
      <w:r>
        <w:rPr>
          <w:rFonts w:ascii="仿宋_GB2312" w:hAnsi="仿宋_GB2312" w:cs="仿宋_GB2312" w:eastAsia="仿宋_GB2312"/>
        </w:rPr>
        <w:t>详见附件：10保修承诺.docx</w:t>
      </w:r>
    </w:p>
    <w:p>
      <w:pPr>
        <w:pStyle w:val="null3"/>
        <w:ind w:firstLine="960"/>
      </w:pPr>
      <w:r>
        <w:rPr>
          <w:rFonts w:ascii="仿宋_GB2312" w:hAnsi="仿宋_GB2312" w:cs="仿宋_GB2312" w:eastAsia="仿宋_GB2312"/>
        </w:rPr>
        <w:t>详见附件：11节能环保.docx</w:t>
      </w:r>
    </w:p>
    <w:p>
      <w:pPr>
        <w:pStyle w:val="null3"/>
        <w:ind w:firstLine="960"/>
      </w:pPr>
      <w:r>
        <w:rPr>
          <w:rFonts w:ascii="仿宋_GB2312" w:hAnsi="仿宋_GB2312" w:cs="仿宋_GB2312" w:eastAsia="仿宋_GB2312"/>
        </w:rPr>
        <w:t>详见附件：12其他资料.docx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