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75083">
      <w:pPr>
        <w:pStyle w:val="3"/>
        <w:rPr>
          <w:rFonts w:ascii="仿宋" w:hAnsi="仿宋" w:eastAsia="仿宋" w:cs="仿宋"/>
        </w:rPr>
      </w:pPr>
    </w:p>
    <w:p w14:paraId="25A6D4F8">
      <w:pPr>
        <w:pStyle w:val="5"/>
        <w:rPr>
          <w:rFonts w:ascii="仿宋" w:hAnsi="仿宋" w:eastAsia="仿宋" w:cs="仿宋"/>
        </w:rPr>
      </w:pPr>
    </w:p>
    <w:p w14:paraId="298CD8B3">
      <w:pPr>
        <w:jc w:val="center"/>
        <w:rPr>
          <w:rFonts w:hint="eastAsia" w:ascii="仿宋" w:hAnsi="仿宋" w:eastAsia="仿宋" w:cs="仿宋"/>
          <w:b/>
          <w:kern w:val="0"/>
          <w:sz w:val="72"/>
          <w:szCs w:val="72"/>
        </w:rPr>
      </w:pPr>
      <w:r>
        <w:rPr>
          <w:rFonts w:hint="eastAsia" w:ascii="仿宋" w:hAnsi="仿宋" w:eastAsia="仿宋" w:cs="仿宋"/>
          <w:b/>
          <w:kern w:val="0"/>
          <w:sz w:val="72"/>
          <w:szCs w:val="72"/>
        </w:rPr>
        <w:t>政府采购合同</w:t>
      </w:r>
    </w:p>
    <w:p w14:paraId="02FA43B6">
      <w:pPr>
        <w:pStyle w:val="7"/>
        <w:jc w:val="center"/>
        <w:rPr>
          <w:rFonts w:hint="default" w:eastAsia="仿宋"/>
          <w:b/>
          <w:bCs w:val="0"/>
          <w:sz w:val="2"/>
          <w:szCs w:val="6"/>
          <w:lang w:val="en-US" w:eastAsia="zh-CN"/>
        </w:rPr>
      </w:pPr>
      <w:r>
        <w:rPr>
          <w:rFonts w:hint="eastAsia" w:ascii="仿宋" w:hAnsi="仿宋" w:eastAsia="仿宋" w:cs="仿宋"/>
          <w:b/>
          <w:bCs w:val="0"/>
          <w:kern w:val="0"/>
          <w:sz w:val="22"/>
          <w:szCs w:val="22"/>
          <w:lang w:val="en-US" w:eastAsia="zh-CN"/>
        </w:rPr>
        <w:t>本合同仅供参考，具体以双方签订合同为准</w:t>
      </w:r>
    </w:p>
    <w:p w14:paraId="6333531D">
      <w:pPr>
        <w:pStyle w:val="5"/>
      </w:pPr>
      <w:r>
        <w:rPr>
          <w:rFonts w:hint="eastAsia" w:ascii="宋体" w:hAnsi="宋体" w:cs="宋体"/>
          <w:b/>
          <w:sz w:val="32"/>
          <w:szCs w:val="32"/>
          <w:highlight w:val="none"/>
          <w:shd w:val="clear" w:color="auto" w:fill="FFFFFF"/>
          <w:lang w:val="en-US" w:eastAsia="zh-CN"/>
        </w:rPr>
        <w:t xml:space="preserve"> </w:t>
      </w:r>
    </w:p>
    <w:p w14:paraId="5F267DDC">
      <w:pPr>
        <w:pStyle w:val="5"/>
        <w:rPr>
          <w:rFonts w:ascii="仿宋" w:hAnsi="仿宋" w:eastAsia="仿宋" w:cs="仿宋"/>
        </w:rPr>
      </w:pPr>
    </w:p>
    <w:p w14:paraId="5D39C998">
      <w:pPr>
        <w:jc w:val="center"/>
        <w:rPr>
          <w:rFonts w:ascii="仿宋" w:hAnsi="仿宋" w:eastAsia="仿宋" w:cs="仿宋"/>
          <w:b/>
          <w:sz w:val="48"/>
          <w:szCs w:val="28"/>
        </w:rPr>
      </w:pPr>
    </w:p>
    <w:p w14:paraId="44994D5F">
      <w:pPr>
        <w:pStyle w:val="5"/>
      </w:pPr>
    </w:p>
    <w:p w14:paraId="4526992E"/>
    <w:p w14:paraId="5F4A3515">
      <w:pPr>
        <w:spacing w:line="360" w:lineRule="auto"/>
        <w:ind w:firstLine="1928" w:firstLineChars="600"/>
        <w:jc w:val="left"/>
        <w:rPr>
          <w:rFonts w:ascii="仿宋" w:hAnsi="仿宋" w:eastAsia="仿宋" w:cs="仿宋"/>
          <w:b/>
          <w:kern w:val="0"/>
          <w:sz w:val="32"/>
          <w:szCs w:val="32"/>
        </w:rPr>
      </w:pPr>
    </w:p>
    <w:p w14:paraId="51C94582">
      <w:pPr>
        <w:rPr>
          <w:rFonts w:ascii="仿宋" w:hAnsi="仿宋" w:eastAsia="仿宋" w:cs="仿宋"/>
        </w:rPr>
      </w:pPr>
    </w:p>
    <w:p w14:paraId="66593849">
      <w:pPr>
        <w:rPr>
          <w:rFonts w:ascii="仿宋" w:hAnsi="仿宋" w:eastAsia="仿宋" w:cs="仿宋"/>
        </w:rPr>
      </w:pPr>
    </w:p>
    <w:p w14:paraId="04997A9C">
      <w:pPr>
        <w:pStyle w:val="5"/>
        <w:rPr>
          <w:rFonts w:ascii="仿宋" w:hAnsi="仿宋" w:eastAsia="仿宋" w:cs="仿宋"/>
        </w:rPr>
      </w:pPr>
    </w:p>
    <w:p w14:paraId="2D5D5343">
      <w:pPr>
        <w:pStyle w:val="5"/>
        <w:rPr>
          <w:rFonts w:ascii="仿宋" w:hAnsi="仿宋" w:eastAsia="仿宋" w:cs="仿宋"/>
        </w:rPr>
      </w:pPr>
    </w:p>
    <w:p w14:paraId="0BBF7BB0">
      <w:pPr>
        <w:pStyle w:val="5"/>
        <w:rPr>
          <w:rFonts w:ascii="仿宋" w:hAnsi="仿宋" w:eastAsia="仿宋" w:cs="仿宋"/>
        </w:rPr>
      </w:pPr>
    </w:p>
    <w:p w14:paraId="5C60CAA7">
      <w:pPr>
        <w:pStyle w:val="8"/>
        <w:ind w:firstLine="0" w:firstLineChars="0"/>
        <w:rPr>
          <w:rFonts w:ascii="仿宋" w:hAnsi="仿宋" w:eastAsia="仿宋" w:cs="仿宋"/>
        </w:rPr>
      </w:pPr>
    </w:p>
    <w:p w14:paraId="4020A601">
      <w:pPr>
        <w:rPr>
          <w:rFonts w:ascii="仿宋" w:hAnsi="仿宋" w:eastAsia="仿宋" w:cs="仿宋"/>
        </w:rPr>
      </w:pPr>
    </w:p>
    <w:p w14:paraId="5FF8A4E7">
      <w:pPr>
        <w:spacing w:line="360" w:lineRule="auto"/>
        <w:jc w:val="left"/>
        <w:rPr>
          <w:rFonts w:ascii="仿宋" w:hAnsi="仿宋" w:eastAsia="仿宋" w:cs="仿宋"/>
        </w:rPr>
      </w:pPr>
    </w:p>
    <w:p w14:paraId="203A72E9">
      <w:pPr>
        <w:pStyle w:val="3"/>
        <w:rPr>
          <w:rFonts w:ascii="仿宋" w:hAnsi="仿宋" w:eastAsia="仿宋" w:cs="仿宋"/>
        </w:rPr>
      </w:pPr>
    </w:p>
    <w:p w14:paraId="6AA3B386">
      <w:pPr>
        <w:spacing w:line="360" w:lineRule="auto"/>
        <w:rPr>
          <w:rFonts w:hint="eastAsia" w:ascii="仿宋" w:hAnsi="仿宋" w:eastAsia="仿宋" w:cs="仿宋"/>
          <w:b/>
          <w:kern w:val="0"/>
          <w:sz w:val="32"/>
          <w:szCs w:val="32"/>
        </w:rPr>
      </w:pPr>
    </w:p>
    <w:p w14:paraId="519616B1">
      <w:pPr>
        <w:spacing w:line="360" w:lineRule="auto"/>
        <w:ind w:firstLine="1928" w:firstLineChars="600"/>
        <w:jc w:val="both"/>
        <w:rPr>
          <w:rFonts w:hint="default" w:ascii="仿宋" w:hAnsi="仿宋" w:eastAsia="仿宋" w:cs="仿宋"/>
          <w:b/>
          <w:kern w:val="0"/>
          <w:sz w:val="32"/>
          <w:szCs w:val="32"/>
          <w:lang w:val="en-US"/>
        </w:rPr>
      </w:pPr>
      <w:r>
        <w:rPr>
          <w:rFonts w:hint="eastAsia" w:ascii="仿宋" w:hAnsi="仿宋" w:eastAsia="仿宋" w:cs="仿宋"/>
          <w:b/>
          <w:kern w:val="0"/>
          <w:sz w:val="32"/>
          <w:szCs w:val="32"/>
        </w:rPr>
        <w:t>采购人：</w:t>
      </w:r>
      <w:r>
        <w:rPr>
          <w:rFonts w:hint="eastAsia" w:ascii="仿宋" w:hAnsi="仿宋" w:eastAsia="仿宋" w:cs="仿宋"/>
          <w:b/>
          <w:kern w:val="0"/>
          <w:sz w:val="32"/>
          <w:szCs w:val="32"/>
          <w:u w:val="single"/>
          <w:lang w:val="en-US" w:eastAsia="zh-CN"/>
        </w:rPr>
        <w:t xml:space="preserve"> 铜川市耀州区水利工作队 </w:t>
      </w:r>
    </w:p>
    <w:p w14:paraId="0B7D7D34">
      <w:pPr>
        <w:spacing w:line="360" w:lineRule="auto"/>
        <w:ind w:firstLine="1928" w:firstLineChars="600"/>
        <w:rPr>
          <w:rFonts w:hint="default" w:ascii="仿宋" w:hAnsi="仿宋" w:eastAsia="仿宋" w:cs="仿宋"/>
          <w:b/>
          <w:kern w:val="0"/>
          <w:sz w:val="32"/>
          <w:szCs w:val="32"/>
          <w:lang w:val="en-US"/>
        </w:rPr>
      </w:pPr>
      <w:r>
        <w:rPr>
          <w:rFonts w:hint="eastAsia" w:ascii="仿宋" w:hAnsi="仿宋" w:eastAsia="仿宋" w:cs="仿宋"/>
          <w:b/>
          <w:kern w:val="0"/>
          <w:sz w:val="32"/>
          <w:szCs w:val="32"/>
        </w:rPr>
        <w:t>供应商：</w:t>
      </w:r>
      <w:r>
        <w:rPr>
          <w:rFonts w:hint="eastAsia" w:ascii="仿宋" w:hAnsi="仿宋" w:eastAsia="仿宋" w:cs="仿宋"/>
          <w:b/>
          <w:kern w:val="0"/>
          <w:sz w:val="32"/>
          <w:szCs w:val="32"/>
          <w:u w:val="single"/>
          <w:lang w:val="en-US" w:eastAsia="zh-CN"/>
        </w:rPr>
        <w:t xml:space="preserve">                          </w:t>
      </w:r>
    </w:p>
    <w:p w14:paraId="6E8803D5">
      <w:pPr>
        <w:spacing w:line="360" w:lineRule="auto"/>
        <w:ind w:firstLine="1928" w:firstLineChars="600"/>
        <w:rPr>
          <w:rFonts w:hint="default" w:ascii="仿宋" w:hAnsi="仿宋" w:eastAsia="仿宋" w:cs="仿宋"/>
          <w:sz w:val="24"/>
          <w:szCs w:val="24"/>
          <w:u w:val="single"/>
          <w:lang w:val="en-US" w:eastAsia="zh-CN"/>
        </w:rPr>
      </w:pPr>
      <w:r>
        <w:rPr>
          <w:rFonts w:hint="eastAsia" w:ascii="仿宋" w:hAnsi="仿宋" w:eastAsia="仿宋" w:cs="仿宋"/>
          <w:b/>
          <w:kern w:val="0"/>
          <w:sz w:val="32"/>
          <w:szCs w:val="32"/>
        </w:rPr>
        <w:t>时  间：</w:t>
      </w:r>
      <w:r>
        <w:rPr>
          <w:rFonts w:hint="eastAsia" w:ascii="仿宋" w:hAnsi="仿宋" w:eastAsia="仿宋" w:cs="仿宋"/>
          <w:b/>
          <w:kern w:val="0"/>
          <w:sz w:val="32"/>
          <w:szCs w:val="32"/>
          <w:u w:val="single"/>
          <w:lang w:val="en-US" w:eastAsia="zh-CN"/>
        </w:rPr>
        <w:t xml:space="preserve">                            </w:t>
      </w:r>
    </w:p>
    <w:p w14:paraId="4E3F1569">
      <w:pPr>
        <w:tabs>
          <w:tab w:val="center" w:pos="4153"/>
        </w:tabs>
        <w:spacing w:line="360" w:lineRule="auto"/>
        <w:jc w:val="left"/>
        <w:rPr>
          <w:rFonts w:ascii="仿宋" w:hAnsi="仿宋" w:eastAsia="仿宋" w:cs="仿宋"/>
          <w:b/>
          <w:bCs/>
          <w:sz w:val="48"/>
          <w:szCs w:val="52"/>
        </w:rPr>
        <w:sectPr>
          <w:headerReference r:id="rId5" w:type="first"/>
          <w:headerReference r:id="rId3" w:type="default"/>
          <w:footerReference r:id="rId6" w:type="default"/>
          <w:headerReference r:id="rId4" w:type="even"/>
          <w:pgSz w:w="11906" w:h="16838"/>
          <w:pgMar w:top="1440" w:right="1219" w:bottom="1440" w:left="1219" w:header="851" w:footer="992" w:gutter="0"/>
          <w:pgNumType w:start="1"/>
          <w:cols w:space="720" w:num="1"/>
          <w:titlePg/>
          <w:docGrid w:linePitch="312" w:charSpace="0"/>
        </w:sectPr>
      </w:pPr>
    </w:p>
    <w:p w14:paraId="39D113BC">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color w:val="000000" w:themeColor="text1"/>
          <w:sz w:val="22"/>
          <w:highlight w:val="none"/>
          <w:u w:val="single"/>
          <w:lang w:val="en-US" w:eastAsia="zh-CN"/>
          <w14:textFill>
            <w14:solidFill>
              <w14:schemeClr w14:val="tx1"/>
            </w14:solidFill>
          </w14:textFill>
        </w:rPr>
      </w:pPr>
      <w:r>
        <w:rPr>
          <w:rFonts w:hint="eastAsia" w:ascii="仿宋" w:hAnsi="仿宋" w:eastAsia="仿宋" w:cs="仿宋"/>
          <w:b/>
          <w:color w:val="000000" w:themeColor="text1"/>
          <w:sz w:val="22"/>
          <w:highlight w:val="none"/>
          <w:lang w:val="zh-CN"/>
          <w14:textFill>
            <w14:solidFill>
              <w14:schemeClr w14:val="tx1"/>
            </w14:solidFill>
          </w14:textFill>
        </w:rPr>
        <w:t>甲</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14:textFill>
            <w14:solidFill>
              <w14:schemeClr w14:val="tx1"/>
            </w14:solidFill>
          </w14:textFill>
        </w:rPr>
        <w:t>方：</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铜川市耀州区水利工作队  </w:t>
      </w:r>
    </w:p>
    <w:p w14:paraId="2C114E50">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kern w:val="0"/>
          <w:sz w:val="32"/>
          <w:szCs w:val="32"/>
          <w:u w:val="single"/>
          <w:lang w:val="en-US" w:eastAsia="zh-CN"/>
        </w:rPr>
      </w:pPr>
      <w:r>
        <w:rPr>
          <w:rFonts w:hint="eastAsia" w:ascii="仿宋" w:hAnsi="仿宋" w:eastAsia="仿宋" w:cs="仿宋"/>
          <w:b/>
          <w:color w:val="000000" w:themeColor="text1"/>
          <w:sz w:val="22"/>
          <w:highlight w:val="none"/>
          <w:lang w:val="zh-CN" w:eastAsia="zh-CN"/>
          <w14:textFill>
            <w14:solidFill>
              <w14:schemeClr w14:val="tx1"/>
            </w14:solidFill>
          </w14:textFill>
        </w:rPr>
        <w:t>乙</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eastAsia="zh-CN"/>
          <w14:textFill>
            <w14:solidFill>
              <w14:schemeClr w14:val="tx1"/>
            </w14:solidFill>
          </w14:textFill>
        </w:rPr>
        <w:t>方</w:t>
      </w:r>
      <w:r>
        <w:rPr>
          <w:rFonts w:hint="eastAsia" w:ascii="仿宋" w:hAnsi="仿宋" w:eastAsia="仿宋" w:cs="仿宋"/>
          <w:b/>
          <w:color w:val="000000" w:themeColor="text1"/>
          <w:sz w:val="22"/>
          <w:highlight w:val="none"/>
          <w:lang w:val="zh-CN"/>
          <w14:textFill>
            <w14:solidFill>
              <w14:schemeClr w14:val="tx1"/>
            </w14:solidFill>
          </w14:textFill>
        </w:rPr>
        <w:t>：</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w:t>
      </w:r>
    </w:p>
    <w:p w14:paraId="003180DD">
      <w:pPr>
        <w:pStyle w:val="9"/>
        <w:shd w:val="clear" w:color="auto" w:fill="FFFFFF"/>
        <w:spacing w:before="0" w:beforeAutospacing="0" w:after="0" w:afterAutospacing="0" w:line="500" w:lineRule="exact"/>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0"/>
          <w:sz w:val="22"/>
          <w:szCs w:val="24"/>
          <w:highlight w:val="none"/>
          <w:lang w:val="en-US" w:eastAsia="zh-CN" w:bidi="ar-SA"/>
          <w14:textFill>
            <w14:solidFill>
              <w14:schemeClr w14:val="tx1"/>
            </w14:solidFill>
          </w14:textFill>
        </w:rPr>
        <w:t>铜川市耀州区农村饮水安全检测中心仪器购置项目</w:t>
      </w:r>
      <w:r>
        <w:rPr>
          <w:rFonts w:hint="eastAsia" w:ascii="仿宋" w:hAnsi="仿宋" w:eastAsia="仿宋" w:cs="仿宋"/>
          <w:color w:val="000000" w:themeColor="text1"/>
          <w:sz w:val="22"/>
          <w:highlight w:val="none"/>
          <w14:textFill>
            <w14:solidFill>
              <w14:schemeClr w14:val="tx1"/>
            </w14:solidFill>
          </w14:textFill>
        </w:rPr>
        <w:t>采用公开招标采购方式进行采购，经评审委员会评审推荐，</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2"/>
          <w:highlight w:val="none"/>
          <w14:textFill>
            <w14:solidFill>
              <w14:schemeClr w14:val="tx1"/>
            </w14:solidFill>
          </w14:textFill>
        </w:rPr>
        <w:t>为</w:t>
      </w:r>
      <w:r>
        <w:rPr>
          <w:rFonts w:hint="eastAsia" w:ascii="仿宋" w:hAnsi="仿宋" w:eastAsia="仿宋" w:cs="仿宋"/>
          <w:color w:val="000000" w:themeColor="text1"/>
          <w:sz w:val="22"/>
          <w:highlight w:val="none"/>
          <w14:textFill>
            <w14:solidFill>
              <w14:schemeClr w14:val="tx1"/>
            </w14:solidFill>
          </w14:textFill>
        </w:rPr>
        <w:t>本项目</w:t>
      </w:r>
      <w:r>
        <w:rPr>
          <w:rFonts w:hint="eastAsia" w:ascii="仿宋" w:hAnsi="仿宋" w:eastAsia="仿宋" w:cs="仿宋"/>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的中标人。</w:t>
      </w:r>
    </w:p>
    <w:p w14:paraId="0591130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依据《中华人民共和国民法典》和《中华人民共和国政府采购法》，经双方协商按下述条款和条件签署本合同。</w:t>
      </w:r>
    </w:p>
    <w:p w14:paraId="4B92E3F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甲方通过公开招标方式，接受了乙方以总金额</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元</w:t>
      </w:r>
      <w:r>
        <w:rPr>
          <w:rFonts w:hint="eastAsia" w:ascii="仿宋" w:hAnsi="仿宋" w:eastAsia="仿宋" w:cs="仿宋"/>
          <w:color w:val="000000" w:themeColor="text1"/>
          <w:sz w:val="22"/>
          <w:highlight w:val="none"/>
          <w14:textFill>
            <w14:solidFill>
              <w14:schemeClr w14:val="tx1"/>
            </w14:solidFill>
          </w14:textFill>
        </w:rPr>
        <w:t>（以下简称“合同价”)提供合同条款附件所述货物和服务。</w:t>
      </w:r>
    </w:p>
    <w:tbl>
      <w:tblPr>
        <w:tblStyle w:val="11"/>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082"/>
        <w:gridCol w:w="2098"/>
        <w:gridCol w:w="1452"/>
        <w:gridCol w:w="1973"/>
      </w:tblGrid>
      <w:tr w14:paraId="43EC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trPr>
        <w:tc>
          <w:tcPr>
            <w:tcW w:w="534" w:type="pct"/>
            <w:vAlign w:val="center"/>
          </w:tcPr>
          <w:p w14:paraId="76A56974">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序号</w:t>
            </w:r>
          </w:p>
        </w:tc>
        <w:tc>
          <w:tcPr>
            <w:tcW w:w="1222" w:type="pct"/>
            <w:vAlign w:val="center"/>
          </w:tcPr>
          <w:p w14:paraId="5652509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货物名称</w:t>
            </w:r>
          </w:p>
        </w:tc>
        <w:tc>
          <w:tcPr>
            <w:tcW w:w="1231" w:type="pct"/>
            <w:vAlign w:val="center"/>
          </w:tcPr>
          <w:p w14:paraId="68B90869">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单价</w:t>
            </w:r>
          </w:p>
        </w:tc>
        <w:tc>
          <w:tcPr>
            <w:tcW w:w="852" w:type="pct"/>
            <w:vAlign w:val="center"/>
          </w:tcPr>
          <w:p w14:paraId="6D3413E1">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数量</w:t>
            </w:r>
          </w:p>
        </w:tc>
        <w:tc>
          <w:tcPr>
            <w:tcW w:w="1158" w:type="pct"/>
            <w:vAlign w:val="center"/>
          </w:tcPr>
          <w:p w14:paraId="554C97FB">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金额</w:t>
            </w:r>
          </w:p>
        </w:tc>
      </w:tr>
      <w:tr w14:paraId="7C77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trPr>
        <w:tc>
          <w:tcPr>
            <w:tcW w:w="534" w:type="pct"/>
            <w:vAlign w:val="center"/>
          </w:tcPr>
          <w:p w14:paraId="1D121D0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1</w:t>
            </w:r>
          </w:p>
        </w:tc>
        <w:tc>
          <w:tcPr>
            <w:tcW w:w="1222" w:type="pct"/>
            <w:vAlign w:val="center"/>
          </w:tcPr>
          <w:p w14:paraId="4B3144DA">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B32280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2" w:type="pct"/>
            <w:vAlign w:val="center"/>
          </w:tcPr>
          <w:p w14:paraId="43CC3A72">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52736FAB">
            <w:pPr>
              <w:jc w:val="center"/>
              <w:rPr>
                <w:rFonts w:hint="default" w:ascii="仿宋" w:hAnsi="仿宋" w:eastAsia="仿宋" w:cs="仿宋"/>
                <w:color w:val="000000" w:themeColor="text1"/>
                <w:sz w:val="22"/>
                <w:lang w:val="en-US" w:eastAsia="zh-CN"/>
                <w14:textFill>
                  <w14:solidFill>
                    <w14:schemeClr w14:val="tx1"/>
                  </w14:solidFill>
                </w14:textFill>
              </w:rPr>
            </w:pPr>
          </w:p>
        </w:tc>
      </w:tr>
      <w:tr w14:paraId="2FF3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trPr>
        <w:tc>
          <w:tcPr>
            <w:tcW w:w="534" w:type="pct"/>
            <w:vAlign w:val="center"/>
          </w:tcPr>
          <w:p w14:paraId="66B1DC77">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2</w:t>
            </w:r>
          </w:p>
        </w:tc>
        <w:tc>
          <w:tcPr>
            <w:tcW w:w="1222" w:type="pct"/>
            <w:vAlign w:val="center"/>
          </w:tcPr>
          <w:p w14:paraId="6C5F7C9D">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063DC4C5">
            <w:pPr>
              <w:jc w:val="center"/>
              <w:rPr>
                <w:rFonts w:hint="eastAsia" w:ascii="仿宋" w:hAnsi="仿宋" w:eastAsia="仿宋" w:cs="仿宋"/>
                <w:color w:val="000000" w:themeColor="text1"/>
                <w:sz w:val="22"/>
                <w:lang w:val="en-US" w:eastAsia="zh-CN"/>
                <w14:textFill>
                  <w14:solidFill>
                    <w14:schemeClr w14:val="tx1"/>
                  </w14:solidFill>
                </w14:textFill>
              </w:rPr>
            </w:pPr>
          </w:p>
        </w:tc>
        <w:tc>
          <w:tcPr>
            <w:tcW w:w="852" w:type="pct"/>
            <w:vAlign w:val="center"/>
          </w:tcPr>
          <w:p w14:paraId="181A917B">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7DEB39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p>
        </w:tc>
      </w:tr>
      <w:tr w14:paraId="7B54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trPr>
        <w:tc>
          <w:tcPr>
            <w:tcW w:w="534" w:type="pct"/>
            <w:vAlign w:val="center"/>
          </w:tcPr>
          <w:p w14:paraId="36C8ADF1">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3</w:t>
            </w:r>
          </w:p>
        </w:tc>
        <w:tc>
          <w:tcPr>
            <w:tcW w:w="1222" w:type="pct"/>
            <w:vAlign w:val="center"/>
          </w:tcPr>
          <w:p w14:paraId="0DDE6E27">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50860E6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2" w:type="pct"/>
            <w:vAlign w:val="center"/>
          </w:tcPr>
          <w:p w14:paraId="759F302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54C6C12">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bl>
    <w:p w14:paraId="11D7AC8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本合同在此声明如下：</w:t>
      </w:r>
    </w:p>
    <w:p w14:paraId="17E38DA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1.本合同中的词语和术语的含义与合同条款中定义的相同。</w:t>
      </w:r>
    </w:p>
    <w:p w14:paraId="1DCA0BB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2.下述文件是本合同的一部分，并与本合同一起阅读和解释：</w:t>
      </w:r>
    </w:p>
    <w:p w14:paraId="0B1F90A5">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2-1合同通用条款</w:t>
      </w:r>
    </w:p>
    <w:p w14:paraId="15A1138E">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2-2合同条款附件（如有）</w:t>
      </w:r>
    </w:p>
    <w:p w14:paraId="0AB2AAE6">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2-3中标通知书</w:t>
      </w:r>
    </w:p>
    <w:p w14:paraId="08CE8199">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2-4招标文件</w:t>
      </w:r>
    </w:p>
    <w:p w14:paraId="26E32F8F">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2-5投标文件</w:t>
      </w:r>
    </w:p>
    <w:p w14:paraId="57817B6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2-6甲乙双方协商的其他条款</w:t>
      </w:r>
    </w:p>
    <w:p w14:paraId="7AC2FA8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3.考虑到甲方将按照本合同向乙方支付货款，乙方在此保证全部按照合同的规定向甲方提供货物和服务，并修补缺陷。</w:t>
      </w:r>
    </w:p>
    <w:p w14:paraId="08683280">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4.考虑到乙方提供的货物和服务并修补缺陷，甲方在此保证按照合同规定的时间和方式向乙方支付合同价或其他按合同规定应支付的金额。</w:t>
      </w:r>
    </w:p>
    <w:p w14:paraId="79B9D3D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5.本合同一式</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陆  </w:t>
      </w:r>
      <w:r>
        <w:rPr>
          <w:rFonts w:hint="eastAsia" w:ascii="仿宋" w:hAnsi="仿宋" w:eastAsia="仿宋" w:cs="仿宋"/>
          <w:color w:val="000000" w:themeColor="text1"/>
          <w:sz w:val="22"/>
          <w:highlight w:val="none"/>
          <w14:textFill>
            <w14:solidFill>
              <w14:schemeClr w14:val="tx1"/>
            </w14:solidFill>
          </w14:textFill>
        </w:rPr>
        <w:t>份，其中，甲方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叁</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份，乙方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贰</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份，采购代理机构</w:t>
      </w:r>
      <w:r>
        <w:rPr>
          <w:rFonts w:hint="eastAsia" w:ascii="仿宋" w:hAnsi="仿宋" w:eastAsia="仿宋" w:cs="仿宋"/>
          <w:color w:val="000000" w:themeColor="text1"/>
          <w:sz w:val="22"/>
          <w:highlight w:val="none"/>
          <w:u w:val="single"/>
          <w14:textFill>
            <w14:solidFill>
              <w14:schemeClr w14:val="tx1"/>
            </w14:solidFill>
          </w14:textFill>
        </w:rPr>
        <w:t xml:space="preserve"> 壹 </w:t>
      </w:r>
      <w:r>
        <w:rPr>
          <w:rFonts w:hint="eastAsia" w:ascii="仿宋" w:hAnsi="仿宋" w:eastAsia="仿宋" w:cs="仿宋"/>
          <w:color w:val="000000" w:themeColor="text1"/>
          <w:sz w:val="22"/>
          <w:highlight w:val="none"/>
          <w14:textFill>
            <w14:solidFill>
              <w14:schemeClr w14:val="tx1"/>
            </w14:solidFill>
          </w14:textFill>
        </w:rPr>
        <w:t>份。</w:t>
      </w:r>
    </w:p>
    <w:p w14:paraId="4F923CBF">
      <w:pPr>
        <w:pStyle w:val="3"/>
        <w:keepNext w:val="0"/>
        <w:keepLines w:val="0"/>
        <w:pageBreakBefore w:val="0"/>
        <w:kinsoku/>
        <w:overflowPunct/>
        <w:autoSpaceDE/>
        <w:autoSpaceDN/>
        <w:bidi w:val="0"/>
        <w:adjustRightInd/>
        <w:spacing w:line="408" w:lineRule="auto"/>
        <w:textAlignment w:val="auto"/>
        <w:rPr>
          <w:color w:val="000000" w:themeColor="text1"/>
          <w:highlight w:val="none"/>
          <w14:textFill>
            <w14:solidFill>
              <w14:schemeClr w14:val="tx1"/>
            </w14:solidFill>
          </w14:textFill>
        </w:rPr>
      </w:pPr>
    </w:p>
    <w:tbl>
      <w:tblPr>
        <w:tblStyle w:val="10"/>
        <w:tblW w:w="9067" w:type="dxa"/>
        <w:jc w:val="center"/>
        <w:tblLayout w:type="fixed"/>
        <w:tblCellMar>
          <w:top w:w="0" w:type="dxa"/>
          <w:left w:w="108" w:type="dxa"/>
          <w:bottom w:w="0" w:type="dxa"/>
          <w:right w:w="108" w:type="dxa"/>
        </w:tblCellMar>
      </w:tblPr>
      <w:tblGrid>
        <w:gridCol w:w="4051"/>
        <w:gridCol w:w="5016"/>
      </w:tblGrid>
      <w:tr w14:paraId="157A453C">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4C6FB1F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甲方名称： </w:t>
            </w:r>
          </w:p>
          <w:p w14:paraId="54269EF1">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430BF852">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甲方地址： </w:t>
            </w:r>
          </w:p>
          <w:p w14:paraId="217A9CC9">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电    话： </w:t>
            </w:r>
          </w:p>
          <w:p w14:paraId="5F78CA40">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传    真： </w:t>
            </w:r>
          </w:p>
          <w:p w14:paraId="3778D244">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邮    编： </w:t>
            </w:r>
          </w:p>
          <w:p w14:paraId="5511423E">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开户银行： </w:t>
            </w:r>
          </w:p>
          <w:p w14:paraId="28F99E7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帐    号： </w:t>
            </w:r>
          </w:p>
          <w:p w14:paraId="387544F8">
            <w:pPr>
              <w:pStyle w:val="7"/>
              <w:rPr>
                <w:rFonts w:hint="eastAsia"/>
                <w:lang w:val="en-US" w:eastAsia="zh-CN"/>
              </w:rPr>
            </w:pPr>
          </w:p>
          <w:p w14:paraId="1DEEA98C">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日期：     年  月  日</w:t>
            </w:r>
          </w:p>
          <w:p w14:paraId="026029A2">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c>
          <w:tcPr>
            <w:tcW w:w="5016" w:type="dxa"/>
          </w:tcPr>
          <w:p w14:paraId="32A8D885">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乙方名称：   </w:t>
            </w:r>
          </w:p>
          <w:p w14:paraId="3162FD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20BEF93F">
            <w:pPr>
              <w:wordWrap w:val="0"/>
              <w:topLinePunct/>
              <w:snapToGrid w:val="0"/>
              <w:spacing w:line="480" w:lineRule="auto"/>
              <w:ind w:left="1104" w:hanging="1104" w:hangingChars="500"/>
              <w:contextualSpacing/>
              <w:jc w:val="left"/>
              <w:rPr>
                <w:rFonts w:hint="default"/>
                <w:lang w:val="en-US" w:eastAsia="zh-CN"/>
              </w:rPr>
            </w:pPr>
            <w:r>
              <w:rPr>
                <w:rFonts w:hint="eastAsia" w:ascii="仿宋" w:hAnsi="仿宋" w:eastAsia="仿宋" w:cs="仿宋"/>
                <w:b/>
                <w:color w:val="auto"/>
                <w:kern w:val="0"/>
                <w:sz w:val="22"/>
                <w:highlight w:val="none"/>
                <w:lang w:val="en-US" w:eastAsia="zh-CN"/>
              </w:rPr>
              <w:t>乙方地址：</w:t>
            </w:r>
          </w:p>
          <w:p w14:paraId="33650C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电    话：</w:t>
            </w:r>
          </w:p>
          <w:p w14:paraId="04873809">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传    真：</w:t>
            </w:r>
          </w:p>
          <w:p w14:paraId="3C855322">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邮    编：</w:t>
            </w:r>
          </w:p>
          <w:p w14:paraId="40E9F77C">
            <w:pPr>
              <w:wordWrap w:val="0"/>
              <w:topLinePunct/>
              <w:snapToGrid w:val="0"/>
              <w:spacing w:line="480" w:lineRule="auto"/>
              <w:ind w:left="1325" w:hanging="1325" w:hangingChars="600"/>
              <w:contextualSpacing/>
              <w:jc w:val="both"/>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开户银行：</w:t>
            </w:r>
          </w:p>
          <w:p w14:paraId="31256658">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帐    号：</w:t>
            </w:r>
          </w:p>
          <w:p w14:paraId="16386F4A">
            <w:pPr>
              <w:wordWrap w:val="0"/>
              <w:topLinePunct/>
              <w:snapToGrid w:val="0"/>
              <w:spacing w:line="480" w:lineRule="auto"/>
              <w:ind w:left="482"/>
              <w:contextualSpacing/>
              <w:jc w:val="left"/>
              <w:rPr>
                <w:rFonts w:ascii="仿宋" w:hAnsi="仿宋" w:eastAsia="仿宋" w:cs="仿宋"/>
                <w:b/>
                <w:color w:val="auto"/>
                <w:kern w:val="0"/>
                <w:sz w:val="22"/>
                <w:highlight w:val="none"/>
              </w:rPr>
            </w:pPr>
          </w:p>
          <w:p w14:paraId="1C0745C1">
            <w:pPr>
              <w:wordWrap w:val="0"/>
              <w:topLinePunct/>
              <w:snapToGrid w:val="0"/>
              <w:spacing w:line="480" w:lineRule="auto"/>
              <w:contextualSpacing/>
              <w:jc w:val="left"/>
              <w:rPr>
                <w:rFonts w:ascii="仿宋" w:hAnsi="仿宋" w:eastAsia="仿宋" w:cs="仿宋"/>
                <w:b/>
                <w:color w:val="auto"/>
                <w:kern w:val="0"/>
                <w:sz w:val="22"/>
                <w:highlight w:val="none"/>
              </w:rPr>
            </w:pPr>
            <w:r>
              <w:rPr>
                <w:rFonts w:hint="eastAsia" w:ascii="仿宋" w:hAnsi="仿宋" w:eastAsia="仿宋" w:cs="仿宋"/>
                <w:b/>
                <w:color w:val="auto"/>
                <w:kern w:val="0"/>
                <w:sz w:val="22"/>
                <w:highlight w:val="none"/>
              </w:rPr>
              <w:t>日期：     年  月  日</w:t>
            </w:r>
          </w:p>
          <w:p w14:paraId="24C24CFE">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r>
    </w:tbl>
    <w:p w14:paraId="591FE3B2">
      <w:pPr>
        <w:spacing w:line="360" w:lineRule="auto"/>
        <w:jc w:val="left"/>
        <w:rPr>
          <w:rFonts w:ascii="仿宋" w:hAnsi="仿宋" w:eastAsia="仿宋" w:cs="仿宋"/>
          <w:color w:val="000000" w:themeColor="text1"/>
          <w:sz w:val="22"/>
          <w:highlight w:val="none"/>
          <w14:textFill>
            <w14:solidFill>
              <w14:schemeClr w14:val="tx1"/>
            </w14:solidFill>
          </w14:textFill>
        </w:rPr>
        <w:sectPr>
          <w:headerReference r:id="rId7" w:type="default"/>
          <w:footerReference r:id="rId8" w:type="default"/>
          <w:pgSz w:w="11907" w:h="16840"/>
          <w:pgMar w:top="1440" w:right="1797" w:bottom="1440" w:left="1797" w:header="720" w:footer="720" w:gutter="0"/>
          <w:pgNumType w:fmt="decimal" w:start="1"/>
          <w:cols w:space="720" w:num="1"/>
          <w:docGrid w:linePitch="326" w:charSpace="0"/>
        </w:sectPr>
      </w:pPr>
    </w:p>
    <w:p w14:paraId="50563802">
      <w:pPr>
        <w:spacing w:line="360" w:lineRule="auto"/>
        <w:jc w:val="center"/>
        <w:outlineLvl w:val="0"/>
        <w:rPr>
          <w:rFonts w:ascii="仿宋" w:hAnsi="仿宋" w:eastAsia="仿宋" w:cs="仿宋"/>
          <w:b/>
          <w:color w:val="FF0000"/>
          <w:sz w:val="36"/>
          <w:szCs w:val="36"/>
          <w:highlight w:val="none"/>
        </w:rPr>
      </w:pPr>
      <w:bookmarkStart w:id="0" w:name="_Toc20442"/>
      <w:bookmarkStart w:id="1" w:name="_Toc31480"/>
      <w:bookmarkStart w:id="2" w:name="_Toc9965370"/>
      <w:bookmarkStart w:id="3" w:name="_Toc5528"/>
      <w:r>
        <w:rPr>
          <w:rFonts w:hint="eastAsia" w:ascii="仿宋" w:hAnsi="仿宋" w:eastAsia="仿宋" w:cs="仿宋"/>
          <w:b/>
          <w:color w:val="000000" w:themeColor="text1"/>
          <w:sz w:val="36"/>
          <w:szCs w:val="36"/>
          <w:highlight w:val="none"/>
          <w14:textFill>
            <w14:solidFill>
              <w14:schemeClr w14:val="tx1"/>
            </w14:solidFill>
          </w14:textFill>
        </w:rPr>
        <w:t>合同通用条款</w:t>
      </w:r>
      <w:bookmarkEnd w:id="0"/>
      <w:bookmarkEnd w:id="1"/>
      <w:bookmarkEnd w:id="2"/>
      <w:bookmarkEnd w:id="3"/>
    </w:p>
    <w:p w14:paraId="4A5F18BA">
      <w:pPr>
        <w:spacing w:line="360" w:lineRule="auto"/>
        <w:ind w:firstLine="442" w:firstLineChars="200"/>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1.定义</w:t>
      </w:r>
    </w:p>
    <w:p w14:paraId="6E86C87F">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本合同下列术语应解释为：</w:t>
      </w:r>
    </w:p>
    <w:p w14:paraId="03F33BD6">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1.1“合同”指甲乙双方签署的、合同格式中载明的甲乙双方所达成的协议，包括所有的附件、附录和上述文件所提到的构成合同的所有文件；</w:t>
      </w:r>
    </w:p>
    <w:p w14:paraId="672E3C7A">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1.2“合同价”指根据合同规定乙方在正确地完全履行合同义务后甲方应支付给乙方的价格；</w:t>
      </w:r>
    </w:p>
    <w:p w14:paraId="1745945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1.3“服务”指根据合同规定乙方承担的与项目有关的服务，比如运输、保险、安装、调试、提供技术援助、培训和合同中规定乙方应承担的其它义务；</w:t>
      </w:r>
    </w:p>
    <w:p w14:paraId="1ACEBA74">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1.4“货物”指乙方根据合同规定须向甲方提供的货物、设备、材料、备件、工具和／或其它材料。</w:t>
      </w:r>
    </w:p>
    <w:p w14:paraId="47CEFACD">
      <w:pPr>
        <w:wordWrap w:val="0"/>
        <w:topLinePunct/>
        <w:spacing w:line="360" w:lineRule="auto"/>
        <w:ind w:firstLine="442" w:firstLineChars="200"/>
        <w:jc w:val="left"/>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2.适用性</w:t>
      </w:r>
    </w:p>
    <w:p w14:paraId="6B1DB9F9">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2.1本合同条款适用于没有被本项目招标文件规定条款、中标人投标文件承诺条款所取代的范围。</w:t>
      </w:r>
    </w:p>
    <w:p w14:paraId="4A54EB55">
      <w:pPr>
        <w:wordWrap w:val="0"/>
        <w:topLinePunct/>
        <w:spacing w:line="360" w:lineRule="auto"/>
        <w:ind w:firstLine="433" w:firstLineChars="196"/>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3.标准</w:t>
      </w:r>
    </w:p>
    <w:p w14:paraId="2A55436A">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3.1若乙方在其投标文件中承诺的技术标准优于本项目招标文件“采购需求”所述标准的，按投标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167DF97C">
      <w:pPr>
        <w:wordWrap w:val="0"/>
        <w:topLinePunct/>
        <w:spacing w:line="360" w:lineRule="auto"/>
        <w:ind w:firstLine="440" w:firstLineChars="200"/>
        <w:jc w:val="left"/>
        <w:rPr>
          <w:rFonts w:hint="eastAsia" w:ascii="仿宋" w:hAnsi="仿宋" w:eastAsia="仿宋" w:cs="仿宋"/>
          <w:color w:val="000000" w:themeColor="text1"/>
          <w:sz w:val="22"/>
          <w:highlight w:val="none"/>
          <w14:textFill>
            <w14:solidFill>
              <w14:schemeClr w14:val="tx1"/>
            </w14:solidFill>
          </w14:textFill>
        </w:rPr>
      </w:pPr>
      <w:bookmarkStart w:id="4" w:name="_Toc167715237"/>
      <w:bookmarkStart w:id="5" w:name="_Toc167712842"/>
      <w:bookmarkStart w:id="6" w:name="_Toc167714040"/>
      <w:r>
        <w:rPr>
          <w:rFonts w:hint="eastAsia" w:ascii="仿宋" w:hAnsi="仿宋" w:eastAsia="仿宋" w:cs="仿宋"/>
          <w:color w:val="000000" w:themeColor="text1"/>
          <w:sz w:val="22"/>
          <w:highlight w:val="none"/>
          <w14:textFill>
            <w14:solidFill>
              <w14:schemeClr w14:val="tx1"/>
            </w14:solidFill>
          </w14:textFill>
        </w:rPr>
        <w:t>4.</w:t>
      </w:r>
      <w:bookmarkEnd w:id="4"/>
      <w:bookmarkEnd w:id="5"/>
      <w:bookmarkEnd w:id="6"/>
      <w:r>
        <w:rPr>
          <w:rFonts w:hint="eastAsia" w:ascii="仿宋" w:hAnsi="仿宋" w:eastAsia="仿宋" w:cs="仿宋"/>
          <w:color w:val="000000" w:themeColor="text1"/>
          <w:sz w:val="22"/>
          <w:highlight w:val="none"/>
          <w14:textFill>
            <w14:solidFill>
              <w14:schemeClr w14:val="tx1"/>
            </w14:solidFill>
          </w14:textFill>
        </w:rPr>
        <w:t xml:space="preserve">质量保证 </w:t>
      </w:r>
    </w:p>
    <w:p w14:paraId="4A5FB4FC">
      <w:pPr>
        <w:wordWrap w:val="0"/>
        <w:topLinePunct/>
        <w:spacing w:line="360" w:lineRule="auto"/>
        <w:ind w:firstLine="440" w:firstLineChars="200"/>
        <w:jc w:val="left"/>
        <w:rPr>
          <w:rFonts w:hint="default" w:ascii="仿宋" w:hAnsi="仿宋" w:eastAsia="仿宋" w:cs="仿宋"/>
          <w:color w:val="000000" w:themeColor="text1"/>
          <w:sz w:val="22"/>
          <w:highlight w:val="none"/>
          <w:lang w:val="en-US" w:eastAsia="zh-CN"/>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4.1.交货期：</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自合同签订之日起30日历天   </w:t>
      </w:r>
      <w:r>
        <w:rPr>
          <w:rFonts w:hint="eastAsia" w:ascii="仿宋" w:hAnsi="仿宋" w:eastAsia="仿宋" w:cs="仿宋"/>
          <w:color w:val="000000" w:themeColor="text1"/>
          <w:sz w:val="22"/>
          <w:highlight w:val="none"/>
          <w14:textFill>
            <w14:solidFill>
              <w14:schemeClr w14:val="tx1"/>
            </w14:solidFill>
          </w14:textFill>
        </w:rPr>
        <w:t>。</w:t>
      </w:r>
    </w:p>
    <w:p w14:paraId="11C4E495">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4.2甲方有权对乙方服务进行监督，如乙方未达到服务质量标准，甲方有权进行适量赔偿或终止服务合同。</w:t>
      </w:r>
    </w:p>
    <w:p w14:paraId="43CE4862">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4.3在服务期内，甲方会根据国家相关法律法规、行业规范、内部规章制度及合同，对乙方工作人员在本项目中的工作进行监督，并不定期进行考核。</w:t>
      </w:r>
    </w:p>
    <w:p w14:paraId="7564D5FF">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4.4甲方负责牵头成立监督小组，主要收集整理各方面对本项目的意见和建议，甲方组织召开整改会议，乙方应参加并对提出问题进行整改，在会议上提出整改意见后，乙方落实不到位的，甲方可无条件解除采购合同。</w:t>
      </w:r>
    </w:p>
    <w:p w14:paraId="7E21B846">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4.5甲方如遇政策性调整或其他特殊原因，直至有可能解除采购合同的情况下，可提前书面告知乙方，按照当月实际天数费用结算，甲方不承担其他违约责任，即可终止合同。</w:t>
      </w:r>
    </w:p>
    <w:p w14:paraId="1ADD91F0">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4.6乙方在服务期内，应严格遵守中华人民共和国的现行法律法规，及乙方和甲方内部的相关管理制度，并应保障制度的有效执行。</w:t>
      </w:r>
    </w:p>
    <w:p w14:paraId="5DB1BD7A">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4.7乙方在服务期内，应爱护公物，合理使用设备设施。否则，因乙方服务人员使用不当而对设备设施造成损坏的，由乙方承担一切责任和经济损失。</w:t>
      </w:r>
    </w:p>
    <w:p w14:paraId="519DDA9B">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4.8乙方派驻的技术人员在服务期间，因特殊原因无法继续提供服务的，在征得甲方的同意后，由乙方及时将人员予以调配，保证工作的正常进行。新替换人员应根据相关规定做好人员备案工作。</w:t>
      </w:r>
    </w:p>
    <w:p w14:paraId="779C85F4">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4.9服务期间，乙方派出人员发生的任何意外伤害，均由乙方承担全部责任和赔偿。</w:t>
      </w:r>
    </w:p>
    <w:p w14:paraId="6C9BCA36">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4.10服务期间，乙方必须要按照甲方要求对于突发事件提供应急服务和保障。</w:t>
      </w:r>
    </w:p>
    <w:p w14:paraId="6EA0673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4.11乙方除因特殊情况外，造成数据或系统设备的损坏与丢失，甲方有权要求乙方进行适当赔偿。</w:t>
      </w:r>
    </w:p>
    <w:p w14:paraId="4D7F89CB">
      <w:pPr>
        <w:wordWrap w:val="0"/>
        <w:topLinePunct/>
        <w:spacing w:line="360" w:lineRule="auto"/>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 xml:space="preserve">    5.索赔</w:t>
      </w:r>
    </w:p>
    <w:p w14:paraId="25FF8CE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5.1如果乙方对偏差负有责任，而甲方在服务期内提出了索赔，乙方应按照甲方同意的下列一种或几种方式结合起来解决索赔事宜：</w:t>
      </w:r>
    </w:p>
    <w:p w14:paraId="4FFC312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⑴乙方同意用合同规定的货币将合同款退还给甲方，并承担由此发生的一切损失和费用，包括利息、银行手续费等其它必要费用。</w:t>
      </w:r>
    </w:p>
    <w:p w14:paraId="28982B5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⑵根据服务的偏差情况、以及甲方所遭受损失的金额，经甲乙双方商定降低服务价格。</w:t>
      </w:r>
    </w:p>
    <w:p w14:paraId="7AB3EC3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229C92E3">
      <w:pPr>
        <w:wordWrap w:val="0"/>
        <w:topLinePunct/>
        <w:spacing w:line="360" w:lineRule="auto"/>
        <w:ind w:firstLine="440" w:firstLineChars="200"/>
        <w:jc w:val="left"/>
        <w:rPr>
          <w:rFonts w:hint="eastAsia"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6.付款及验收</w:t>
      </w:r>
    </w:p>
    <w:p w14:paraId="1D36B545">
      <w:pPr>
        <w:wordWrap w:val="0"/>
        <w:topLinePunct/>
        <w:spacing w:line="360" w:lineRule="auto"/>
        <w:ind w:firstLine="440" w:firstLineChars="200"/>
        <w:jc w:val="left"/>
        <w:rPr>
          <w:rFonts w:hint="default" w:ascii="仿宋" w:hAnsi="仿宋" w:eastAsia="仿宋" w:cs="仿宋"/>
          <w:color w:val="000000" w:themeColor="text1"/>
          <w:sz w:val="22"/>
          <w:highlight w:val="none"/>
          <w:u w:val="single"/>
          <w:lang w:val="en-US"/>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6.1合同款项：</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p>
    <w:p w14:paraId="7B3BA054">
      <w:pPr>
        <w:wordWrap w:val="0"/>
        <w:topLinePunct/>
        <w:spacing w:line="360" w:lineRule="auto"/>
        <w:ind w:firstLine="440" w:firstLineChars="200"/>
        <w:jc w:val="left"/>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6.2付款方式：</w:t>
      </w:r>
      <w:r>
        <w:rPr>
          <w:rFonts w:hint="eastAsia" w:ascii="仿宋" w:hAnsi="仿宋" w:eastAsia="仿宋" w:cs="仿宋"/>
          <w:color w:val="000000" w:themeColor="text1"/>
          <w:kern w:val="0"/>
          <w:sz w:val="22"/>
          <w:highlight w:val="none"/>
          <w:u w:val="single"/>
          <w:lang w:val="en-US" w:eastAsia="zh-CN"/>
          <w14:textFill>
            <w14:solidFill>
              <w14:schemeClr w14:val="tx1"/>
            </w14:solidFill>
          </w14:textFill>
        </w:rPr>
        <w:t xml:space="preserve">  合同签订后 ，达到付款条件起 7 个工作日内，支付合同总金额的 40.00%。设备全部安装调试完毕，验收合格后，达到付款条件起7个工作日内，支付合同总金额的60.0%。</w:t>
      </w:r>
      <w:r>
        <w:rPr>
          <w:rFonts w:hint="eastAsia" w:ascii="仿宋" w:hAnsi="仿宋" w:eastAsia="仿宋" w:cs="仿宋"/>
          <w:color w:val="000000" w:themeColor="text1"/>
          <w:kern w:val="0"/>
          <w:sz w:val="22"/>
          <w:highlight w:val="none"/>
          <w:lang w:val="en-US" w:eastAsia="zh-CN"/>
          <w14:textFill>
            <w14:solidFill>
              <w14:schemeClr w14:val="tx1"/>
            </w14:solidFill>
          </w14:textFill>
        </w:rPr>
        <w:t xml:space="preserve">            </w:t>
      </w:r>
      <w:bookmarkStart w:id="7" w:name="_GoBack"/>
      <w:bookmarkEnd w:id="7"/>
    </w:p>
    <w:p w14:paraId="429FB6B8">
      <w:pPr>
        <w:wordWrap w:val="0"/>
        <w:topLinePunct/>
        <w:spacing w:line="360" w:lineRule="auto"/>
        <w:ind w:left="437" w:leftChars="208"/>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6.3项目验收</w:t>
      </w:r>
    </w:p>
    <w:p w14:paraId="721E1DF8">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1）乙方按期供货完成后，向甲方提交验收申请；</w:t>
      </w:r>
    </w:p>
    <w:p w14:paraId="0FB80DB7">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2）甲方收到验收申请后组织验收，验收时乙方应无条件予以配合并提供验收</w:t>
      </w:r>
    </w:p>
    <w:p w14:paraId="7160F009">
      <w:pPr>
        <w:wordWrap w:val="0"/>
        <w:topLinePunct/>
        <w:spacing w:line="360" w:lineRule="auto"/>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所需的必要资料，若乙方不配合或者未按时交货或交货不全的，甲方将拒绝验收；</w:t>
      </w:r>
    </w:p>
    <w:p w14:paraId="70CCB460">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3）验收依据：招标文件、投标文件、合同文本、国内相应的标准及规范。</w:t>
      </w:r>
    </w:p>
    <w:p w14:paraId="508915C5">
      <w:pPr>
        <w:wordWrap w:val="0"/>
        <w:topLinePunct/>
        <w:spacing w:line="360" w:lineRule="auto"/>
        <w:ind w:left="437" w:leftChars="208"/>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7.转包、分包</w:t>
      </w:r>
    </w:p>
    <w:p w14:paraId="1278CDD9">
      <w:pPr>
        <w:wordWrap w:val="0"/>
        <w:topLinePunct/>
        <w:spacing w:line="360" w:lineRule="auto"/>
        <w:ind w:firstLine="440" w:firstLineChars="200"/>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7.1投标人在中标后</w:t>
      </w:r>
      <w:r>
        <w:rPr>
          <w:rFonts w:hint="eastAsia" w:ascii="仿宋" w:hAnsi="仿宋" w:eastAsia="仿宋" w:cs="仿宋"/>
          <w:color w:val="000000" w:themeColor="text1"/>
          <w:sz w:val="22"/>
          <w:highlight w:val="none"/>
          <w:lang w:val="en-US" w:eastAsia="zh-CN"/>
          <w14:textFill>
            <w14:solidFill>
              <w14:schemeClr w14:val="tx1"/>
            </w14:solidFill>
          </w14:textFill>
        </w:rPr>
        <w:t>不</w:t>
      </w:r>
      <w:r>
        <w:rPr>
          <w:rFonts w:hint="eastAsia" w:ascii="仿宋" w:hAnsi="仿宋" w:eastAsia="仿宋" w:cs="仿宋"/>
          <w:color w:val="000000" w:themeColor="text1"/>
          <w:sz w:val="22"/>
          <w:highlight w:val="none"/>
          <w14:textFill>
            <w14:solidFill>
              <w14:schemeClr w14:val="tx1"/>
            </w14:solidFill>
          </w14:textFill>
        </w:rPr>
        <w:t>允许转包、分包。</w:t>
      </w:r>
    </w:p>
    <w:p w14:paraId="79961BC3">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8.乙方履约延误</w:t>
      </w:r>
    </w:p>
    <w:p w14:paraId="4B5D0A3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8.1乙方应在规定的服务期内提供服务。</w:t>
      </w:r>
    </w:p>
    <w:p w14:paraId="659027C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4F895CE7">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9.违约终止合同</w:t>
      </w:r>
    </w:p>
    <w:p w14:paraId="3197589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9.1在甲方对乙方违约而采取的任何补救措施不受影响的情况下，甲方可向乙方发出书面违约通知书，提出终止部分或全部合同：</w:t>
      </w:r>
    </w:p>
    <w:p w14:paraId="00FFB46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⑴如果乙方未能在合同规定的期限内或甲方根据合同条款第8.2条的规定同意延长的期限内提供服务。</w:t>
      </w:r>
    </w:p>
    <w:p w14:paraId="46A95B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⑵如果乙方未能履行合同规定的其它任何义务。</w:t>
      </w:r>
    </w:p>
    <w:p w14:paraId="25DE0E0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⑶如果甲方认为乙方在本合同的竞争和实施过程中有腐败和欺诈行为。为此目的，定义下述条件：</w:t>
      </w:r>
    </w:p>
    <w:p w14:paraId="6275D495">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“腐败行为”是指提供、给予、接受或索取任何有价值的物品来影响甲方在采购过程或合同实施过程中的行为。</w:t>
      </w:r>
    </w:p>
    <w:p w14:paraId="5F1545C7">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“欺诈行为”是指为了影响采购过程或合同实施过程而谎报或隐瞒事实，损害甲方利益的行为。</w:t>
      </w:r>
    </w:p>
    <w:p w14:paraId="295577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66419182">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10.不可抗力</w:t>
      </w:r>
    </w:p>
    <w:p w14:paraId="23B1E304">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4CE33C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649FE6F">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10.3因合同一方迟延履行合同后发生不可抗力的，不能免除迟延履行方的相应责任。</w:t>
      </w:r>
    </w:p>
    <w:p w14:paraId="5FBD05B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11.因破产而终止合同</w:t>
      </w:r>
    </w:p>
    <w:p w14:paraId="115E7F7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11.1如果乙方破产或无清偿能力，甲方可在任何时候以书面形式通知乙方，提出终止合同而不给乙方补偿。该合同的终止将不损害或影响甲方已经采取或将要采取的任何行动或补救措施的权力。</w:t>
      </w:r>
    </w:p>
    <w:p w14:paraId="184C2E2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12.因甲方的便利而终止合同</w:t>
      </w:r>
    </w:p>
    <w:p w14:paraId="2C5B894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12.1甲方可在任何时候出于自身的便利向乙方发出书面通知全部或部分终止合同，终止通知应明确该终止合同是出于甲方的便利，并明确合同终止的程度，以及终止的生效日期。</w:t>
      </w:r>
    </w:p>
    <w:p w14:paraId="141C06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12.2对乙方收到终止通知后三十（30）天内完成的服务，甲方应按原合同价格和条款予以接收，对于剩下的服务，甲方可：</w:t>
      </w:r>
    </w:p>
    <w:p w14:paraId="74D8AAB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 xml:space="preserve">⑴仅对部分服务按照原来的合同价格和条款予以接受； </w:t>
      </w:r>
    </w:p>
    <w:p w14:paraId="036832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⑵取消对所剩服务的采购，并按双方商定的金额向乙方支付部分完成服务的费用。</w:t>
      </w:r>
    </w:p>
    <w:p w14:paraId="5C1A2F9D">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13.争议的解决</w:t>
      </w:r>
    </w:p>
    <w:p w14:paraId="66C825E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13.1因执行本合同所发生的或与本合同有关的一切争议,双方应通过友好协商解决。如果协商开始后六十（60）天还不能解决，任何一方均可按中华人民共和国有关法律的规定提交仲裁。仲裁地点为采购人所在地的仲裁委员会。</w:t>
      </w:r>
    </w:p>
    <w:p w14:paraId="39C6AE83">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13.2仲裁裁决应为最终裁决，对双方均具有约束力。</w:t>
      </w:r>
    </w:p>
    <w:p w14:paraId="1D0D5BE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13.3仲裁费除仲裁机关另有裁决外均应由败诉方负担。</w:t>
      </w:r>
    </w:p>
    <w:p w14:paraId="3272375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13.4在仲裁期间，除正在进行仲裁的部分外，本合同其它部分应继续执行。</w:t>
      </w:r>
    </w:p>
    <w:p w14:paraId="54598609">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14.通知</w:t>
      </w:r>
    </w:p>
    <w:p w14:paraId="6643D89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14.1本合同一方给对方的通知应用书面形式送到合同专用条款中规定的对方的地址。传真要经书面确认。</w:t>
      </w:r>
    </w:p>
    <w:p w14:paraId="5831F5C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14.2通知以送到日期或通知书的生效日期为生效日期，两者中以晚的一个日期为准。</w:t>
      </w:r>
    </w:p>
    <w:p w14:paraId="243CB96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15.税款</w:t>
      </w:r>
    </w:p>
    <w:p w14:paraId="508C343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15.1按照中华人民共和国税法和有关部门的规定，甲方需交纳的与本合同有关的一切税费均应由甲方负担。</w:t>
      </w:r>
    </w:p>
    <w:p w14:paraId="19EF376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15.2按照中华人民共和国税法和有关部门的规定，乙方需交纳的与本合同有关的一切税费均应由乙方负担。</w:t>
      </w:r>
    </w:p>
    <w:p w14:paraId="073D5F6E">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16.其他</w:t>
      </w:r>
    </w:p>
    <w:p w14:paraId="4E078F0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16.1</w:t>
      </w:r>
      <w:r>
        <w:rPr>
          <w:rFonts w:hint="eastAsia" w:ascii="仿宋" w:hAnsi="仿宋" w:eastAsia="仿宋" w:cs="仿宋"/>
          <w:color w:val="000000" w:themeColor="text1"/>
          <w:sz w:val="22"/>
          <w:highlight w:val="none"/>
          <w14:textFill>
            <w14:solidFill>
              <w14:schemeClr w14:val="tx1"/>
            </w14:solidFill>
          </w14:textFill>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2B83CF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16.2本合同应按照中华人民共和国的现行法律进行解释。</w:t>
      </w:r>
    </w:p>
    <w:p w14:paraId="48B7A1B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16.3本合同语言为简体中文，双方交换的与合同有关的信函均按此书写。</w:t>
      </w:r>
    </w:p>
    <w:p w14:paraId="6CF1452F">
      <w:pPr>
        <w:wordWrap w:val="0"/>
        <w:topLinePunct/>
        <w:spacing w:line="360" w:lineRule="auto"/>
        <w:ind w:firstLine="441"/>
        <w:jc w:val="left"/>
        <w:rPr>
          <w:rFonts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16.4</w:t>
      </w:r>
      <w:r>
        <w:rPr>
          <w:rFonts w:hint="eastAsia" w:ascii="仿宋" w:hAnsi="仿宋" w:eastAsia="仿宋" w:cs="仿宋"/>
          <w:color w:val="000000" w:themeColor="text1"/>
          <w:kern w:val="0"/>
          <w:sz w:val="22"/>
          <w:highlight w:val="none"/>
          <w14:textFill>
            <w14:solidFill>
              <w14:schemeClr w14:val="tx1"/>
            </w14:solidFill>
          </w14:textFill>
        </w:rPr>
        <w:t xml:space="preserve"> 除技术规范中另有规定外,计量单位均使用中华人民共和国法定计量单位。</w:t>
      </w:r>
    </w:p>
    <w:p w14:paraId="6AB4530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17.合同生效</w:t>
      </w:r>
    </w:p>
    <w:p w14:paraId="57F3669E">
      <w:pPr>
        <w:topLinePunct/>
        <w:spacing w:line="360" w:lineRule="auto"/>
        <w:ind w:firstLine="440" w:firstLineChars="200"/>
        <w:jc w:val="left"/>
        <w:rPr>
          <w:rFonts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17.1</w:t>
      </w:r>
      <w:r>
        <w:rPr>
          <w:rFonts w:hint="eastAsia" w:ascii="仿宋" w:hAnsi="仿宋" w:eastAsia="仿宋" w:cs="仿宋"/>
          <w:color w:val="000000" w:themeColor="text1"/>
          <w:sz w:val="22"/>
          <w:highlight w:val="none"/>
          <w14:textFill>
            <w14:solidFill>
              <w14:schemeClr w14:val="tx1"/>
            </w14:solidFill>
          </w14:textFill>
        </w:rPr>
        <w:t>本合同在甲乙双方盖公章后生效。</w:t>
      </w:r>
    </w:p>
    <w:p w14:paraId="510135FF">
      <w:pPr>
        <w:rPr>
          <w:color w:val="000000" w:themeColor="text1"/>
          <w:highlight w:val="none"/>
          <w14:textFill>
            <w14:solidFill>
              <w14:schemeClr w14:val="tx1"/>
            </w14:solidFill>
          </w14:textFill>
        </w:rPr>
      </w:pPr>
    </w:p>
    <w:p w14:paraId="532EF69A">
      <w:pPr>
        <w:pStyle w:val="13"/>
      </w:pPr>
    </w:p>
    <w:p w14:paraId="1C6F3025">
      <w:pPr>
        <w:pStyle w:val="13"/>
        <w:rPr>
          <w:rFonts w:hint="eastAsia"/>
          <w:lang w:val="en-US" w:eastAsia="zh-Hans"/>
        </w:rPr>
      </w:pPr>
    </w:p>
    <w:p w14:paraId="4F4B93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EDE1">
    <w:pPr>
      <w:pStyle w:val="5"/>
    </w:pPr>
    <w:r>
      <w:t>陕西博源招标服务有限公司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1279">
    <w:pPr>
      <w:pStyle w:val="5"/>
      <w:jc w:val="center"/>
      <w:rPr>
        <w:rFonts w:ascii="仿宋" w:hAnsi="仿宋" w:eastAsia="仿宋"/>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7C672">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47C672">
                    <w:pPr>
                      <w:pStyle w:val="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8AC05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4C8AC05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CFA5">
    <w:pPr>
      <w:pStyle w:val="6"/>
      <w:pBdr>
        <w:bottom w:val="none" w:color="auto" w:sz="0" w:space="0"/>
      </w:pBdr>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93914">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5EB9">
    <w:pPr>
      <w:pStyle w:val="6"/>
      <w:pBdr>
        <w:bottom w:val="none" w:color="auto" w:sz="0" w:space="1"/>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2AD72">
    <w:pPr>
      <w:pStyle w:val="6"/>
      <w:pBdr>
        <w:bottom w:val="none" w:color="auto" w:sz="0" w:space="1"/>
      </w:pBdr>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97A9A"/>
    <w:multiLevelType w:val="multilevel"/>
    <w:tmpl w:val="A0A97A9A"/>
    <w:lvl w:ilvl="0" w:tentative="0">
      <w:start w:val="1"/>
      <w:numFmt w:val="chineseCounting"/>
      <w:lvlText w:val="%1."/>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B50FB"/>
    <w:rsid w:val="420267B8"/>
    <w:rsid w:val="500B50FB"/>
    <w:rsid w:val="5A8D1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semiHidden/>
    <w:unhideWhenUsed/>
    <w:qFormat/>
    <w:uiPriority w:val="0"/>
    <w:pPr>
      <w:keepNext/>
      <w:keepLines/>
      <w:numPr>
        <w:ilvl w:val="3"/>
        <w:numId w:val="1"/>
      </w:numPr>
      <w:spacing w:before="160" w:after="170" w:line="376" w:lineRule="auto"/>
      <w:ind w:left="864" w:leftChars="0" w:rightChars="100" w:hanging="864"/>
      <w:outlineLvl w:val="3"/>
    </w:pPr>
    <w:rPr>
      <w:rFonts w:ascii="Calibri Light" w:hAnsi="Calibri Light" w:eastAsia="宋体" w:cs="Times New Roman"/>
      <w:bCs/>
      <w:sz w:val="28"/>
      <w:szCs w:val="28"/>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 w:type="paragraph" w:styleId="4">
    <w:name w:val="Plain Text"/>
    <w:basedOn w:val="1"/>
    <w:qFormat/>
    <w:uiPriority w:val="0"/>
    <w:pPr>
      <w:spacing w:line="360" w:lineRule="auto"/>
    </w:pPr>
    <w:rPr>
      <w:rFonts w:ascii="宋体" w:hAnsi="Courier New"/>
      <w:szCs w:val="21"/>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6">
    <w:name w:val="header"/>
    <w:basedOn w:val="1"/>
    <w:next w:val="3"/>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7">
    <w:name w:val="toc 1"/>
    <w:basedOn w:val="1"/>
    <w:next w:val="1"/>
    <w:unhideWhenUsed/>
    <w:qFormat/>
    <w:uiPriority w:val="39"/>
    <w:pPr>
      <w:tabs>
        <w:tab w:val="right" w:leader="dot" w:pos="8296"/>
      </w:tabs>
      <w:spacing w:beforeLines="50" w:afterLines="50"/>
      <w:ind w:firstLine="241" w:firstLineChars="100"/>
    </w:pPr>
    <w:rPr>
      <w:rFonts w:ascii="Times New Roman" w:hAnsi="Times New Roman"/>
      <w:szCs w:val="24"/>
    </w:rPr>
  </w:style>
  <w:style w:type="paragraph" w:styleId="8">
    <w:name w:val="footnote text"/>
    <w:basedOn w:val="1"/>
    <w:unhideWhenUsed/>
    <w:qFormat/>
    <w:uiPriority w:val="99"/>
    <w:pPr>
      <w:snapToGrid w:val="0"/>
      <w:spacing w:line="360" w:lineRule="auto"/>
      <w:ind w:firstLine="200" w:firstLineChars="200"/>
      <w:jc w:val="left"/>
    </w:pPr>
    <w:rPr>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3851</Words>
  <Characters>4033</Characters>
  <Lines>0</Lines>
  <Paragraphs>0</Paragraphs>
  <TotalTime>0</TotalTime>
  <ScaleCrop>false</ScaleCrop>
  <LinksUpToDate>false</LinksUpToDate>
  <CharactersWithSpaces>4328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2026-06-11T11:40:00Z</dcterms:created>
  <dc:creator>那就这样吧</dc:creator>
  <cp:lastModifiedBy>那就这样吧</cp:lastModifiedBy>
  <dcterms:modified xsi:type="dcterms:W3CDTF">2026-07-10T01:45:40Z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2567E062F3DC4E9F807E63B631984519_11</vt:lpwstr>
  </property>
  <property fmtid="{D5CDD505-2E9C-101B-9397-08002B2CF9AE}" pid="4" name="KSOTemplateDocerSaveRecord">
    <vt:lpwstr>eyJoZGlkIjoiNzM3ZTFhZWQxMThkOTVlMmI2YWFlMWQyOWI1Y2ZhOTciLCJ1c2VySWQiOiIyNzIwNjQ2ODcifQ==</vt:lpwstr>
  </property>
</Properties>
</file>