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版本号：FHGJZC-2026-051320260612003</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西安文理学院机械硕士研究生教育综合实践创新实验室建设项目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FHGJZC-2026-0513</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西安文理学院机械硕士研究生教育综合实践创新实验室建设项目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FHGJZC-2026-0513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西安文理学院机械硕士研究生教育综合实践创新实验室建设项目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拟采购包含但不限于旋转机械故障植入综合试验平台新设备采购1台，动态信号采集与分析系统新设备采购1套，桌椅展柜新设备采购1套，具体内容详见采购文件。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1、法定代表人身份证明/法定代表人授权书：法定代表人直接参加谈判的，须出具法定代表人身份证明及法人身份证；法定代表人授权代表参加谈判的，须出具法定代表人授权书及法人和授权代表身份证</w:t>
      </w:r>
    </w:p>
    <w:p>
      <w:pPr>
        <w:pStyle w:val="null3"/>
      </w:pPr>
      <w:r>
        <w:rPr>
          <w:rFonts w:ascii="仿宋_GB2312" w:hAnsi="仿宋_GB2312" w:cs="仿宋_GB2312" w:eastAsia="仿宋_GB2312"/>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谈判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陕西省西安市碑林区长安北路113号大话南门壹中心14楼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15109299905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成交供应商应依据成交金额向采购代理机构交纳成交服务费，交费金额参照国家计委颁布的《招标代理服务收费管理暂行办法》（计价格[2002]1980号）及发改办价格[2003]857号文件的规定标准执行。本项目代理服务费按货物计取。 招标代理服务费账户 户名：丰汇国际项目管理有限公司 开户银行：中国建设银行股份有限公司西安西门支行 账 号：610 5017 155 0000000 709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西安文理学院（本级）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丰汇国际项目管理有限公司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按照相关规定执行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联系人：张静</w:t>
      </w:r>
    </w:p>
    <w:p>
      <w:pPr>
        <w:pStyle w:val="null3"/>
      </w:pPr>
      <w:r>
        <w:rPr>
          <w:rFonts w:ascii="仿宋_GB2312" w:hAnsi="仿宋_GB2312" w:cs="仿宋_GB2312" w:eastAsia="仿宋_GB2312"/>
        </w:rPr>
        <w:t>联系电话：15109299905</w:t>
      </w:r>
    </w:p>
    <w:p>
      <w:pPr>
        <w:pStyle w:val="null3"/>
      </w:pPr>
      <w:r>
        <w:rPr>
          <w:rFonts w:ascii="仿宋_GB2312" w:hAnsi="仿宋_GB2312" w:cs="仿宋_GB2312" w:eastAsia="仿宋_GB2312"/>
        </w:rPr>
        <w:t>地址：陕西省西安市碑林区长安北路113号大话南门壹中心14楼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拟采购包含但不限于旋转机械故障植入综合试验平台新设备采购1台，动态信号采集与分析系统新设备采购1套，桌椅展柜新设备采购1套，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西安文理学院机械硕士研究生教育综合实践创新实验室建设项目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标的名称：西安文理学院机械硕士研究生教育综合实践创新实验室建设项目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176"/>
                    <w:gridCol w:w="297"/>
                    <w:gridCol w:w="218"/>
                    <w:gridCol w:w="1187"/>
                    <w:gridCol w:w="265"/>
                    <w:gridCol w:w="181"/>
                  </w:tblGrid>
                  <w:tr>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采购项目名称</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采购类别</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主要内容</w:t>
                        </w:r>
                        <w:r>
                          <w:rPr>
                            <w:rFonts w:ascii="仿宋_GB2312" w:hAnsi="仿宋_GB2312" w:cs="仿宋_GB2312" w:eastAsia="仿宋_GB2312"/>
                            <w:sz w:val="20"/>
                            <w:b/>
                          </w:rPr>
                          <w:t>/主要技术参数</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p>
                        <w:pPr>
                          <w:pStyle w:val="null3"/>
                          <w:jc w:val="center"/>
                        </w:pPr>
                        <w:r>
                          <w:rPr>
                            <w:rFonts w:ascii="仿宋_GB2312" w:hAnsi="仿宋_GB2312" w:cs="仿宋_GB2312" w:eastAsia="仿宋_GB2312"/>
                            <w:sz w:val="20"/>
                            <w:b/>
                          </w:rPr>
                          <w:t>/单位</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旋转机械故障植入综合试验平台</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新设备</w:t>
                        </w:r>
                      </w:p>
                      <w:p>
                        <w:pPr>
                          <w:pStyle w:val="null3"/>
                          <w:jc w:val="center"/>
                        </w:pPr>
                        <w:r>
                          <w:rPr>
                            <w:rFonts w:ascii="仿宋_GB2312" w:hAnsi="仿宋_GB2312" w:cs="仿宋_GB2312" w:eastAsia="仿宋_GB2312"/>
                            <w:sz w:val="20"/>
                          </w:rPr>
                          <w:t>采购</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主要包含：</w:t>
                        </w:r>
                      </w:p>
                      <w:p>
                        <w:pPr>
                          <w:pStyle w:val="null3"/>
                          <w:jc w:val="both"/>
                        </w:pPr>
                        <w:r>
                          <w:rPr>
                            <w:rFonts w:ascii="仿宋_GB2312" w:hAnsi="仿宋_GB2312" w:cs="仿宋_GB2312" w:eastAsia="仿宋_GB2312"/>
                            <w:sz w:val="20"/>
                          </w:rPr>
                          <w:t>★1、试验平台底座,尺寸≥2000*1</w:t>
                        </w:r>
                        <w:r>
                          <w:rPr>
                            <w:rFonts w:ascii="仿宋_GB2312" w:hAnsi="仿宋_GB2312" w:cs="仿宋_GB2312" w:eastAsia="仿宋_GB2312"/>
                            <w:sz w:val="20"/>
                          </w:rPr>
                          <w:t>3</w:t>
                        </w:r>
                        <w:r>
                          <w:rPr>
                            <w:rFonts w:ascii="仿宋_GB2312" w:hAnsi="仿宋_GB2312" w:cs="仿宋_GB2312" w:eastAsia="仿宋_GB2312"/>
                            <w:sz w:val="20"/>
                          </w:rPr>
                          <w:t>00*150mm，45</w:t>
                        </w:r>
                        <w:r>
                          <w:rPr>
                            <w:rFonts w:ascii="仿宋_GB2312" w:hAnsi="仿宋_GB2312" w:cs="仿宋_GB2312" w:eastAsia="仿宋_GB2312"/>
                            <w:sz w:val="20"/>
                            <w:vertAlign w:val="superscript"/>
                          </w:rPr>
                          <w:t>#</w:t>
                        </w:r>
                        <w:r>
                          <w:rPr>
                            <w:rFonts w:ascii="仿宋_GB2312" w:hAnsi="仿宋_GB2312" w:cs="仿宋_GB2312" w:eastAsia="仿宋_GB2312"/>
                            <w:sz w:val="20"/>
                          </w:rPr>
                          <w:t>钢，整体镀铬，</w:t>
                        </w:r>
                        <w:r>
                          <w:rPr>
                            <w:rFonts w:ascii="仿宋_GB2312" w:hAnsi="仿宋_GB2312" w:cs="仿宋_GB2312" w:eastAsia="仿宋_GB2312"/>
                            <w:sz w:val="20"/>
                          </w:rPr>
                          <w:t>T型槽带定位槽设计；</w:t>
                        </w:r>
                      </w:p>
                      <w:p>
                        <w:pPr>
                          <w:pStyle w:val="null3"/>
                          <w:jc w:val="both"/>
                        </w:pPr>
                        <w:r>
                          <w:rPr>
                            <w:rFonts w:ascii="仿宋_GB2312" w:hAnsi="仿宋_GB2312" w:cs="仿宋_GB2312" w:eastAsia="仿宋_GB2312"/>
                            <w:sz w:val="20"/>
                          </w:rPr>
                          <w:t>★2、电机系统：380V交流电，功率≥3.8KW，额定转速≥2500rpm，最高转速≥3750rpm,增量式编码器，2500线，带线轨；</w:t>
                        </w:r>
                      </w:p>
                      <w:p>
                        <w:pPr>
                          <w:pStyle w:val="null3"/>
                          <w:jc w:val="both"/>
                        </w:pPr>
                        <w:r>
                          <w:rPr>
                            <w:rFonts w:ascii="仿宋_GB2312" w:hAnsi="仿宋_GB2312" w:cs="仿宋_GB2312" w:eastAsia="仿宋_GB2312"/>
                            <w:sz w:val="20"/>
                          </w:rPr>
                          <w:t>★3、转速转矩测量系统：转矩量程≥50Nm，转速量程≥5000rpm；</w:t>
                        </w:r>
                      </w:p>
                      <w:p>
                        <w:pPr>
                          <w:pStyle w:val="null3"/>
                          <w:jc w:val="both"/>
                        </w:pPr>
                        <w:r>
                          <w:rPr>
                            <w:rFonts w:ascii="仿宋_GB2312" w:hAnsi="仿宋_GB2312" w:cs="仿宋_GB2312" w:eastAsia="仿宋_GB2312"/>
                            <w:sz w:val="20"/>
                          </w:rPr>
                          <w:t>★4、滚动轴承转子套件：转轴长≥700mm，直径≥φ30，材质40Cr，表面精磨。含轴承座、轴承2套，转子轴系底座1套，径向加载实验套件1套，不平衡、不对中、碰磨套件各1套</w:t>
                        </w:r>
                      </w:p>
                      <w:p>
                        <w:pPr>
                          <w:pStyle w:val="null3"/>
                          <w:jc w:val="both"/>
                        </w:pPr>
                        <w:r>
                          <w:rPr>
                            <w:rFonts w:ascii="仿宋_GB2312" w:hAnsi="仿宋_GB2312" w:cs="仿宋_GB2312" w:eastAsia="仿宋_GB2312"/>
                            <w:sz w:val="20"/>
                          </w:rPr>
                          <w:t>★5、伺服扭矩加载套件：加载扭矩≥10牛米，1套。</w:t>
                        </w:r>
                      </w:p>
                      <w:p>
                        <w:pPr>
                          <w:pStyle w:val="null3"/>
                          <w:jc w:val="both"/>
                        </w:pPr>
                        <w:r>
                          <w:rPr>
                            <w:rFonts w:ascii="仿宋_GB2312" w:hAnsi="仿宋_GB2312" w:cs="仿宋_GB2312" w:eastAsia="仿宋_GB2312"/>
                            <w:sz w:val="20"/>
                          </w:rPr>
                          <w:t>★6、齿轮箱试验套件：平行齿轮箱，斜齿，模数≥2mm，速比1.42：1，精度</w:t>
                        </w:r>
                        <w:r>
                          <w:rPr>
                            <w:rFonts w:ascii="仿宋_GB2312" w:hAnsi="仿宋_GB2312" w:cs="仿宋_GB2312" w:eastAsia="仿宋_GB2312"/>
                            <w:sz w:val="20"/>
                          </w:rPr>
                          <w:t>≤</w:t>
                        </w:r>
                        <w:r>
                          <w:rPr>
                            <w:rFonts w:ascii="仿宋_GB2312" w:hAnsi="仿宋_GB2312" w:cs="仿宋_GB2312" w:eastAsia="仿宋_GB2312"/>
                            <w:sz w:val="20"/>
                          </w:rPr>
                          <w:t>6级；</w:t>
                        </w:r>
                      </w:p>
                      <w:p>
                        <w:pPr>
                          <w:pStyle w:val="null3"/>
                          <w:jc w:val="both"/>
                        </w:pPr>
                        <w:r>
                          <w:rPr>
                            <w:rFonts w:ascii="仿宋_GB2312" w:hAnsi="仿宋_GB2312" w:cs="仿宋_GB2312" w:eastAsia="仿宋_GB2312"/>
                            <w:sz w:val="20"/>
                          </w:rPr>
                          <w:t>★7、行星齿轮箱：直齿，模数≥0.8mm，速比5:1，精度</w:t>
                        </w:r>
                        <w:r>
                          <w:rPr>
                            <w:rFonts w:ascii="仿宋_GB2312" w:hAnsi="仿宋_GB2312" w:cs="仿宋_GB2312" w:eastAsia="仿宋_GB2312"/>
                            <w:sz w:val="20"/>
                          </w:rPr>
                          <w:t>≤</w:t>
                        </w:r>
                        <w:r>
                          <w:rPr>
                            <w:rFonts w:ascii="仿宋_GB2312" w:hAnsi="仿宋_GB2312" w:cs="仿宋_GB2312" w:eastAsia="仿宋_GB2312"/>
                            <w:sz w:val="20"/>
                          </w:rPr>
                          <w:t>6级；</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磁式扭矩加载套件：加载扭矩</w:t>
                        </w:r>
                        <w:r>
                          <w:rPr>
                            <w:rFonts w:ascii="仿宋_GB2312" w:hAnsi="仿宋_GB2312" w:cs="仿宋_GB2312" w:eastAsia="仿宋_GB2312"/>
                            <w:sz w:val="20"/>
                          </w:rPr>
                          <w:t>≥100牛米，1套。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联轴器：数量</w:t>
                        </w:r>
                        <w:r>
                          <w:rPr>
                            <w:rFonts w:ascii="仿宋_GB2312" w:hAnsi="仿宋_GB2312" w:cs="仿宋_GB2312" w:eastAsia="仿宋_GB2312"/>
                            <w:sz w:val="20"/>
                          </w:rPr>
                          <w:t>≥8只；</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冷却循环系统：</w:t>
                        </w:r>
                        <w:r>
                          <w:rPr>
                            <w:rFonts w:ascii="仿宋_GB2312" w:hAnsi="仿宋_GB2312" w:cs="仿宋_GB2312" w:eastAsia="仿宋_GB2312"/>
                            <w:sz w:val="20"/>
                          </w:rPr>
                          <w:t>水冷机，</w:t>
                        </w:r>
                        <w:r>
                          <w:rPr>
                            <w:rFonts w:ascii="仿宋_GB2312" w:hAnsi="仿宋_GB2312" w:cs="仿宋_GB2312" w:eastAsia="仿宋_GB2312"/>
                            <w:sz w:val="20"/>
                          </w:rPr>
                          <w:t>功率</w:t>
                        </w:r>
                        <w:r>
                          <w:rPr>
                            <w:rFonts w:ascii="仿宋_GB2312" w:hAnsi="仿宋_GB2312" w:cs="仿宋_GB2312" w:eastAsia="仿宋_GB2312"/>
                            <w:sz w:val="20"/>
                          </w:rPr>
                          <w:t>≥90W，流量≥</w:t>
                        </w:r>
                        <w:r>
                          <w:rPr>
                            <w:rFonts w:ascii="仿宋_GB2312" w:hAnsi="仿宋_GB2312" w:cs="仿宋_GB2312" w:eastAsia="仿宋_GB2312"/>
                            <w:sz w:val="20"/>
                          </w:rPr>
                          <w:t>1</w:t>
                        </w:r>
                        <w:r>
                          <w:rPr>
                            <w:rFonts w:ascii="仿宋_GB2312" w:hAnsi="仿宋_GB2312" w:cs="仿宋_GB2312" w:eastAsia="仿宋_GB2312"/>
                            <w:sz w:val="20"/>
                          </w:rPr>
                          <w:t>5L/min；</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转子系统安全防护：整机防护，带滑动导轨，开透明可视窗口；</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12、实验台控制系统：触控屏≥10寸，控制系统可控制电机加减速，制动器制动力矩等；控制功能：</w:t>
                        </w:r>
                        <w:r>
                          <w:rPr>
                            <w:rFonts w:ascii="仿宋_GB2312" w:hAnsi="仿宋_GB2312" w:cs="仿宋_GB2312" w:eastAsia="仿宋_GB2312"/>
                            <w:sz w:val="20"/>
                          </w:rPr>
                          <w:t>（</w:t>
                        </w:r>
                        <w:r>
                          <w:rPr>
                            <w:rFonts w:ascii="仿宋_GB2312" w:hAnsi="仿宋_GB2312" w:cs="仿宋_GB2312" w:eastAsia="仿宋_GB2312"/>
                            <w:sz w:val="20"/>
                          </w:rPr>
                          <w:t>1）驱动电机的曲线调速功能：正弦曲线调速、三角波、矩形波。</w:t>
                        </w:r>
                        <w:r>
                          <w:rPr>
                            <w:rFonts w:ascii="仿宋_GB2312" w:hAnsi="仿宋_GB2312" w:cs="仿宋_GB2312" w:eastAsia="仿宋_GB2312"/>
                            <w:sz w:val="20"/>
                          </w:rPr>
                          <w:t>（</w:t>
                        </w:r>
                        <w:r>
                          <w:rPr>
                            <w:rFonts w:ascii="仿宋_GB2312" w:hAnsi="仿宋_GB2312" w:cs="仿宋_GB2312" w:eastAsia="仿宋_GB2312"/>
                            <w:sz w:val="20"/>
                          </w:rPr>
                          <w:t>2）驱动电机的电流、电压、转矩、转速的采集与信号变送，输出正负10V信号，便于与动态信号分析仪相连接。</w:t>
                        </w:r>
                        <w:r>
                          <w:rPr>
                            <w:rFonts w:ascii="仿宋_GB2312" w:hAnsi="仿宋_GB2312" w:cs="仿宋_GB2312" w:eastAsia="仿宋_GB2312"/>
                            <w:sz w:val="20"/>
                          </w:rPr>
                          <w:t>（</w:t>
                        </w:r>
                        <w:r>
                          <w:rPr>
                            <w:rFonts w:ascii="仿宋_GB2312" w:hAnsi="仿宋_GB2312" w:cs="仿宋_GB2312" w:eastAsia="仿宋_GB2312"/>
                            <w:sz w:val="20"/>
                          </w:rPr>
                          <w:t>3）负载电机的曲线加载功能：正弦、三角波、矩形波。</w:t>
                        </w:r>
                        <w:r>
                          <w:rPr>
                            <w:rFonts w:ascii="仿宋_GB2312" w:hAnsi="仿宋_GB2312" w:cs="仿宋_GB2312" w:eastAsia="仿宋_GB2312"/>
                            <w:sz w:val="20"/>
                          </w:rPr>
                          <w:t>（</w:t>
                        </w:r>
                        <w:r>
                          <w:rPr>
                            <w:rFonts w:ascii="仿宋_GB2312" w:hAnsi="仿宋_GB2312" w:cs="仿宋_GB2312" w:eastAsia="仿宋_GB2312"/>
                            <w:sz w:val="20"/>
                          </w:rPr>
                          <w:t>4）配置三相电流、电压传感器，转矩、转速、电流、电压变送器。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13、配套</w:t>
                        </w:r>
                        <w:r>
                          <w:rPr>
                            <w:rFonts w:ascii="仿宋_GB2312" w:hAnsi="仿宋_GB2312" w:cs="仿宋_GB2312" w:eastAsia="仿宋_GB2312"/>
                            <w:sz w:val="20"/>
                          </w:rPr>
                          <w:t>故障件：</w:t>
                        </w:r>
                      </w:p>
                      <w:p>
                        <w:pPr>
                          <w:pStyle w:val="null3"/>
                          <w:numPr>
                            <w:ilvl w:val="0"/>
                            <w:numId w:val="1"/>
                          </w:numPr>
                          <w:jc w:val="both"/>
                        </w:pPr>
                        <w:r>
                          <w:rPr>
                            <w:rFonts w:ascii="仿宋_GB2312" w:hAnsi="仿宋_GB2312" w:cs="仿宋_GB2312" w:eastAsia="仿宋_GB2312"/>
                            <w:sz w:val="20"/>
                          </w:rPr>
                          <w:t>轴故</w:t>
                        </w:r>
                        <w:r>
                          <w:rPr>
                            <w:rFonts w:ascii="仿宋_GB2312" w:hAnsi="仿宋_GB2312" w:cs="仿宋_GB2312" w:eastAsia="仿宋_GB2312"/>
                            <w:sz w:val="20"/>
                          </w:rPr>
                          <w:t>障件：裂纹转轴、弯曲转轴</w:t>
                        </w:r>
                        <w:r>
                          <w:rPr>
                            <w:rFonts w:ascii="仿宋_GB2312" w:hAnsi="仿宋_GB2312" w:cs="仿宋_GB2312" w:eastAsia="仿宋_GB2312"/>
                            <w:sz w:val="20"/>
                          </w:rPr>
                          <w:t>1件；</w:t>
                        </w:r>
                      </w:p>
                      <w:p>
                        <w:pPr>
                          <w:pStyle w:val="null3"/>
                          <w:numPr>
                            <w:ilvl w:val="0"/>
                            <w:numId w:val="1"/>
                          </w:numPr>
                          <w:jc w:val="both"/>
                        </w:pPr>
                        <w:r>
                          <w:rPr>
                            <w:rFonts w:ascii="仿宋_GB2312" w:hAnsi="仿宋_GB2312" w:cs="仿宋_GB2312" w:eastAsia="仿宋_GB2312"/>
                            <w:sz w:val="20"/>
                          </w:rPr>
                          <w:t>滚动轴承故障件：内圈、外圈、滚动体故障各</w:t>
                        </w:r>
                        <w:r>
                          <w:rPr>
                            <w:rFonts w:ascii="仿宋_GB2312" w:hAnsi="仿宋_GB2312" w:cs="仿宋_GB2312" w:eastAsia="仿宋_GB2312"/>
                            <w:sz w:val="20"/>
                          </w:rPr>
                          <w:t>2个；</w:t>
                        </w:r>
                      </w:p>
                      <w:p>
                        <w:pPr>
                          <w:pStyle w:val="null3"/>
                          <w:numPr>
                            <w:ilvl w:val="0"/>
                            <w:numId w:val="1"/>
                          </w:numPr>
                          <w:jc w:val="both"/>
                        </w:pPr>
                        <w:r>
                          <w:rPr>
                            <w:rFonts w:ascii="仿宋_GB2312" w:hAnsi="仿宋_GB2312" w:cs="仿宋_GB2312" w:eastAsia="仿宋_GB2312"/>
                            <w:sz w:val="20"/>
                          </w:rPr>
                          <w:t>平行高速斜齿齿轮总成：断齿、点蚀、磨损各</w:t>
                        </w:r>
                        <w:r>
                          <w:rPr>
                            <w:rFonts w:ascii="仿宋_GB2312" w:hAnsi="仿宋_GB2312" w:cs="仿宋_GB2312" w:eastAsia="仿宋_GB2312"/>
                            <w:sz w:val="20"/>
                          </w:rPr>
                          <w:t>1件；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4）平行低速斜齿齿轮总成：断齿、点蚀、磨损各1件；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太阳轮总成：点蚀</w:t>
                        </w:r>
                        <w:r>
                          <w:rPr>
                            <w:rFonts w:ascii="仿宋_GB2312" w:hAnsi="仿宋_GB2312" w:cs="仿宋_GB2312" w:eastAsia="仿宋_GB2312"/>
                            <w:sz w:val="20"/>
                          </w:rPr>
                          <w:t>1件；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行星轮：断齿、点蚀、磨损各</w:t>
                        </w:r>
                        <w:r>
                          <w:rPr>
                            <w:rFonts w:ascii="仿宋_GB2312" w:hAnsi="仿宋_GB2312" w:cs="仿宋_GB2312" w:eastAsia="仿宋_GB2312"/>
                            <w:sz w:val="20"/>
                          </w:rPr>
                          <w:t>1件；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齿圈：点蚀</w:t>
                        </w:r>
                        <w:r>
                          <w:rPr>
                            <w:rFonts w:ascii="仿宋_GB2312" w:hAnsi="仿宋_GB2312" w:cs="仿宋_GB2312" w:eastAsia="仿宋_GB2312"/>
                            <w:sz w:val="20"/>
                          </w:rPr>
                          <w:t>1件。</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动态信号采集与分析</w:t>
                        </w:r>
                        <w:r>
                          <w:rPr>
                            <w:rFonts w:ascii="仿宋_GB2312" w:hAnsi="仿宋_GB2312" w:cs="仿宋_GB2312" w:eastAsia="仿宋_GB2312"/>
                            <w:sz w:val="20"/>
                          </w:rPr>
                          <w:t>系统</w:t>
                        </w:r>
                      </w:p>
                    </w:tc>
                    <w:tc>
                      <w:tcPr>
                        <w:tcW w:type="dxa" w:w="21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新设备</w:t>
                        </w:r>
                      </w:p>
                      <w:p>
                        <w:pPr>
                          <w:pStyle w:val="null3"/>
                          <w:jc w:val="center"/>
                        </w:pPr>
                        <w:r>
                          <w:rPr>
                            <w:rFonts w:ascii="仿宋_GB2312" w:hAnsi="仿宋_GB2312" w:cs="仿宋_GB2312" w:eastAsia="仿宋_GB2312"/>
                            <w:sz w:val="20"/>
                          </w:rPr>
                          <w:t>采购</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动态信号分析仪：</w:t>
                        </w:r>
                      </w:p>
                      <w:p>
                        <w:pPr>
                          <w:pStyle w:val="null3"/>
                          <w:jc w:val="both"/>
                        </w:pPr>
                        <w:r>
                          <w:rPr>
                            <w:rFonts w:ascii="仿宋_GB2312" w:hAnsi="仿宋_GB2312" w:cs="仿宋_GB2312" w:eastAsia="仿宋_GB2312"/>
                            <w:sz w:val="20"/>
                          </w:rPr>
                          <w:t>最高采样率并行同步</w:t>
                        </w:r>
                        <w:r>
                          <w:rPr>
                            <w:rFonts w:ascii="仿宋_GB2312" w:hAnsi="仿宋_GB2312" w:cs="仿宋_GB2312" w:eastAsia="仿宋_GB2312"/>
                            <w:sz w:val="20"/>
                          </w:rPr>
                          <w:t>128kHz /通道，信号输入±10V。</w:t>
                        </w:r>
                      </w:p>
                    </w:tc>
                    <w:tc>
                      <w:tcPr>
                        <w:tcW w:type="dxa" w:w="26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p>
                        <w:pPr>
                          <w:pStyle w:val="null3"/>
                          <w:jc w:val="center"/>
                        </w:pPr>
                      </w:p>
                    </w:tc>
                    <w:tc>
                      <w:tcPr>
                        <w:tcW w:type="dxa" w:w="18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76"/>
                        <w:vMerge/>
                        <w:tcBorders>
                          <w:top w:val="none" w:color="000000" w:sz="4"/>
                          <w:left w:val="single" w:color="000000" w:sz="4"/>
                          <w:bottom w:val="none" w:color="000000" w:sz="4"/>
                          <w:right w:val="single" w:color="000000" w:sz="4"/>
                        </w:tcBorders>
                      </w:tcPr>
                      <w:p/>
                    </w:tc>
                    <w:tc>
                      <w:tcPr>
                        <w:tcW w:type="dxa" w:w="297"/>
                        <w:vMerge/>
                        <w:tcBorders>
                          <w:top w:val="none" w:color="000000" w:sz="4"/>
                          <w:left w:val="none" w:color="000000" w:sz="4"/>
                          <w:bottom w:val="none" w:color="000000" w:sz="4"/>
                          <w:right w:val="single" w:color="000000" w:sz="4"/>
                        </w:tcBorders>
                      </w:tcPr>
                      <w:p/>
                    </w:tc>
                    <w:tc>
                      <w:tcPr>
                        <w:tcW w:type="dxa" w:w="218"/>
                        <w:vMerge/>
                        <w:tcBorders>
                          <w:top w:val="none" w:color="000000" w:sz="4"/>
                          <w:left w:val="none" w:color="000000" w:sz="4"/>
                          <w:bottom w:val="non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动态信号采集与分</w:t>
                        </w:r>
                        <w:r>
                          <w:rPr>
                            <w:rFonts w:ascii="仿宋_GB2312" w:hAnsi="仿宋_GB2312" w:cs="仿宋_GB2312" w:eastAsia="仿宋_GB2312"/>
                            <w:sz w:val="20"/>
                          </w:rPr>
                          <w:t>析软件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基础模块：示波、李沙育分析、自相关分析</w:t>
                        </w:r>
                        <w:r>
                          <w:rPr>
                            <w:rFonts w:ascii="仿宋_GB2312" w:hAnsi="仿宋_GB2312" w:cs="仿宋_GB2312" w:eastAsia="仿宋_GB2312"/>
                            <w:sz w:val="20"/>
                          </w:rPr>
                          <w:t>、互相关分析、傅里叶分析、自谱分析、传递函数、转速测量、统计信息、冲激响应谱分析等。</w:t>
                        </w:r>
                      </w:p>
                    </w:tc>
                    <w:tc>
                      <w:tcPr>
                        <w:tcW w:type="dxa" w:w="265"/>
                        <w:vMerge/>
                        <w:tcBorders>
                          <w:top w:val="none" w:color="000000" w:sz="4"/>
                          <w:left w:val="none" w:color="000000" w:sz="4"/>
                          <w:bottom w:val="none" w:color="000000" w:sz="4"/>
                          <w:right w:val="single" w:color="000000" w:sz="4"/>
                        </w:tcBorders>
                      </w:tcPr>
                      <w:p/>
                    </w:tc>
                    <w:tc>
                      <w:tcPr>
                        <w:tcW w:type="dxa" w:w="181"/>
                        <w:vMerge/>
                        <w:tcBorders>
                          <w:top w:val="none" w:color="000000" w:sz="4"/>
                          <w:left w:val="none" w:color="000000" w:sz="4"/>
                          <w:bottom w:val="none" w:color="000000" w:sz="4"/>
                          <w:right w:val="single" w:color="000000" w:sz="4"/>
                        </w:tcBorders>
                      </w:tcPr>
                      <w:p/>
                    </w:tc>
                  </w:tr>
                  <w:tr>
                    <w:tc>
                      <w:tcPr>
                        <w:tcW w:type="dxa" w:w="176"/>
                        <w:vMerge/>
                        <w:tcBorders>
                          <w:top w:val="none" w:color="000000" w:sz="4"/>
                          <w:left w:val="single" w:color="000000" w:sz="4"/>
                          <w:bottom w:val="none" w:color="000000" w:sz="4"/>
                          <w:right w:val="single" w:color="000000" w:sz="4"/>
                        </w:tcBorders>
                      </w:tcPr>
                      <w:p/>
                    </w:tc>
                    <w:tc>
                      <w:tcPr>
                        <w:tcW w:type="dxa" w:w="297"/>
                        <w:vMerge/>
                        <w:tcBorders>
                          <w:top w:val="none" w:color="000000" w:sz="4"/>
                          <w:left w:val="none" w:color="000000" w:sz="4"/>
                          <w:bottom w:val="none" w:color="000000" w:sz="4"/>
                          <w:right w:val="single" w:color="000000" w:sz="4"/>
                        </w:tcBorders>
                      </w:tcPr>
                      <w:p/>
                    </w:tc>
                    <w:tc>
                      <w:tcPr>
                        <w:tcW w:type="dxa" w:w="218"/>
                        <w:vMerge/>
                        <w:tcBorders>
                          <w:top w:val="none" w:color="000000" w:sz="4"/>
                          <w:left w:val="none" w:color="000000" w:sz="4"/>
                          <w:bottom w:val="non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动态信号采集与分析</w:t>
                        </w:r>
                        <w:r>
                          <w:rPr>
                            <w:rFonts w:ascii="仿宋_GB2312" w:hAnsi="仿宋_GB2312" w:cs="仿宋_GB2312" w:eastAsia="仿宋_GB2312"/>
                            <w:sz w:val="20"/>
                          </w:rPr>
                          <w:t>软件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旋转机械模块：旋转绝对编码器、转速曲线分析、时间转速和时间幅值分析、阶次分析、瀑布图、动平衡分析、轴心轨迹分析。</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vMerge/>
                        <w:tcBorders>
                          <w:top w:val="none" w:color="000000" w:sz="4"/>
                          <w:left w:val="single" w:color="000000" w:sz="4"/>
                          <w:bottom w:val="none" w:color="000000" w:sz="4"/>
                          <w:right w:val="single" w:color="000000" w:sz="4"/>
                        </w:tcBorders>
                      </w:tcPr>
                      <w:p/>
                    </w:tc>
                    <w:tc>
                      <w:tcPr>
                        <w:tcW w:type="dxa" w:w="297"/>
                        <w:vMerge/>
                        <w:tcBorders>
                          <w:top w:val="none" w:color="000000" w:sz="4"/>
                          <w:left w:val="none" w:color="000000" w:sz="4"/>
                          <w:bottom w:val="none" w:color="000000" w:sz="4"/>
                          <w:right w:val="single" w:color="000000" w:sz="4"/>
                        </w:tcBorders>
                      </w:tcPr>
                      <w:p/>
                    </w:tc>
                    <w:tc>
                      <w:tcPr>
                        <w:tcW w:type="dxa" w:w="218"/>
                        <w:vMerge/>
                        <w:tcBorders>
                          <w:top w:val="none" w:color="000000" w:sz="4"/>
                          <w:left w:val="none" w:color="000000" w:sz="4"/>
                          <w:bottom w:val="non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多维数据智能处理工作站</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1、处理器：主频≥2.4GHz，核数≥64核，2颗，双路；</w:t>
                        </w:r>
                      </w:p>
                      <w:p>
                        <w:pPr>
                          <w:pStyle w:val="null3"/>
                          <w:jc w:val="both"/>
                        </w:pPr>
                        <w:r>
                          <w:rPr>
                            <w:rFonts w:ascii="仿宋_GB2312" w:hAnsi="仿宋_GB2312" w:cs="仿宋_GB2312" w:eastAsia="仿宋_GB2312"/>
                            <w:sz w:val="20"/>
                          </w:rPr>
                          <w:t>2、内存：≥256GB（32GB*8），DDR5 4800，预留8个插槽；</w:t>
                        </w:r>
                      </w:p>
                      <w:p>
                        <w:pPr>
                          <w:pStyle w:val="null3"/>
                          <w:jc w:val="both"/>
                        </w:pPr>
                        <w:r>
                          <w:rPr>
                            <w:rFonts w:ascii="仿宋_GB2312" w:hAnsi="仿宋_GB2312" w:cs="仿宋_GB2312" w:eastAsia="仿宋_GB2312"/>
                            <w:sz w:val="20"/>
                          </w:rPr>
                          <w:t>3、系统硬盘：≥2×960G企业级数据固态中心；存储硬盘：≥3×16TB企业级硬盘（含阵列）；</w:t>
                        </w:r>
                      </w:p>
                      <w:p>
                        <w:pPr>
                          <w:pStyle w:val="null3"/>
                          <w:jc w:val="both"/>
                        </w:pPr>
                        <w:r>
                          <w:rPr>
                            <w:rFonts w:ascii="仿宋_GB2312" w:hAnsi="仿宋_GB2312" w:cs="仿宋_GB2312" w:eastAsia="仿宋_GB2312"/>
                            <w:sz w:val="20"/>
                          </w:rPr>
                          <w:t>4、GPU卡：采用Blackwell 架构，CUDA核心≥19900，Tensor核心数≥620个，RT核心数≥150个，显存容量≥84GB GDDR7(ECC效验)，单精度计算性能(FP32)≥90TFLOPS，PCle标准 5.0；</w:t>
                        </w:r>
                      </w:p>
                      <w:p>
                        <w:pPr>
                          <w:pStyle w:val="null3"/>
                          <w:jc w:val="both"/>
                        </w:pPr>
                        <w:r>
                          <w:rPr>
                            <w:rFonts w:ascii="仿宋_GB2312" w:hAnsi="仿宋_GB2312" w:cs="仿宋_GB2312" w:eastAsia="仿宋_GB2312"/>
                            <w:sz w:val="20"/>
                          </w:rPr>
                          <w:t>5、人机交换：采用24英寸液晶显示器含键鼠套装；</w:t>
                        </w:r>
                      </w:p>
                      <w:p>
                        <w:pPr>
                          <w:pStyle w:val="null3"/>
                          <w:jc w:val="both"/>
                        </w:pPr>
                        <w:r>
                          <w:rPr>
                            <w:rFonts w:ascii="仿宋_GB2312" w:hAnsi="仿宋_GB2312" w:cs="仿宋_GB2312" w:eastAsia="仿宋_GB2312"/>
                            <w:sz w:val="20"/>
                          </w:rPr>
                          <w:t>6、机箱电源:采用1+1 钛金冗余源；</w:t>
                        </w:r>
                      </w:p>
                      <w:p>
                        <w:pPr>
                          <w:pStyle w:val="null3"/>
                          <w:jc w:val="both"/>
                        </w:pPr>
                        <w:r>
                          <w:rPr>
                            <w:rFonts w:ascii="仿宋_GB2312" w:hAnsi="仿宋_GB2312" w:cs="仿宋_GB2312" w:eastAsia="仿宋_GB2312"/>
                            <w:sz w:val="20"/>
                          </w:rPr>
                          <w:t>7、软件运维：包括:Anacoda、Ubutn、Pycharm、Cuda、Pytorch、OpenCV、Python、TensorFlow等软件的相互关联与依赖，确保可以正常高效运行；</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2台</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vMerge/>
                        <w:tcBorders>
                          <w:top w:val="none" w:color="000000" w:sz="4"/>
                          <w:left w:val="single" w:color="000000" w:sz="4"/>
                          <w:bottom w:val="none" w:color="000000" w:sz="4"/>
                          <w:right w:val="single" w:color="000000" w:sz="4"/>
                        </w:tcBorders>
                      </w:tcPr>
                      <w:p/>
                    </w:tc>
                    <w:tc>
                      <w:tcPr>
                        <w:tcW w:type="dxa" w:w="297"/>
                        <w:vMerge/>
                        <w:tcBorders>
                          <w:top w:val="none" w:color="000000" w:sz="4"/>
                          <w:left w:val="none" w:color="000000" w:sz="4"/>
                          <w:bottom w:val="none" w:color="000000" w:sz="4"/>
                          <w:right w:val="single" w:color="000000" w:sz="4"/>
                        </w:tcBorders>
                      </w:tcPr>
                      <w:p/>
                    </w:tc>
                    <w:tc>
                      <w:tcPr>
                        <w:tcW w:type="dxa" w:w="218"/>
                        <w:vMerge/>
                        <w:tcBorders>
                          <w:top w:val="none" w:color="000000" w:sz="4"/>
                          <w:left w:val="none" w:color="000000" w:sz="4"/>
                          <w:bottom w:val="non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机柜：采用</w:t>
                        </w:r>
                        <w:r>
                          <w:rPr>
                            <w:rFonts w:ascii="仿宋_GB2312" w:hAnsi="仿宋_GB2312" w:cs="仿宋_GB2312" w:eastAsia="仿宋_GB2312"/>
                            <w:sz w:val="20"/>
                          </w:rPr>
                          <w:t>1.2米的国际22U标准机柜。</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vMerge/>
                        <w:tcBorders>
                          <w:top w:val="none" w:color="000000" w:sz="4"/>
                          <w:left w:val="single" w:color="000000" w:sz="4"/>
                          <w:bottom w:val="none" w:color="000000" w:sz="4"/>
                          <w:right w:val="single" w:color="000000" w:sz="4"/>
                        </w:tcBorders>
                      </w:tcPr>
                      <w:p/>
                    </w:tc>
                    <w:tc>
                      <w:tcPr>
                        <w:tcW w:type="dxa" w:w="297"/>
                        <w:vMerge/>
                        <w:tcBorders>
                          <w:top w:val="none" w:color="000000" w:sz="4"/>
                          <w:left w:val="none" w:color="000000" w:sz="4"/>
                          <w:bottom w:val="none" w:color="000000" w:sz="4"/>
                          <w:right w:val="single" w:color="000000" w:sz="4"/>
                        </w:tcBorders>
                      </w:tcPr>
                      <w:p/>
                    </w:tc>
                    <w:tc>
                      <w:tcPr>
                        <w:tcW w:type="dxa" w:w="218"/>
                        <w:vMerge/>
                        <w:tcBorders>
                          <w:top w:val="none" w:color="000000" w:sz="4"/>
                          <w:left w:val="none" w:color="000000" w:sz="4"/>
                          <w:bottom w:val="non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不间断电源：</w:t>
                        </w:r>
                        <w:r>
                          <w:rPr>
                            <w:rFonts w:ascii="仿宋_GB2312" w:hAnsi="仿宋_GB2312" w:cs="仿宋_GB2312" w:eastAsia="仿宋_GB2312"/>
                            <w:sz w:val="20"/>
                          </w:rPr>
                          <w:t>≥6000W，续航时间≥30分钟，配电池组，电池架。</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vMerge/>
                        <w:tcBorders>
                          <w:top w:val="none" w:color="000000" w:sz="4"/>
                          <w:left w:val="single" w:color="000000" w:sz="4"/>
                          <w:bottom w:val="none" w:color="000000" w:sz="4"/>
                          <w:right w:val="single" w:color="000000" w:sz="4"/>
                        </w:tcBorders>
                      </w:tcPr>
                      <w:p/>
                    </w:tc>
                    <w:tc>
                      <w:tcPr>
                        <w:tcW w:type="dxa" w:w="297"/>
                        <w:vMerge/>
                        <w:tcBorders>
                          <w:top w:val="none" w:color="000000" w:sz="4"/>
                          <w:left w:val="none" w:color="000000" w:sz="4"/>
                          <w:bottom w:val="none" w:color="000000" w:sz="4"/>
                          <w:right w:val="single" w:color="000000" w:sz="4"/>
                        </w:tcBorders>
                      </w:tcPr>
                      <w:p/>
                    </w:tc>
                    <w:tc>
                      <w:tcPr>
                        <w:tcW w:type="dxa" w:w="218"/>
                        <w:vMerge/>
                        <w:tcBorders>
                          <w:top w:val="none" w:color="000000" w:sz="4"/>
                          <w:left w:val="none" w:color="000000" w:sz="4"/>
                          <w:bottom w:val="non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工业</w:t>
                        </w:r>
                        <w:r>
                          <w:rPr>
                            <w:rFonts w:ascii="仿宋_GB2312" w:hAnsi="仿宋_GB2312" w:cs="仿宋_GB2312" w:eastAsia="仿宋_GB2312"/>
                            <w:sz w:val="20"/>
                          </w:rPr>
                          <w:t>现场</w:t>
                        </w:r>
                        <w:r>
                          <w:rPr>
                            <w:rFonts w:ascii="仿宋_GB2312" w:hAnsi="仿宋_GB2312" w:cs="仿宋_GB2312" w:eastAsia="仿宋_GB2312"/>
                            <w:sz w:val="20"/>
                          </w:rPr>
                          <w:t>信号</w:t>
                        </w:r>
                        <w:r>
                          <w:rPr>
                            <w:rFonts w:ascii="仿宋_GB2312" w:hAnsi="仿宋_GB2312" w:cs="仿宋_GB2312" w:eastAsia="仿宋_GB2312"/>
                            <w:sz w:val="20"/>
                          </w:rPr>
                          <w:t>便携分析终端）</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1、处理器：主频≥2.4GHz，核数≥24核；</w:t>
                        </w:r>
                      </w:p>
                      <w:p>
                        <w:pPr>
                          <w:pStyle w:val="null3"/>
                          <w:jc w:val="both"/>
                        </w:pPr>
                        <w:r>
                          <w:rPr>
                            <w:rFonts w:ascii="仿宋_GB2312" w:hAnsi="仿宋_GB2312" w:cs="仿宋_GB2312" w:eastAsia="仿宋_GB2312"/>
                            <w:sz w:val="20"/>
                          </w:rPr>
                          <w:t>2、显卡：独立显卡；</w:t>
                        </w:r>
                      </w:p>
                      <w:p>
                        <w:pPr>
                          <w:pStyle w:val="null3"/>
                          <w:jc w:val="both"/>
                        </w:pPr>
                        <w:r>
                          <w:rPr>
                            <w:rFonts w:ascii="仿宋_GB2312" w:hAnsi="仿宋_GB2312" w:cs="仿宋_GB2312" w:eastAsia="仿宋_GB2312"/>
                            <w:sz w:val="20"/>
                          </w:rPr>
                          <w:t>3、显存≥16GB；</w:t>
                        </w:r>
                      </w:p>
                      <w:p>
                        <w:pPr>
                          <w:pStyle w:val="null3"/>
                          <w:jc w:val="both"/>
                        </w:pPr>
                        <w:r>
                          <w:rPr>
                            <w:rFonts w:ascii="仿宋_GB2312" w:hAnsi="仿宋_GB2312" w:cs="仿宋_GB2312" w:eastAsia="仿宋_GB2312"/>
                            <w:sz w:val="20"/>
                          </w:rPr>
                          <w:t>3、内存：≥32GB (16GB×2)，最大支持≥64GB；</w:t>
                        </w:r>
                      </w:p>
                      <w:p>
                        <w:pPr>
                          <w:pStyle w:val="null3"/>
                          <w:jc w:val="both"/>
                        </w:pPr>
                        <w:r>
                          <w:rPr>
                            <w:rFonts w:ascii="仿宋_GB2312" w:hAnsi="仿宋_GB2312" w:cs="仿宋_GB2312" w:eastAsia="仿宋_GB2312"/>
                            <w:sz w:val="20"/>
                          </w:rPr>
                          <w:t>4、硬盘：≥2TB， PCIe 5.0 SSD；</w:t>
                        </w:r>
                      </w:p>
                      <w:p>
                        <w:pPr>
                          <w:pStyle w:val="null3"/>
                          <w:jc w:val="both"/>
                        </w:pPr>
                        <w:r>
                          <w:rPr>
                            <w:rFonts w:ascii="仿宋_GB2312" w:hAnsi="仿宋_GB2312" w:cs="仿宋_GB2312" w:eastAsia="仿宋_GB2312"/>
                            <w:sz w:val="20"/>
                          </w:rPr>
                          <w:t>5、屏幕：≥16英寸 OLED 屏；</w:t>
                        </w:r>
                      </w:p>
                      <w:p>
                        <w:pPr>
                          <w:pStyle w:val="null3"/>
                          <w:jc w:val="both"/>
                        </w:pPr>
                        <w:r>
                          <w:rPr>
                            <w:rFonts w:ascii="仿宋_GB2312" w:hAnsi="仿宋_GB2312" w:cs="仿宋_GB2312" w:eastAsia="仿宋_GB2312"/>
                            <w:sz w:val="20"/>
                          </w:rPr>
                          <w:t>6、分辨率≥2560×1600 (2.5K)；</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vMerge/>
                        <w:tcBorders>
                          <w:top w:val="none" w:color="000000" w:sz="4"/>
                          <w:left w:val="single" w:color="000000" w:sz="4"/>
                          <w:bottom w:val="none" w:color="000000" w:sz="4"/>
                          <w:right w:val="single" w:color="000000" w:sz="4"/>
                        </w:tcBorders>
                      </w:tcPr>
                      <w:p/>
                    </w:tc>
                    <w:tc>
                      <w:tcPr>
                        <w:tcW w:type="dxa" w:w="297"/>
                        <w:vMerge/>
                        <w:tcBorders>
                          <w:top w:val="none" w:color="000000" w:sz="4"/>
                          <w:left w:val="none" w:color="000000" w:sz="4"/>
                          <w:bottom w:val="none" w:color="000000" w:sz="4"/>
                          <w:right w:val="single" w:color="000000" w:sz="4"/>
                        </w:tcBorders>
                      </w:tcPr>
                      <w:p/>
                    </w:tc>
                    <w:tc>
                      <w:tcPr>
                        <w:tcW w:type="dxa" w:w="218"/>
                        <w:vMerge/>
                        <w:tcBorders>
                          <w:top w:val="none" w:color="000000" w:sz="4"/>
                          <w:left w:val="none" w:color="000000" w:sz="4"/>
                          <w:bottom w:val="non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示波器：</w:t>
                        </w:r>
                        <w:r>
                          <w:rPr>
                            <w:rFonts w:ascii="仿宋_GB2312" w:hAnsi="仿宋_GB2312" w:cs="仿宋_GB2312" w:eastAsia="仿宋_GB2312"/>
                            <w:sz w:val="21"/>
                          </w:rPr>
                          <w:t>模拟带宽：</w:t>
                        </w:r>
                        <w:r>
                          <w:rPr>
                            <w:rFonts w:ascii="仿宋_GB2312" w:hAnsi="仿宋_GB2312" w:cs="仿宋_GB2312" w:eastAsia="仿宋_GB2312"/>
                            <w:sz w:val="21"/>
                          </w:rPr>
                          <w:t>1GHz(-3dB，50Ω输入)；</w:t>
                        </w:r>
                      </w:p>
                      <w:p>
                        <w:pPr>
                          <w:pStyle w:val="null3"/>
                          <w:jc w:val="both"/>
                        </w:pPr>
                        <w:r>
                          <w:rPr>
                            <w:rFonts w:ascii="仿宋_GB2312" w:hAnsi="仿宋_GB2312" w:cs="仿宋_GB2312" w:eastAsia="仿宋_GB2312"/>
                            <w:sz w:val="20"/>
                          </w:rPr>
                          <w:t>上升时间：＜</w:t>
                        </w:r>
                        <w:r>
                          <w:rPr>
                            <w:rFonts w:ascii="仿宋_GB2312" w:hAnsi="仿宋_GB2312" w:cs="仿宋_GB2312" w:eastAsia="仿宋_GB2312"/>
                            <w:sz w:val="20"/>
                          </w:rPr>
                          <w:t>450ps (全通道)；</w:t>
                        </w:r>
                      </w:p>
                      <w:p>
                        <w:pPr>
                          <w:pStyle w:val="null3"/>
                          <w:jc w:val="both"/>
                        </w:pPr>
                        <w:r>
                          <w:rPr>
                            <w:rFonts w:ascii="仿宋_GB2312" w:hAnsi="仿宋_GB2312" w:cs="仿宋_GB2312" w:eastAsia="仿宋_GB2312"/>
                            <w:sz w:val="20"/>
                          </w:rPr>
                          <w:t>实时采样率：</w:t>
                        </w:r>
                        <w:r>
                          <w:rPr>
                            <w:rFonts w:ascii="仿宋_GB2312" w:hAnsi="仿宋_GB2312" w:cs="仿宋_GB2312" w:eastAsia="仿宋_GB2312"/>
                            <w:sz w:val="20"/>
                          </w:rPr>
                          <w:t>4GSa/s (1/2 通道)；2GSa/s (4 通道全开)；</w:t>
                        </w:r>
                      </w:p>
                      <w:p>
                        <w:pPr>
                          <w:pStyle w:val="null3"/>
                          <w:jc w:val="both"/>
                        </w:pPr>
                        <w:r>
                          <w:rPr>
                            <w:rFonts w:ascii="仿宋_GB2312" w:hAnsi="仿宋_GB2312" w:cs="仿宋_GB2312" w:eastAsia="仿宋_GB2312"/>
                            <w:sz w:val="20"/>
                          </w:rPr>
                          <w:t>存储深度：最大</w:t>
                        </w:r>
                        <w:r>
                          <w:rPr>
                            <w:rFonts w:ascii="仿宋_GB2312" w:hAnsi="仿宋_GB2312" w:cs="仿宋_GB2312" w:eastAsia="仿宋_GB2312"/>
                            <w:sz w:val="20"/>
                          </w:rPr>
                          <w:t>250Mpts/通道；</w:t>
                        </w:r>
                      </w:p>
                      <w:p>
                        <w:pPr>
                          <w:pStyle w:val="null3"/>
                          <w:jc w:val="both"/>
                        </w:pPr>
                        <w:r>
                          <w:rPr>
                            <w:rFonts w:ascii="仿宋_GB2312" w:hAnsi="仿宋_GB2312" w:cs="仿宋_GB2312" w:eastAsia="仿宋_GB2312"/>
                            <w:sz w:val="20"/>
                          </w:rPr>
                          <w:t>垂直分辨率：</w:t>
                        </w:r>
                        <w:r>
                          <w:rPr>
                            <w:rFonts w:ascii="仿宋_GB2312" w:hAnsi="仿宋_GB2312" w:cs="仿宋_GB2312" w:eastAsia="仿宋_GB2312"/>
                            <w:sz w:val="20"/>
                          </w:rPr>
                          <w:t>12bit；</w:t>
                        </w:r>
                      </w:p>
                      <w:p>
                        <w:pPr>
                          <w:pStyle w:val="null3"/>
                          <w:jc w:val="both"/>
                        </w:pPr>
                        <w:r>
                          <w:rPr>
                            <w:rFonts w:ascii="仿宋_GB2312" w:hAnsi="仿宋_GB2312" w:cs="仿宋_GB2312" w:eastAsia="仿宋_GB2312"/>
                            <w:sz w:val="20"/>
                          </w:rPr>
                          <w:t>波形捕获率：最高</w:t>
                        </w:r>
                        <w:r>
                          <w:rPr>
                            <w:rFonts w:ascii="仿宋_GB2312" w:hAnsi="仿宋_GB2312" w:cs="仿宋_GB2312" w:eastAsia="仿宋_GB2312"/>
                            <w:sz w:val="20"/>
                          </w:rPr>
                          <w:t>750,000wfms/s (快速捕获)；</w:t>
                        </w:r>
                      </w:p>
                      <w:p>
                        <w:pPr>
                          <w:pStyle w:val="null3"/>
                          <w:jc w:val="both"/>
                        </w:pPr>
                        <w:r>
                          <w:rPr>
                            <w:rFonts w:ascii="仿宋_GB2312" w:hAnsi="仿宋_GB2312" w:cs="仿宋_GB2312" w:eastAsia="仿宋_GB2312"/>
                            <w:sz w:val="20"/>
                          </w:rPr>
                          <w:t>模拟通道：</w:t>
                        </w:r>
                        <w:r>
                          <w:rPr>
                            <w:rFonts w:ascii="仿宋_GB2312" w:hAnsi="仿宋_GB2312" w:cs="仿宋_GB2312" w:eastAsia="仿宋_GB2312"/>
                            <w:sz w:val="20"/>
                          </w:rPr>
                          <w:t>4路+1路外触发EXT；</w:t>
                        </w:r>
                      </w:p>
                      <w:p>
                        <w:pPr>
                          <w:pStyle w:val="null3"/>
                          <w:jc w:val="both"/>
                        </w:pPr>
                        <w:r>
                          <w:rPr>
                            <w:rFonts w:ascii="仿宋_GB2312" w:hAnsi="仿宋_GB2312" w:cs="仿宋_GB2312" w:eastAsia="仿宋_GB2312"/>
                            <w:sz w:val="20"/>
                          </w:rPr>
                          <w:t>数字通道：标配</w:t>
                        </w:r>
                        <w:r>
                          <w:rPr>
                            <w:rFonts w:ascii="仿宋_GB2312" w:hAnsi="仿宋_GB2312" w:cs="仿宋_GB2312" w:eastAsia="仿宋_GB2312"/>
                            <w:sz w:val="20"/>
                          </w:rPr>
                          <w:t>16路(需选配探头)；</w:t>
                        </w:r>
                      </w:p>
                      <w:p>
                        <w:pPr>
                          <w:pStyle w:val="null3"/>
                          <w:jc w:val="both"/>
                        </w:pPr>
                        <w:r>
                          <w:rPr>
                            <w:rFonts w:ascii="仿宋_GB2312" w:hAnsi="仿宋_GB2312" w:cs="仿宋_GB2312" w:eastAsia="仿宋_GB2312"/>
                            <w:sz w:val="21"/>
                          </w:rPr>
                          <w:t>输入阻抗：1MΩ±1%，50Ω±1%；</w:t>
                        </w:r>
                      </w:p>
                      <w:p>
                        <w:pPr>
                          <w:pStyle w:val="null3"/>
                          <w:jc w:val="both"/>
                        </w:pPr>
                        <w:r>
                          <w:rPr>
                            <w:rFonts w:ascii="仿宋_GB2312" w:hAnsi="仿宋_GB2312" w:cs="仿宋_GB2312" w:eastAsia="仿宋_GB2312"/>
                            <w:sz w:val="20"/>
                          </w:rPr>
                          <w:t>垂直灵敏度：</w:t>
                        </w:r>
                        <w:r>
                          <w:rPr>
                            <w:rFonts w:ascii="仿宋_GB2312" w:hAnsi="仿宋_GB2312" w:cs="仿宋_GB2312" w:eastAsia="仿宋_GB2312"/>
                            <w:sz w:val="20"/>
                          </w:rPr>
                          <w:t>500uV/div ~10Vdiv；</w:t>
                        </w:r>
                      </w:p>
                      <w:p>
                        <w:pPr>
                          <w:pStyle w:val="null3"/>
                          <w:jc w:val="both"/>
                        </w:pPr>
                        <w:r>
                          <w:rPr>
                            <w:rFonts w:ascii="仿宋_GB2312" w:hAnsi="仿宋_GB2312" w:cs="仿宋_GB2312" w:eastAsia="仿宋_GB2312"/>
                            <w:sz w:val="20"/>
                          </w:rPr>
                          <w:t>输入耦合：</w:t>
                        </w:r>
                        <w:r>
                          <w:rPr>
                            <w:rFonts w:ascii="仿宋_GB2312" w:hAnsi="仿宋_GB2312" w:cs="仿宋_GB2312" w:eastAsia="仿宋_GB2312"/>
                            <w:sz w:val="20"/>
                          </w:rPr>
                          <w:t>DC、AC、GND；</w:t>
                        </w:r>
                      </w:p>
                      <w:p>
                        <w:pPr>
                          <w:pStyle w:val="null3"/>
                          <w:jc w:val="both"/>
                        </w:pPr>
                        <w:r>
                          <w:rPr>
                            <w:rFonts w:ascii="仿宋_GB2312" w:hAnsi="仿宋_GB2312" w:cs="仿宋_GB2312" w:eastAsia="仿宋_GB2312"/>
                            <w:sz w:val="20"/>
                          </w:rPr>
                          <w:t>屏幕：</w:t>
                        </w:r>
                        <w:r>
                          <w:rPr>
                            <w:rFonts w:ascii="仿宋_GB2312" w:hAnsi="仿宋_GB2312" w:cs="仿宋_GB2312" w:eastAsia="仿宋_GB2312"/>
                            <w:sz w:val="20"/>
                          </w:rPr>
                          <w:t>10.1 英寸、1280×800、电容触控、256 级灰度；</w:t>
                        </w:r>
                      </w:p>
                      <w:p>
                        <w:pPr>
                          <w:pStyle w:val="null3"/>
                          <w:jc w:val="both"/>
                        </w:pPr>
                        <w:r>
                          <w:rPr>
                            <w:rFonts w:ascii="仿宋_GB2312" w:hAnsi="仿宋_GB2312" w:cs="仿宋_GB2312" w:eastAsia="仿宋_GB2312"/>
                            <w:sz w:val="20"/>
                          </w:rPr>
                          <w:t>标配接口：</w:t>
                        </w:r>
                        <w:r>
                          <w:rPr>
                            <w:rFonts w:ascii="仿宋_GB2312" w:hAnsi="仿宋_GB2312" w:cs="仿宋_GB2312" w:eastAsia="仿宋_GB2312"/>
                            <w:sz w:val="20"/>
                          </w:rPr>
                          <w:t>USB Host/Device、LAN、HDMI；</w:t>
                        </w:r>
                      </w:p>
                      <w:p>
                        <w:pPr>
                          <w:pStyle w:val="null3"/>
                          <w:jc w:val="both"/>
                        </w:pPr>
                        <w:r>
                          <w:rPr>
                            <w:rFonts w:ascii="仿宋_GB2312" w:hAnsi="仿宋_GB2312" w:cs="仿宋_GB2312" w:eastAsia="仿宋_GB2312"/>
                            <w:sz w:val="20"/>
                          </w:rPr>
                          <w:t>协议解码：</w:t>
                        </w:r>
                        <w:r>
                          <w:rPr>
                            <w:rFonts w:ascii="仿宋_GB2312" w:hAnsi="仿宋_GB2312" w:cs="仿宋_GB2312" w:eastAsia="仿宋_GB2312"/>
                            <w:sz w:val="20"/>
                          </w:rPr>
                          <w:t>I2C、SPI、UART/RS232 等；</w:t>
                        </w:r>
                      </w:p>
                      <w:p>
                        <w:pPr>
                          <w:pStyle w:val="null3"/>
                          <w:jc w:val="both"/>
                        </w:pPr>
                        <w:r>
                          <w:rPr>
                            <w:rFonts w:ascii="仿宋_GB2312" w:hAnsi="仿宋_GB2312" w:cs="仿宋_GB2312" w:eastAsia="仿宋_GB2312"/>
                            <w:sz w:val="20"/>
                          </w:rPr>
                          <w:t>测量工具：电源分析、波特图、直方图、搜索导航、多参数测量；</w:t>
                        </w:r>
                      </w:p>
                      <w:p>
                        <w:pPr>
                          <w:pStyle w:val="null3"/>
                          <w:jc w:val="both"/>
                        </w:pPr>
                        <w:r>
                          <w:rPr>
                            <w:rFonts w:ascii="仿宋_GB2312" w:hAnsi="仿宋_GB2312" w:cs="仿宋_GB2312" w:eastAsia="仿宋_GB2312"/>
                            <w:sz w:val="20"/>
                          </w:rPr>
                          <w:t>逻辑分析仪</w:t>
                        </w:r>
                        <w:r>
                          <w:rPr>
                            <w:rFonts w:ascii="仿宋_GB2312" w:hAnsi="仿宋_GB2312" w:cs="仿宋_GB2312" w:eastAsia="仿宋_GB2312"/>
                            <w:sz w:val="20"/>
                          </w:rPr>
                          <w:t>:共16通道逻辑分析仪探头。</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vMerge/>
                        <w:tcBorders>
                          <w:top w:val="none" w:color="000000" w:sz="4"/>
                          <w:left w:val="single" w:color="000000" w:sz="4"/>
                          <w:bottom w:val="none" w:color="000000" w:sz="4"/>
                          <w:right w:val="single" w:color="000000" w:sz="4"/>
                        </w:tcBorders>
                      </w:tcPr>
                      <w:p/>
                    </w:tc>
                    <w:tc>
                      <w:tcPr>
                        <w:tcW w:type="dxa" w:w="297"/>
                        <w:vMerge/>
                        <w:tcBorders>
                          <w:top w:val="none" w:color="000000" w:sz="4"/>
                          <w:left w:val="none" w:color="000000" w:sz="4"/>
                          <w:bottom w:val="none" w:color="000000" w:sz="4"/>
                          <w:right w:val="single" w:color="000000" w:sz="4"/>
                        </w:tcBorders>
                      </w:tcPr>
                      <w:p/>
                    </w:tc>
                    <w:tc>
                      <w:tcPr>
                        <w:tcW w:type="dxa" w:w="218"/>
                        <w:vMerge/>
                        <w:tcBorders>
                          <w:top w:val="none" w:color="000000" w:sz="4"/>
                          <w:left w:val="none" w:color="000000" w:sz="4"/>
                          <w:bottom w:val="non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单向振动加速度传感器：</w:t>
                        </w:r>
                      </w:p>
                      <w:p>
                        <w:pPr>
                          <w:pStyle w:val="null3"/>
                          <w:jc w:val="both"/>
                        </w:pPr>
                        <w:r>
                          <w:rPr>
                            <w:rFonts w:ascii="仿宋_GB2312" w:hAnsi="仿宋_GB2312" w:cs="仿宋_GB2312" w:eastAsia="仿宋_GB2312"/>
                            <w:sz w:val="20"/>
                          </w:rPr>
                          <w:t>量程</w:t>
                        </w:r>
                        <w:r>
                          <w:rPr>
                            <w:rFonts w:ascii="仿宋_GB2312" w:hAnsi="仿宋_GB2312" w:cs="仿宋_GB2312" w:eastAsia="仿宋_GB2312"/>
                            <w:sz w:val="20"/>
                          </w:rPr>
                          <w:t>50g，灵敏度约100mv/g，频率范围0.5-10KHz，配磁座。</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vMerge/>
                        <w:tcBorders>
                          <w:top w:val="none" w:color="000000" w:sz="4"/>
                          <w:left w:val="single" w:color="000000" w:sz="4"/>
                          <w:bottom w:val="none" w:color="000000" w:sz="4"/>
                          <w:right w:val="single" w:color="000000" w:sz="4"/>
                        </w:tcBorders>
                      </w:tcPr>
                      <w:p/>
                    </w:tc>
                    <w:tc>
                      <w:tcPr>
                        <w:tcW w:type="dxa" w:w="297"/>
                        <w:vMerge/>
                        <w:tcBorders>
                          <w:top w:val="none" w:color="000000" w:sz="4"/>
                          <w:left w:val="none" w:color="000000" w:sz="4"/>
                          <w:bottom w:val="none" w:color="000000" w:sz="4"/>
                          <w:right w:val="single" w:color="000000" w:sz="4"/>
                        </w:tcBorders>
                      </w:tcPr>
                      <w:p/>
                    </w:tc>
                    <w:tc>
                      <w:tcPr>
                        <w:tcW w:type="dxa" w:w="218"/>
                        <w:vMerge/>
                        <w:tcBorders>
                          <w:top w:val="none" w:color="000000" w:sz="4"/>
                          <w:left w:val="none" w:color="000000" w:sz="4"/>
                          <w:bottom w:val="non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电涡流位移传感器：探头量程</w:t>
                        </w:r>
                        <w:r>
                          <w:rPr>
                            <w:rFonts w:ascii="仿宋_GB2312" w:hAnsi="仿宋_GB2312" w:cs="仿宋_GB2312" w:eastAsia="仿宋_GB2312"/>
                            <w:sz w:val="20"/>
                          </w:rPr>
                          <w:t>2mm，探头直径8mm，前置器非线性度＜1%。配支架，供电电源套件（带屏显）。</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vMerge/>
                        <w:tcBorders>
                          <w:top w:val="none" w:color="000000" w:sz="4"/>
                          <w:left w:val="single" w:color="000000" w:sz="4"/>
                          <w:bottom w:val="none" w:color="000000" w:sz="4"/>
                          <w:right w:val="single" w:color="000000" w:sz="4"/>
                        </w:tcBorders>
                      </w:tcPr>
                      <w:p/>
                    </w:tc>
                    <w:tc>
                      <w:tcPr>
                        <w:tcW w:type="dxa" w:w="297"/>
                        <w:vMerge/>
                        <w:tcBorders>
                          <w:top w:val="none" w:color="000000" w:sz="4"/>
                          <w:left w:val="none" w:color="000000" w:sz="4"/>
                          <w:bottom w:val="none" w:color="000000" w:sz="4"/>
                          <w:right w:val="single" w:color="000000" w:sz="4"/>
                        </w:tcBorders>
                      </w:tcPr>
                      <w:p/>
                    </w:tc>
                    <w:tc>
                      <w:tcPr>
                        <w:tcW w:type="dxa" w:w="218"/>
                        <w:vMerge/>
                        <w:tcBorders>
                          <w:top w:val="none" w:color="000000" w:sz="4"/>
                          <w:left w:val="none" w:color="000000" w:sz="4"/>
                          <w:bottom w:val="non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三向振动加速度传感器：量程</w:t>
                        </w:r>
                        <w:r>
                          <w:rPr>
                            <w:rFonts w:ascii="仿宋_GB2312" w:hAnsi="仿宋_GB2312" w:cs="仿宋_GB2312" w:eastAsia="仿宋_GB2312"/>
                            <w:sz w:val="20"/>
                          </w:rPr>
                          <w:t>50g，灵敏度约100mv/g，频率范围</w:t>
                        </w:r>
                        <w:r>
                          <w:rPr>
                            <w:rFonts w:ascii="仿宋_GB2312" w:hAnsi="仿宋_GB2312" w:cs="仿宋_GB2312" w:eastAsia="仿宋_GB2312"/>
                            <w:sz w:val="20"/>
                          </w:rPr>
                          <w:t>1</w:t>
                        </w:r>
                        <w:r>
                          <w:rPr>
                            <w:rFonts w:ascii="仿宋_GB2312" w:hAnsi="仿宋_GB2312" w:cs="仿宋_GB2312" w:eastAsia="仿宋_GB2312"/>
                            <w:sz w:val="20"/>
                          </w:rPr>
                          <w:t>-10KHz，配磁座。</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桌椅展柜</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新设备</w:t>
                        </w:r>
                      </w:p>
                      <w:p>
                        <w:pPr>
                          <w:pStyle w:val="null3"/>
                          <w:jc w:val="center"/>
                        </w:pPr>
                        <w:r>
                          <w:rPr>
                            <w:rFonts w:ascii="仿宋_GB2312" w:hAnsi="仿宋_GB2312" w:cs="仿宋_GB2312" w:eastAsia="仿宋_GB2312"/>
                            <w:sz w:val="20"/>
                          </w:rPr>
                          <w:t>采购</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1、办公桌</w:t>
                        </w:r>
                      </w:p>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160cm*70cm*75cm；</w:t>
                        </w:r>
                      </w:p>
                      <w:p>
                        <w:pPr>
                          <w:pStyle w:val="null3"/>
                          <w:jc w:val="left"/>
                        </w:pPr>
                        <w:r>
                          <w:rPr>
                            <w:rFonts w:ascii="仿宋_GB2312" w:hAnsi="仿宋_GB2312" w:cs="仿宋_GB2312" w:eastAsia="仿宋_GB2312"/>
                            <w:sz w:val="20"/>
                          </w:rPr>
                          <w:t>桌面：约</w:t>
                        </w:r>
                        <w:r>
                          <w:rPr>
                            <w:rFonts w:ascii="仿宋_GB2312" w:hAnsi="仿宋_GB2312" w:cs="仿宋_GB2312" w:eastAsia="仿宋_GB2312"/>
                            <w:sz w:val="20"/>
                          </w:rPr>
                          <w:t>25mm厚生态板；</w:t>
                        </w:r>
                      </w:p>
                      <w:p>
                        <w:pPr>
                          <w:pStyle w:val="null3"/>
                          <w:jc w:val="left"/>
                        </w:pPr>
                        <w:r>
                          <w:rPr>
                            <w:rFonts w:ascii="仿宋_GB2312" w:hAnsi="仿宋_GB2312" w:cs="仿宋_GB2312" w:eastAsia="仿宋_GB2312"/>
                            <w:sz w:val="20"/>
                          </w:rPr>
                          <w:t>内嵌插排</w:t>
                        </w:r>
                      </w:p>
                      <w:p>
                        <w:pPr>
                          <w:pStyle w:val="null3"/>
                          <w:jc w:val="left"/>
                        </w:pPr>
                        <w:r>
                          <w:rPr>
                            <w:rFonts w:ascii="仿宋_GB2312" w:hAnsi="仿宋_GB2312" w:cs="仿宋_GB2312" w:eastAsia="仿宋_GB2312"/>
                            <w:sz w:val="20"/>
                          </w:rPr>
                          <w:t>HK型钢底脚：40mm*40mm</w:t>
                        </w:r>
                      </w:p>
                      <w:p>
                        <w:pPr>
                          <w:pStyle w:val="null3"/>
                          <w:jc w:val="left"/>
                        </w:pPr>
                        <w:r>
                          <w:rPr>
                            <w:rFonts w:ascii="仿宋_GB2312" w:hAnsi="仿宋_GB2312" w:cs="仿宋_GB2312" w:eastAsia="仿宋_GB2312"/>
                            <w:sz w:val="20"/>
                          </w:rPr>
                          <w:t>数量：</w:t>
                        </w:r>
                        <w:r>
                          <w:rPr>
                            <w:rFonts w:ascii="仿宋_GB2312" w:hAnsi="仿宋_GB2312" w:cs="仿宋_GB2312" w:eastAsia="仿宋_GB2312"/>
                            <w:sz w:val="20"/>
                          </w:rPr>
                          <w:t>3张</w:t>
                        </w:r>
                      </w:p>
                      <w:p>
                        <w:pPr>
                          <w:pStyle w:val="null3"/>
                          <w:jc w:val="left"/>
                        </w:pPr>
                        <w:r>
                          <w:rPr>
                            <w:rFonts w:ascii="仿宋_GB2312" w:hAnsi="仿宋_GB2312" w:cs="仿宋_GB2312" w:eastAsia="仿宋_GB2312"/>
                            <w:sz w:val="20"/>
                          </w:rPr>
                          <w:t>2、人体工学椅</w:t>
                        </w:r>
                      </w:p>
                      <w:p>
                        <w:pPr>
                          <w:pStyle w:val="null3"/>
                          <w:jc w:val="left"/>
                        </w:pPr>
                        <w:r>
                          <w:rPr>
                            <w:rFonts w:ascii="仿宋_GB2312" w:hAnsi="仿宋_GB2312" w:cs="仿宋_GB2312" w:eastAsia="仿宋_GB2312"/>
                            <w:sz w:val="20"/>
                          </w:rPr>
                          <w:t>1）尺寸：座垫约47cm*44cm，靠背高约56cm</w:t>
                        </w:r>
                      </w:p>
                      <w:p>
                        <w:pPr>
                          <w:pStyle w:val="null3"/>
                          <w:jc w:val="left"/>
                        </w:pPr>
                        <w:r>
                          <w:rPr>
                            <w:rFonts w:ascii="仿宋_GB2312" w:hAnsi="仿宋_GB2312" w:cs="仿宋_GB2312" w:eastAsia="仿宋_GB2312"/>
                            <w:sz w:val="20"/>
                          </w:rPr>
                          <w:t>2）坐垫/靠背材质：布艺/网布</w:t>
                        </w:r>
                      </w:p>
                      <w:p>
                        <w:pPr>
                          <w:pStyle w:val="null3"/>
                          <w:jc w:val="left"/>
                        </w:pPr>
                        <w:r>
                          <w:rPr>
                            <w:rFonts w:ascii="仿宋_GB2312" w:hAnsi="仿宋_GB2312" w:cs="仿宋_GB2312" w:eastAsia="仿宋_GB2312"/>
                            <w:sz w:val="20"/>
                          </w:rPr>
                          <w:t>3）脚轮材质：尼龙</w:t>
                        </w:r>
                      </w:p>
                      <w:p>
                        <w:pPr>
                          <w:pStyle w:val="null3"/>
                          <w:jc w:val="left"/>
                        </w:pPr>
                        <w:r>
                          <w:rPr>
                            <w:rFonts w:ascii="仿宋_GB2312" w:hAnsi="仿宋_GB2312" w:cs="仿宋_GB2312" w:eastAsia="仿宋_GB2312"/>
                            <w:sz w:val="20"/>
                          </w:rPr>
                          <w:t>4）数量：3张</w:t>
                        </w:r>
                      </w:p>
                      <w:p>
                        <w:pPr>
                          <w:pStyle w:val="null3"/>
                          <w:jc w:val="left"/>
                        </w:pPr>
                        <w:r>
                          <w:rPr>
                            <w:rFonts w:ascii="仿宋_GB2312" w:hAnsi="仿宋_GB2312" w:cs="仿宋_GB2312" w:eastAsia="仿宋_GB2312"/>
                            <w:sz w:val="20"/>
                          </w:rPr>
                          <w:t>3、对开门通玻铁皮柜</w:t>
                        </w:r>
                      </w:p>
                      <w:p>
                        <w:pPr>
                          <w:pStyle w:val="null3"/>
                          <w:jc w:val="left"/>
                        </w:pPr>
                        <w:r>
                          <w:rPr>
                            <w:rFonts w:ascii="仿宋_GB2312" w:hAnsi="仿宋_GB2312" w:cs="仿宋_GB2312" w:eastAsia="仿宋_GB2312"/>
                            <w:sz w:val="20"/>
                          </w:rPr>
                          <w:t>1）尺寸：约180cm*85cm*39cm</w:t>
                        </w:r>
                      </w:p>
                      <w:p>
                        <w:pPr>
                          <w:pStyle w:val="null3"/>
                          <w:jc w:val="left"/>
                        </w:pPr>
                        <w:r>
                          <w:rPr>
                            <w:rFonts w:ascii="仿宋_GB2312" w:hAnsi="仿宋_GB2312" w:cs="仿宋_GB2312" w:eastAsia="仿宋_GB2312"/>
                            <w:sz w:val="20"/>
                          </w:rPr>
                          <w:t>2）铁皮厚度：约1.4mm</w:t>
                        </w:r>
                      </w:p>
                      <w:p>
                        <w:pPr>
                          <w:pStyle w:val="null3"/>
                          <w:jc w:val="left"/>
                        </w:pPr>
                        <w:r>
                          <w:rPr>
                            <w:rFonts w:ascii="仿宋_GB2312" w:hAnsi="仿宋_GB2312" w:cs="仿宋_GB2312" w:eastAsia="仿宋_GB2312"/>
                            <w:sz w:val="20"/>
                          </w:rPr>
                          <w:t>3）柜内层数：5层</w:t>
                        </w:r>
                      </w:p>
                      <w:p>
                        <w:pPr>
                          <w:pStyle w:val="null3"/>
                          <w:jc w:val="left"/>
                        </w:pPr>
                        <w:r>
                          <w:rPr>
                            <w:rFonts w:ascii="仿宋_GB2312" w:hAnsi="仿宋_GB2312" w:cs="仿宋_GB2312" w:eastAsia="仿宋_GB2312"/>
                            <w:sz w:val="20"/>
                          </w:rPr>
                          <w:t>数量：</w:t>
                        </w:r>
                        <w:r>
                          <w:rPr>
                            <w:rFonts w:ascii="仿宋_GB2312" w:hAnsi="仿宋_GB2312" w:cs="仿宋_GB2312" w:eastAsia="仿宋_GB2312"/>
                            <w:sz w:val="20"/>
                          </w:rPr>
                          <w:t>3套</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b/>
              </w:rPr>
              <w:t>注：</w:t>
            </w:r>
            <w:r>
              <w:rPr>
                <w:rFonts w:ascii="仿宋_GB2312" w:hAnsi="仿宋_GB2312" w:cs="仿宋_GB2312" w:eastAsia="仿宋_GB2312"/>
                <w:sz w:val="21"/>
                <w:b/>
              </w:rPr>
              <w:t>带“★”的参数需求为实质性要求，供应商必须响应并满足的参数需求，带“★”的参数须提供证明材料，证明材料可以是产品彩页、检测报告、功能截图或盖章的说明书，带“★”的参数证明材料不足，将视为负偏离。除带“★”的参数外，其他所有技术参数不允许负偏离，否则按无效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进度款，调试安装后，甲方应在15个工作日内验收完毕，，达到付款条件起15个工作日内，支付合同总金额的50.0%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按照采购文件的相关规定执行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质保：三年质保和三年的免费上门支持，终身的技术支持，2小时内响应，三个工作日内解决问题。</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按照采购文件的相关规定执行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含系统的安装和调试； 采购包1： 1、为用户提供 Linux 操作系统日常操作培训，包括常用命令使用等。为用户提供 OpenSSH、Slurm、OpenPBS 包括作业管理系统及远程操作工具基本使用培训。技术工程师为用户提供日常平台维护、保养等日常管理和注意事项培训，厂家技术工程师需要免费提供 7*24 小时远程平台使用技术指导，强化和巩固客户培训效果。 采购包1： 1、成交供应商须在结果公告发布之日起5个工作日内，提交响应文件一式二份至陕西省西安市碑林区长安北路113号大话南门壹中心14楼（丰汇国际项目管理有限公司）。 2、供应商对其所销售的货物应当享有知识产权或经权利人合法授权，保证没有侵犯任何第三人的知识产权等权利。因违反前述约定对第三人构成侵权的，应当由供应商向第三人承担法律责任。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应具有独立承担民事责任的能力的企业法人、事业法人、其他组织或自然人，出具合法有效的营业执照等相关证明文件，自然人参与的提供其身份证明（加盖公章）； （2）财务状况报告：提供经审计的2024/2025年度财务报告或谈判前六个月内其本公司银行账户出具的资信证明或政府采购专业担保机构出具的谈判担保函（事业单位可不提供）（加盖公章）； （3）税收缴纳证明：供应商提供截止至谈判时间前六个月任一月份的缴费凭据；依法免税的应提供相关文件证明（加盖公章）； （4）社会保障资金缴纳证明：供应商提供截止至谈判时间前六个月任一月份的缴费凭据或社保机构开具的社会保险参保缴费情况证明；依法不需要缴纳社会保障资金的应提供相关文件证明（加盖公章）；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监狱企业的证明文件.docx 中小企业声明函 合同条款及格式.docx 供应商应提交的相关资格证明材料 报价表 供应商承诺书.docx 资格证明文件.docx 响应文件封面 产品技术参数表 供应商认为有必要补充说明的事项.docx 残疾人福利性单位声明函 标的清单 产品技术参数表.docx 响应函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提供经审计的2024/2025年度财务报告或谈判前六个月内其本公司银行账户出具的资信证明或政府采购专业担保机构出具的谈判担保函（事业单位可不提供）（加盖公章）。</w:t>
            </w:r>
          </w:p>
        </w:tc>
        <w:tc>
          <w:tcPr>
            <w:tcW w:type="dxa" w:w="1661"/>
          </w:tcPr>
          <w:p>
            <w:pPr>
              <w:pStyle w:val="null3"/>
            </w:pPr>
            <w:r>
              <w:rPr>
                <w:rFonts w:ascii="仿宋_GB2312" w:hAnsi="仿宋_GB2312" w:cs="仿宋_GB2312" w:eastAsia="仿宋_GB2312"/>
              </w:rPr>
              <w:t>供应商认为有必要补充说明的事项.docx 供应商应提交的相关资格证明材料 供应商承诺书.docx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供应商认为有必要补充说明的事项.docx 供应商应提交的相关资格证明材料 响应函 供应商承诺书.docx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法定代表人直接参加谈判的，须出具法定代表人身份证明及法人身份证；法定代表人授权代表参加谈判的，须出具法定代表人授权书及法人和授权代表身份证</w:t>
            </w:r>
          </w:p>
        </w:tc>
        <w:tc>
          <w:tcPr>
            <w:tcW w:type="dxa" w:w="1661"/>
          </w:tcPr>
          <w:p>
            <w:pPr>
              <w:pStyle w:val="null3"/>
            </w:pPr>
            <w:r>
              <w:rPr>
                <w:rFonts w:ascii="仿宋_GB2312" w:hAnsi="仿宋_GB2312" w:cs="仿宋_GB2312" w:eastAsia="仿宋_GB2312"/>
              </w:rPr>
              <w:t>监狱企业的证明文件.docx 中小企业声明函 合同条款及格式.docx 供应商应提交的相关资格证明材料 报价表 供应商承诺书.docx 资格证明文件.docx 响应文件封面 产品技术参数表 供应商认为有必要补充说明的事项.docx 残疾人福利性单位声明函 标的清单 产品技术参数表.docx 响应函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谈判后的网站查询记录为准。</w:t>
            </w:r>
          </w:p>
        </w:tc>
        <w:tc>
          <w:tcPr>
            <w:tcW w:type="dxa" w:w="1661"/>
          </w:tcPr>
          <w:p>
            <w:pPr>
              <w:pStyle w:val="null3"/>
            </w:pPr>
            <w:r>
              <w:rPr>
                <w:rFonts w:ascii="仿宋_GB2312" w:hAnsi="仿宋_GB2312" w:cs="仿宋_GB2312" w:eastAsia="仿宋_GB2312"/>
              </w:rPr>
              <w:t>监狱企业的证明文件.docx 中小企业声明函 合同条款及格式.docx 供应商应提交的相关资格证明材料 报价表 供应商承诺书.docx 资格证明文件.docx 响应文件封面 产品技术参数表 供应商认为有必要补充说明的事项.docx 残疾人福利性单位声明函 标的清单 产品技术参数表.docx 响应函 商务条款偏离表.docx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监狱企业的证明文件.docx 中小企业声明函 合同条款及格式.docx 供应商应提交的相关资格证明材料 报价表 供应商承诺书.docx 资格证明文件.docx 响应文件封面 产品技术参数表 供应商认为有必要补充说明的事项.docx 残疾人福利性单位声明函 标的清单 产品技术参数表.docx 响应函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监狱企业的证明文件.docx 中小企业声明函 合同条款及格式.docx 供应商应提交的相关资格证明材料 报价表 供应商承诺书.docx 资格证明文件.docx 响应文件封面 产品技术参数表 供应商认为有必要补充说明的事项.docx 残疾人福利性单位声明函 标的清单 产品技术参数表.docx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监狱企业的证明文件.docx 中小企业声明函 合同条款及格式.docx 供应商应提交的相关资格证明材料 报价表 供应商承诺书.docx 资格证明文件.docx 响应文件封面 产品技术参数表 供应商认为有必要补充说明的事项.docx 残疾人福利性单位声明函 标的清单 产品技术参数表.docx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 （1）谈判报价符合唯一性要求； （2）谈判报价未超出采购预算和最高限价</w:t>
            </w:r>
          </w:p>
        </w:tc>
        <w:tc>
          <w:tcPr>
            <w:tcW w:type="dxa" w:w="1661"/>
          </w:tcPr>
          <w:p>
            <w:pPr>
              <w:pStyle w:val="null3"/>
            </w:pPr>
            <w:r>
              <w:rPr>
                <w:rFonts w:ascii="仿宋_GB2312" w:hAnsi="仿宋_GB2312" w:cs="仿宋_GB2312" w:eastAsia="仿宋_GB2312"/>
              </w:rPr>
              <w:t>监狱企业的证明文件.docx 中小企业声明函 合同条款及格式.docx 供应商应提交的相关资格证明材料 报价表 供应商承诺书.docx 资格证明文件.docx 响应文件封面 产品技术参数表 供应商认为有必要补充说明的事项.docx 残疾人福利性单位声明函 标的清单 产品技术参数表.docx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谈判响应文件签署、盖章</w:t>
            </w:r>
          </w:p>
        </w:tc>
        <w:tc>
          <w:tcPr>
            <w:tcW w:type="dxa" w:w="3322"/>
          </w:tcPr>
          <w:p>
            <w:pPr>
              <w:pStyle w:val="null3"/>
            </w:pPr>
            <w:r>
              <w:rPr>
                <w:rFonts w:ascii="仿宋_GB2312" w:hAnsi="仿宋_GB2312" w:cs="仿宋_GB2312" w:eastAsia="仿宋_GB2312"/>
              </w:rPr>
              <w:t>签署、盖章合法、有效</w:t>
            </w:r>
          </w:p>
        </w:tc>
        <w:tc>
          <w:tcPr>
            <w:tcW w:type="dxa" w:w="1661"/>
          </w:tcPr>
          <w:p>
            <w:pPr>
              <w:pStyle w:val="null3"/>
            </w:pPr>
            <w:r>
              <w:rPr>
                <w:rFonts w:ascii="仿宋_GB2312" w:hAnsi="仿宋_GB2312" w:cs="仿宋_GB2312" w:eastAsia="仿宋_GB2312"/>
              </w:rPr>
              <w:t>监狱企业的证明文件.docx 中小企业声明函 合同条款及格式.docx 供应商应提交的相关资格证明材料 报价表 供应商承诺书.docx 资格证明文件.docx 响应文件封面 产品技术参数表 供应商认为有必要补充说明的事项.docx 残疾人福利性单位声明函 标的清单 产品技术参数表.docx 响应函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其他未达到谈判文件要求的情况</w:t>
            </w:r>
          </w:p>
        </w:tc>
        <w:tc>
          <w:tcPr>
            <w:tcW w:type="dxa" w:w="1661"/>
          </w:tcPr>
          <w:p>
            <w:pPr>
              <w:pStyle w:val="null3"/>
            </w:pPr>
            <w:r>
              <w:rPr>
                <w:rFonts w:ascii="仿宋_GB2312" w:hAnsi="仿宋_GB2312" w:cs="仿宋_GB2312" w:eastAsia="仿宋_GB2312"/>
              </w:rPr>
              <w:t>监狱企业的证明文件.docx 中小企业声明函 合同条款及格式.docx 供应商应提交的相关资格证明材料 报价表 供应商承诺书.docx 资格证明文件.docx 响应文件封面 产品技术参数表 供应商认为有必要补充说明的事项.docx 残疾人福利性单位声明函 标的清单 产品技术参数表.docx 响应函 商务条款偏离表.docx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详见附件：合同条款及格式.docx</w:t>
      </w:r>
    </w:p>
    <w:p>
      <w:pPr>
        <w:pStyle w:val="null3"/>
        <w:ind w:firstLine="960"/>
      </w:pPr>
      <w:r>
        <w:rPr>
          <w:rFonts w:ascii="仿宋_GB2312" w:hAnsi="仿宋_GB2312" w:cs="仿宋_GB2312" w:eastAsia="仿宋_GB2312"/>
        </w:rPr>
        <w:t>详见附件：监狱企业的证明文件.docx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