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版本号：GYGJ2026-ZCCS00220260526001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DK18、GF-2地块土壤污染状况调查项目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GYGJ2026-ZCCS002</w:t>
      </w:r>
      <w:r>
        <w:br/>
      </w:r>
      <w:r>
        <w:br/>
      </w:r>
      <w:r>
        <w:br/>
      </w:r>
    </w:p>
    <w:p>
      <w:pPr>
        <w:pStyle w:val="null3"/>
        <w:jc w:val="center"/>
        <w:outlineLvl w:val="2"/>
      </w:pPr>
      <w:r>
        <w:rPr>
          <w:rFonts w:ascii="仿宋_GB2312" w:hAnsi="仿宋_GB2312" w:cs="仿宋_GB2312" w:eastAsia="仿宋_GB2312"/>
          <w:sz w:val="28"/>
          <w:b/>
        </w:rPr>
        <w:t>西安市未央区徐家湾街道办事处</w:t>
      </w:r>
    </w:p>
    <w:p>
      <w:pPr>
        <w:pStyle w:val="null3"/>
        <w:jc w:val="center"/>
        <w:outlineLvl w:val="2"/>
      </w:pPr>
      <w:r>
        <w:rPr>
          <w:rFonts w:ascii="仿宋_GB2312" w:hAnsi="仿宋_GB2312" w:cs="仿宋_GB2312" w:eastAsia="仿宋_GB2312"/>
          <w:sz w:val="28"/>
          <w:b/>
        </w:rPr>
        <w:t>国煜国际招标有限公司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国煜国际招标有限公司</w:t>
      </w:r>
      <w:r>
        <w:rPr>
          <w:rFonts w:ascii="仿宋_GB2312" w:hAnsi="仿宋_GB2312" w:cs="仿宋_GB2312" w:eastAsia="仿宋_GB2312"/>
        </w:rPr>
        <w:t>（以下简称“代理机构”）受</w:t>
      </w:r>
      <w:r>
        <w:rPr>
          <w:rFonts w:ascii="仿宋_GB2312" w:hAnsi="仿宋_GB2312" w:cs="仿宋_GB2312" w:eastAsia="仿宋_GB2312"/>
        </w:rPr>
        <w:t>西安市未央区徐家湾街道办事处</w:t>
      </w:r>
      <w:r>
        <w:rPr>
          <w:rFonts w:ascii="仿宋_GB2312" w:hAnsi="仿宋_GB2312" w:cs="仿宋_GB2312" w:eastAsia="仿宋_GB2312"/>
        </w:rPr>
        <w:t>委托，拟对</w:t>
      </w:r>
      <w:r>
        <w:rPr>
          <w:rFonts w:ascii="仿宋_GB2312" w:hAnsi="仿宋_GB2312" w:cs="仿宋_GB2312" w:eastAsia="仿宋_GB2312"/>
        </w:rPr>
        <w:t>DK18、GF-2地块土壤污染状况调查项目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GYGJ2026-ZCCS002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DK18、GF-2地块土壤污染状况调查项目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完成DK18、GF-2地块土壤污染状况调查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采购包1（DK18、GF-2地块土壤污染状况调查项目）：属于专门面向中小企业采购。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参加本项目的合法授权人授权委托书：供应商应授权合法的人员参加投标全过程，其中法定代表人直接参加磋商的，须出具法人身份证明，并与营业执照上信息一致。法定代表人授权代表参加磋商的，须出具法定代表人授权书及授权代表身份证；</w:t>
      </w:r>
    </w:p>
    <w:p>
      <w:pPr>
        <w:pStyle w:val="null3"/>
      </w:pPr>
      <w:r>
        <w:rPr>
          <w:rFonts w:ascii="仿宋_GB2312" w:hAnsi="仿宋_GB2312" w:cs="仿宋_GB2312" w:eastAsia="仿宋_GB2312"/>
        </w:rPr>
        <w:t>2、信用要求：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西安市未央区徐家湾街道办事处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陕西省西安市未央区渭青南路30号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西安市未央区徐家湾街道办事处经办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18049530092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国煜国际招标有限公司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陕西省西安市经开区明光路与凤城七路十字长和国际D座20层2006-01室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田颖、马倩、史佑先、盛莉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029-83660510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代理服务费收费标准：参照国家计委颁布的《招标代理服务收费管理暂行办法》（计价格〔2002〕1980号）及发改办价格〔2003〕857号文件的规定标准收取。服务费如不足7000元，则按7000元收取。 户 名：国煜国际招标有限公司 开户银行：中国民生银行股份有限公司西安文景路支行 账 号：655451982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西安市未央区徐家湾街道办事处</w:t>
      </w:r>
      <w:r>
        <w:rPr>
          <w:rFonts w:ascii="仿宋_GB2312" w:hAnsi="仿宋_GB2312" w:cs="仿宋_GB2312" w:eastAsia="仿宋_GB2312"/>
        </w:rPr>
        <w:t>和</w:t>
      </w:r>
      <w:r>
        <w:rPr>
          <w:rFonts w:ascii="仿宋_GB2312" w:hAnsi="仿宋_GB2312" w:cs="仿宋_GB2312" w:eastAsia="仿宋_GB2312"/>
        </w:rPr>
        <w:t>国煜国际招标有限公司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西安市未央区徐家湾街道办事处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国煜国际招标有限公司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西安市未央区徐家湾街道办事处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国煜国际招标有限公司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验收达到国家现行规范及行业标准要求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联系电话：029-83660510</w:t>
      </w:r>
    </w:p>
    <w:p>
      <w:pPr>
        <w:pStyle w:val="null3"/>
      </w:pPr>
      <w:r>
        <w:rPr>
          <w:rFonts w:ascii="仿宋_GB2312" w:hAnsi="仿宋_GB2312" w:cs="仿宋_GB2312" w:eastAsia="仿宋_GB2312"/>
        </w:rPr>
        <w:t>地址：西安市经济技术开发区凤城七路长和国际D座20层2006-1</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完成DK18、GF-2地块土壤污染状况调查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DK18 GF-2地块土壤污染状况调查项目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标的名称：DK18 GF-2地块土壤污染状况调查项目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未央区徐家湾街道办团结片区</w:t>
            </w:r>
            <w:r>
              <w:rPr>
                <w:rFonts w:ascii="仿宋_GB2312" w:hAnsi="仿宋_GB2312" w:cs="仿宋_GB2312" w:eastAsia="仿宋_GB2312"/>
                <w:sz w:val="24"/>
              </w:rPr>
              <w:t>DK18</w:t>
            </w:r>
            <w:r>
              <w:rPr>
                <w:rFonts w:ascii="仿宋_GB2312" w:hAnsi="仿宋_GB2312" w:cs="仿宋_GB2312" w:eastAsia="仿宋_GB2312"/>
                <w:sz w:val="24"/>
              </w:rPr>
              <w:t>、</w:t>
            </w:r>
            <w:r>
              <w:rPr>
                <w:rFonts w:ascii="仿宋_GB2312" w:hAnsi="仿宋_GB2312" w:cs="仿宋_GB2312" w:eastAsia="仿宋_GB2312"/>
                <w:sz w:val="24"/>
              </w:rPr>
              <w:t>GF-2地块位于西安市未央区徐家湾街道办中宝达·理想时光二期空地以东、中宝达·理想时光一期项目部以南、太华北路以西、育青北路以北。调查地块面积</w:t>
            </w:r>
            <w:r>
              <w:rPr>
                <w:rFonts w:ascii="仿宋_GB2312" w:hAnsi="仿宋_GB2312" w:cs="仿宋_GB2312" w:eastAsia="仿宋_GB2312"/>
                <w:sz w:val="24"/>
              </w:rPr>
              <w:t>36492.76</w:t>
            </w:r>
            <w:r>
              <w:rPr>
                <w:rFonts w:ascii="仿宋_GB2312" w:hAnsi="仿宋_GB2312" w:cs="仿宋_GB2312" w:eastAsia="仿宋_GB2312"/>
                <w:sz w:val="24"/>
              </w:rPr>
              <w:t>m</w:t>
            </w:r>
            <w:r>
              <w:rPr>
                <w:rFonts w:ascii="仿宋_GB2312" w:hAnsi="仿宋_GB2312" w:cs="仿宋_GB2312" w:eastAsia="仿宋_GB2312"/>
                <w:sz w:val="24"/>
                <w:vertAlign w:val="superscript"/>
              </w:rPr>
              <w:t>2</w:t>
            </w:r>
            <w:r>
              <w:rPr>
                <w:rFonts w:ascii="仿宋_GB2312" w:hAnsi="仿宋_GB2312" w:cs="仿宋_GB2312" w:eastAsia="仿宋_GB2312"/>
                <w:sz w:val="24"/>
              </w:rPr>
              <w:t>(折合</w:t>
            </w:r>
            <w:r>
              <w:rPr>
                <w:rFonts w:ascii="仿宋_GB2312" w:hAnsi="仿宋_GB2312" w:cs="仿宋_GB2312" w:eastAsia="仿宋_GB2312"/>
                <w:sz w:val="24"/>
              </w:rPr>
              <w:t>54.736</w:t>
            </w:r>
            <w:r>
              <w:rPr>
                <w:rFonts w:ascii="仿宋_GB2312" w:hAnsi="仿宋_GB2312" w:cs="仿宋_GB2312" w:eastAsia="仿宋_GB2312"/>
                <w:sz w:val="24"/>
              </w:rPr>
              <w:t>亩</w:t>
            </w:r>
            <w:r>
              <w:rPr>
                <w:rFonts w:ascii="仿宋_GB2312" w:hAnsi="仿宋_GB2312" w:cs="仿宋_GB2312" w:eastAsia="仿宋_GB2312"/>
                <w:sz w:val="24"/>
              </w:rPr>
              <w:t>)</w:t>
            </w:r>
            <w:r>
              <w:rPr>
                <w:rFonts w:ascii="仿宋_GB2312" w:hAnsi="仿宋_GB2312" w:cs="仿宋_GB2312" w:eastAsia="仿宋_GB2312"/>
                <w:sz w:val="24"/>
              </w:rPr>
              <w:t>，中心点地理坐标为：</w:t>
            </w:r>
            <w:r>
              <w:rPr>
                <w:rFonts w:ascii="仿宋_GB2312" w:hAnsi="仿宋_GB2312" w:cs="仿宋_GB2312" w:eastAsia="仿宋_GB2312"/>
                <w:sz w:val="24"/>
              </w:rPr>
              <w:t>34°20′</w:t>
            </w:r>
            <w:r>
              <w:rPr>
                <w:rFonts w:ascii="仿宋_GB2312" w:hAnsi="仿宋_GB2312" w:cs="仿宋_GB2312" w:eastAsia="仿宋_GB2312"/>
                <w:sz w:val="24"/>
              </w:rPr>
              <w:t>58.074″N、108°58′50.895″E。根据《中华人民共和国土壤污染防治法》（2019年1月1日实施）第59条规定“用途变更为住宅、公共管理与公共服务用地的，变更前应当按照规定进行土壤污染状况调查”。陕西省生态环境厅、陕西省自然资源厅发布的《关于明确建设用地土壤污染状况调查报告等评审工作有关事项的通知》（陕环函〔2020〕149 号）中也明确了“用途拟变更为住宅、公共管理与公共服务用地的地块，市、县级自然资源部门应将地块信息告知同级生态环境部门，由所在地县级生态环境部门书面通知责任人开展土壤污染状况调查。”</w:t>
            </w:r>
          </w:p>
          <w:p>
            <w:pPr>
              <w:pStyle w:val="null3"/>
              <w:jc w:val="both"/>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1、工作内容</w:t>
            </w:r>
          </w:p>
          <w:p>
            <w:pPr>
              <w:pStyle w:val="null3"/>
              <w:ind w:firstLine="480"/>
              <w:jc w:val="both"/>
            </w:pPr>
            <w:r>
              <w:rPr>
                <w:rFonts w:ascii="仿宋_GB2312" w:hAnsi="仿宋_GB2312" w:cs="仿宋_GB2312" w:eastAsia="仿宋_GB2312"/>
                <w:sz w:val="24"/>
              </w:rPr>
              <w:t>根据《中华人民共和国土壤污染防治法》（</w:t>
            </w:r>
            <w:r>
              <w:rPr>
                <w:rFonts w:ascii="仿宋_GB2312" w:hAnsi="仿宋_GB2312" w:cs="仿宋_GB2312" w:eastAsia="仿宋_GB2312"/>
                <w:sz w:val="24"/>
              </w:rPr>
              <w:t>2019年1月1日实施）、《建设用地土壤污染状况调查技术导则》（HJ 25.1-2019）、《建设用地土壤污染风险管控和修复监测技术导则》（HJ 25.2-2019）等文件要求对拟征收地块开展土壤污染状况调查。通过场地调查识别地块是否可以排除污染风险，若无法排除，需要进入二阶段调查。若进入二阶段，需要识别可能的污染区域和污染因子，编制了《未央区徐家湾街道办团结片区DK1</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GF-2</w:t>
            </w:r>
            <w:r>
              <w:rPr>
                <w:rFonts w:ascii="仿宋_GB2312" w:hAnsi="仿宋_GB2312" w:cs="仿宋_GB2312" w:eastAsia="仿宋_GB2312"/>
                <w:sz w:val="24"/>
              </w:rPr>
              <w:t>地块土壤污染状况调查采样方案》，由有经验的第三方检测公司开展土壤、地下水检测，最终编制土壤污染状况调查报告。编制依据主要为：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1）《中华人民共和国环境保护法(修订)》（2015年1月1日实施）；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2）《中华人民共和国土壤污染防治法》（2019年1月1日起施行）；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3）《中华人民共和国城乡规划法》（2019年4月23日修订）；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4）《中华人民共和国土地管理法(修订)》（2020年1月1日起施行）；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5）《中华人民共和国固体废弃物污染环境防治法》（2020年9月1日起实施）；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6）《中华人民共和国土地管理法实施条例》（2021年9月1日起施行）；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7）《陕西省实施&lt;中华人民共和国土地管理法&gt;办法》（2022年12月1日起施行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8）《国务院关于印发土壤污染防治行动计划的通知》（国发〔2016〕31号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9）《陕西省人民政府关于印发陕西省土壤污染防治工作方案的通知》（陕政发〔2016〕52号）；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10）陕西省生态环境厅陕西省自然资源厅关于转发《建设用地土壤污染状况调查、风险评估、风险管控及修复效果评估报告评审指南》的通知（陕环土壤函〔2020〕3号）；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11）《陕西省生态环境厅陕西省自然资源厅关于明确建设用地土壤污染状况调查报告等评审工作有关事项的通知》（陕环函〔2020〕149号）；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12）《陕西省生态环境厅陕西省自然资源厅关于全面加强建设用地土壤污染状况调查和土壤环境准入管理的通知》（陕环函〔2021〕123号）；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13）《陕西省生态环境厅关于规范建设用地土壤污染状况调查工作启动及评审程序的通知》（陕环发〔2022〕21号）；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14）《陕西省生态环境厅陕西省自然资源厅关于全面落实“十四五”重点建设用地安全利用指标考核要求的通知》（陕环发〔2023〕14号）；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15）《关于加强和规范建设用地土壤环境监管工作的通知》（市环发〔2021) 37号）。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16）《建设用地土壤环境调查评估技术指南》（环保部公告2017年第72号令）；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17）《建设用地土壤污染状况调查技术导则》（HJ25.1-2019）。</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18）《建设用地土壤污染风险管控和修复监测技术导则》（HJ25.2-2019）；</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19）《土壤环境质量建设用地土壤污染风险管控标准（试行）》（GB36600-2018）；</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20）《地下水质量标准》（GB/T14848-2017），2018年5月1日起实施；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21）《土壤环境监测技术规范》（HJ/T166-2004），2004年12月9日起实施；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22）《地下水环境监测技术规范》（HJ/T164-2020），2021年3月1日起实施；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23）《地块土壤和地下水中挥发性有机物采样技术导则》（HJ1019-2019），2019年9月1日起实施；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24）《国土空间调查、规划、用途管制用地用海分类指南》（自然资发〔2023〕234号）；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25）《建设用地土壤污染状况调查质量控制技术规定（试行）》（生态环境部公告2022年第17号）；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26）《建设用地土壤污染状况初步调查监督检查工作指南(试行)》(生态环境部公告2022年第17号)。</w:t>
            </w:r>
          </w:p>
          <w:p>
            <w:pPr>
              <w:pStyle w:val="null3"/>
              <w:ind w:firstLine="480"/>
              <w:jc w:val="both"/>
            </w:pPr>
            <w:r>
              <w:rPr>
                <w:rFonts w:ascii="仿宋_GB2312" w:hAnsi="仿宋_GB2312" w:cs="仿宋_GB2312" w:eastAsia="仿宋_GB2312"/>
                <w:sz w:val="24"/>
              </w:rPr>
              <w:t>2、资料收集</w:t>
            </w:r>
          </w:p>
          <w:p>
            <w:pPr>
              <w:pStyle w:val="null3"/>
              <w:ind w:firstLine="480"/>
              <w:jc w:val="both"/>
            </w:pPr>
            <w:r>
              <w:rPr>
                <w:rFonts w:ascii="仿宋_GB2312" w:hAnsi="仿宋_GB2312" w:cs="仿宋_GB2312" w:eastAsia="仿宋_GB2312"/>
                <w:sz w:val="24"/>
              </w:rPr>
              <w:t>收集与地块相关的土地利用变迁资料、规划用途、测勘定界、历史影像、水文地质资料等资料及周边地块、周边企业历史变迁情况、企业生产运行情况及污染物排放情况，是否可能对本调查地块土壤造成污染。</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1、土壤污染状况调查第一阶段土壤污染状况调查(污染识别阶段)：通过资料收集与分析、现场踏勘和人员访谈等形式，了解调查地块及其周边地块过去和现在的使用情况，收集可能造成土壤和地下水污染的相关信息，判断地块土壤污染的可能性，并识别潜在的污染区、污染物类型和污染扩散途径。</w:t>
            </w:r>
          </w:p>
          <w:p>
            <w:pPr>
              <w:pStyle w:val="null3"/>
              <w:ind w:firstLine="480"/>
              <w:jc w:val="both"/>
            </w:pPr>
            <w:r>
              <w:rPr>
                <w:rFonts w:ascii="仿宋_GB2312" w:hAnsi="仿宋_GB2312" w:cs="仿宋_GB2312" w:eastAsia="仿宋_GB2312"/>
                <w:sz w:val="24"/>
              </w:rPr>
              <w:t>2、第二阶段土壤污染状况调查(采样分析阶段)：通过现场调查详细掌握地 块水文地质条件、潜在污染区域和污染物种类，制定初步调查监测方案，由有经验的第三方检测公司采集土壤和地下水样品进行实验室分析，将分析结果与国家和地方相关标准进行对比评价，明确土壤污染状况是否满足用地要求，确认是否需要开展土壤污染状况详细调查。</w:t>
            </w:r>
          </w:p>
          <w:p>
            <w:pPr>
              <w:pStyle w:val="null3"/>
              <w:ind w:firstLine="480"/>
              <w:jc w:val="both"/>
            </w:pPr>
            <w:r>
              <w:rPr>
                <w:rFonts w:ascii="仿宋_GB2312" w:hAnsi="仿宋_GB2312" w:cs="仿宋_GB2312" w:eastAsia="仿宋_GB2312"/>
                <w:sz w:val="24"/>
              </w:rPr>
              <w:t>四、服务要求</w:t>
            </w:r>
          </w:p>
          <w:p>
            <w:pPr>
              <w:pStyle w:val="null3"/>
              <w:ind w:firstLine="480"/>
              <w:jc w:val="both"/>
            </w:pPr>
            <w:r>
              <w:rPr>
                <w:rFonts w:ascii="仿宋_GB2312" w:hAnsi="仿宋_GB2312" w:cs="仿宋_GB2312" w:eastAsia="仿宋_GB2312"/>
                <w:sz w:val="24"/>
              </w:rPr>
              <w:t>1、进度要求：按照采购人要求的时间阶段完成调查工作。</w:t>
            </w:r>
          </w:p>
          <w:p>
            <w:pPr>
              <w:pStyle w:val="null3"/>
              <w:ind w:firstLine="480"/>
              <w:jc w:val="both"/>
            </w:pPr>
            <w:r>
              <w:rPr>
                <w:rFonts w:ascii="仿宋_GB2312" w:hAnsi="仿宋_GB2312" w:cs="仿宋_GB2312" w:eastAsia="仿宋_GB2312"/>
                <w:sz w:val="24"/>
              </w:rPr>
              <w:t>2、成果交付要求：土壤污染状况调查过程调查范围、调查内容、调查方法要合理，资料收集应全面，成果报告满足生态环境主管部门审查要求。编制单位对其提供的最终成果报告内容真实性、准确性负责。</w:t>
            </w:r>
          </w:p>
          <w:p>
            <w:pPr>
              <w:pStyle w:val="null3"/>
            </w:pPr>
            <w:r>
              <w:rPr>
                <w:rFonts w:ascii="仿宋_GB2312" w:hAnsi="仿宋_GB2312" w:cs="仿宋_GB2312" w:eastAsia="仿宋_GB2312"/>
                <w:sz w:val="24"/>
              </w:rPr>
              <w:t xml:space="preserve">        3、质量验收标准或规范：满足根据《中华人民共和国土壤污染防治法》（2019年1月1日实施）、《建设用地土壤污染状况调查技术导则》（HJ 25.1-2019）、《建设用地土壤污染风险管控和修复监测技术导则》（HJ 25.2-2019）等文件要求，通过生态环境保护主管部门技术审查并最终提交“全国建设用地土壤环境管理信息系统”。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自合同签订之日起至土壤污染状况调查服务完成并提交合格成果止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详见竞争性磋商文件、合同及响应文件内容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进度款，服务完成后申请验收，成果交付验收合格后，达到付款条件起30个工作日内，支付合同总金额的40.0%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 或服务质量不能满足技术要求，采购人有权终止合同，并对供方违约行为进行追究，同时按《中华人民共和国政府采购法》的 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(1)具有独立承担民事责任能力的法人、其他组织或自然人，并出具合法有效的相关证明材料。供应商需在项目电子化交易系统中按要求上传相应证明文件并进行电子签章。 (2)提供2024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(3)提供2025年5月至今已缴纳的1个月的纳税证明或完税证明，依法免税的单位应提供相关证明材料。此项可提供基本资格条件承诺函。供应商需在项目电子化交易系统中按要求上传相应证明文件并进行电子签章。 (4)提供2025年5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(5)提供具有履行合同所必需的设备和专业技术能力的承诺。此项可提供基本资格条件承诺函。供应商需在项目电子化交易系统中按要求上传相应证明文件并进行电子签章。 (6)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供应商应授权合法的人员参加投标全过程，其中法定代表人直接参加磋商的，须出具法人身份证明，并与营业执照上信息一致。法定代表人授权代表参加磋商的，须出具法定代表人授权书及授权代表身份证；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依据供应商提供的本项目的总体实施方案评审，内容包含：①总体的服务思路；②工作流程实施方案；③拟投入仪器设备；④报告编制方案。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针对本项目的理解与认识</w:t>
            </w:r>
          </w:p>
        </w:tc>
        <w:tc>
          <w:tcPr>
            <w:tcW w:type="dxa" w:w="2492"/>
          </w:tcPr>
          <w:p>
            <w:pPr>
              <w:pStyle w:val="null3"/>
            </w:pPr>
            <w:r>
              <w:rPr>
                <w:rFonts w:ascii="仿宋_GB2312" w:hAnsi="仿宋_GB2312" w:cs="仿宋_GB2312" w:eastAsia="仿宋_GB2312"/>
              </w:rPr>
              <w:t>依据供应商提供的针对本项目的理解与认识进行评审，内容包含：①对任务区地理、气候及其他相关因素的认识与理解；②对主要技术依据文件、技术指标要求、成果要求的认识与理解。每项内容完整、可实施、且针对性强得3分；每项内容基本完整、针对性不强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依据供应商提供的本项目的质量保证措施评审，内容包含：①项目质量检查措施；②项目质量控制措施。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工作重点、难点分析及解决</w:t>
            </w:r>
          </w:p>
        </w:tc>
        <w:tc>
          <w:tcPr>
            <w:tcW w:type="dxa" w:w="2492"/>
          </w:tcPr>
          <w:p>
            <w:pPr>
              <w:pStyle w:val="null3"/>
            </w:pPr>
            <w:r>
              <w:rPr>
                <w:rFonts w:ascii="仿宋_GB2312" w:hAnsi="仿宋_GB2312" w:cs="仿宋_GB2312" w:eastAsia="仿宋_GB2312"/>
              </w:rPr>
              <w:t>依据供应商提供的针对本项目工作重点、难点分析及解决方案，对重点、难点分析准确，解决方案针对性强的得5分； 对重点、难点分析较准确、提出的解决方案有一定的针对性和可行性的得4分； 对重点、难点分析相对准确、提出的解决方案具有针对性和可行性的得3分；对重点、难点分析基本准确，解决方案部分具有针对性和可行性的得2分；对重点、难点有分析不准确，解决方案合理性、可行性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依据供应商提供的本项目的进度保证措施评审，内容包含：①项目进度安排计划；②进度保证措施；③应急预案。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合理化建议及保密措施</w:t>
            </w:r>
          </w:p>
        </w:tc>
        <w:tc>
          <w:tcPr>
            <w:tcW w:type="dxa" w:w="2492"/>
          </w:tcPr>
          <w:p>
            <w:pPr>
              <w:pStyle w:val="null3"/>
            </w:pPr>
            <w:r>
              <w:rPr>
                <w:rFonts w:ascii="仿宋_GB2312" w:hAnsi="仿宋_GB2312" w:cs="仿宋_GB2312" w:eastAsia="仿宋_GB2312"/>
              </w:rPr>
              <w:t>依据供应商提供的本项目的合理化建议及保密措施评审，内容包含：①合理化建议；②内部保密制度；③保密措施。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针对本项目的人员配备情况1</w:t>
            </w:r>
          </w:p>
        </w:tc>
        <w:tc>
          <w:tcPr>
            <w:tcW w:type="dxa" w:w="2492"/>
          </w:tcPr>
          <w:p>
            <w:pPr>
              <w:pStyle w:val="null3"/>
            </w:pPr>
            <w:r>
              <w:rPr>
                <w:rFonts w:ascii="仿宋_GB2312" w:hAnsi="仿宋_GB2312" w:cs="仿宋_GB2312" w:eastAsia="仿宋_GB2312"/>
              </w:rPr>
              <w:t>拟投入本项目团队人员配备中具有环境相关专业中级及以上职称的，每满足1人得3分，最高得6分；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针对本项目的人员配备情况2</w:t>
            </w:r>
          </w:p>
        </w:tc>
        <w:tc>
          <w:tcPr>
            <w:tcW w:type="dxa" w:w="2492"/>
          </w:tcPr>
          <w:p>
            <w:pPr>
              <w:pStyle w:val="null3"/>
            </w:pPr>
            <w:r>
              <w:rPr>
                <w:rFonts w:ascii="仿宋_GB2312" w:hAnsi="仿宋_GB2312" w:cs="仿宋_GB2312" w:eastAsia="仿宋_GB2312"/>
              </w:rPr>
              <w:t>提供团队人员清单、团队整体基本情况和工作职责介绍等内容，人员配备全面、合理、团队职责分工明确得5分；人员配备较全面合理、职责分工较明确，得 4分；人员配备较全面、配置基本合理、职责分工一般，得 3分；人员配备不全面、职责分工不清晰，得2分；未提供人员清单、其他内容均有提及但无具体内容得1分；未提供不得分。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依据供应商提供的本项目的服务承诺评审，内容包含：①服务质量承诺；②服务周期承诺。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提供2023年5月1日（以合同签订时间为准）至今类似项目业绩，每提供一个计1分，满分6分。（注：附业绩合同扫描件或复印件。）未提供不得分。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