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版本号：DLZB-2026-0310120260514001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互联网涉陕敏感信息监测预警服务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DLZB-2026-03101</w:t>
      </w:r>
      <w:r>
        <w:br/>
      </w:r>
      <w:r>
        <w:br/>
      </w:r>
      <w:r>
        <w:br/>
      </w:r>
    </w:p>
    <w:p>
      <w:pPr>
        <w:pStyle w:val="null3"/>
        <w:jc w:val="center"/>
        <w:outlineLvl w:val="2"/>
      </w:pPr>
      <w:r>
        <w:rPr>
          <w:rFonts w:ascii="仿宋_GB2312" w:hAnsi="仿宋_GB2312" w:cs="仿宋_GB2312" w:eastAsia="仿宋_GB2312"/>
          <w:sz w:val="28"/>
          <w:b/>
        </w:rPr>
        <w:t>中共陕西省委网信办网络安全应急指挥中心</w:t>
      </w:r>
    </w:p>
    <w:p>
      <w:pPr>
        <w:pStyle w:val="null3"/>
        <w:jc w:val="center"/>
        <w:outlineLvl w:val="2"/>
      </w:pPr>
      <w:r>
        <w:rPr>
          <w:rFonts w:ascii="仿宋_GB2312" w:hAnsi="仿宋_GB2312" w:cs="仿宋_GB2312" w:eastAsia="仿宋_GB2312"/>
          <w:sz w:val="28"/>
          <w:b/>
        </w:rPr>
        <w:t>典亮工程项目管理有限公司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典亮工程项目管理有限公司</w:t>
      </w:r>
      <w:r>
        <w:rPr>
          <w:rFonts w:ascii="仿宋_GB2312" w:hAnsi="仿宋_GB2312" w:cs="仿宋_GB2312" w:eastAsia="仿宋_GB2312"/>
        </w:rPr>
        <w:t>（以下简称“代理机构”）受</w:t>
      </w:r>
      <w:r>
        <w:rPr>
          <w:rFonts w:ascii="仿宋_GB2312" w:hAnsi="仿宋_GB2312" w:cs="仿宋_GB2312" w:eastAsia="仿宋_GB2312"/>
        </w:rPr>
        <w:t>中共陕西省委网信办网络安全应急指挥中心</w:t>
      </w:r>
      <w:r>
        <w:rPr>
          <w:rFonts w:ascii="仿宋_GB2312" w:hAnsi="仿宋_GB2312" w:cs="仿宋_GB2312" w:eastAsia="仿宋_GB2312"/>
        </w:rPr>
        <w:t>委托，拟对</w:t>
      </w:r>
      <w:r>
        <w:rPr>
          <w:rFonts w:ascii="仿宋_GB2312" w:hAnsi="仿宋_GB2312" w:cs="仿宋_GB2312" w:eastAsia="仿宋_GB2312"/>
        </w:rPr>
        <w:t>互联网涉陕敏感信息监测预警服务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DLZB-2026-03101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互联网涉陕敏感信息监测预警服务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合同包1：互联网涉陕敏感信息监测预警服务；涉陕重点信息动态感知大屏展示系统；涉陕重点账号社交分析服务；境外涉陕敏感信息巡查预警服务。 合同包2：互联网涉陕敏感短视频信息监测预警服务；直播环节涉陕敏感信息巡查服务；小众平台巡看服务；重点信息巡查监看系统。</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采购包1（互联网涉陕敏感信息监测预警服务（包1））：属于专门面向中小企业采购。</w:t>
      </w:r>
    </w:p>
    <w:p>
      <w:pPr>
        <w:pStyle w:val="null3"/>
      </w:pPr>
      <w:r>
        <w:rPr>
          <w:rFonts w:ascii="仿宋_GB2312" w:hAnsi="仿宋_GB2312" w:cs="仿宋_GB2312" w:eastAsia="仿宋_GB2312"/>
        </w:rPr>
        <w:t>采购包2（互联网涉陕敏感信息监测预警服务（包2））：属于专门面向中小企业采购。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1、法定代表人或其授权委托书：法定代表人授权委托书（附法定代表人身份证复印件及被授权人身份证复印件）；法定代表人直接参加投标只须提供法定代表人资格证明书（附法定代表人身份证复印件）。</w:t>
      </w:r>
    </w:p>
    <w:p>
      <w:pPr>
        <w:pStyle w:val="null3"/>
      </w:pPr>
      <w:r>
        <w:rPr>
          <w:rFonts w:ascii="仿宋_GB2312" w:hAnsi="仿宋_GB2312" w:cs="仿宋_GB2312" w:eastAsia="仿宋_GB2312"/>
        </w:rPr>
        <w:t>2、信用记录：供应商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1、法定代表人或其授权委托书：法定代表人授权委托书（附法定代表人身份证复印件及被授权人身份证复印件）；法定代表人直接参加投标只须提供法定代表人资格证明书（附法定代表人身份证复印件）。</w:t>
      </w:r>
    </w:p>
    <w:p>
      <w:pPr>
        <w:pStyle w:val="null3"/>
      </w:pPr>
      <w:r>
        <w:rPr>
          <w:rFonts w:ascii="仿宋_GB2312" w:hAnsi="仿宋_GB2312" w:cs="仿宋_GB2312" w:eastAsia="仿宋_GB2312"/>
        </w:rPr>
        <w:t>2、信用记录：供应商不得为“信用中国”网站（www.creditchina.gov.cn）中列入失信被执行人和重大税收违法失信主体，不得为中国政府采购网（www.ccgp.gov.cn）政府采购严重违法失信行为记录名单中被财政部门禁止参加政府采购活动的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中共陕西省委网信办网络安全应急指挥中心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陕西省雁塔路南段10号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029-63907116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典亮工程项目管理有限公司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西安市莲湖区南二环西段9号泊达国际酒店27楼东户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佘翠、王晶、何勇、许彩茹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029-87613089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采购包1：1,020,000.00元</w:t>
            </w:r>
          </w:p>
          <w:p>
            <w:pPr>
              <w:pStyle w:val="null3"/>
            </w:pPr>
            <w:r>
              <w:rPr>
                <w:rFonts w:ascii="仿宋_GB2312" w:hAnsi="仿宋_GB2312" w:cs="仿宋_GB2312" w:eastAsia="仿宋_GB2312"/>
              </w:rPr>
              <w:t>采购包2：1,000,000.00元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代理服务费收费标准：招标代理服务费由中标人在领取中标通知书前向招标代理机构支付，支付金额参照国家计委计价格【2002】1980号文按标准收取。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中共陕西省委网信办网络安全应急指挥中心</w:t>
      </w:r>
      <w:r>
        <w:rPr>
          <w:rFonts w:ascii="仿宋_GB2312" w:hAnsi="仿宋_GB2312" w:cs="仿宋_GB2312" w:eastAsia="仿宋_GB2312"/>
        </w:rPr>
        <w:t>和</w:t>
      </w:r>
      <w:r>
        <w:rPr>
          <w:rFonts w:ascii="仿宋_GB2312" w:hAnsi="仿宋_GB2312" w:cs="仿宋_GB2312" w:eastAsia="仿宋_GB2312"/>
        </w:rPr>
        <w:t>典亮工程项目管理有限公司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中共陕西省委网信办网络安全应急指挥中心</w:t>
      </w:r>
      <w:r>
        <w:rPr>
          <w:rFonts w:ascii="仿宋_GB2312" w:hAnsi="仿宋_GB2312" w:cs="仿宋_GB2312" w:eastAsia="仿宋_GB2312"/>
        </w:rPr>
        <w:t>负责解释。除上述磋商文件内容，其他内容由</w:t>
      </w:r>
      <w:r>
        <w:rPr>
          <w:rFonts w:ascii="仿宋_GB2312" w:hAnsi="仿宋_GB2312" w:cs="仿宋_GB2312" w:eastAsia="仿宋_GB2312"/>
        </w:rPr>
        <w:t>典亮工程项目管理有限公司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中共陕西省委网信办网络安全应急指挥中心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典亮工程项目管理有限公司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符合采购文件要求，符合采购人要求，确保项目合格交付。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符合采购文件要求，符合采购人要求，确保项目合格交付。</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典亮工程项目管理有限公司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联系人：佘翠</w:t>
      </w:r>
    </w:p>
    <w:p>
      <w:pPr>
        <w:pStyle w:val="null3"/>
      </w:pPr>
      <w:r>
        <w:rPr>
          <w:rFonts w:ascii="仿宋_GB2312" w:hAnsi="仿宋_GB2312" w:cs="仿宋_GB2312" w:eastAsia="仿宋_GB2312"/>
        </w:rPr>
        <w:t>联系电话：18292846350</w:t>
      </w:r>
    </w:p>
    <w:p>
      <w:pPr>
        <w:pStyle w:val="null3"/>
      </w:pPr>
      <w:r>
        <w:rPr>
          <w:rFonts w:ascii="仿宋_GB2312" w:hAnsi="仿宋_GB2312" w:cs="仿宋_GB2312" w:eastAsia="仿宋_GB2312"/>
        </w:rPr>
        <w:t>地址：典亮工程项目管理有限公司 （西安市莲湖区南二环西段9号泊达国际酒店27楼东户）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合同包1：互联网涉陕敏感信息监测预警服务；涉陕重点信息动态感知大屏展示系统；涉陕重点账号社交分析服务；境外涉陕敏感信息巡查预警服务。 合同包2：互联网涉陕敏感短视频信息监测预警服务；直播环节涉陕敏感信息巡查服务；小众平台巡看服务；重点信息巡查监看系统。</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1,020,000.00</w:t>
      </w:r>
    </w:p>
    <w:p>
      <w:pPr>
        <w:pStyle w:val="null3"/>
      </w:pPr>
      <w:r>
        <w:rPr>
          <w:rFonts w:ascii="仿宋_GB2312" w:hAnsi="仿宋_GB2312" w:cs="仿宋_GB2312" w:eastAsia="仿宋_GB2312"/>
        </w:rPr>
        <w:t>采购包最高限价（元）: 1,020,000.00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互联网涉陕敏感信息监测预警服务（包1）</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互联网涉陕敏感信息监测预警服务（包2）</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信息传输业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标的名称：互联网涉陕敏感信息监测预警服务（包1）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（一）项目背景</w:t>
            </w:r>
          </w:p>
          <w:p>
            <w:pPr>
              <w:pStyle w:val="null3"/>
              <w:ind w:firstLine="400"/>
              <w:jc w:val="left"/>
            </w:pPr>
            <w:r>
              <w:rPr>
                <w:rFonts w:ascii="仿宋_GB2312" w:hAnsi="仿宋_GB2312" w:cs="仿宋_GB2312" w:eastAsia="仿宋_GB2312"/>
                <w:sz w:val="20"/>
              </w:rPr>
              <w:t>近年来，涉陕网络</w:t>
            </w:r>
            <w:r>
              <w:rPr>
                <w:rFonts w:ascii="仿宋_GB2312" w:hAnsi="仿宋_GB2312" w:cs="仿宋_GB2312" w:eastAsia="仿宋_GB2312"/>
                <w:sz w:val="20"/>
              </w:rPr>
              <w:t>重点信息</w:t>
            </w:r>
            <w:r>
              <w:rPr>
                <w:rFonts w:ascii="仿宋_GB2312" w:hAnsi="仿宋_GB2312" w:cs="仿宋_GB2312" w:eastAsia="仿宋_GB2312"/>
                <w:sz w:val="20"/>
              </w:rPr>
              <w:t>频发，其传播速度快、影响范围广、舆论导向复杂多变，给政府管理部门带来了新的挑战。及时、准确、全面地掌握</w:t>
            </w:r>
            <w:r>
              <w:rPr>
                <w:rFonts w:ascii="仿宋_GB2312" w:hAnsi="仿宋_GB2312" w:cs="仿宋_GB2312" w:eastAsia="仿宋_GB2312"/>
                <w:sz w:val="20"/>
              </w:rPr>
              <w:t>信息</w:t>
            </w:r>
            <w:r>
              <w:rPr>
                <w:rFonts w:ascii="仿宋_GB2312" w:hAnsi="仿宋_GB2312" w:cs="仿宋_GB2312" w:eastAsia="仿宋_GB2312"/>
                <w:sz w:val="20"/>
              </w:rPr>
              <w:t>动态，监测发现网上</w:t>
            </w:r>
            <w:r>
              <w:rPr>
                <w:rFonts w:ascii="仿宋_GB2312" w:hAnsi="仿宋_GB2312" w:cs="仿宋_GB2312" w:eastAsia="仿宋_GB2312"/>
                <w:sz w:val="20"/>
              </w:rPr>
              <w:t>重点</w:t>
            </w:r>
            <w:r>
              <w:rPr>
                <w:rFonts w:ascii="仿宋_GB2312" w:hAnsi="仿宋_GB2312" w:cs="仿宋_GB2312" w:eastAsia="仿宋_GB2312"/>
                <w:sz w:val="20"/>
              </w:rPr>
              <w:t>信息线索，成为我省提升治理效能、防范风险、优化决策的重要依据。近年来，省委网信办借助各类专业</w:t>
            </w:r>
            <w:r>
              <w:rPr>
                <w:rFonts w:ascii="仿宋_GB2312" w:hAnsi="仿宋_GB2312" w:cs="仿宋_GB2312" w:eastAsia="仿宋_GB2312"/>
                <w:sz w:val="20"/>
              </w:rPr>
              <w:t>信息</w:t>
            </w:r>
            <w:r>
              <w:rPr>
                <w:rFonts w:ascii="仿宋_GB2312" w:hAnsi="仿宋_GB2312" w:cs="仿宋_GB2312" w:eastAsia="仿宋_GB2312"/>
                <w:sz w:val="20"/>
              </w:rPr>
              <w:t>监测、分析和预警系统，实现了对涉陕网络</w:t>
            </w:r>
            <w:r>
              <w:rPr>
                <w:rFonts w:ascii="仿宋_GB2312" w:hAnsi="仿宋_GB2312" w:cs="仿宋_GB2312" w:eastAsia="仿宋_GB2312"/>
                <w:sz w:val="20"/>
              </w:rPr>
              <w:t>信息</w:t>
            </w:r>
            <w:r>
              <w:rPr>
                <w:rFonts w:ascii="仿宋_GB2312" w:hAnsi="仿宋_GB2312" w:cs="仿宋_GB2312" w:eastAsia="仿宋_GB2312"/>
                <w:sz w:val="20"/>
              </w:rPr>
              <w:t>和网上政治类有害信息的精准巡查监看，相关工作得到省委、省政府领导的高度肯定。</w:t>
            </w:r>
          </w:p>
          <w:p>
            <w:pPr>
              <w:pStyle w:val="null3"/>
              <w:jc w:val="left"/>
            </w:pPr>
            <w:r>
              <w:rPr>
                <w:rFonts w:ascii="仿宋_GB2312" w:hAnsi="仿宋_GB2312" w:cs="仿宋_GB2312" w:eastAsia="仿宋_GB2312"/>
                <w:sz w:val="20"/>
                <w:b/>
              </w:rPr>
              <w:t>（二）服务目标</w:t>
            </w:r>
          </w:p>
          <w:p>
            <w:pPr>
              <w:pStyle w:val="null3"/>
              <w:ind w:firstLine="200"/>
              <w:jc w:val="left"/>
            </w:pPr>
            <w:r>
              <w:rPr>
                <w:rFonts w:ascii="仿宋_GB2312" w:hAnsi="仿宋_GB2312" w:cs="仿宋_GB2312" w:eastAsia="仿宋_GB2312"/>
                <w:sz w:val="20"/>
              </w:rPr>
              <w:t>1.实时监测。实现对网络空间中海量信息的实时抓取与监测，包括新闻网站、社交媒体、论坛、博客等多渠道。</w:t>
            </w:r>
          </w:p>
          <w:p>
            <w:pPr>
              <w:pStyle w:val="null3"/>
              <w:ind w:firstLine="200"/>
              <w:jc w:val="left"/>
            </w:pPr>
            <w:r>
              <w:rPr>
                <w:rFonts w:ascii="仿宋_GB2312" w:hAnsi="仿宋_GB2312" w:cs="仿宋_GB2312" w:eastAsia="仿宋_GB2312"/>
                <w:sz w:val="20"/>
              </w:rPr>
              <w:t>2.智能分析。运用自然语言处理、机器学习等技术，对收集到的信息进行情感分析、主题识别、趋势分析等深度处理。</w:t>
            </w:r>
          </w:p>
          <w:p>
            <w:pPr>
              <w:pStyle w:val="null3"/>
              <w:ind w:firstLine="200"/>
              <w:jc w:val="left"/>
            </w:pPr>
            <w:r>
              <w:rPr>
                <w:rFonts w:ascii="仿宋_GB2312" w:hAnsi="仿宋_GB2312" w:cs="仿宋_GB2312" w:eastAsia="仿宋_GB2312"/>
                <w:sz w:val="20"/>
              </w:rPr>
              <w:t>3.预警报告。根据预设规则，自动识别潜在风险或热点事件，及时生成预警报告，为决策层提供快速响应依据。</w:t>
            </w:r>
          </w:p>
          <w:p>
            <w:pPr>
              <w:pStyle w:val="null3"/>
              <w:ind w:firstLine="200"/>
              <w:jc w:val="left"/>
            </w:pPr>
            <w:r>
              <w:rPr>
                <w:rFonts w:ascii="仿宋_GB2312" w:hAnsi="仿宋_GB2312" w:cs="仿宋_GB2312" w:eastAsia="仿宋_GB2312"/>
                <w:sz w:val="20"/>
              </w:rPr>
              <w:t>4.可视化展示。通过图表、报表等形式，直观展示重点信息走势、关键意见领袖（KOL）影响力、公众情绪分布等，便于分析与决策。</w:t>
            </w:r>
          </w:p>
          <w:p>
            <w:pPr>
              <w:pStyle w:val="null3"/>
              <w:ind w:firstLine="200"/>
              <w:jc w:val="left"/>
            </w:pPr>
            <w:r>
              <w:rPr>
                <w:rFonts w:ascii="仿宋_GB2312" w:hAnsi="仿宋_GB2312" w:cs="仿宋_GB2312" w:eastAsia="仿宋_GB2312"/>
                <w:sz w:val="20"/>
              </w:rPr>
              <w:t>5.策略建议。基于分析结果，提供针对性的应对策略建议，助力组织有效管理外部形象，提升公众信任度。</w:t>
            </w:r>
          </w:p>
          <w:p>
            <w:pPr>
              <w:pStyle w:val="null3"/>
              <w:jc w:val="left"/>
            </w:pPr>
            <w:r>
              <w:rPr>
                <w:rFonts w:ascii="仿宋_GB2312" w:hAnsi="仿宋_GB2312" w:cs="仿宋_GB2312" w:eastAsia="仿宋_GB2312"/>
                <w:sz w:val="20"/>
                <w:b/>
              </w:rPr>
              <w:t>（三）服务内容与范围</w:t>
            </w:r>
          </w:p>
          <w:p>
            <w:pPr>
              <w:pStyle w:val="null3"/>
              <w:ind w:firstLine="200"/>
              <w:jc w:val="both"/>
            </w:pPr>
            <w:r>
              <w:rPr>
                <w:rFonts w:ascii="仿宋_GB2312" w:hAnsi="仿宋_GB2312" w:cs="仿宋_GB2312" w:eastAsia="仿宋_GB2312"/>
                <w:sz w:val="20"/>
              </w:rPr>
              <w:t>1.服务内容：互联网涉陕敏感信息监测预警服务；涉陕重点信息动态感知大屏展示系统；涉陕重点账号社交分析服务；境外涉陕敏感信息巡查预警服务。</w:t>
            </w:r>
          </w:p>
          <w:p>
            <w:pPr>
              <w:pStyle w:val="null3"/>
            </w:pPr>
            <w:r>
              <w:rPr>
                <w:rFonts w:ascii="仿宋_GB2312" w:hAnsi="仿宋_GB2312" w:cs="仿宋_GB2312" w:eastAsia="仿宋_GB2312"/>
                <w:sz w:val="20"/>
              </w:rPr>
              <w:t xml:space="preserve">    2.服务范围：涵盖重点信息监测、分析、预警、应对等全链条管理。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标的名称：互联网涉陕敏感信息监测预警服务（包2）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0"/>
                <w:b/>
              </w:rPr>
              <w:t>（一）项目背景</w:t>
            </w:r>
          </w:p>
          <w:p>
            <w:pPr>
              <w:pStyle w:val="null3"/>
              <w:ind w:firstLine="400"/>
              <w:jc w:val="left"/>
            </w:pPr>
            <w:r>
              <w:rPr>
                <w:rFonts w:ascii="仿宋_GB2312" w:hAnsi="仿宋_GB2312" w:cs="仿宋_GB2312" w:eastAsia="仿宋_GB2312"/>
                <w:sz w:val="20"/>
              </w:rPr>
              <w:t>近年来，涉陕网络</w:t>
            </w:r>
            <w:r>
              <w:rPr>
                <w:rFonts w:ascii="仿宋_GB2312" w:hAnsi="仿宋_GB2312" w:cs="仿宋_GB2312" w:eastAsia="仿宋_GB2312"/>
                <w:sz w:val="20"/>
              </w:rPr>
              <w:t>重点信息</w:t>
            </w:r>
            <w:r>
              <w:rPr>
                <w:rFonts w:ascii="仿宋_GB2312" w:hAnsi="仿宋_GB2312" w:cs="仿宋_GB2312" w:eastAsia="仿宋_GB2312"/>
                <w:sz w:val="20"/>
              </w:rPr>
              <w:t>频发，其传播速度快、影响范围广、舆论导向复杂多变，给政府管理部门带来了新的挑战。及时、准确、全面地掌握</w:t>
            </w:r>
            <w:r>
              <w:rPr>
                <w:rFonts w:ascii="仿宋_GB2312" w:hAnsi="仿宋_GB2312" w:cs="仿宋_GB2312" w:eastAsia="仿宋_GB2312"/>
                <w:sz w:val="20"/>
              </w:rPr>
              <w:t>信息</w:t>
            </w:r>
            <w:r>
              <w:rPr>
                <w:rFonts w:ascii="仿宋_GB2312" w:hAnsi="仿宋_GB2312" w:cs="仿宋_GB2312" w:eastAsia="仿宋_GB2312"/>
                <w:sz w:val="20"/>
              </w:rPr>
              <w:t>动态，监测发现网上</w:t>
            </w:r>
            <w:r>
              <w:rPr>
                <w:rFonts w:ascii="仿宋_GB2312" w:hAnsi="仿宋_GB2312" w:cs="仿宋_GB2312" w:eastAsia="仿宋_GB2312"/>
                <w:sz w:val="20"/>
              </w:rPr>
              <w:t>重点</w:t>
            </w:r>
            <w:r>
              <w:rPr>
                <w:rFonts w:ascii="仿宋_GB2312" w:hAnsi="仿宋_GB2312" w:cs="仿宋_GB2312" w:eastAsia="仿宋_GB2312"/>
                <w:sz w:val="20"/>
              </w:rPr>
              <w:t>信息线索，成为我省提升治理效能、防范风险、优化决策的重要依据。近年来，省委网信办借助各类专业</w:t>
            </w:r>
            <w:r>
              <w:rPr>
                <w:rFonts w:ascii="仿宋_GB2312" w:hAnsi="仿宋_GB2312" w:cs="仿宋_GB2312" w:eastAsia="仿宋_GB2312"/>
                <w:sz w:val="20"/>
              </w:rPr>
              <w:t>信息</w:t>
            </w:r>
            <w:r>
              <w:rPr>
                <w:rFonts w:ascii="仿宋_GB2312" w:hAnsi="仿宋_GB2312" w:cs="仿宋_GB2312" w:eastAsia="仿宋_GB2312"/>
                <w:sz w:val="20"/>
              </w:rPr>
              <w:t>监测、分析和预警系统，实现了对涉陕网络</w:t>
            </w:r>
            <w:r>
              <w:rPr>
                <w:rFonts w:ascii="仿宋_GB2312" w:hAnsi="仿宋_GB2312" w:cs="仿宋_GB2312" w:eastAsia="仿宋_GB2312"/>
                <w:sz w:val="20"/>
              </w:rPr>
              <w:t>信息</w:t>
            </w:r>
            <w:r>
              <w:rPr>
                <w:rFonts w:ascii="仿宋_GB2312" w:hAnsi="仿宋_GB2312" w:cs="仿宋_GB2312" w:eastAsia="仿宋_GB2312"/>
                <w:sz w:val="20"/>
              </w:rPr>
              <w:t>和网上政治类有害信息的精准巡查监看，相关工作得到省委、省政府领导的高度肯定。</w:t>
            </w:r>
          </w:p>
          <w:p>
            <w:pPr>
              <w:pStyle w:val="null3"/>
              <w:jc w:val="left"/>
            </w:pPr>
            <w:r>
              <w:rPr>
                <w:rFonts w:ascii="仿宋_GB2312" w:hAnsi="仿宋_GB2312" w:cs="仿宋_GB2312" w:eastAsia="仿宋_GB2312"/>
                <w:sz w:val="20"/>
                <w:b/>
              </w:rPr>
              <w:t>（二）服务目标</w:t>
            </w:r>
          </w:p>
          <w:p>
            <w:pPr>
              <w:pStyle w:val="null3"/>
              <w:ind w:firstLine="200"/>
              <w:jc w:val="left"/>
            </w:pPr>
            <w:r>
              <w:rPr>
                <w:rFonts w:ascii="仿宋_GB2312" w:hAnsi="仿宋_GB2312" w:cs="仿宋_GB2312" w:eastAsia="仿宋_GB2312"/>
                <w:sz w:val="20"/>
              </w:rPr>
              <w:t>1.实时监测。实现对网络空间中海量信息的实时抓取与监测，包括新闻网站、社交媒体、论坛、博客等多渠道。</w:t>
            </w:r>
          </w:p>
          <w:p>
            <w:pPr>
              <w:pStyle w:val="null3"/>
              <w:ind w:firstLine="200"/>
              <w:jc w:val="left"/>
            </w:pPr>
            <w:r>
              <w:rPr>
                <w:rFonts w:ascii="仿宋_GB2312" w:hAnsi="仿宋_GB2312" w:cs="仿宋_GB2312" w:eastAsia="仿宋_GB2312"/>
                <w:sz w:val="20"/>
              </w:rPr>
              <w:t>2.智能分析。运用自然语言处理、机器学习等技术，对收集到的信息进行情感分析、主题识别、趋势分析等深度处理。</w:t>
            </w:r>
          </w:p>
          <w:p>
            <w:pPr>
              <w:pStyle w:val="null3"/>
              <w:ind w:firstLine="200"/>
              <w:jc w:val="left"/>
            </w:pPr>
            <w:r>
              <w:rPr>
                <w:rFonts w:ascii="仿宋_GB2312" w:hAnsi="仿宋_GB2312" w:cs="仿宋_GB2312" w:eastAsia="仿宋_GB2312"/>
                <w:sz w:val="20"/>
              </w:rPr>
              <w:t>3.预警报告。根据预设规则，自动识别潜在风险或热点事件，及时生成预警报告，为决策层提供快速响应依据。</w:t>
            </w:r>
          </w:p>
          <w:p>
            <w:pPr>
              <w:pStyle w:val="null3"/>
              <w:ind w:firstLine="200"/>
              <w:jc w:val="left"/>
            </w:pPr>
            <w:r>
              <w:rPr>
                <w:rFonts w:ascii="仿宋_GB2312" w:hAnsi="仿宋_GB2312" w:cs="仿宋_GB2312" w:eastAsia="仿宋_GB2312"/>
                <w:sz w:val="20"/>
              </w:rPr>
              <w:t>4.可视化展示。通过图表、报表等形式，直观展示信息走势、关键意见领袖（KOL）影响力、公众情绪分布等，便于分析与决策。</w:t>
            </w:r>
          </w:p>
          <w:p>
            <w:pPr>
              <w:pStyle w:val="null3"/>
              <w:ind w:firstLine="200"/>
              <w:jc w:val="left"/>
            </w:pPr>
            <w:r>
              <w:rPr>
                <w:rFonts w:ascii="仿宋_GB2312" w:hAnsi="仿宋_GB2312" w:cs="仿宋_GB2312" w:eastAsia="仿宋_GB2312"/>
                <w:sz w:val="20"/>
              </w:rPr>
              <w:t>5.策略建议。基于分析结果，提供针对性的应对策略建议，助力组织有效管理外部形象，提升公众信任度。</w:t>
            </w:r>
          </w:p>
          <w:p>
            <w:pPr>
              <w:pStyle w:val="null3"/>
              <w:jc w:val="left"/>
            </w:pPr>
            <w:r>
              <w:rPr>
                <w:rFonts w:ascii="仿宋_GB2312" w:hAnsi="仿宋_GB2312" w:cs="仿宋_GB2312" w:eastAsia="仿宋_GB2312"/>
                <w:sz w:val="20"/>
                <w:b/>
              </w:rPr>
              <w:t>（三）服务内容与范围</w:t>
            </w:r>
          </w:p>
          <w:p>
            <w:pPr>
              <w:pStyle w:val="null3"/>
              <w:ind w:firstLine="200"/>
              <w:jc w:val="both"/>
            </w:pPr>
            <w:r>
              <w:rPr>
                <w:rFonts w:ascii="仿宋_GB2312" w:hAnsi="仿宋_GB2312" w:cs="仿宋_GB2312" w:eastAsia="仿宋_GB2312"/>
                <w:sz w:val="20"/>
              </w:rPr>
              <w:t>1.服务内容：互联网涉陕敏感短视频信息监测预警服务；直播环节涉陕敏感信息巡查服务；小众平台巡看服务；重点信息巡查监看系统。</w:t>
            </w:r>
          </w:p>
          <w:p>
            <w:pPr>
              <w:pStyle w:val="null3"/>
            </w:pPr>
            <w:r>
              <w:rPr>
                <w:rFonts w:ascii="仿宋_GB2312" w:hAnsi="仿宋_GB2312" w:cs="仿宋_GB2312" w:eastAsia="仿宋_GB2312"/>
                <w:sz w:val="20"/>
              </w:rPr>
              <w:t xml:space="preserve">    2.服务范围：涵盖信息监测、分析、预警、应对等全链条管理。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按照服务要求自行配置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按照服务要求自行配置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按照服务要求自行配置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按照服务要求自行配置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中共陕西省委网信办网络安全应急指挥中心指定地点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中共陕西省委网信办网络安全应急指挥中心指定地点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按项目合同执行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按项目合同执行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1、成交供应商在中标后，须向采购代理机构提供纸质版响应文件2套，且提供的响应文件必须与在陕西省政府采购综合 管理平台的项目电子化交易系统中递交的电子响应文件内容一致，纸质版响应文件必须装订成册。2、如竞争性磋商文件中融 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供应商须提供2026年1月至今已缴纳的至少一个月的纳税证明或完税证明（以税款所属日期为准），依法免税的单位应提供相关证明材料。3.供应商须提供2026年1月至今已缴纳的至少一个月的社会保障资金缴存凭证或社保机构开具的社会保险参保证明，依法不需要缴纳社会保障资金的单位应提供相关证明材料。 4.供应商须提供具有履行合同所必需的设备和专业技术能力的承诺。 5.供应商须提供参加政府采购活动前3年内，在经营活动中没有重大违法记录的书面声明。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 响应函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经财务审计资质单位出具的赋码的2024年度或2025年度财务报告（成立时间至投标文件递交截止时间不足一年的可提供成立后任意时段的资产负债表）或投标文件递交截止时间前六个月内其基本账户开户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供应商须提供2026年1月至今已缴纳的至少一个月的纳税证明或完税证明（以税款所属日期为准），依法免税的单位应提供相关证明材料。3.供应商须提供2026年1月至今已缴纳的至少一个月的社会保障资金缴存凭证或社保机构开具的社会保险参保证明，依法不需要缴纳社会保障资金的单位应提供相关证明材料。 4.供应商须提供具有履行合同所必需的设备和专业技术能力的承诺。 5.供应商须提供参加政府采购活动前3年内，在经营活动中没有重大违法记录的书面声明。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 响应函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经财务审计资质单位出具的赋码的2024年度或2025年度财务报告（成立时间至投标文件递交截止时间不足一年的可提供成立后任意时段的资产负债表）或投标文件递交截止时间前六个月内其基本账户开户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法定代表人授权委托书（附法定代表人身份证复印件及被授权人身份证复印件）；法定代表人直接参加投标只须提供法定代表人资格证明书（附法定代表人身份证复印件）。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法定代表人或其授权委托书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法定代表人授权委托书（附法定代表人身份证复印件及被授权人身份证复印件）；法定代表人直接参加投标只须提供法定代表人资格证明书（附法定代表人身份证复印件）。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不得为中国政府采购网（www.ccgp.gov.cn）政府采购严重违法失信行为记录名单中被财政部门禁止参加政府采购活动的单位。</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响应文件封面 中小企业声明函 标的清单 报价表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响应报价是否超过采购预算和最高限价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磋商项目技术、服务、商务及其他要求</w:t>
            </w:r>
          </w:p>
        </w:tc>
        <w:tc>
          <w:tcPr>
            <w:tcW w:type="dxa" w:w="3322"/>
          </w:tcPr>
          <w:p>
            <w:pPr>
              <w:pStyle w:val="null3"/>
            </w:pPr>
            <w:r>
              <w:rPr>
                <w:rFonts w:ascii="仿宋_GB2312" w:hAnsi="仿宋_GB2312" w:cs="仿宋_GB2312" w:eastAsia="仿宋_GB2312"/>
              </w:rPr>
              <w:t>符合采购文件要求，不得含有采购人不能接受的附加条款。</w:t>
            </w:r>
          </w:p>
        </w:tc>
        <w:tc>
          <w:tcPr>
            <w:tcW w:type="dxa" w:w="1661"/>
          </w:tcPr>
          <w:p>
            <w:pPr>
              <w:pStyle w:val="null3"/>
            </w:pPr>
            <w:r>
              <w:rPr>
                <w:rFonts w:ascii="仿宋_GB2312" w:hAnsi="仿宋_GB2312" w:cs="仿宋_GB2312" w:eastAsia="仿宋_GB2312"/>
              </w:rPr>
              <w:t>磋商项目技术、服务、商务及其他要求偏离表.docx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供应商承诺书.docx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响应文件的签字、盖章</w:t>
            </w:r>
          </w:p>
        </w:tc>
        <w:tc>
          <w:tcPr>
            <w:tcW w:type="dxa" w:w="3322"/>
          </w:tcPr>
          <w:p>
            <w:pPr>
              <w:pStyle w:val="null3"/>
            </w:pPr>
            <w:r>
              <w:rPr>
                <w:rFonts w:ascii="仿宋_GB2312" w:hAnsi="仿宋_GB2312" w:cs="仿宋_GB2312" w:eastAsia="仿宋_GB2312"/>
              </w:rPr>
              <w:t>响应文件的签字、盖章符合磋商文件要求。</w:t>
            </w:r>
          </w:p>
        </w:tc>
        <w:tc>
          <w:tcPr>
            <w:tcW w:type="dxa" w:w="1661"/>
          </w:tcPr>
          <w:p>
            <w:pPr>
              <w:pStyle w:val="null3"/>
            </w:pPr>
            <w:r>
              <w:rPr>
                <w:rFonts w:ascii="仿宋_GB2312" w:hAnsi="仿宋_GB2312" w:cs="仿宋_GB2312" w:eastAsia="仿宋_GB2312"/>
              </w:rPr>
              <w:t>响应文件封面 中小企业声明函 报价表 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响应报价是否超过采购预算和最高限价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磋商项目技术、服务、商务及其他要求</w:t>
            </w:r>
          </w:p>
        </w:tc>
        <w:tc>
          <w:tcPr>
            <w:tcW w:type="dxa" w:w="3322"/>
          </w:tcPr>
          <w:p>
            <w:pPr>
              <w:pStyle w:val="null3"/>
            </w:pPr>
            <w:r>
              <w:rPr>
                <w:rFonts w:ascii="仿宋_GB2312" w:hAnsi="仿宋_GB2312" w:cs="仿宋_GB2312" w:eastAsia="仿宋_GB2312"/>
              </w:rPr>
              <w:t>符合采购文件要求，不得含有采购人不能接受的附加条款。</w:t>
            </w:r>
          </w:p>
        </w:tc>
        <w:tc>
          <w:tcPr>
            <w:tcW w:type="dxa" w:w="1661"/>
          </w:tcPr>
          <w:p>
            <w:pPr>
              <w:pStyle w:val="null3"/>
            </w:pPr>
            <w:r>
              <w:rPr>
                <w:rFonts w:ascii="仿宋_GB2312" w:hAnsi="仿宋_GB2312" w:cs="仿宋_GB2312" w:eastAsia="仿宋_GB2312"/>
              </w:rPr>
              <w:t>响应文件封面 磋商项目技术、服务、商务及其他要求偏离表.docx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一、评审内容：①工作内容、工作目标；②项目背景理解；③工作流程；④项目重难点分析及解决办法。 二、评审标准：上述各部分内容全面详细、阐述条理清晰详尽、符合且针对本项目采购需求得16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一、评审内容：①重点信息监测预警服务；②涉陕重点信息动态感知大屏展示系统；③涉陕重点账号社交分析服务；④境外涉陕重点信息巡查预警服务。 二、评审标准：服务组织架构清晰，岗位设置合理，人员分工明确，责任划分具体，进度计划详细得16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一、评审内容：①质量管理体系；②质量控制措施；③技术和人员保障。 二、评审标准：质控链条完整、质控措施具体、溯源机制完善得12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一、评审内容：①应急响应机制；②应急预案制定；③突发事件处理。 二、评审标准：上述各部分内容全面详细、阐述条理清晰详尽、符合且针对本项目采购需求得12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一、资质证书 （1）具备IS09001质量管理体系认证证书，得1分； （2）具备IS027001信息安全管理体系认证证书，得1分； （3）具备ISO20000信息技术服务管理体系认证证书，得1分； （4）具备ISO45001职业健康安全管理体系认证证书，得1分； （5）具备ISO14001环境管理体系认证证书，得1分； 每提供一个合格有效的证书得1分，本项最高得5分。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一、评审内容：①保密制度；②保密信息范围及保密主体等内容；③项目实施过程中的保密承诺。 二、评审标准：上述各部分内容全面详细、阐述条理清晰详尽、符合且针对本项目采购需求得12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（1）项目负责人：具有PMP证书，得2分，没有不得分。 （2）团队人员中（除项目负责人外）具有信息系统项目管理证书或信息安全证书或PMP证书；每提供一个合格有效的证书得1分，最高得6分。 注：需提供证书复印件并加盖公章。 （3）团队人员数量充足、专业配备合理、经验丰富得5分；团队人员数量简单、专业配备较合理、基本满足项目采购需求得3分，未提供不得分。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 2023年至今类似项目业绩，以供应商提供的合同或中标(成交)通知书复印件为准，每提供一份得2分，满分4分；未提供的不得分。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 (磋商基准价／响应报价)×10，计算分数时四舍五入取小数点后两位。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总体工作方案</w:t>
            </w:r>
          </w:p>
        </w:tc>
        <w:tc>
          <w:tcPr>
            <w:tcW w:type="dxa" w:w="2492"/>
          </w:tcPr>
          <w:p>
            <w:pPr>
              <w:pStyle w:val="null3"/>
            </w:pPr>
            <w:r>
              <w:rPr>
                <w:rFonts w:ascii="仿宋_GB2312" w:hAnsi="仿宋_GB2312" w:cs="仿宋_GB2312" w:eastAsia="仿宋_GB2312"/>
              </w:rPr>
              <w:t>一、评审内容：①工作内容、工作目标；②项目背景理解；③工作方法；④项目重难点分析及解决办法。 二、评审标准：上述各部分内容全面详细、阐述条理清晰详尽、符合且针对本项目采购需求得16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一、评审内容：①服务组织架构；②分工及岗位职责；③工具配置；④项目进度计划等。 二、评审标准：服务组织架构清晰，岗位设置合理，人员分工明确，责任划分具体，工具配置投入具体，进度计划详细得16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一、评审内容：①质量管理体系；②质量控制措施；③信息溯源机制。 二、评审标准：质控链条完整、质控措施具体、溯源机制完善得12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一、评审内容：①项目风险预测；②风险识别与评估；③应急预案制定与更新；④技术和人员保障。 二、评审标准:上述各部分内容全面详细、阐述条理清晰详尽、符合且针对本项目采购需求得12分，每缺一项内容扣3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综合实力</w:t>
            </w:r>
          </w:p>
        </w:tc>
        <w:tc>
          <w:tcPr>
            <w:tcW w:type="dxa" w:w="2492"/>
          </w:tcPr>
          <w:p>
            <w:pPr>
              <w:pStyle w:val="null3"/>
            </w:pPr>
            <w:r>
              <w:rPr>
                <w:rFonts w:ascii="仿宋_GB2312" w:hAnsi="仿宋_GB2312" w:cs="仿宋_GB2312" w:eastAsia="仿宋_GB2312"/>
              </w:rPr>
              <w:t>（1）具备IS09001质量管理体系认证证书； （2）具备IS027001信息安全管理体系认证证书； （3）具备ISO14001环境管理体系认证证书； （4）具备ISO45001职业健康安全管理体系认证证书； （5）具备信息系统建设和服务能力等级证书基本级（CS2)或以上。 每提供一个合格有效的证书得1分，本项最高得5分。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一、评审内容：①保密制度；②保密信息范围及保密主体等内容；③项目实施过程中的保密承诺。 二、评审标准:上述各部分内容全面详细、阐述条理清晰详尽、符合且针对本项目采购需求得12分，每缺一项内容扣4分，评审内容有缺陷的根据情况扣分，扣完为止。“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 具有信息系统项目管理师证书，得2分；具有计算机类或信息化类高级职称证书，得2分。 （2）团队人员中（除项目负责人外）具有分析师证书，每1人得1分，共5分； 注：需提供合格有效的证书复印件并加盖公章。 （3）团队人员数量充足、专业配备合理、经验丰富得4分；团队人员数量简单、专业配备较合理、基本满足项目采购需求得2分，未提供不得分。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 2023年至今类似项目业绩，以供应商提供的合同或中标(成交)通知书复印件为准，每提供一份得2分，满分4分；未提供的不得分。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价格分统一采用低价优先法计算，即满足磋商文件要求且磋商价格最低的磋商报价为磋商基准价，其价格分为满分。其他供应商的价格分统一按照下列公式计算：磋商报价得分= (磋商基准价／响应报价)×10，计算分数时四舍五入取小数点后两位。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详见附件：磋商项目技术、服务、商务及其他要求偏离表.docx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详见附件：磋商项目技术、服务、商务及其他要求偏离表.docx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