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48E1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center"/>
        <w:textAlignment w:val="auto"/>
        <w:rPr>
          <w:rFonts w:hint="default" w:ascii="仿宋_GB2312" w:hAnsi="仿宋_GB2312" w:eastAsia="仿宋_GB2312" w:cs="仿宋_GB2312"/>
          <w:b/>
          <w:bCs w:val="0"/>
          <w:sz w:val="32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28"/>
          <w:lang w:val="en-US" w:eastAsia="zh-CN"/>
        </w:rPr>
        <w:t>采购需求</w:t>
      </w:r>
    </w:p>
    <w:p w14:paraId="6A74FCBF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00" w:firstLineChars="0"/>
        <w:textAlignment w:val="auto"/>
        <w:rPr>
          <w:rFonts w:hint="eastAsia" w:ascii="仿宋_GB2312" w:hAnsi="仿宋_GB2312" w:eastAsia="仿宋_GB2312" w:cs="仿宋_GB2312"/>
          <w:b/>
          <w:sz w:val="24"/>
          <w:highlight w:val="none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Hans"/>
        </w:rPr>
        <w:t>一、</w:t>
      </w:r>
      <w:r>
        <w:rPr>
          <w:rFonts w:hint="eastAsia" w:ascii="仿宋_GB2312" w:hAnsi="仿宋_GB2312" w:eastAsia="仿宋_GB2312" w:cs="仿宋_GB2312"/>
          <w:b/>
          <w:sz w:val="24"/>
          <w:highlight w:val="none"/>
        </w:rPr>
        <w:t>项目概况</w:t>
      </w:r>
    </w:p>
    <w:p w14:paraId="4B61F0C5">
      <w:pPr>
        <w:pStyle w:val="6"/>
        <w:spacing w:line="360" w:lineRule="auto"/>
        <w:ind w:firstLine="400" w:firstLineChars="200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根据《西安市农业农村局关于印发2026年农产品质量安全监测方案的通知》（市农发〔2026〕33号）和《西安市农业农村局关于开展2026年全市农产品质量安全监督抽查的通知》要求，计划完成2026年度农产品质量安全监督抽查工作。</w:t>
      </w:r>
    </w:p>
    <w:p w14:paraId="65B42E9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二、服务内容</w:t>
      </w:r>
    </w:p>
    <w:p w14:paraId="4610E65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（一）抽查范围</w:t>
      </w:r>
    </w:p>
    <w:p w14:paraId="0B901FC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jc w:val="both"/>
        <w:textAlignment w:val="auto"/>
        <w:rPr>
          <w:rFonts w:hint="eastAsia" w:ascii="仿宋_GB2312" w:hAnsi="仿宋_GB2312" w:eastAsia="仿宋_GB2312" w:cs="仿宋_GB2312"/>
          <w:sz w:val="20"/>
        </w:rPr>
      </w:pPr>
      <w:r>
        <w:rPr>
          <w:rFonts w:hint="eastAsia" w:ascii="仿宋_GB2312" w:hAnsi="仿宋_GB2312" w:eastAsia="仿宋_GB2312" w:cs="仿宋_GB2312"/>
          <w:sz w:val="20"/>
        </w:rPr>
        <w:t>突出以商品生产为目的的种养殖大户、屠宰场，在全市范围内抽检畜禽产品和水产品共计抽取样品435批次，对全市所有涉农区县（开发区）“全覆盖”。</w:t>
      </w:r>
    </w:p>
    <w:p w14:paraId="78F2E00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jc w:val="both"/>
        <w:textAlignment w:val="auto"/>
      </w:pPr>
      <w:r>
        <w:rPr>
          <w:rFonts w:ascii="仿宋_GB2312" w:hAnsi="仿宋_GB2312" w:eastAsia="仿宋_GB2312" w:cs="仿宋_GB2312"/>
          <w:sz w:val="20"/>
        </w:rPr>
        <w:t>（二）抽查品种</w:t>
      </w:r>
    </w:p>
    <w:p w14:paraId="2E02A627">
      <w:pPr>
        <w:spacing w:line="560" w:lineRule="exact"/>
        <w:ind w:firstLine="440" w:firstLineChars="220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畜禽产品。重点抽查禽蛋、禽肉、牛肉、羊肉等品种。</w:t>
      </w:r>
    </w:p>
    <w:p w14:paraId="59C371FA">
      <w:pPr>
        <w:spacing w:line="560" w:lineRule="exact"/>
        <w:ind w:firstLine="440" w:firstLineChars="220"/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水产品。重点抽查草鱼、鲤鱼、鲫鱼、大口黑鲈、大鲵、对虾等品种。</w:t>
      </w:r>
    </w:p>
    <w:p w14:paraId="188B62AD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（三）检测机构</w:t>
      </w:r>
    </w:p>
    <w:p w14:paraId="4B15CF8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color w:val="000000"/>
          <w:sz w:val="20"/>
        </w:rPr>
        <w:t>承担检测任务的检测机构要严格遵守抽样和检测方法，统一标准溶液、统一判定原则，检测过程要做试剂空白和加标回收，对检测不合格样品要做确认试验。报送结果时，检测不合格样品应提供原始记录、确证图谱、溯源情况等信息。</w:t>
      </w:r>
    </w:p>
    <w:p w14:paraId="1C4CED5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（四）抽查原则</w:t>
      </w:r>
    </w:p>
    <w:p w14:paraId="2C9251B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  <w:rPr>
          <w:rFonts w:hint="eastAsia" w:eastAsia="仿宋_GB2312"/>
          <w:color w:val="auto"/>
          <w:lang w:eastAsia="zh-CN"/>
        </w:rPr>
      </w:pPr>
      <w:r>
        <w:rPr>
          <w:rFonts w:ascii="仿宋_GB2312" w:hAnsi="仿宋_GB2312" w:eastAsia="仿宋_GB2312" w:cs="仿宋_GB2312"/>
          <w:sz w:val="20"/>
        </w:rPr>
        <w:t>严格落实《国家农产品质量安全监督抽查主要程序与办法》要求，遵循抽样机构与检测机构相分离</w:t>
      </w:r>
      <w:r>
        <w:rPr>
          <w:rFonts w:ascii="仿宋_GB2312" w:hAnsi="仿宋_GB2312" w:eastAsia="仿宋_GB2312" w:cs="仿宋_GB2312"/>
          <w:color w:val="auto"/>
          <w:sz w:val="20"/>
        </w:rPr>
        <w:t>的原则，紧盯农产品采收上市关键期，省、市、县三级常态化开展重点问题农产品、特色优势农产品、直供学校农产品等开展监督抽查工作</w:t>
      </w:r>
      <w:r>
        <w:rPr>
          <w:rFonts w:hint="eastAsia" w:ascii="仿宋_GB2312" w:hAnsi="仿宋_GB2312" w:eastAsia="仿宋_GB2312" w:cs="仿宋_GB2312"/>
          <w:color w:val="auto"/>
          <w:sz w:val="20"/>
          <w:lang w:eastAsia="zh-CN"/>
        </w:rPr>
        <w:t>。</w:t>
      </w:r>
    </w:p>
    <w:p w14:paraId="66FA7C9A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  <w:rPr>
          <w:color w:val="auto"/>
        </w:rPr>
      </w:pPr>
      <w:r>
        <w:rPr>
          <w:rFonts w:ascii="仿宋_GB2312" w:hAnsi="仿宋_GB2312" w:eastAsia="仿宋_GB2312" w:cs="仿宋_GB2312"/>
          <w:color w:val="auto"/>
          <w:sz w:val="20"/>
        </w:rPr>
        <w:t>（五）抽查参数</w:t>
      </w:r>
    </w:p>
    <w:p w14:paraId="219C2E1D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jc w:val="both"/>
        <w:textAlignment w:val="auto"/>
        <w:rPr>
          <w:color w:val="auto"/>
        </w:rPr>
      </w:pPr>
      <w:r>
        <w:rPr>
          <w:rFonts w:ascii="仿宋_GB2312" w:hAnsi="仿宋_GB2312" w:eastAsia="仿宋_GB2312" w:cs="仿宋_GB2312"/>
          <w:color w:val="auto"/>
          <w:sz w:val="20"/>
        </w:rPr>
        <w:t>重点</w:t>
      </w:r>
      <w:r>
        <w:rPr>
          <w:rFonts w:hint="eastAsia" w:ascii="仿宋_GB2312" w:hAnsi="仿宋_GB2312" w:eastAsia="仿宋_GB2312" w:cs="仿宋_GB2312"/>
          <w:color w:val="auto"/>
          <w:sz w:val="20"/>
          <w:lang w:eastAsia="zh-CN"/>
        </w:rPr>
        <w:t>抽查</w:t>
      </w:r>
      <w:r>
        <w:rPr>
          <w:rFonts w:hint="eastAsia" w:ascii="仿宋_GB2312" w:hAnsi="仿宋_GB2312" w:eastAsia="仿宋_GB2312" w:cs="仿宋_GB2312"/>
          <w:color w:val="auto"/>
          <w:sz w:val="20"/>
        </w:rPr>
        <w:t>畜禽产品中禁用药物、食品动物中停止使用药物、停用兽药和产蛋期不得使用药物等</w:t>
      </w:r>
      <w:r>
        <w:rPr>
          <w:rFonts w:ascii="仿宋_GB2312" w:hAnsi="仿宋_GB2312" w:eastAsia="仿宋_GB2312" w:cs="仿宋_GB2312"/>
          <w:color w:val="auto"/>
          <w:sz w:val="20"/>
        </w:rPr>
        <w:t>;</w:t>
      </w:r>
      <w:r>
        <w:rPr>
          <w:rFonts w:hint="eastAsia" w:ascii="仿宋_GB2312" w:hAnsi="仿宋_GB2312" w:eastAsia="仿宋_GB2312" w:cs="仿宋_GB2312"/>
          <w:color w:val="auto"/>
          <w:sz w:val="20"/>
        </w:rPr>
        <w:t>水产品中停用兽药、食品动物中禁止使用药物及其他化合物、未批准在水产养殖中使用药物等。</w:t>
      </w:r>
      <w:r>
        <w:rPr>
          <w:rFonts w:ascii="仿宋_GB2312" w:hAnsi="仿宋_GB2312" w:eastAsia="仿宋_GB2312" w:cs="仿宋_GB2312"/>
          <w:color w:val="auto"/>
          <w:sz w:val="20"/>
        </w:rPr>
        <w:t>抽查参数参照国家农产品质量安全监督抽查要求执行，各区县（开发区）农业农村部门可结合区域产业用药特点适度调整优化。</w:t>
      </w:r>
    </w:p>
    <w:p w14:paraId="70BC9B0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监督抽查检测参数</w:t>
      </w:r>
    </w:p>
    <w:tbl>
      <w:tblPr>
        <w:tblStyle w:val="4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33"/>
        <w:gridCol w:w="5581"/>
      </w:tblGrid>
      <w:tr w14:paraId="00B04F8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298449">
            <w:pPr>
              <w:ind w:firstLine="397" w:firstLineChars="0"/>
              <w:jc w:val="center"/>
            </w:pPr>
            <w:r>
              <w:rPr>
                <w:rFonts w:hint="eastAsia" w:ascii="Times New Roman" w:hAnsi="Times New Roman" w:eastAsia="黑体" w:cs="黑体"/>
              </w:rPr>
              <w:t>产品类别</w:t>
            </w:r>
          </w:p>
        </w:tc>
        <w:tc>
          <w:tcPr>
            <w:tcW w:w="32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7E49C2">
            <w:pPr>
              <w:ind w:firstLine="397" w:firstLineChars="0"/>
              <w:jc w:val="center"/>
            </w:pPr>
            <w:r>
              <w:rPr>
                <w:rFonts w:hint="eastAsia" w:ascii="Times New Roman" w:hAnsi="Times New Roman" w:eastAsia="黑体" w:cs="黑体"/>
              </w:rPr>
              <w:t>监测参数</w:t>
            </w:r>
          </w:p>
        </w:tc>
      </w:tr>
      <w:tr w14:paraId="0C2EF5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C0DB4C">
            <w:pPr>
              <w:ind w:firstLine="398" w:firstLineChars="0"/>
              <w:jc w:val="center"/>
              <w:rPr>
                <w:rFonts w:hint="eastAsia" w:ascii="Times New Roman" w:hAnsi="Times New Roman" w:eastAsia="黑体" w:cs="黑体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</w:rPr>
              <w:t>畜禽产品</w:t>
            </w:r>
          </w:p>
        </w:tc>
        <w:tc>
          <w:tcPr>
            <w:tcW w:w="32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DE9C1F">
            <w:pPr>
              <w:snapToGrid w:val="0"/>
              <w:spacing w:line="440" w:lineRule="exact"/>
              <w:ind w:firstLine="397"/>
              <w:jc w:val="left"/>
              <w:rPr>
                <w:rFonts w:ascii="Times New Roman" w:hAnsi="Times New Roman" w:eastAsia="仿宋_GB2312" w:cs="Times New Roman"/>
              </w:rPr>
            </w:pPr>
            <w:r>
              <w:rPr>
                <w:rFonts w:hint="eastAsia" w:ascii="Times New Roman" w:hAnsi="Times New Roman" w:eastAsia="仿宋_GB2312" w:cs="仿宋_GB2312"/>
              </w:rPr>
              <w:t>禽蛋</w:t>
            </w:r>
            <w:r>
              <w:rPr>
                <w:rFonts w:ascii="Times New Roman" w:hAnsi="Times New Roman" w:eastAsia="仿宋_GB2312" w:cs="Times New Roman"/>
              </w:rPr>
              <w:t>:</w:t>
            </w:r>
            <w:r>
              <w:rPr>
                <w:rFonts w:hint="eastAsia" w:ascii="Times New Roman" w:hAnsi="Times New Roman" w:eastAsia="仿宋_GB2312" w:cs="仿宋_GB2312"/>
              </w:rPr>
              <w:t>恩诺沙星、环丙沙星、沙拉沙星、达氟沙星、氧氟沙星、培氟沙星、诺氟沙星、洛美沙星、多西环素、金刚烷胺、氯霉素、氟苯尼考</w:t>
            </w:r>
            <w:r>
              <w:rPr>
                <w:rFonts w:ascii="Times New Roman" w:hAnsi="Times New Roman" w:eastAsia="仿宋_GB2312" w:cs="Times New Roman"/>
              </w:rPr>
              <w:t>(</w:t>
            </w:r>
            <w:r>
              <w:rPr>
                <w:rFonts w:hint="eastAsia" w:ascii="Times New Roman" w:hAnsi="Times New Roman" w:eastAsia="仿宋_GB2312" w:cs="仿宋_GB2312"/>
              </w:rPr>
              <w:t>包括氟苯尼考胺</w:t>
            </w:r>
            <w:r>
              <w:rPr>
                <w:rFonts w:ascii="Times New Roman" w:hAnsi="Times New Roman" w:eastAsia="仿宋_GB2312" w:cs="Times New Roman"/>
              </w:rPr>
              <w:t>)</w:t>
            </w:r>
            <w:r>
              <w:rPr>
                <w:rFonts w:hint="eastAsia" w:ascii="Times New Roman" w:hAnsi="Times New Roman" w:eastAsia="仿宋_GB2312" w:cs="仿宋_GB2312"/>
              </w:rPr>
              <w:t>、甲砜霉素</w:t>
            </w:r>
          </w:p>
          <w:p w14:paraId="632BE601">
            <w:pPr>
              <w:snapToGrid w:val="0"/>
              <w:spacing w:line="440" w:lineRule="exact"/>
              <w:ind w:firstLine="397"/>
              <w:jc w:val="left"/>
              <w:rPr>
                <w:rFonts w:ascii="Times New Roman" w:hAnsi="Times New Roman" w:eastAsia="仿宋_GB2312" w:cs="Times New Roman"/>
              </w:rPr>
            </w:pPr>
            <w:r>
              <w:rPr>
                <w:rFonts w:hint="eastAsia" w:ascii="Times New Roman" w:hAnsi="Times New Roman" w:eastAsia="仿宋_GB2312" w:cs="仿宋_GB2312"/>
              </w:rPr>
              <w:t>禽肉</w:t>
            </w:r>
            <w:r>
              <w:rPr>
                <w:rFonts w:ascii="Times New Roman" w:hAnsi="Times New Roman" w:eastAsia="仿宋_GB2312" w:cs="Times New Roman"/>
              </w:rPr>
              <w:t>:</w:t>
            </w:r>
            <w:r>
              <w:rPr>
                <w:rFonts w:hint="eastAsia" w:ascii="Times New Roman" w:hAnsi="Times New Roman" w:eastAsia="仿宋_GB2312" w:cs="仿宋_GB2312"/>
              </w:rPr>
              <w:t>氟苯尼考</w:t>
            </w:r>
            <w:r>
              <w:rPr>
                <w:rFonts w:ascii="Times New Roman" w:hAnsi="Times New Roman" w:eastAsia="仿宋_GB2312" w:cs="Times New Roman"/>
              </w:rPr>
              <w:t>(</w:t>
            </w:r>
            <w:r>
              <w:rPr>
                <w:rFonts w:hint="eastAsia" w:ascii="Times New Roman" w:hAnsi="Times New Roman" w:eastAsia="仿宋_GB2312" w:cs="仿宋_GB2312"/>
              </w:rPr>
              <w:t>包括氟苯尼考胺</w:t>
            </w:r>
            <w:r>
              <w:rPr>
                <w:rFonts w:ascii="Times New Roman" w:hAnsi="Times New Roman" w:eastAsia="仿宋_GB2312" w:cs="Times New Roman"/>
              </w:rPr>
              <w:t>)</w:t>
            </w:r>
            <w:r>
              <w:rPr>
                <w:rFonts w:hint="eastAsia" w:ascii="Times New Roman" w:hAnsi="Times New Roman" w:eastAsia="仿宋_GB2312" w:cs="仿宋_GB2312"/>
              </w:rPr>
              <w:t>、甲砜霉素、金刚烷胺、氯霉素、氧氟沙星、培氟沙星、诺氟沙星、洛美沙星</w:t>
            </w:r>
          </w:p>
          <w:p w14:paraId="68D486E4">
            <w:pPr>
              <w:snapToGrid w:val="0"/>
              <w:spacing w:line="440" w:lineRule="exact"/>
              <w:ind w:firstLine="397"/>
              <w:jc w:val="left"/>
              <w:rPr>
                <w:rFonts w:ascii="Times New Roman" w:hAnsi="Times New Roman" w:eastAsia="仿宋_GB2312" w:cs="Times New Roman"/>
              </w:rPr>
            </w:pPr>
            <w:r>
              <w:rPr>
                <w:rFonts w:hint="eastAsia" w:ascii="Times New Roman" w:hAnsi="Times New Roman" w:eastAsia="仿宋_GB2312" w:cs="仿宋_GB2312"/>
              </w:rPr>
              <w:t>家畜类</w:t>
            </w:r>
            <w:r>
              <w:rPr>
                <w:rFonts w:ascii="Times New Roman" w:hAnsi="Times New Roman" w:eastAsia="仿宋_GB2312" w:cs="Times New Roman"/>
              </w:rPr>
              <w:t>:</w:t>
            </w:r>
            <w:r>
              <w:rPr>
                <w:rFonts w:hint="eastAsia" w:ascii="Times New Roman" w:hAnsi="Times New Roman" w:eastAsia="仿宋_GB2312" w:cs="仿宋_GB2312"/>
              </w:rPr>
              <w:t>克伦特罗、莱克多巴胺、沙丁胺醇、地塞米松、倍他</w:t>
            </w:r>
          </w:p>
          <w:p w14:paraId="077350D3">
            <w:pPr>
              <w:snapToGrid w:val="0"/>
              <w:spacing w:line="440" w:lineRule="exact"/>
              <w:ind w:firstLine="397" w:firstLineChars="0"/>
              <w:jc w:val="left"/>
              <w:rPr>
                <w:rFonts w:hint="eastAsia" w:ascii="Times New Roman" w:hAnsi="Times New Roman" w:eastAsia="黑体" w:cs="黑体"/>
              </w:rPr>
            </w:pPr>
            <w:r>
              <w:rPr>
                <w:rFonts w:hint="eastAsia" w:ascii="Times New Roman" w:hAnsi="Times New Roman" w:eastAsia="仿宋_GB2312" w:cs="仿宋_GB2312"/>
              </w:rPr>
              <w:t>米松、金霉素、土霉素、四环素</w:t>
            </w:r>
          </w:p>
        </w:tc>
      </w:tr>
      <w:tr w14:paraId="6F90BE9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A2C72">
            <w:pPr>
              <w:ind w:firstLine="398" w:firstLineChars="0"/>
              <w:jc w:val="center"/>
              <w:rPr>
                <w:rFonts w:hint="eastAsia" w:ascii="Times New Roman" w:hAnsi="Times New Roman" w:eastAsia="黑体" w:cs="黑体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</w:rPr>
              <w:t>水产品</w:t>
            </w:r>
          </w:p>
        </w:tc>
        <w:tc>
          <w:tcPr>
            <w:tcW w:w="327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5DB013">
            <w:pPr>
              <w:snapToGrid w:val="0"/>
              <w:spacing w:line="440" w:lineRule="exact"/>
              <w:ind w:firstLine="397"/>
              <w:jc w:val="left"/>
              <w:rPr>
                <w:rFonts w:ascii="Times New Roman" w:hAnsi="Times New Roman" w:eastAsia="仿宋_GB2312" w:cs="Times New Roman"/>
              </w:rPr>
            </w:pPr>
            <w:r>
              <w:rPr>
                <w:rFonts w:hint="eastAsia" w:ascii="Times New Roman" w:hAnsi="Times New Roman" w:eastAsia="仿宋_GB2312" w:cs="仿宋_GB2312"/>
              </w:rPr>
              <w:t>氯霉素、孔雀石绿、硝基呋喃类</w:t>
            </w:r>
            <w:r>
              <w:rPr>
                <w:rFonts w:ascii="Times New Roman" w:hAnsi="Times New Roman" w:eastAsia="仿宋_GB2312" w:cs="Times New Roman"/>
              </w:rPr>
              <w:t>(</w:t>
            </w:r>
            <w:r>
              <w:rPr>
                <w:rFonts w:hint="eastAsia" w:ascii="Times New Roman" w:hAnsi="Times New Roman" w:eastAsia="仿宋_GB2312" w:cs="仿宋_GB2312"/>
              </w:rPr>
              <w:t>包括代谢物</w:t>
            </w:r>
            <w:r>
              <w:rPr>
                <w:rFonts w:ascii="Times New Roman" w:hAnsi="Times New Roman" w:eastAsia="仿宋_GB2312" w:cs="Times New Roman"/>
              </w:rPr>
              <w:t>AOZ</w:t>
            </w:r>
            <w:r>
              <w:rPr>
                <w:rFonts w:hint="eastAsia" w:ascii="Times New Roman" w:hAnsi="Times New Roman" w:eastAsia="仿宋_GB2312" w:cs="仿宋_GB2312"/>
              </w:rPr>
              <w:t>、</w:t>
            </w:r>
            <w:r>
              <w:rPr>
                <w:rFonts w:ascii="Times New Roman" w:hAnsi="Times New Roman" w:eastAsia="仿宋_GB2312" w:cs="Times New Roman"/>
              </w:rPr>
              <w:t>AMOZ</w:t>
            </w:r>
            <w:r>
              <w:rPr>
                <w:rFonts w:hint="eastAsia" w:ascii="Times New Roman" w:hAnsi="Times New Roman" w:eastAsia="仿宋_GB2312" w:cs="仿宋_GB2312"/>
              </w:rPr>
              <w:t>、</w:t>
            </w:r>
          </w:p>
          <w:p w14:paraId="2528785B">
            <w:pPr>
              <w:snapToGrid w:val="0"/>
              <w:spacing w:line="440" w:lineRule="exact"/>
              <w:ind w:firstLine="397"/>
              <w:jc w:val="left"/>
              <w:rPr>
                <w:rFonts w:ascii="Times New Roman" w:hAnsi="Times New Roman" w:eastAsia="仿宋_GB2312" w:cs="Times New Roman"/>
              </w:rPr>
            </w:pPr>
            <w:r>
              <w:rPr>
                <w:rFonts w:ascii="Times New Roman" w:hAnsi="Times New Roman" w:eastAsia="仿宋_GB2312" w:cs="Times New Roman"/>
              </w:rPr>
              <w:t>AHD</w:t>
            </w:r>
            <w:r>
              <w:rPr>
                <w:rFonts w:hint="eastAsia" w:ascii="Times New Roman" w:hAnsi="Times New Roman" w:eastAsia="仿宋_GB2312" w:cs="仿宋_GB2312"/>
              </w:rPr>
              <w:t>、</w:t>
            </w:r>
            <w:r>
              <w:rPr>
                <w:rFonts w:ascii="Times New Roman" w:hAnsi="Times New Roman" w:eastAsia="仿宋_GB2312" w:cs="Times New Roman"/>
              </w:rPr>
              <w:t>SEM)</w:t>
            </w:r>
            <w:r>
              <w:rPr>
                <w:rFonts w:hint="eastAsia" w:ascii="Times New Roman" w:hAnsi="Times New Roman" w:eastAsia="仿宋_GB2312" w:cs="仿宋_GB2312"/>
              </w:rPr>
              <w:t>、氧氟沙星、培氟沙星、诺氟沙星、洛美沙星、地</w:t>
            </w:r>
          </w:p>
          <w:p w14:paraId="69061FA3">
            <w:pPr>
              <w:snapToGrid w:val="0"/>
              <w:spacing w:line="440" w:lineRule="exact"/>
              <w:ind w:firstLine="397" w:firstLineChars="0"/>
              <w:jc w:val="left"/>
              <w:rPr>
                <w:rFonts w:hint="eastAsia" w:ascii="Times New Roman" w:hAnsi="Times New Roman" w:eastAsia="黑体" w:cs="黑体"/>
              </w:rPr>
            </w:pPr>
            <w:r>
              <w:rPr>
                <w:rFonts w:hint="eastAsia" w:ascii="Times New Roman" w:hAnsi="Times New Roman" w:eastAsia="仿宋_GB2312" w:cs="仿宋_GB2312"/>
              </w:rPr>
              <w:t>西泮</w:t>
            </w:r>
          </w:p>
        </w:tc>
      </w:tr>
    </w:tbl>
    <w:p w14:paraId="1AE0041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color w:val="000000"/>
          <w:sz w:val="20"/>
        </w:rPr>
        <w:t>（六）采购预算及抽检批次</w:t>
      </w:r>
    </w:p>
    <w:p w14:paraId="6152C1F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rPr>
          <w:rFonts w:hint="eastAsia" w:ascii="仿宋_GB2312" w:hAnsi="仿宋_GB2312" w:eastAsia="仿宋_GB2312" w:cs="仿宋_GB2312"/>
          <w:color w:val="000000"/>
          <w:sz w:val="20"/>
        </w:rPr>
      </w:pPr>
      <w:r>
        <w:rPr>
          <w:rFonts w:ascii="仿宋_GB2312" w:hAnsi="仿宋_GB2312" w:eastAsia="仿宋_GB2312" w:cs="仿宋_GB2312"/>
          <w:color w:val="000000"/>
          <w:sz w:val="20"/>
        </w:rPr>
        <w:t>本标段预算</w:t>
      </w:r>
      <w:r>
        <w:rPr>
          <w:rFonts w:hint="eastAsia" w:ascii="仿宋_GB2312" w:hAnsi="仿宋_GB2312" w:eastAsia="仿宋_GB2312" w:cs="仿宋_GB2312"/>
          <w:color w:val="000000"/>
          <w:sz w:val="20"/>
          <w:lang w:val="en-US" w:eastAsia="zh-CN"/>
        </w:rPr>
        <w:t>40</w:t>
      </w:r>
      <w:r>
        <w:rPr>
          <w:rFonts w:ascii="仿宋_GB2312" w:hAnsi="仿宋_GB2312" w:eastAsia="仿宋_GB2312" w:cs="仿宋_GB2312"/>
          <w:color w:val="000000"/>
          <w:sz w:val="20"/>
        </w:rPr>
        <w:t>万元，包含</w:t>
      </w:r>
      <w:r>
        <w:rPr>
          <w:rFonts w:hint="eastAsia" w:ascii="仿宋_GB2312" w:hAnsi="仿宋_GB2312" w:eastAsia="仿宋_GB2312" w:cs="仿宋_GB2312"/>
          <w:color w:val="000000"/>
          <w:sz w:val="20"/>
        </w:rPr>
        <w:t>灞桥区</w:t>
      </w: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阎良区</w:t>
      </w: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临潼区</w:t>
      </w: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长安区</w:t>
      </w: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未央区</w:t>
      </w: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鄠邑区</w:t>
      </w: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高陵区</w:t>
      </w:r>
    </w:p>
    <w:p w14:paraId="22A2390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rPr>
          <w:rFonts w:hint="eastAsia" w:ascii="仿宋_GB2312" w:hAnsi="仿宋_GB2312" w:eastAsia="仿宋_GB2312" w:cs="仿宋_GB2312"/>
          <w:color w:val="000000"/>
          <w:sz w:val="20"/>
        </w:rPr>
      </w:pP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西咸新区</w:t>
      </w: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高新区</w:t>
      </w: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蓝田县</w:t>
      </w:r>
    </w:p>
    <w:p w14:paraId="4C96F2E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hint="eastAsia" w:ascii="仿宋_GB2312" w:hAnsi="仿宋_GB2312" w:eastAsia="仿宋_GB2312" w:cs="仿宋_GB2312"/>
          <w:color w:val="000000"/>
          <w:sz w:val="20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0"/>
        </w:rPr>
        <w:t>周至县</w:t>
      </w:r>
      <w:r>
        <w:rPr>
          <w:rFonts w:ascii="仿宋_GB2312" w:hAnsi="仿宋_GB2312" w:eastAsia="仿宋_GB2312" w:cs="仿宋_GB2312"/>
          <w:color w:val="000000"/>
          <w:sz w:val="20"/>
        </w:rPr>
        <w:t>共</w:t>
      </w:r>
      <w:r>
        <w:rPr>
          <w:rFonts w:hint="eastAsia" w:ascii="仿宋_GB2312" w:hAnsi="仿宋_GB2312" w:eastAsia="仿宋_GB2312" w:cs="仿宋_GB2312"/>
          <w:color w:val="000000"/>
          <w:sz w:val="20"/>
          <w:lang w:val="en-US" w:eastAsia="zh-CN"/>
        </w:rPr>
        <w:t>435</w:t>
      </w:r>
      <w:r>
        <w:rPr>
          <w:rFonts w:ascii="仿宋_GB2312" w:hAnsi="仿宋_GB2312" w:eastAsia="仿宋_GB2312" w:cs="仿宋_GB2312"/>
          <w:color w:val="000000"/>
          <w:sz w:val="20"/>
        </w:rPr>
        <w:t>批次。</w:t>
      </w:r>
    </w:p>
    <w:p w14:paraId="480D57D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三、服务要求</w:t>
      </w:r>
    </w:p>
    <w:p w14:paraId="40523A0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1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各任务承担单位每次抽样不低于两名专业工作人员，监督抽查过程必须现场制样并全程记录，确保程序合法合规。</w:t>
      </w:r>
    </w:p>
    <w:p w14:paraId="306E2845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2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同一基地、同一品种只能抽取1个样品，抽取样品总量不超过2个。</w:t>
      </w:r>
    </w:p>
    <w:p w14:paraId="4734E5D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  <w:rPr>
          <w:rFonts w:ascii="仿宋_GB2312" w:hAnsi="仿宋_GB2312" w:eastAsia="仿宋_GB2312" w:cs="仿宋_GB2312"/>
          <w:sz w:val="20"/>
        </w:rPr>
      </w:pPr>
      <w:r>
        <w:rPr>
          <w:rFonts w:ascii="仿宋_GB2312" w:hAnsi="仿宋_GB2312" w:eastAsia="仿宋_GB2312" w:cs="仿宋_GB2312"/>
          <w:sz w:val="20"/>
        </w:rPr>
        <w:t>3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任务承担单位抽取样品后要及时进行样品检测，抽检结果要“随检随报”，不合格样品检测结果要在 24 小时内通报采购方。</w:t>
      </w:r>
    </w:p>
    <w:p w14:paraId="03CE71E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highlight w:val="none"/>
        </w:rPr>
      </w:pPr>
      <w:r>
        <w:rPr>
          <w:rFonts w:ascii="仿宋_GB2312" w:hAnsi="仿宋_GB2312" w:eastAsia="仿宋_GB2312" w:cs="仿宋_GB2312"/>
          <w:sz w:val="21"/>
        </w:rPr>
        <w:t>4.所有检测报告均出具电子版和纸质版，不合格样品需附完整复检记录。</w:t>
      </w:r>
    </w:p>
    <w:p w14:paraId="0F496A35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24"/>
          <w:szCs w:val="2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0390A"/>
    <w:rsid w:val="282A5F30"/>
    <w:rsid w:val="2F60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99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  <w:rPr>
      <w:sz w:val="28"/>
      <w:szCs w:val="28"/>
    </w:rPr>
  </w:style>
  <w:style w:type="paragraph" w:styleId="3">
    <w:name w:val="index 5"/>
    <w:basedOn w:val="1"/>
    <w:next w:val="1"/>
    <w:semiHidden/>
    <w:qFormat/>
    <w:uiPriority w:val="99"/>
    <w:pPr>
      <w:ind w:left="1680"/>
    </w:p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812</Words>
  <Characters>828</Characters>
  <Lines>0</Lines>
  <Paragraphs>0</Paragraphs>
  <TotalTime>1</TotalTime>
  <ScaleCrop>false</ScaleCrop>
  <LinksUpToDate>false</LinksUpToDate>
  <CharactersWithSpaces>828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2026-05-29T06:50:00Z</dcterms:created>
  <dc:creator>Patton</dc:creator>
  <cp:lastModifiedBy>iuiuiu</cp:lastModifiedBy>
  <dcterms:modified xsi:type="dcterms:W3CDTF">2026-10-29T08:42:34Z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F9BD3B0A90DA4CB8B1DCF83ADDF12D57_11</vt:lpwstr>
  </property>
  <property fmtid="{D5CDD505-2E9C-101B-9397-08002B2CF9AE}" pid="4" name="KSOTemplateDocerSaveRecord">
    <vt:lpwstr>eyJoZGlkIjoiYjI2YTRlYzU2NmQwMzc1YjQwN2Q0NzhkM2M0MWI5YTgiLCJ1c2VySWQiOiIyMDc5MTM3MDcifQ==</vt:lpwstr>
  </property>
</Properties>
</file>