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F4C553">
      <w:pPr>
        <w:keepNext w:val="0"/>
        <w:keepLines w:val="0"/>
        <w:pageBreakBefore w:val="0"/>
        <w:widowControl/>
        <w:kinsoku/>
        <w:wordWrap/>
        <w:overflowPunct/>
        <w:topLinePunct w:val="0"/>
        <w:autoSpaceDE/>
        <w:autoSpaceDN/>
        <w:bidi w:val="0"/>
        <w:adjustRightInd/>
        <w:spacing w:line="800" w:lineRule="exact"/>
        <w:jc w:val="left"/>
        <w:textAlignment w:val="auto"/>
        <w:outlineLvl w:val="9"/>
        <w:rPr>
          <w:rFonts w:hint="eastAsia" w:ascii="宋体" w:hAnsi="宋体" w:eastAsia="宋体" w:cs="宋体"/>
          <w:b/>
          <w:sz w:val="32"/>
          <w:szCs w:val="32"/>
          <w:highlight w:val="none"/>
          <w:lang w:eastAsia="zh-CN"/>
        </w:rPr>
      </w:pPr>
      <w:bookmarkStart w:id="0" w:name="_Toc13625"/>
      <w:bookmarkStart w:id="1" w:name="_Toc15068"/>
      <w:r>
        <w:rPr>
          <w:rFonts w:hint="eastAsia" w:ascii="宋体" w:hAnsi="宋体" w:eastAsia="宋体" w:cs="宋体"/>
          <w:b/>
          <w:sz w:val="32"/>
          <w:szCs w:val="32"/>
          <w:highlight w:val="none"/>
        </w:rPr>
        <w:t>项目编号</w:t>
      </w:r>
      <w:bookmarkEnd w:id="0"/>
      <w:bookmarkEnd w:id="1"/>
      <w:r>
        <w:rPr>
          <w:rFonts w:hint="eastAsia" w:ascii="宋体" w:hAnsi="宋体" w:eastAsia="宋体" w:cs="宋体"/>
          <w:b/>
          <w:sz w:val="32"/>
          <w:szCs w:val="32"/>
          <w:highlight w:val="none"/>
          <w:lang w:eastAsia="zh-CN"/>
        </w:rPr>
        <w:t>：</w:t>
      </w:r>
      <w:r>
        <w:rPr>
          <w:rFonts w:hint="eastAsia" w:ascii="宋体" w:hAnsi="宋体" w:eastAsia="宋体" w:cs="宋体"/>
          <w:b/>
          <w:sz w:val="32"/>
          <w:szCs w:val="32"/>
          <w:highlight w:val="none"/>
          <w:lang w:val="en-US" w:eastAsia="zh-CN"/>
        </w:rPr>
        <w:t>CGZC-2026-028</w:t>
      </w:r>
    </w:p>
    <w:p w14:paraId="0CA19C4D">
      <w:pPr>
        <w:keepNext w:val="0"/>
        <w:keepLines w:val="0"/>
        <w:pageBreakBefore w:val="0"/>
        <w:widowControl/>
        <w:kinsoku/>
        <w:wordWrap/>
        <w:overflowPunct/>
        <w:topLinePunct w:val="0"/>
        <w:autoSpaceDE/>
        <w:autoSpaceDN/>
        <w:bidi w:val="0"/>
        <w:adjustRightInd/>
        <w:spacing w:line="800" w:lineRule="exact"/>
        <w:jc w:val="left"/>
        <w:textAlignment w:val="auto"/>
        <w:outlineLvl w:val="9"/>
        <w:rPr>
          <w:rFonts w:hint="eastAsia" w:ascii="宋体" w:hAnsi="宋体" w:eastAsia="宋体" w:cs="宋体"/>
          <w:b/>
          <w:sz w:val="32"/>
          <w:szCs w:val="32"/>
          <w:highlight w:val="none"/>
          <w:lang w:val="en-US" w:eastAsia="zh-CN"/>
        </w:rPr>
      </w:pPr>
    </w:p>
    <w:p w14:paraId="206BC91F">
      <w:pPr>
        <w:pStyle w:val="16"/>
        <w:keepNext w:val="0"/>
        <w:keepLines w:val="0"/>
        <w:pageBreakBefore w:val="0"/>
        <w:widowControl/>
        <w:kinsoku/>
        <w:wordWrap/>
        <w:overflowPunct/>
        <w:topLinePunct w:val="0"/>
        <w:autoSpaceDE/>
        <w:autoSpaceDN/>
        <w:bidi w:val="0"/>
        <w:adjustRightInd/>
        <w:textAlignment w:val="auto"/>
        <w:outlineLvl w:val="9"/>
        <w:rPr>
          <w:rFonts w:hint="eastAsia" w:ascii="宋体" w:hAnsi="宋体" w:eastAsia="宋体" w:cs="宋体"/>
          <w:b/>
          <w:color w:val="auto"/>
          <w:sz w:val="28"/>
          <w:szCs w:val="28"/>
          <w:highlight w:val="none"/>
        </w:rPr>
      </w:pPr>
    </w:p>
    <w:p w14:paraId="33825404">
      <w:pPr>
        <w:pStyle w:val="16"/>
        <w:keepNext w:val="0"/>
        <w:keepLines w:val="0"/>
        <w:pageBreakBefore w:val="0"/>
        <w:widowControl/>
        <w:kinsoku/>
        <w:wordWrap/>
        <w:overflowPunct/>
        <w:topLinePunct w:val="0"/>
        <w:autoSpaceDE/>
        <w:autoSpaceDN/>
        <w:bidi w:val="0"/>
        <w:adjustRightInd/>
        <w:textAlignment w:val="auto"/>
        <w:outlineLvl w:val="9"/>
        <w:rPr>
          <w:rFonts w:hint="eastAsia" w:ascii="宋体" w:hAnsi="宋体" w:eastAsia="宋体" w:cs="宋体"/>
          <w:color w:val="auto"/>
          <w:sz w:val="28"/>
          <w:szCs w:val="28"/>
          <w:highlight w:val="none"/>
          <w:lang w:val="en-US" w:eastAsia="zh-CN"/>
        </w:rPr>
      </w:pPr>
    </w:p>
    <w:p w14:paraId="4B573A51">
      <w:pPr>
        <w:rPr>
          <w:rFonts w:hint="eastAsia"/>
          <w:lang w:val="en-US" w:eastAsia="zh-CN"/>
        </w:rPr>
      </w:pPr>
    </w:p>
    <w:p w14:paraId="2AF7BC39">
      <w:pPr>
        <w:bidi w:val="0"/>
        <w:jc w:val="center"/>
        <w:rPr>
          <w:rFonts w:hint="eastAsia" w:ascii="宋体" w:hAnsi="宋体" w:eastAsia="宋体" w:cs="宋体"/>
          <w:b/>
          <w:sz w:val="52"/>
          <w:szCs w:val="48"/>
          <w:highlight w:val="none"/>
          <w:lang w:val="en-US" w:eastAsia="zh-CN"/>
        </w:rPr>
      </w:pPr>
      <w:r>
        <w:rPr>
          <w:rFonts w:hint="eastAsia" w:ascii="宋体" w:hAnsi="宋体" w:eastAsia="宋体" w:cs="宋体"/>
          <w:b/>
          <w:sz w:val="52"/>
          <w:szCs w:val="48"/>
          <w:highlight w:val="none"/>
          <w:lang w:val="en-US" w:eastAsia="zh-CN"/>
        </w:rPr>
        <w:t>新筑垃圾压缩站2026-2027年度</w:t>
      </w:r>
    </w:p>
    <w:p w14:paraId="0539D5EE">
      <w:pPr>
        <w:bidi w:val="0"/>
        <w:jc w:val="center"/>
        <w:rPr>
          <w:rFonts w:hint="eastAsia"/>
        </w:rPr>
      </w:pPr>
      <w:r>
        <w:rPr>
          <w:rFonts w:hint="eastAsia" w:ascii="宋体" w:hAnsi="宋体" w:eastAsia="宋体" w:cs="宋体"/>
          <w:b/>
          <w:sz w:val="52"/>
          <w:szCs w:val="48"/>
          <w:highlight w:val="none"/>
          <w:lang w:val="en-US" w:eastAsia="zh-CN"/>
        </w:rPr>
        <w:t>运维服务项目</w:t>
      </w:r>
    </w:p>
    <w:p w14:paraId="3A207CC1">
      <w:pPr>
        <w:bidi w:val="0"/>
        <w:rPr>
          <w:rFonts w:hint="eastAsia"/>
        </w:rPr>
      </w:pPr>
    </w:p>
    <w:p w14:paraId="5AAAE73F">
      <w:pPr>
        <w:bidi w:val="0"/>
        <w:rPr>
          <w:rFonts w:hint="eastAsia"/>
        </w:rPr>
      </w:pPr>
    </w:p>
    <w:p w14:paraId="28F89048">
      <w:pPr>
        <w:keepNext w:val="0"/>
        <w:keepLines w:val="0"/>
        <w:pageBreakBefore w:val="0"/>
        <w:widowControl/>
        <w:tabs>
          <w:tab w:val="left" w:pos="5145"/>
        </w:tabs>
        <w:kinsoku/>
        <w:wordWrap/>
        <w:overflowPunct/>
        <w:topLinePunct w:val="0"/>
        <w:autoSpaceDE/>
        <w:autoSpaceDN/>
        <w:bidi w:val="0"/>
        <w:adjustRightInd/>
        <w:spacing w:line="1400" w:lineRule="atLeast"/>
        <w:jc w:val="center"/>
        <w:textAlignment w:val="auto"/>
        <w:outlineLvl w:val="9"/>
        <w:rPr>
          <w:rFonts w:hint="eastAsia" w:ascii="宋体" w:hAnsi="宋体" w:eastAsia="宋体" w:cs="宋体"/>
          <w:b/>
          <w:sz w:val="64"/>
          <w:szCs w:val="56"/>
          <w:highlight w:val="none"/>
        </w:rPr>
      </w:pPr>
      <w:bookmarkStart w:id="2" w:name="_Toc14588"/>
      <w:bookmarkStart w:id="3" w:name="_Toc15337"/>
      <w:r>
        <w:rPr>
          <w:rFonts w:hint="eastAsia" w:ascii="宋体" w:hAnsi="宋体" w:eastAsia="宋体" w:cs="宋体"/>
          <w:b/>
          <w:sz w:val="64"/>
          <w:szCs w:val="56"/>
          <w:highlight w:val="none"/>
          <w:lang w:eastAsia="zh-CN"/>
        </w:rPr>
        <w:t>公开招标</w:t>
      </w:r>
      <w:r>
        <w:rPr>
          <w:rFonts w:hint="eastAsia" w:ascii="宋体" w:hAnsi="宋体" w:eastAsia="宋体" w:cs="宋体"/>
          <w:b/>
          <w:sz w:val="64"/>
          <w:szCs w:val="56"/>
          <w:highlight w:val="none"/>
        </w:rPr>
        <w:t>文件</w:t>
      </w:r>
      <w:bookmarkEnd w:id="2"/>
      <w:bookmarkEnd w:id="3"/>
    </w:p>
    <w:p w14:paraId="46D241F9">
      <w:pPr>
        <w:pStyle w:val="20"/>
        <w:keepNext w:val="0"/>
        <w:keepLines w:val="0"/>
        <w:pageBreakBefore w:val="0"/>
        <w:widowControl/>
        <w:kinsoku/>
        <w:wordWrap/>
        <w:overflowPunct/>
        <w:topLinePunct w:val="0"/>
        <w:autoSpaceDE/>
        <w:autoSpaceDN/>
        <w:bidi w:val="0"/>
        <w:adjustRightInd/>
        <w:textAlignment w:val="auto"/>
        <w:outlineLvl w:val="9"/>
        <w:rPr>
          <w:rFonts w:hint="eastAsia" w:ascii="宋体" w:hAnsi="宋体" w:eastAsia="宋体" w:cs="宋体"/>
          <w:b/>
          <w:sz w:val="52"/>
          <w:szCs w:val="52"/>
          <w:highlight w:val="none"/>
        </w:rPr>
      </w:pPr>
    </w:p>
    <w:p w14:paraId="3D126605">
      <w:pPr>
        <w:pStyle w:val="20"/>
        <w:keepNext w:val="0"/>
        <w:keepLines w:val="0"/>
        <w:pageBreakBefore w:val="0"/>
        <w:widowControl/>
        <w:kinsoku/>
        <w:wordWrap/>
        <w:overflowPunct/>
        <w:topLinePunct w:val="0"/>
        <w:autoSpaceDE/>
        <w:autoSpaceDN/>
        <w:bidi w:val="0"/>
        <w:adjustRightInd/>
        <w:textAlignment w:val="auto"/>
        <w:outlineLvl w:val="9"/>
        <w:rPr>
          <w:rFonts w:hint="eastAsia" w:ascii="宋体" w:hAnsi="宋体" w:eastAsia="宋体" w:cs="宋体"/>
          <w:b/>
          <w:sz w:val="52"/>
          <w:szCs w:val="52"/>
          <w:highlight w:val="none"/>
        </w:rPr>
      </w:pPr>
    </w:p>
    <w:p w14:paraId="180DC6E9">
      <w:pPr>
        <w:pStyle w:val="20"/>
        <w:keepNext w:val="0"/>
        <w:keepLines w:val="0"/>
        <w:pageBreakBefore w:val="0"/>
        <w:widowControl/>
        <w:kinsoku/>
        <w:wordWrap/>
        <w:overflowPunct/>
        <w:topLinePunct w:val="0"/>
        <w:autoSpaceDE/>
        <w:autoSpaceDN/>
        <w:bidi w:val="0"/>
        <w:adjustRightInd/>
        <w:textAlignment w:val="auto"/>
        <w:outlineLvl w:val="9"/>
        <w:rPr>
          <w:rFonts w:hint="eastAsia" w:ascii="宋体" w:hAnsi="宋体" w:eastAsia="宋体" w:cs="宋体"/>
          <w:b/>
          <w:sz w:val="52"/>
          <w:szCs w:val="52"/>
          <w:highlight w:val="none"/>
        </w:rPr>
      </w:pPr>
    </w:p>
    <w:p w14:paraId="1BBF2AF4">
      <w:pPr>
        <w:pStyle w:val="20"/>
        <w:keepNext w:val="0"/>
        <w:keepLines w:val="0"/>
        <w:pageBreakBefore w:val="0"/>
        <w:widowControl/>
        <w:kinsoku/>
        <w:wordWrap/>
        <w:overflowPunct/>
        <w:topLinePunct w:val="0"/>
        <w:autoSpaceDE/>
        <w:autoSpaceDN/>
        <w:bidi w:val="0"/>
        <w:adjustRightInd/>
        <w:textAlignment w:val="auto"/>
        <w:outlineLvl w:val="9"/>
        <w:rPr>
          <w:rFonts w:hint="eastAsia" w:ascii="宋体" w:hAnsi="宋体" w:eastAsia="宋体" w:cs="宋体"/>
          <w:b/>
          <w:sz w:val="52"/>
          <w:szCs w:val="52"/>
          <w:highlight w:val="none"/>
        </w:rPr>
      </w:pPr>
    </w:p>
    <w:p w14:paraId="6D0C3C81">
      <w:pPr>
        <w:pStyle w:val="20"/>
        <w:keepNext w:val="0"/>
        <w:keepLines w:val="0"/>
        <w:pageBreakBefore w:val="0"/>
        <w:widowControl/>
        <w:kinsoku/>
        <w:wordWrap/>
        <w:overflowPunct/>
        <w:topLinePunct w:val="0"/>
        <w:autoSpaceDE/>
        <w:autoSpaceDN/>
        <w:bidi w:val="0"/>
        <w:adjustRightInd/>
        <w:textAlignment w:val="auto"/>
        <w:outlineLvl w:val="9"/>
        <w:rPr>
          <w:rFonts w:hint="eastAsia" w:ascii="宋体" w:hAnsi="宋体" w:eastAsia="宋体" w:cs="宋体"/>
          <w:b/>
          <w:sz w:val="52"/>
          <w:szCs w:val="52"/>
          <w:highlight w:val="none"/>
        </w:rPr>
      </w:pPr>
    </w:p>
    <w:p w14:paraId="612C782E">
      <w:pPr>
        <w:pStyle w:val="20"/>
        <w:keepNext w:val="0"/>
        <w:keepLines w:val="0"/>
        <w:pageBreakBefore w:val="0"/>
        <w:widowControl/>
        <w:kinsoku/>
        <w:wordWrap/>
        <w:overflowPunct/>
        <w:topLinePunct w:val="0"/>
        <w:autoSpaceDE/>
        <w:autoSpaceDN/>
        <w:bidi w:val="0"/>
        <w:adjustRightInd/>
        <w:textAlignment w:val="auto"/>
        <w:outlineLvl w:val="9"/>
        <w:rPr>
          <w:rFonts w:hint="eastAsia" w:ascii="宋体" w:hAnsi="宋体" w:eastAsia="宋体" w:cs="宋体"/>
          <w:b/>
          <w:sz w:val="52"/>
          <w:szCs w:val="52"/>
          <w:highlight w:val="none"/>
        </w:rPr>
      </w:pPr>
    </w:p>
    <w:p w14:paraId="7ABC0B8B">
      <w:pPr>
        <w:keepNext w:val="0"/>
        <w:keepLines w:val="0"/>
        <w:pageBreakBefore w:val="0"/>
        <w:widowControl/>
        <w:kinsoku/>
        <w:wordWrap/>
        <w:overflowPunct/>
        <w:topLinePunct w:val="0"/>
        <w:autoSpaceDE/>
        <w:autoSpaceDN/>
        <w:bidi w:val="0"/>
        <w:adjustRightInd/>
        <w:snapToGrid/>
        <w:spacing w:line="480" w:lineRule="auto"/>
        <w:ind w:firstLine="1120" w:firstLineChars="350"/>
        <w:textAlignment w:val="auto"/>
        <w:outlineLvl w:val="9"/>
        <w:rPr>
          <w:rFonts w:hint="default" w:ascii="宋体" w:hAnsi="宋体" w:eastAsia="宋体" w:cs="宋体"/>
          <w:b/>
          <w:sz w:val="32"/>
          <w:szCs w:val="32"/>
          <w:highlight w:val="none"/>
          <w:lang w:val="en-US" w:eastAsia="zh-CN"/>
        </w:rPr>
      </w:pPr>
      <w:bookmarkStart w:id="4" w:name="_Toc2655"/>
      <w:bookmarkStart w:id="5" w:name="_Toc12262"/>
      <w:r>
        <w:rPr>
          <w:rFonts w:hint="eastAsia" w:ascii="宋体" w:hAnsi="宋体" w:eastAsia="宋体" w:cs="宋体"/>
          <w:b/>
          <w:sz w:val="32"/>
          <w:szCs w:val="32"/>
          <w:highlight w:val="none"/>
        </w:rPr>
        <w:t>采购人：</w:t>
      </w:r>
      <w:bookmarkEnd w:id="4"/>
      <w:bookmarkEnd w:id="5"/>
      <w:r>
        <w:rPr>
          <w:rFonts w:hint="eastAsia" w:ascii="宋体" w:hAnsi="宋体" w:eastAsia="宋体" w:cs="宋体"/>
          <w:b/>
          <w:sz w:val="32"/>
          <w:szCs w:val="32"/>
          <w:highlight w:val="none"/>
          <w:lang w:val="en-US" w:eastAsia="zh-CN"/>
        </w:rPr>
        <w:t>西安市灞桥区人民政府新筑街道办事处</w:t>
      </w:r>
    </w:p>
    <w:p w14:paraId="1E45D489">
      <w:pPr>
        <w:keepNext w:val="0"/>
        <w:keepLines w:val="0"/>
        <w:pageBreakBefore w:val="0"/>
        <w:widowControl/>
        <w:kinsoku/>
        <w:wordWrap/>
        <w:overflowPunct/>
        <w:topLinePunct w:val="0"/>
        <w:autoSpaceDE/>
        <w:autoSpaceDN/>
        <w:bidi w:val="0"/>
        <w:adjustRightInd/>
        <w:snapToGrid/>
        <w:spacing w:line="480" w:lineRule="auto"/>
        <w:ind w:firstLine="1120" w:firstLineChars="350"/>
        <w:textAlignment w:val="auto"/>
        <w:outlineLvl w:val="9"/>
        <w:rPr>
          <w:rFonts w:hint="eastAsia" w:ascii="宋体" w:hAnsi="宋体" w:eastAsia="宋体" w:cs="宋体"/>
          <w:b/>
          <w:sz w:val="32"/>
          <w:szCs w:val="32"/>
          <w:highlight w:val="none"/>
        </w:rPr>
      </w:pPr>
      <w:bookmarkStart w:id="6" w:name="_Toc9269"/>
      <w:bookmarkStart w:id="7" w:name="_Toc2128"/>
      <w:bookmarkStart w:id="8" w:name="_Toc16289"/>
      <w:r>
        <w:rPr>
          <w:rFonts w:hint="eastAsia" w:ascii="宋体" w:hAnsi="宋体" w:eastAsia="宋体" w:cs="宋体"/>
          <w:b/>
          <w:sz w:val="32"/>
          <w:szCs w:val="32"/>
          <w:highlight w:val="none"/>
        </w:rPr>
        <w:t>采购代理机构：</w:t>
      </w:r>
      <w:bookmarkEnd w:id="6"/>
      <w:r>
        <w:rPr>
          <w:rFonts w:hint="eastAsia" w:ascii="宋体" w:hAnsi="宋体" w:eastAsia="宋体" w:cs="宋体"/>
          <w:b/>
          <w:sz w:val="32"/>
          <w:szCs w:val="32"/>
          <w:highlight w:val="none"/>
        </w:rPr>
        <w:t>华晟国际项目管理有限公司</w:t>
      </w:r>
      <w:bookmarkEnd w:id="7"/>
      <w:bookmarkEnd w:id="8"/>
    </w:p>
    <w:p w14:paraId="003CA6DB">
      <w:pPr>
        <w:keepNext w:val="0"/>
        <w:keepLines w:val="0"/>
        <w:pageBreakBefore w:val="0"/>
        <w:widowControl/>
        <w:kinsoku/>
        <w:wordWrap/>
        <w:overflowPunct/>
        <w:topLinePunct w:val="0"/>
        <w:autoSpaceDE/>
        <w:autoSpaceDN/>
        <w:bidi w:val="0"/>
        <w:adjustRightInd/>
        <w:snapToGrid/>
        <w:spacing w:line="480" w:lineRule="auto"/>
        <w:ind w:firstLine="1120" w:firstLineChars="350"/>
        <w:textAlignment w:val="auto"/>
        <w:outlineLvl w:val="9"/>
        <w:rPr>
          <w:rFonts w:hint="eastAsia" w:ascii="宋体" w:hAnsi="宋体" w:eastAsia="宋体" w:cs="宋体"/>
          <w:b/>
          <w:sz w:val="21"/>
          <w:szCs w:val="21"/>
          <w:highlight w:val="none"/>
        </w:rPr>
      </w:pPr>
      <w:bookmarkStart w:id="9" w:name="_Toc221"/>
      <w:bookmarkStart w:id="10" w:name="_Toc2766"/>
      <w:r>
        <w:rPr>
          <w:rFonts w:hint="eastAsia" w:ascii="宋体" w:hAnsi="宋体" w:eastAsia="宋体" w:cs="宋体"/>
          <w:b/>
          <w:sz w:val="32"/>
          <w:szCs w:val="32"/>
          <w:highlight w:val="none"/>
        </w:rPr>
        <w:t>日        期：二〇二</w:t>
      </w:r>
      <w:r>
        <w:rPr>
          <w:rFonts w:hint="eastAsia" w:ascii="宋体" w:hAnsi="宋体" w:eastAsia="宋体" w:cs="宋体"/>
          <w:b/>
          <w:sz w:val="32"/>
          <w:szCs w:val="32"/>
          <w:highlight w:val="none"/>
          <w:lang w:val="en-US" w:eastAsia="zh-CN"/>
        </w:rPr>
        <w:t>六</w:t>
      </w:r>
      <w:r>
        <w:rPr>
          <w:rFonts w:hint="eastAsia" w:ascii="宋体" w:hAnsi="宋体" w:eastAsia="宋体" w:cs="宋体"/>
          <w:b/>
          <w:sz w:val="32"/>
          <w:szCs w:val="32"/>
          <w:highlight w:val="none"/>
        </w:rPr>
        <w:t>年</w:t>
      </w:r>
      <w:r>
        <w:rPr>
          <w:rFonts w:hint="eastAsia" w:ascii="宋体" w:hAnsi="宋体" w:eastAsia="宋体" w:cs="宋体"/>
          <w:b/>
          <w:sz w:val="32"/>
          <w:szCs w:val="32"/>
          <w:highlight w:val="none"/>
          <w:lang w:val="en-US" w:eastAsia="zh-CN"/>
        </w:rPr>
        <w:t>五</w:t>
      </w:r>
      <w:r>
        <w:rPr>
          <w:rFonts w:hint="eastAsia" w:ascii="宋体" w:hAnsi="宋体" w:eastAsia="宋体" w:cs="宋体"/>
          <w:b/>
          <w:sz w:val="32"/>
          <w:szCs w:val="32"/>
          <w:highlight w:val="none"/>
        </w:rPr>
        <w:t>月</w:t>
      </w:r>
      <w:bookmarkEnd w:id="9"/>
      <w:bookmarkEnd w:id="10"/>
    </w:p>
    <w:p w14:paraId="4B5840B9">
      <w:pPr>
        <w:spacing w:line="560" w:lineRule="exact"/>
        <w:jc w:val="center"/>
        <w:rPr>
          <w:rFonts w:hint="eastAsia" w:ascii="宋体" w:hAnsi="宋体" w:eastAsia="宋体" w:cs="宋体"/>
          <w:sz w:val="32"/>
          <w:szCs w:val="32"/>
        </w:rPr>
        <w:sectPr>
          <w:headerReference r:id="rId3" w:type="default"/>
          <w:headerReference r:id="rId4" w:type="even"/>
          <w:pgSz w:w="11906" w:h="16838"/>
          <w:pgMar w:top="1440" w:right="1083" w:bottom="1440" w:left="1519" w:header="851" w:footer="992" w:gutter="0"/>
          <w:cols w:space="425" w:num="1"/>
          <w:docGrid w:type="linesAndChars" w:linePitch="420" w:charSpace="0"/>
        </w:sectPr>
      </w:pPr>
    </w:p>
    <w:sdt>
      <w:sdtPr>
        <w:rPr>
          <w:rFonts w:hint="eastAsia" w:ascii="宋体" w:hAnsi="宋体" w:eastAsia="宋体" w:cs="宋体"/>
          <w:sz w:val="21"/>
          <w:szCs w:val="24"/>
          <w:lang w:val="en-US" w:eastAsia="zh-CN" w:bidi="ar-SA"/>
        </w:rPr>
        <w:id w:val="147470118"/>
        <w15:color w:val="DBDBDB"/>
        <w:docPartObj>
          <w:docPartGallery w:val="Table of Contents"/>
          <w:docPartUnique/>
        </w:docPartObj>
      </w:sdtPr>
      <w:sdtEndPr>
        <w:rPr>
          <w:rFonts w:hint="eastAsia" w:ascii="宋体" w:hAnsi="宋体" w:eastAsia="宋体" w:cs="宋体"/>
          <w:sz w:val="21"/>
          <w:szCs w:val="24"/>
          <w:lang w:val="en-US" w:eastAsia="zh-CN" w:bidi="ar-SA"/>
        </w:rPr>
      </w:sdtEndPr>
      <w:sdtContent>
        <w:p w14:paraId="0C4FC541">
          <w:pPr>
            <w:spacing w:before="0" w:beforeLines="0" w:after="0" w:afterLines="0" w:line="240" w:lineRule="auto"/>
            <w:ind w:left="0" w:leftChars="0" w:right="0" w:rightChars="0" w:firstLine="0" w:firstLineChars="0"/>
            <w:jc w:val="center"/>
            <w:rPr>
              <w:rFonts w:hint="eastAsia" w:ascii="宋体" w:hAnsi="宋体" w:eastAsia="宋体" w:cs="宋体"/>
              <w:b/>
              <w:bCs/>
              <w:sz w:val="52"/>
              <w:szCs w:val="52"/>
            </w:rPr>
          </w:pPr>
          <w:r>
            <w:rPr>
              <w:rFonts w:hint="eastAsia" w:ascii="宋体" w:hAnsi="宋体" w:eastAsia="宋体" w:cs="宋体"/>
              <w:b/>
              <w:bCs/>
              <w:sz w:val="44"/>
              <w:szCs w:val="52"/>
            </w:rPr>
            <w:t>目</w:t>
          </w:r>
          <w:r>
            <w:rPr>
              <w:rFonts w:hint="eastAsia" w:ascii="宋体" w:hAnsi="宋体" w:eastAsia="宋体" w:cs="宋体"/>
              <w:b/>
              <w:bCs/>
              <w:sz w:val="44"/>
              <w:szCs w:val="52"/>
              <w:lang w:val="en-US" w:eastAsia="zh-CN"/>
            </w:rPr>
            <w:t xml:space="preserve">  </w:t>
          </w:r>
          <w:r>
            <w:rPr>
              <w:rFonts w:hint="eastAsia" w:ascii="宋体" w:hAnsi="宋体" w:eastAsia="宋体" w:cs="宋体"/>
              <w:b/>
              <w:bCs/>
              <w:sz w:val="44"/>
              <w:szCs w:val="52"/>
            </w:rPr>
            <w:t>录</w:t>
          </w:r>
        </w:p>
        <w:p w14:paraId="61FAD4B2">
          <w:pPr>
            <w:pStyle w:val="22"/>
            <w:tabs>
              <w:tab w:val="right" w:leader="dot" w:pos="9304"/>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TOC \o "1-1" \h \u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_Toc8543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highlight w:val="none"/>
              <w:lang w:eastAsia="zh-CN"/>
            </w:rPr>
            <w:t>第一章</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lang w:eastAsia="zh-CN"/>
            </w:rPr>
            <w:t xml:space="preserve"> 招标公告</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_Toc8543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1</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p>
        <w:p w14:paraId="592C4D82">
          <w:pPr>
            <w:pStyle w:val="22"/>
            <w:tabs>
              <w:tab w:val="right" w:leader="dot" w:pos="9304"/>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_Toc9510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第二章  供应商须知</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_Toc9510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5</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p>
        <w:p w14:paraId="0F1FA320">
          <w:pPr>
            <w:pStyle w:val="22"/>
            <w:tabs>
              <w:tab w:val="right" w:leader="dot" w:pos="9304"/>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_Toc26456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highlight w:val="none"/>
            </w:rPr>
            <w:t>第三章  招标内容及要求</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_Toc26456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47</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p>
        <w:p w14:paraId="7D1323E4">
          <w:pPr>
            <w:pStyle w:val="22"/>
            <w:tabs>
              <w:tab w:val="right" w:leader="dot" w:pos="9304"/>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_Toc5152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highlight w:val="none"/>
            </w:rPr>
            <w:t>第四章  商务及合同文本</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_Toc5152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53</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p>
        <w:p w14:paraId="677E9FAC">
          <w:pPr>
            <w:pStyle w:val="22"/>
            <w:tabs>
              <w:tab w:val="right" w:leader="dot" w:pos="9304"/>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_Toc24544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第五章  投标文件构成及格式</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_Toc24544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67</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p>
        <w:p w14:paraId="0A1021FF">
          <w:pPr>
            <w:spacing w:line="360" w:lineRule="auto"/>
            <w:rPr>
              <w:rFonts w:hint="eastAsia" w:ascii="宋体" w:hAnsi="宋体" w:eastAsia="宋体" w:cs="宋体"/>
            </w:rPr>
          </w:pPr>
          <w:r>
            <w:rPr>
              <w:rFonts w:hint="eastAsia" w:ascii="宋体" w:hAnsi="宋体" w:eastAsia="宋体" w:cs="宋体"/>
              <w:b/>
              <w:bCs/>
              <w:sz w:val="32"/>
              <w:szCs w:val="32"/>
            </w:rPr>
            <w:fldChar w:fldCharType="end"/>
          </w:r>
        </w:p>
      </w:sdtContent>
    </w:sdt>
    <w:p w14:paraId="25F3E53B">
      <w:pPr>
        <w:rPr>
          <w:rFonts w:hint="eastAsia" w:ascii="宋体" w:hAnsi="宋体" w:eastAsia="宋体" w:cs="宋体"/>
          <w:b/>
          <w:bCs/>
          <w:sz w:val="32"/>
          <w:szCs w:val="32"/>
          <w:highlight w:val="none"/>
          <w:lang w:eastAsia="zh-CN"/>
        </w:rPr>
        <w:sectPr>
          <w:footerReference r:id="rId5" w:type="default"/>
          <w:footerReference r:id="rId6" w:type="even"/>
          <w:pgSz w:w="11906" w:h="16838"/>
          <w:pgMar w:top="1440" w:right="1083" w:bottom="1440" w:left="1519" w:header="851" w:footer="992" w:gutter="0"/>
          <w:pgNumType w:fmt="decimal" w:start="1"/>
          <w:cols w:space="425" w:num="1"/>
          <w:docGrid w:type="linesAndChars" w:linePitch="420" w:charSpace="0"/>
        </w:sectPr>
      </w:pPr>
    </w:p>
    <w:p w14:paraId="337647D3">
      <w:pPr>
        <w:pStyle w:val="2"/>
        <w:tabs>
          <w:tab w:val="left" w:pos="4631"/>
        </w:tabs>
        <w:ind w:right="113"/>
        <w:jc w:val="center"/>
        <w:rPr>
          <w:rFonts w:hint="eastAsia" w:ascii="宋体" w:hAnsi="宋体" w:eastAsia="宋体" w:cs="宋体"/>
          <w:sz w:val="30"/>
          <w:szCs w:val="30"/>
          <w:highlight w:val="none"/>
          <w:lang w:eastAsia="zh-CN"/>
        </w:rPr>
      </w:pPr>
      <w:bookmarkStart w:id="42" w:name="_GoBack"/>
      <w:bookmarkEnd w:id="42"/>
      <w:bookmarkStart w:id="11" w:name="_Toc8543"/>
      <w:r>
        <w:rPr>
          <w:rFonts w:hint="eastAsia" w:ascii="宋体" w:hAnsi="宋体" w:eastAsia="宋体" w:cs="宋体"/>
          <w:b/>
          <w:bCs/>
          <w:sz w:val="32"/>
          <w:szCs w:val="32"/>
          <w:highlight w:val="none"/>
          <w:lang w:eastAsia="zh-CN"/>
        </w:rPr>
        <w:t>第一章</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lang w:eastAsia="zh-CN"/>
        </w:rPr>
        <w:t xml:space="preserve"> 招标公告</w:t>
      </w:r>
      <w:bookmarkEnd w:id="11"/>
    </w:p>
    <w:p w14:paraId="55E29E7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0" w:firstLineChars="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项目概况</w:t>
      </w:r>
    </w:p>
    <w:p w14:paraId="2DC3E04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新筑垃圾压缩站2026-2027年度运维服务项目招标项目的潜在投标人应在全国公共资源交易平台（陕西省·西安市）网站〖首页〉电子交易平台〉陕西政府采购交易系统〉企业端〗获取招标文件，并于2026年06月04日09时00分（北京时间）前递交投标文件。</w:t>
      </w:r>
    </w:p>
    <w:p w14:paraId="71E3A6D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0" w:firstLineChars="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一、项目基本情况</w:t>
      </w:r>
    </w:p>
    <w:p w14:paraId="1BB6E89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default"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项目编号：CGZC-2026-028</w:t>
      </w:r>
    </w:p>
    <w:p w14:paraId="2B04100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项目名称：新筑垃圾压缩站2026-2027年度运维服务项目</w:t>
      </w:r>
    </w:p>
    <w:p w14:paraId="4D51B40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采购方式：公开招标</w:t>
      </w:r>
    </w:p>
    <w:p w14:paraId="2CACC1C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预算金额：7,960,000.00元</w:t>
      </w:r>
    </w:p>
    <w:p w14:paraId="57D0728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采购需求：</w:t>
      </w:r>
    </w:p>
    <w:p w14:paraId="46CA3E6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合同包1(新筑垃圾压缩站2026-2027年度运维服务项目):</w:t>
      </w:r>
    </w:p>
    <w:p w14:paraId="7C5EF86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合同包预算金额：7,960,000.00元</w:t>
      </w:r>
    </w:p>
    <w:p w14:paraId="78440EB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合同包最高限价：7,960,000.00元</w:t>
      </w:r>
    </w:p>
    <w:tbl>
      <w:tblPr>
        <w:tblStyle w:val="29"/>
        <w:tblW w:w="4984"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1"/>
        <w:gridCol w:w="1191"/>
        <w:gridCol w:w="2159"/>
        <w:gridCol w:w="1087"/>
        <w:gridCol w:w="1287"/>
        <w:gridCol w:w="1680"/>
        <w:gridCol w:w="1680"/>
      </w:tblGrid>
      <w:tr w14:paraId="3471C9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3DC1E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b/>
                <w:bCs/>
                <w:sz w:val="24"/>
                <w:szCs w:val="24"/>
                <w:highlight w:val="none"/>
              </w:rPr>
            </w:pPr>
            <w:r>
              <w:rPr>
                <w:rFonts w:ascii="宋体" w:hAnsi="宋体" w:eastAsia="宋体" w:cs="宋体"/>
                <w:b/>
                <w:bCs/>
                <w:kern w:val="0"/>
                <w:sz w:val="24"/>
                <w:szCs w:val="24"/>
                <w:highlight w:val="none"/>
                <w:lang w:val="en-US" w:eastAsia="zh-CN" w:bidi="ar"/>
              </w:rPr>
              <w:t>品目号</w:t>
            </w:r>
          </w:p>
        </w:tc>
        <w:tc>
          <w:tcPr>
            <w:tcW w:w="62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8FBFA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b/>
                <w:bCs/>
                <w:sz w:val="24"/>
                <w:szCs w:val="24"/>
                <w:highlight w:val="none"/>
              </w:rPr>
            </w:pPr>
            <w:r>
              <w:rPr>
                <w:rFonts w:ascii="宋体" w:hAnsi="宋体" w:eastAsia="宋体" w:cs="宋体"/>
                <w:b/>
                <w:bCs/>
                <w:kern w:val="0"/>
                <w:sz w:val="24"/>
                <w:szCs w:val="24"/>
                <w:highlight w:val="none"/>
                <w:lang w:val="en-US" w:eastAsia="zh-CN" w:bidi="ar"/>
              </w:rPr>
              <w:t>品目名称</w:t>
            </w:r>
          </w:p>
        </w:tc>
        <w:tc>
          <w:tcPr>
            <w:tcW w:w="112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B6DCB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b/>
                <w:bCs/>
                <w:sz w:val="24"/>
                <w:szCs w:val="24"/>
                <w:highlight w:val="none"/>
              </w:rPr>
            </w:pPr>
            <w:r>
              <w:rPr>
                <w:rFonts w:ascii="宋体" w:hAnsi="宋体" w:eastAsia="宋体" w:cs="宋体"/>
                <w:b/>
                <w:bCs/>
                <w:kern w:val="0"/>
                <w:sz w:val="24"/>
                <w:szCs w:val="24"/>
                <w:highlight w:val="none"/>
                <w:lang w:val="en-US" w:eastAsia="zh-CN" w:bidi="ar"/>
              </w:rPr>
              <w:t>采购标的</w:t>
            </w:r>
          </w:p>
        </w:tc>
        <w:tc>
          <w:tcPr>
            <w:tcW w:w="56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CED96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b/>
                <w:bCs/>
                <w:sz w:val="24"/>
                <w:szCs w:val="24"/>
                <w:highlight w:val="none"/>
              </w:rPr>
            </w:pPr>
            <w:r>
              <w:rPr>
                <w:rFonts w:ascii="宋体" w:hAnsi="宋体" w:eastAsia="宋体" w:cs="宋体"/>
                <w:b/>
                <w:bCs/>
                <w:kern w:val="0"/>
                <w:sz w:val="24"/>
                <w:szCs w:val="24"/>
                <w:highlight w:val="none"/>
                <w:lang w:val="en-US" w:eastAsia="zh-CN" w:bidi="ar"/>
              </w:rPr>
              <w:t>数量（单位）</w:t>
            </w:r>
          </w:p>
        </w:tc>
        <w:tc>
          <w:tcPr>
            <w:tcW w:w="6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878B9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b/>
                <w:bCs/>
                <w:sz w:val="24"/>
                <w:szCs w:val="24"/>
                <w:highlight w:val="none"/>
              </w:rPr>
            </w:pPr>
            <w:r>
              <w:rPr>
                <w:rFonts w:ascii="宋体" w:hAnsi="宋体" w:eastAsia="宋体" w:cs="宋体"/>
                <w:b/>
                <w:bCs/>
                <w:kern w:val="0"/>
                <w:sz w:val="24"/>
                <w:szCs w:val="24"/>
                <w:highlight w:val="none"/>
                <w:lang w:val="en-US" w:eastAsia="zh-CN" w:bidi="ar"/>
              </w:rPr>
              <w:t>技术规格、参数及要求</w:t>
            </w:r>
          </w:p>
        </w:tc>
        <w:tc>
          <w:tcPr>
            <w:tcW w:w="8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DAFC2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b/>
                <w:bCs/>
                <w:sz w:val="24"/>
                <w:szCs w:val="24"/>
                <w:highlight w:val="none"/>
              </w:rPr>
            </w:pPr>
            <w:r>
              <w:rPr>
                <w:rFonts w:ascii="宋体" w:hAnsi="宋体" w:eastAsia="宋体" w:cs="宋体"/>
                <w:b/>
                <w:bCs/>
                <w:kern w:val="0"/>
                <w:sz w:val="24"/>
                <w:szCs w:val="24"/>
                <w:highlight w:val="none"/>
                <w:lang w:val="en-US" w:eastAsia="zh-CN" w:bidi="ar"/>
              </w:rPr>
              <w:t>品目预算(元)</w:t>
            </w:r>
          </w:p>
        </w:tc>
        <w:tc>
          <w:tcPr>
            <w:tcW w:w="8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4DA88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b/>
                <w:bCs/>
                <w:sz w:val="24"/>
                <w:szCs w:val="24"/>
                <w:highlight w:val="none"/>
              </w:rPr>
            </w:pPr>
            <w:r>
              <w:rPr>
                <w:rFonts w:ascii="宋体" w:hAnsi="宋体" w:eastAsia="宋体" w:cs="宋体"/>
                <w:b/>
                <w:bCs/>
                <w:kern w:val="0"/>
                <w:sz w:val="24"/>
                <w:szCs w:val="24"/>
                <w:highlight w:val="none"/>
                <w:lang w:val="en-US" w:eastAsia="zh-CN" w:bidi="ar"/>
              </w:rPr>
              <w:t>最高限价(元)</w:t>
            </w:r>
          </w:p>
        </w:tc>
      </w:tr>
      <w:tr w14:paraId="659F37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482D8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sz w:val="24"/>
                <w:szCs w:val="24"/>
                <w:highlight w:val="none"/>
              </w:rPr>
            </w:pPr>
            <w:r>
              <w:rPr>
                <w:rFonts w:ascii="宋体" w:hAnsi="宋体" w:eastAsia="宋体" w:cs="宋体"/>
                <w:kern w:val="0"/>
                <w:sz w:val="24"/>
                <w:szCs w:val="24"/>
                <w:highlight w:val="none"/>
                <w:lang w:val="en-US" w:eastAsia="zh-CN" w:bidi="ar"/>
              </w:rPr>
              <w:t>1-1</w:t>
            </w:r>
          </w:p>
        </w:tc>
        <w:tc>
          <w:tcPr>
            <w:tcW w:w="62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CF941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rFonts w:hint="eastAsia" w:eastAsiaTheme="minorEastAsia"/>
                <w:sz w:val="24"/>
                <w:szCs w:val="24"/>
                <w:highlight w:val="none"/>
                <w:lang w:eastAsia="zh-CN"/>
              </w:rPr>
            </w:pPr>
            <w:r>
              <w:rPr>
                <w:rFonts w:hint="eastAsia" w:eastAsiaTheme="minorEastAsia"/>
                <w:sz w:val="24"/>
                <w:szCs w:val="24"/>
                <w:highlight w:val="none"/>
                <w:lang w:val="en-US" w:eastAsia="zh-CN"/>
              </w:rPr>
              <w:t>其他公共设施管理服务</w:t>
            </w:r>
          </w:p>
        </w:tc>
        <w:tc>
          <w:tcPr>
            <w:tcW w:w="112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9059C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sz w:val="24"/>
                <w:szCs w:val="24"/>
                <w:highlight w:val="none"/>
              </w:rPr>
            </w:pPr>
            <w:r>
              <w:rPr>
                <w:rFonts w:hint="eastAsia" w:ascii="宋体" w:hAnsi="宋体" w:eastAsia="宋体" w:cs="宋体"/>
                <w:i w:val="0"/>
                <w:iCs w:val="0"/>
                <w:caps w:val="0"/>
                <w:color w:val="auto"/>
                <w:spacing w:val="0"/>
                <w:kern w:val="0"/>
                <w:sz w:val="24"/>
                <w:szCs w:val="24"/>
                <w:highlight w:val="none"/>
                <w:u w:val="none"/>
                <w:lang w:val="en-US" w:eastAsia="zh-CN" w:bidi="ar-SA"/>
              </w:rPr>
              <w:t>新筑垃圾压缩站2026-2027年度运维服务项目</w:t>
            </w:r>
          </w:p>
        </w:tc>
        <w:tc>
          <w:tcPr>
            <w:tcW w:w="56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60733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sz w:val="24"/>
                <w:szCs w:val="24"/>
                <w:highlight w:val="none"/>
              </w:rPr>
            </w:pPr>
            <w:r>
              <w:rPr>
                <w:rFonts w:ascii="宋体" w:hAnsi="宋体" w:eastAsia="宋体" w:cs="宋体"/>
                <w:kern w:val="0"/>
                <w:sz w:val="24"/>
                <w:szCs w:val="24"/>
                <w:highlight w:val="none"/>
                <w:lang w:val="en-US" w:eastAsia="zh-CN" w:bidi="ar"/>
              </w:rPr>
              <w:t>1(</w:t>
            </w:r>
            <w:r>
              <w:rPr>
                <w:rFonts w:hint="eastAsia" w:ascii="宋体" w:hAnsi="宋体" w:eastAsia="宋体" w:cs="宋体"/>
                <w:kern w:val="0"/>
                <w:sz w:val="24"/>
                <w:szCs w:val="24"/>
                <w:highlight w:val="none"/>
                <w:lang w:val="en-US" w:eastAsia="zh-CN" w:bidi="ar"/>
              </w:rPr>
              <w:t>项</w:t>
            </w:r>
            <w:r>
              <w:rPr>
                <w:rFonts w:ascii="宋体" w:hAnsi="宋体" w:eastAsia="宋体" w:cs="宋体"/>
                <w:kern w:val="0"/>
                <w:sz w:val="24"/>
                <w:szCs w:val="24"/>
                <w:highlight w:val="none"/>
                <w:lang w:val="en-US" w:eastAsia="zh-CN" w:bidi="ar"/>
              </w:rPr>
              <w:t>)</w:t>
            </w:r>
          </w:p>
        </w:tc>
        <w:tc>
          <w:tcPr>
            <w:tcW w:w="6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03403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right="0"/>
              <w:jc w:val="center"/>
              <w:textAlignment w:val="auto"/>
              <w:rPr>
                <w:sz w:val="24"/>
                <w:szCs w:val="24"/>
                <w:highlight w:val="none"/>
              </w:rPr>
            </w:pPr>
            <w:r>
              <w:rPr>
                <w:rFonts w:ascii="宋体" w:hAnsi="宋体" w:eastAsia="宋体" w:cs="宋体"/>
                <w:kern w:val="0"/>
                <w:sz w:val="24"/>
                <w:szCs w:val="24"/>
                <w:highlight w:val="none"/>
                <w:lang w:val="en-US" w:eastAsia="zh-CN" w:bidi="ar"/>
              </w:rPr>
              <w:t>详见</w:t>
            </w:r>
            <w:r>
              <w:rPr>
                <w:rFonts w:hint="eastAsia" w:ascii="宋体" w:hAnsi="宋体" w:eastAsia="宋体" w:cs="宋体"/>
                <w:kern w:val="0"/>
                <w:sz w:val="24"/>
                <w:szCs w:val="24"/>
                <w:highlight w:val="none"/>
                <w:lang w:val="en-US" w:eastAsia="zh-CN" w:bidi="ar"/>
              </w:rPr>
              <w:t>招标</w:t>
            </w:r>
            <w:r>
              <w:rPr>
                <w:rFonts w:ascii="宋体" w:hAnsi="宋体" w:eastAsia="宋体" w:cs="宋体"/>
                <w:kern w:val="0"/>
                <w:sz w:val="24"/>
                <w:szCs w:val="24"/>
                <w:highlight w:val="none"/>
                <w:lang w:val="en-US" w:eastAsia="zh-CN" w:bidi="ar"/>
              </w:rPr>
              <w:t>文件</w:t>
            </w:r>
          </w:p>
        </w:tc>
        <w:tc>
          <w:tcPr>
            <w:tcW w:w="8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09C15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right"/>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auto"/>
                <w:spacing w:val="0"/>
                <w:kern w:val="0"/>
                <w:sz w:val="24"/>
                <w:szCs w:val="24"/>
                <w:highlight w:val="none"/>
                <w:u w:val="none"/>
                <w:lang w:val="en-US" w:eastAsia="zh-CN" w:bidi="ar-SA"/>
              </w:rPr>
              <w:t>7,960,000.00</w:t>
            </w:r>
          </w:p>
        </w:tc>
        <w:tc>
          <w:tcPr>
            <w:tcW w:w="8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8175C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right"/>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auto"/>
                <w:spacing w:val="0"/>
                <w:kern w:val="0"/>
                <w:sz w:val="24"/>
                <w:szCs w:val="24"/>
                <w:highlight w:val="none"/>
                <w:u w:val="none"/>
                <w:lang w:val="en-US" w:eastAsia="zh-CN" w:bidi="ar-SA"/>
              </w:rPr>
              <w:t>7,960,000.00</w:t>
            </w:r>
          </w:p>
        </w:tc>
      </w:tr>
    </w:tbl>
    <w:p w14:paraId="4C65A2D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本合同包不接受联合体投标</w:t>
      </w:r>
    </w:p>
    <w:p w14:paraId="25A45C0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合同履行期限：两年（合同一年一签，若中标单位上一年服务不能满足采购人要求，采购人可拒绝续签）。</w:t>
      </w:r>
    </w:p>
    <w:p w14:paraId="7D4336C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0" w:firstLineChars="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二、申请人的资格要求：</w:t>
      </w:r>
    </w:p>
    <w:p w14:paraId="65C1086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default"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1.满足《中华人民共和国政府采购法》第二十二条规定；</w:t>
      </w:r>
    </w:p>
    <w:p w14:paraId="13D4D26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2.落实政府采购政策需满足的资格要求：</w:t>
      </w:r>
    </w:p>
    <w:p w14:paraId="47B6E66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合同包1(新筑垃圾压缩站2026-2027年度运维服务项目)落实政府采购政策需满足的资格要求如下:</w:t>
      </w:r>
    </w:p>
    <w:p w14:paraId="657F6FD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1）《政府采购促进中小企业发展管理办法》（财库﹝2020﹞46号）；</w:t>
      </w:r>
    </w:p>
    <w:p w14:paraId="25533B7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2）《财政部司法部关于政府采购支持监狱企业发展有关问题的通知》（财库〔2014〕68号）；</w:t>
      </w:r>
    </w:p>
    <w:p w14:paraId="7CA7353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3）《国务院办公厅关于建立政府强制采购节能产品制度的通知》（国办发〔2007〕51号）；</w:t>
      </w:r>
    </w:p>
    <w:p w14:paraId="0D7F0EA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4）《三部门联合发布关于促进残疾人就业政府采购政策的通知》（财库〔2017〕141号）；</w:t>
      </w:r>
    </w:p>
    <w:p w14:paraId="2E326D2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5）《财政部发展改革委生态环境部市场监管总局关于调整优化节能产品、环境标志产品政府采购执行机制的通知》（财库〔2019〕9号）；</w:t>
      </w:r>
    </w:p>
    <w:p w14:paraId="2C31F55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6）《关于印发环境标志产品政府采购品目清单的通知》（财库〔2019〕18号）；</w:t>
      </w:r>
    </w:p>
    <w:p w14:paraId="5356B04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7）《关于运用政府采购政策支持乡村产业振兴的通知》财库〔2021〕19号；</w:t>
      </w:r>
    </w:p>
    <w:p w14:paraId="2543A0F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8）《陕西省中小企业政府采购信用融资办法》（陕财办采〔2018〕23号）；</w:t>
      </w:r>
    </w:p>
    <w:p w14:paraId="25DA008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9）《陕西省财政厅关于进一步加强政府绿色采购有关问题的通知》（陕财办采〔2021〕29号）；</w:t>
      </w:r>
    </w:p>
    <w:p w14:paraId="2B95A8C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10）如有最新颁布的政府采购政策，按最新的文件执行。</w:t>
      </w:r>
    </w:p>
    <w:p w14:paraId="459EF6F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3.本项目的特定资格要求：</w:t>
      </w:r>
    </w:p>
    <w:p w14:paraId="7948D5F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合同包1(新筑垃圾压缩站2026-2027年度运维服务项目)特定资格要求如下:</w:t>
      </w:r>
    </w:p>
    <w:p w14:paraId="3A270B8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1）有效的主体资格证明：提供合格有效的法人或者其他组织的营业执照等证明文件或自然人的身份证明；</w:t>
      </w:r>
    </w:p>
    <w:p w14:paraId="48A0981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2）基本资格条件：符合《中华人民共和国政府采购法》第二十二条的规定；</w:t>
      </w:r>
    </w:p>
    <w:p w14:paraId="4E5D6C9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3）供应商应授权合法的人员参加投标全过程，其中法定代表人直接参加投标的，须出具法定代表人身份证，并与营业执照上信息一致。法定代表人授权代表参加投标的，须出具法定代表人授权书及授权代表身份证，授权代表须提供近六个月中任一个月缴纳社保证明复印件并加盖单位公章；</w:t>
      </w:r>
    </w:p>
    <w:p w14:paraId="1F3505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default"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4）单位负责人为同一人或者存在直接控股、管理关系的不同供应商，不得参加同一合同项下的政府采购活动。</w:t>
      </w:r>
    </w:p>
    <w:p w14:paraId="251E0BF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0" w:firstLineChars="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三、获取招标文件</w:t>
      </w:r>
    </w:p>
    <w:p w14:paraId="643CEC1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时间：2026年05月15日至2026年05月21日，每天上午00:00:00至12:00:00，下午12:00:00至23:59:59（北京时间）</w:t>
      </w:r>
    </w:p>
    <w:p w14:paraId="5DE42EB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途径：全国公共资源交易平台（陕西省·西安市）网站〖首页〉电子交易平台〉陕西政府采购交易系统〉企业端〗</w:t>
      </w:r>
    </w:p>
    <w:p w14:paraId="3FD6E47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方式：在线获取</w:t>
      </w:r>
    </w:p>
    <w:p w14:paraId="20D14AE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售价：0元</w:t>
      </w:r>
    </w:p>
    <w:p w14:paraId="26482E5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0" w:firstLineChars="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四、提交投标文件截止时间、开标时间和地点</w:t>
      </w:r>
    </w:p>
    <w:p w14:paraId="38321FA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时间：2026年06月10日09时00分00秒（北京时间）</w:t>
      </w:r>
    </w:p>
    <w:p w14:paraId="3B25B1A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提交投标文件地点：全国公共资源交易平台（陕西省·西安市）网站〖首页〉电子交易平台&lt;陕西政府采购交易系统&gt;企业端〗，在线提交。</w:t>
      </w:r>
    </w:p>
    <w:p w14:paraId="46EB6E3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开标地点：全国公共资源交易平台（陕西省·西安市）不见面开标大厅</w:t>
      </w:r>
    </w:p>
    <w:p w14:paraId="37A99C6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0" w:firstLineChars="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五、公告期限</w:t>
      </w:r>
    </w:p>
    <w:p w14:paraId="3897D8A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自本公告发布之日起5个工作日。</w:t>
      </w:r>
    </w:p>
    <w:p w14:paraId="7A9B7F7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0" w:firstLineChars="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六、其他补充事宜</w:t>
      </w:r>
    </w:p>
    <w:p w14:paraId="333265B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36"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1.投标人初次使用电子交易平台时,请先阅读【全国公共资源交易平台(陕西省·西安市)】(http://sxggzyjy.xa.gov.cn/)网站〖首页〉服务指南〉下载专区〗中的《西安市市级单位电子化政府采购项目投标指南》,并按要求完成诚信入库登记、CA认证及企业信息绑定。</w:t>
      </w:r>
    </w:p>
    <w:p w14:paraId="548458C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36"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2.办理CA认证：电子交易平台现已接入陕西CA、深圳CA、西部CA、北京CA四家数字证书公司,各供应商在交易过程中登录系统、加密/解密投标文件、文件签章等均可使用上述四家CA公司签发的数字证书。办理须知及所需资料详见：http://www.sxggzyjy.cn/fwzn/004003/20220701/6972fe02-f996-4928-951e-545dab02e53c.html</w:t>
      </w:r>
    </w:p>
    <w:p w14:paraId="29AB737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36"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3.本项目采用“不见面开标”形式,供应商可登录全国公共资源交易平台(陕西省·西安市)网站〖首页〉不见面开标〗系统,在线参加开标过程。操作手册详见〖首页〉服务指南〉下载专区〗中的《西安公共资源交易不见面开标大厅供应商操作手册》。</w:t>
      </w:r>
    </w:p>
    <w:p w14:paraId="006FB9E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36"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4.按照陕西省财政厅《关于政府采购供应商注册登记有关事项的通知》中的要求，投标人应通过陕西省政府采购网(http://www.ccgp-shaanxi.gov.cn/)注册登记，加入陕西省政府采购供应商库。</w:t>
      </w:r>
    </w:p>
    <w:p w14:paraId="6565AFD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36"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5.获取招标文件方式：投标人须打开【全国公共资源交易平台（陕西省·西安市）】网站（简称西安市公共资源交易平台，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33F8388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36"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提示：投标人须在获取招标文件时限内登录陕西省西安市公共资源交易中心平台系统，及时下载（SXSZF版本）招标文件并做好备份。逾期下载通道将关闭，未及时下载招标文件将会影响后续投标文件编制及后续投标活动。</w:t>
      </w:r>
    </w:p>
    <w:p w14:paraId="5F42595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36" w:lineRule="auto"/>
        <w:ind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6.提交投标文件截止时间前，投标人应随时留意【陕西省政府采购网】、【全国公共资源交易平台（陕西省·西安市）】上可能发布的变更公告。若变更公告中明确注明本项提供有变更文件的，投标人应登录企业端后，从〖项目流程〉项目管理〉答疑文件下载〗获取更新后的电子招标文件（*.SXSCF），使用旧版电子招标文件制作的电子投标文件（*.SXSTF），系统将拒绝接收。</w:t>
      </w:r>
    </w:p>
    <w:p w14:paraId="6834037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7.本项目专门面向中小企业采购。</w:t>
      </w:r>
    </w:p>
    <w:p w14:paraId="6431BDD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8.其他事项见本项目招标文件。</w:t>
      </w:r>
    </w:p>
    <w:p w14:paraId="618360C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0" w:firstLineChars="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七、对本次招标提出询问，请按以下方式联系。</w:t>
      </w:r>
    </w:p>
    <w:p w14:paraId="49462E3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240" w:firstLineChars="10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1.采购人信息</w:t>
      </w:r>
    </w:p>
    <w:p w14:paraId="099228A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default"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名称：西安市灞桥区人民政府新筑街道办事处</w:t>
      </w:r>
    </w:p>
    <w:p w14:paraId="1768B28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地址：西安市灞桥区新筑街道</w:t>
      </w:r>
    </w:p>
    <w:p w14:paraId="4B75D26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default"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联系方式：张老师 029-83411364</w:t>
      </w:r>
    </w:p>
    <w:p w14:paraId="6BB6F84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240" w:firstLineChars="10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2.采购代理机构信息</w:t>
      </w:r>
    </w:p>
    <w:p w14:paraId="44556D1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名称：华晟国际项目管理有限公司</w:t>
      </w:r>
    </w:p>
    <w:p w14:paraId="332075E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地址：西安市高新区高新路88号尚品国际B幢25层</w:t>
      </w:r>
    </w:p>
    <w:p w14:paraId="12FF055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联系方式：029-82665555转8003</w:t>
      </w:r>
    </w:p>
    <w:p w14:paraId="3D80901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240" w:firstLineChars="100"/>
        <w:jc w:val="lef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3.项目联系方式</w:t>
      </w:r>
    </w:p>
    <w:p w14:paraId="6C5A9EB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default"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项目联系人：柴静、张佳音、种梦妮</w:t>
      </w:r>
    </w:p>
    <w:p w14:paraId="411A88B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leftChars="0" w:right="0" w:rightChars="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电话：029-82665555转8003</w:t>
      </w:r>
    </w:p>
    <w:p w14:paraId="0604FD5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right"/>
        <w:textAlignment w:val="baseline"/>
        <w:outlineLvl w:val="9"/>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eastAsia="宋体" w:cs="宋体"/>
          <w:b/>
          <w:bCs/>
          <w:i w:val="0"/>
          <w:iCs w:val="0"/>
          <w:caps w:val="0"/>
          <w:color w:val="auto"/>
          <w:spacing w:val="0"/>
          <w:kern w:val="0"/>
          <w:sz w:val="24"/>
          <w:szCs w:val="24"/>
          <w:highlight w:val="none"/>
          <w:u w:val="none"/>
          <w:lang w:val="en-US" w:eastAsia="zh-CN" w:bidi="ar-SA"/>
        </w:rPr>
        <w:t>华晟国际项目管理有限公司</w:t>
      </w:r>
    </w:p>
    <w:p w14:paraId="72820B8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Chars="0" w:right="0" w:rightChars="0" w:firstLine="480" w:firstLineChars="200"/>
        <w:jc w:val="right"/>
        <w:textAlignment w:val="baseline"/>
        <w:outlineLvl w:val="9"/>
        <w:rPr>
          <w:rFonts w:hint="eastAsia" w:ascii="宋体" w:hAnsi="宋体" w:eastAsia="宋体" w:cs="宋体"/>
          <w:sz w:val="32"/>
          <w:szCs w:val="32"/>
        </w:rPr>
      </w:pPr>
      <w:r>
        <w:rPr>
          <w:rFonts w:hint="eastAsia" w:ascii="宋体" w:hAnsi="宋体" w:eastAsia="宋体" w:cs="宋体"/>
          <w:b/>
          <w:bCs/>
          <w:i w:val="0"/>
          <w:iCs w:val="0"/>
          <w:caps w:val="0"/>
          <w:color w:val="auto"/>
          <w:spacing w:val="0"/>
          <w:kern w:val="0"/>
          <w:sz w:val="24"/>
          <w:szCs w:val="24"/>
          <w:highlight w:val="none"/>
          <w:u w:val="none"/>
          <w:lang w:val="en-US" w:eastAsia="zh-CN" w:bidi="ar-SA"/>
        </w:rPr>
        <w:t>2026年05月14日</w:t>
      </w:r>
      <w:r>
        <w:rPr>
          <w:rFonts w:hint="eastAsia" w:ascii="宋体" w:hAnsi="宋体" w:eastAsia="宋体" w:cs="宋体"/>
          <w:sz w:val="32"/>
          <w:szCs w:val="32"/>
        </w:rPr>
        <w:br w:type="page"/>
      </w:r>
    </w:p>
    <w:p w14:paraId="65EE8AB0">
      <w:pPr>
        <w:pStyle w:val="2"/>
        <w:spacing w:line="240" w:lineRule="auto"/>
        <w:rPr>
          <w:rFonts w:hint="eastAsia" w:ascii="宋体" w:hAnsi="宋体" w:eastAsia="宋体" w:cs="宋体"/>
          <w:b/>
          <w:bCs/>
          <w:sz w:val="32"/>
          <w:szCs w:val="32"/>
        </w:rPr>
      </w:pPr>
      <w:bookmarkStart w:id="12" w:name="_Toc9510"/>
      <w:bookmarkStart w:id="13" w:name="_Toc6230"/>
      <w:r>
        <w:rPr>
          <w:rFonts w:hint="eastAsia" w:ascii="宋体" w:hAnsi="宋体" w:eastAsia="宋体" w:cs="宋体"/>
          <w:b/>
          <w:bCs/>
          <w:sz w:val="32"/>
          <w:szCs w:val="32"/>
        </w:rPr>
        <w:t>第二章  供应商须知</w:t>
      </w:r>
      <w:bookmarkEnd w:id="12"/>
      <w:bookmarkEnd w:id="13"/>
    </w:p>
    <w:p w14:paraId="2C3462E7">
      <w:pPr>
        <w:spacing w:line="240" w:lineRule="auto"/>
        <w:jc w:val="center"/>
        <w:outlineLvl w:val="9"/>
        <w:rPr>
          <w:rFonts w:hint="eastAsia" w:ascii="宋体" w:hAnsi="宋体" w:eastAsia="宋体" w:cs="宋体"/>
          <w:b/>
          <w:bCs/>
          <w:sz w:val="24"/>
          <w:szCs w:val="24"/>
        </w:rPr>
      </w:pPr>
      <w:r>
        <w:rPr>
          <w:rFonts w:hint="eastAsia" w:ascii="宋体" w:hAnsi="宋体" w:eastAsia="宋体" w:cs="宋体"/>
          <w:b/>
          <w:bCs/>
          <w:sz w:val="24"/>
          <w:szCs w:val="24"/>
        </w:rPr>
        <w:t>〖须知前附表〗</w:t>
      </w:r>
    </w:p>
    <w:tbl>
      <w:tblPr>
        <w:tblStyle w:val="30"/>
        <w:tblW w:w="5047"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470"/>
        <w:gridCol w:w="1653"/>
        <w:gridCol w:w="7678"/>
      </w:tblGrid>
      <w:tr w14:paraId="47C21FF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tcBorders>
              <w:top w:val="single" w:color="auto" w:sz="12" w:space="0"/>
              <w:bottom w:val="single" w:color="auto" w:sz="2" w:space="0"/>
            </w:tcBorders>
            <w:shd w:val="clear" w:color="auto" w:fill="auto"/>
            <w:vAlign w:val="center"/>
          </w:tcPr>
          <w:p w14:paraId="5908E1A0">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843" w:type="pct"/>
            <w:tcBorders>
              <w:top w:val="single" w:color="auto" w:sz="12" w:space="0"/>
              <w:bottom w:val="single" w:color="auto" w:sz="2" w:space="0"/>
            </w:tcBorders>
            <w:shd w:val="clear" w:color="auto" w:fill="auto"/>
            <w:vAlign w:val="center"/>
          </w:tcPr>
          <w:p w14:paraId="36702BE2">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rPr>
              <w:t>内容</w:t>
            </w:r>
          </w:p>
        </w:tc>
        <w:tc>
          <w:tcPr>
            <w:tcW w:w="3916" w:type="pct"/>
            <w:tcBorders>
              <w:top w:val="single" w:color="auto" w:sz="12" w:space="0"/>
              <w:bottom w:val="single" w:color="auto" w:sz="2" w:space="0"/>
            </w:tcBorders>
            <w:shd w:val="clear" w:color="auto" w:fill="auto"/>
            <w:vAlign w:val="center"/>
          </w:tcPr>
          <w:p w14:paraId="226B3C2B">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rPr>
              <w:t>说明和要求</w:t>
            </w:r>
          </w:p>
        </w:tc>
      </w:tr>
      <w:tr w14:paraId="6A5158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tcBorders>
              <w:top w:val="single" w:color="auto" w:sz="2" w:space="0"/>
            </w:tcBorders>
            <w:shd w:val="clear" w:color="auto" w:fill="auto"/>
            <w:vAlign w:val="center"/>
          </w:tcPr>
          <w:p w14:paraId="64AAC69D">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843" w:type="pct"/>
            <w:tcBorders>
              <w:top w:val="single" w:color="auto" w:sz="2" w:space="0"/>
            </w:tcBorders>
            <w:shd w:val="clear" w:color="auto" w:fill="auto"/>
            <w:vAlign w:val="center"/>
          </w:tcPr>
          <w:p w14:paraId="23D7D2D3">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3916" w:type="pct"/>
            <w:tcBorders>
              <w:top w:val="single" w:color="auto" w:sz="2" w:space="0"/>
            </w:tcBorders>
            <w:shd w:val="clear" w:color="auto" w:fill="auto"/>
            <w:vAlign w:val="center"/>
          </w:tcPr>
          <w:p w14:paraId="00CA568C">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新筑垃圾压缩站2026-2027年度运维服务项目</w:t>
            </w:r>
          </w:p>
        </w:tc>
      </w:tr>
      <w:tr w14:paraId="6821D1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240" w:type="pct"/>
            <w:shd w:val="clear" w:color="auto" w:fill="auto"/>
            <w:vAlign w:val="center"/>
          </w:tcPr>
          <w:p w14:paraId="7B321D9C">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843" w:type="pct"/>
            <w:shd w:val="clear" w:color="auto" w:fill="auto"/>
            <w:vAlign w:val="center"/>
          </w:tcPr>
          <w:p w14:paraId="69637BDD">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rPr>
              <w:t>项目编号</w:t>
            </w:r>
          </w:p>
        </w:tc>
        <w:tc>
          <w:tcPr>
            <w:tcW w:w="3916" w:type="pct"/>
            <w:shd w:val="clear" w:color="auto" w:fill="auto"/>
            <w:vAlign w:val="center"/>
          </w:tcPr>
          <w:p w14:paraId="08E073A0">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CGZC-2026-028</w:t>
            </w:r>
          </w:p>
        </w:tc>
      </w:tr>
      <w:tr w14:paraId="2B544D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1" w:hRule="atLeast"/>
          <w:jc w:val="center"/>
        </w:trPr>
        <w:tc>
          <w:tcPr>
            <w:tcW w:w="240" w:type="pct"/>
            <w:shd w:val="clear" w:color="auto" w:fill="auto"/>
            <w:vAlign w:val="center"/>
          </w:tcPr>
          <w:p w14:paraId="215FEE2D">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843" w:type="pct"/>
            <w:shd w:val="clear" w:color="auto" w:fill="auto"/>
            <w:vAlign w:val="center"/>
          </w:tcPr>
          <w:p w14:paraId="6799F5C6">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预算执行书编号</w:t>
            </w:r>
          </w:p>
        </w:tc>
        <w:tc>
          <w:tcPr>
            <w:tcW w:w="3916" w:type="pct"/>
            <w:shd w:val="clear" w:color="auto" w:fill="auto"/>
            <w:vAlign w:val="center"/>
          </w:tcPr>
          <w:p w14:paraId="54954F18">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YS-浐灞国际港-2026-00041</w:t>
            </w:r>
          </w:p>
        </w:tc>
      </w:tr>
      <w:tr w14:paraId="750AB3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vMerge w:val="restart"/>
            <w:shd w:val="clear" w:color="auto" w:fill="auto"/>
            <w:vAlign w:val="center"/>
          </w:tcPr>
          <w:p w14:paraId="4DE97D12">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843" w:type="pct"/>
            <w:shd w:val="clear" w:color="auto" w:fill="auto"/>
            <w:vAlign w:val="center"/>
          </w:tcPr>
          <w:p w14:paraId="357300FD">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是否预留份额专门面向中小企业采购</w:t>
            </w:r>
          </w:p>
        </w:tc>
        <w:tc>
          <w:tcPr>
            <w:tcW w:w="3916" w:type="pct"/>
            <w:shd w:val="clear" w:color="auto" w:fill="auto"/>
            <w:vAlign w:val="center"/>
          </w:tcPr>
          <w:p w14:paraId="72F636C5">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rPr>
            </w:pPr>
            <w:sdt>
              <w:sdtPr>
                <w:rPr>
                  <w:rFonts w:hint="eastAsia" w:ascii="宋体" w:hAnsi="宋体" w:eastAsia="宋体" w:cs="宋体"/>
                  <w:sz w:val="24"/>
                  <w:szCs w:val="24"/>
                  <w:highlight w:val="none"/>
                </w:rPr>
                <w:id w:val="2139916130"/>
                <w14:checkbox>
                  <w14:checked w14:val="1"/>
                  <w14:checkedState w14:val="2611" w14:font="MS Gothic"/>
                  <w14:uncheckedState w14:val="2610" w14:font="MS Gothic"/>
                </w14:checkbox>
              </w:sdtPr>
              <w:sdtEndPr>
                <w:rPr>
                  <w:rFonts w:hint="eastAsia" w:ascii="宋体" w:hAnsi="宋体" w:eastAsia="宋体" w:cs="宋体"/>
                  <w:sz w:val="24"/>
                  <w:szCs w:val="24"/>
                  <w:highlight w:val="none"/>
                </w:rPr>
              </w:sdtEndPr>
              <w:sdtContent>
                <w:r>
                  <w:rPr>
                    <w:rFonts w:hint="eastAsia" w:ascii="MS Gothic" w:hAnsi="MS Gothic" w:eastAsia="宋体" w:cs="宋体"/>
                    <w:sz w:val="24"/>
                    <w:szCs w:val="24"/>
                    <w:highlight w:val="none"/>
                    <w:lang w:val="en-US" w:eastAsia="zh-CN" w:bidi="ar-SA"/>
                  </w:rPr>
                  <w:t>☑</w:t>
                </w:r>
              </w:sdtContent>
            </w:sdt>
            <w:r>
              <w:rPr>
                <w:rFonts w:hint="eastAsia" w:ascii="宋体" w:hAnsi="宋体" w:eastAsia="宋体" w:cs="宋体"/>
                <w:sz w:val="24"/>
                <w:szCs w:val="24"/>
                <w:highlight w:val="none"/>
              </w:rPr>
              <w:t xml:space="preserve">是  </w:t>
            </w:r>
            <w:sdt>
              <w:sdtPr>
                <w:rPr>
                  <w:rFonts w:hint="eastAsia" w:ascii="宋体" w:hAnsi="宋体" w:eastAsia="宋体" w:cs="宋体"/>
                  <w:sz w:val="24"/>
                  <w:szCs w:val="24"/>
                  <w:highlight w:val="none"/>
                </w:rPr>
                <w:id w:val="-2072024220"/>
                <w14:checkbox>
                  <w14:checked w14:val="0"/>
                  <w14:checkedState w14:val="2611" w14:font="MS Gothic"/>
                  <w14:uncheckedState w14:val="2610" w14:font="MS Gothic"/>
                </w14:checkbox>
              </w:sdtPr>
              <w:sdtEndPr>
                <w:rPr>
                  <w:rFonts w:hint="eastAsia" w:ascii="宋体" w:hAnsi="宋体" w:eastAsia="宋体" w:cs="宋体"/>
                  <w:sz w:val="24"/>
                  <w:szCs w:val="24"/>
                  <w:highlight w:val="none"/>
                </w:rPr>
              </w:sdtEndPr>
              <w:sdtContent>
                <w:r>
                  <w:rPr>
                    <w:rFonts w:hint="eastAsia" w:ascii="MS Gothic" w:hAnsi="MS Gothic" w:eastAsia="宋体" w:cs="宋体"/>
                    <w:sz w:val="24"/>
                    <w:szCs w:val="24"/>
                    <w:highlight w:val="none"/>
                    <w:lang w:val="en-US" w:eastAsia="zh-CN" w:bidi="ar-SA"/>
                  </w:rPr>
                  <w:t>☐</w:t>
                </w:r>
              </w:sdtContent>
            </w:sdt>
            <w:r>
              <w:rPr>
                <w:rFonts w:hint="eastAsia" w:ascii="宋体" w:hAnsi="宋体" w:eastAsia="宋体" w:cs="宋体"/>
                <w:sz w:val="24"/>
                <w:szCs w:val="24"/>
                <w:highlight w:val="none"/>
              </w:rPr>
              <w:t>否</w:t>
            </w:r>
          </w:p>
        </w:tc>
      </w:tr>
      <w:tr w14:paraId="35172C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vMerge w:val="continue"/>
            <w:shd w:val="clear" w:color="auto" w:fill="auto"/>
            <w:vAlign w:val="center"/>
          </w:tcPr>
          <w:p w14:paraId="6A42D2DB">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p>
        </w:tc>
        <w:tc>
          <w:tcPr>
            <w:tcW w:w="843" w:type="pct"/>
            <w:shd w:val="clear" w:color="auto" w:fill="auto"/>
            <w:vAlign w:val="center"/>
          </w:tcPr>
          <w:p w14:paraId="0915D397">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支持中小企业发展</w:t>
            </w:r>
          </w:p>
        </w:tc>
        <w:tc>
          <w:tcPr>
            <w:tcW w:w="3916" w:type="pct"/>
            <w:shd w:val="clear" w:color="auto" w:fill="auto"/>
            <w:vAlign w:val="center"/>
          </w:tcPr>
          <w:p w14:paraId="127ECC40">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根据《政府采购促进中小企业发展管理办法》（财库〔2020〕46号）文件的有关规定，提供小微企业制造的货物、承建的工程或者承接的服务（不包括使用大型、中型企业商号或者注册商标的货物）参与政府采购活动时对小型和微型企业产品的报价给予扣除，用扣除后的价格参加评审。同时，依据该办法第四条第二款规定在货物采购项目中，供应商提供的货物既有中小企业制造货物，也有大型企业制造货物的，不享受中小企业扶持政策。</w:t>
            </w:r>
          </w:p>
          <w:p w14:paraId="5D2D7F80">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lang w:val="en-US" w:eastAsia="zh-CN"/>
              </w:rPr>
            </w:pPr>
            <w:r>
              <w:rPr>
                <w:rFonts w:hint="eastAsia" w:ascii="宋体" w:hAnsi="宋体" w:eastAsia="宋体" w:cs="宋体"/>
                <w:b/>
                <w:bCs/>
                <w:sz w:val="24"/>
                <w:szCs w:val="24"/>
                <w:lang w:eastAsia="zh-CN"/>
              </w:rPr>
              <w:t>本项目专门面向中小企</w:t>
            </w:r>
            <w:r>
              <w:rPr>
                <w:rFonts w:hint="eastAsia" w:ascii="宋体" w:hAnsi="宋体" w:eastAsia="宋体" w:cs="宋体"/>
                <w:b/>
                <w:bCs/>
                <w:sz w:val="24"/>
                <w:szCs w:val="24"/>
                <w:highlight w:val="none"/>
                <w:lang w:eastAsia="zh-CN"/>
              </w:rPr>
              <w:t>业采购，本项目所属行业为：</w:t>
            </w:r>
            <w:r>
              <w:rPr>
                <w:rFonts w:hint="eastAsia" w:ascii="宋体" w:hAnsi="宋体" w:eastAsia="宋体" w:cs="宋体"/>
                <w:b/>
                <w:bCs/>
                <w:sz w:val="24"/>
                <w:szCs w:val="24"/>
                <w:highlight w:val="none"/>
                <w:lang w:val="en-US" w:eastAsia="zh-CN"/>
              </w:rPr>
              <w:t>其他未列明行业</w:t>
            </w:r>
            <w:r>
              <w:rPr>
                <w:rFonts w:hint="eastAsia" w:ascii="宋体" w:hAnsi="宋体" w:eastAsia="宋体" w:cs="宋体"/>
                <w:b/>
                <w:bCs/>
                <w:sz w:val="24"/>
                <w:szCs w:val="24"/>
                <w:highlight w:val="none"/>
                <w:lang w:eastAsia="zh-CN"/>
              </w:rPr>
              <w:t>。</w:t>
            </w:r>
          </w:p>
        </w:tc>
      </w:tr>
      <w:tr w14:paraId="74450D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vMerge w:val="continue"/>
            <w:shd w:val="clear" w:color="auto" w:fill="auto"/>
            <w:vAlign w:val="center"/>
          </w:tcPr>
          <w:p w14:paraId="4BDDE7FA">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p>
        </w:tc>
        <w:tc>
          <w:tcPr>
            <w:tcW w:w="843" w:type="pct"/>
            <w:shd w:val="clear" w:color="auto" w:fill="auto"/>
            <w:vAlign w:val="center"/>
          </w:tcPr>
          <w:p w14:paraId="71C13246">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支持监狱企业发展</w:t>
            </w:r>
          </w:p>
        </w:tc>
        <w:tc>
          <w:tcPr>
            <w:tcW w:w="3916" w:type="pct"/>
            <w:shd w:val="clear" w:color="auto" w:fill="auto"/>
            <w:vAlign w:val="center"/>
          </w:tcPr>
          <w:p w14:paraId="6E5862F9">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根据财政部、司法部联合下发的《关于政府采购支持监狱企业发展有关问题的通知》（财库〔2014〕68号）的规定，监狱企业视同小型、微型企业。</w:t>
            </w:r>
            <w:r>
              <w:rPr>
                <w:rFonts w:hint="eastAsia" w:ascii="宋体" w:hAnsi="宋体" w:eastAsia="宋体" w:cs="宋体"/>
                <w:sz w:val="24"/>
                <w:szCs w:val="24"/>
                <w:highlight w:val="none"/>
                <w:lang w:eastAsia="zh-CN"/>
              </w:rPr>
              <w:t>价格评审时给予的扣除，用扣除后的价格参与评审。</w:t>
            </w:r>
          </w:p>
        </w:tc>
      </w:tr>
      <w:tr w14:paraId="5F516E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vMerge w:val="continue"/>
            <w:shd w:val="clear" w:color="auto" w:fill="auto"/>
            <w:vAlign w:val="center"/>
          </w:tcPr>
          <w:p w14:paraId="7F51E7FD">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p>
        </w:tc>
        <w:tc>
          <w:tcPr>
            <w:tcW w:w="843" w:type="pct"/>
            <w:shd w:val="clear" w:color="auto" w:fill="auto"/>
            <w:vAlign w:val="center"/>
          </w:tcPr>
          <w:p w14:paraId="43464F11">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其他法律法规强制性规定的</w:t>
            </w:r>
          </w:p>
        </w:tc>
        <w:tc>
          <w:tcPr>
            <w:tcW w:w="3916" w:type="pct"/>
            <w:shd w:val="clear" w:color="auto" w:fill="auto"/>
            <w:vAlign w:val="center"/>
          </w:tcPr>
          <w:p w14:paraId="1CEE23F9">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tc>
      </w:tr>
      <w:tr w14:paraId="0DEB47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vMerge w:val="continue"/>
            <w:shd w:val="clear" w:color="auto" w:fill="auto"/>
            <w:vAlign w:val="center"/>
          </w:tcPr>
          <w:p w14:paraId="5D6A93AF">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p>
        </w:tc>
        <w:tc>
          <w:tcPr>
            <w:tcW w:w="843" w:type="pct"/>
            <w:shd w:val="clear" w:color="auto" w:fill="auto"/>
            <w:vAlign w:val="center"/>
          </w:tcPr>
          <w:p w14:paraId="3303B315">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其他</w:t>
            </w:r>
          </w:p>
        </w:tc>
        <w:tc>
          <w:tcPr>
            <w:tcW w:w="3916" w:type="pct"/>
            <w:shd w:val="clear" w:color="auto" w:fill="auto"/>
            <w:vAlign w:val="center"/>
          </w:tcPr>
          <w:p w14:paraId="0C73F1A9">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参加政府采购活动的中小企业、监狱企业、残疾人福利性单位应根据企业性质分别提供《中小企业声明函》\《监狱企业证明函》\《残疾</w:t>
            </w:r>
            <w:r>
              <w:rPr>
                <w:rFonts w:hint="eastAsia" w:ascii="宋体" w:hAnsi="宋体" w:eastAsia="宋体" w:cs="宋体"/>
                <w:sz w:val="24"/>
                <w:szCs w:val="24"/>
              </w:rPr>
              <w:t>人福利性单位声明函》。其中，《监狱企业证明函》应由省级以上监狱管理局、戒毒管理局（含新疆生产建设兵团）出具。未提供上述声明函\证明函的，不能享受招标文件规定的价格扣除，但不影响投标文件的有效性。</w:t>
            </w:r>
          </w:p>
        </w:tc>
      </w:tr>
      <w:tr w14:paraId="786DAF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10C5D928">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843" w:type="pct"/>
            <w:shd w:val="clear" w:color="auto" w:fill="auto"/>
            <w:vAlign w:val="center"/>
          </w:tcPr>
          <w:p w14:paraId="13D7EC7F">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预算金额</w:t>
            </w:r>
            <w:r>
              <w:rPr>
                <w:rFonts w:hint="eastAsia" w:ascii="宋体" w:hAnsi="宋体" w:eastAsia="宋体" w:cs="宋体"/>
                <w:sz w:val="24"/>
                <w:szCs w:val="24"/>
                <w:highlight w:val="none"/>
                <w:lang w:eastAsia="zh-CN"/>
              </w:rPr>
              <w:t>及最高限价</w:t>
            </w:r>
          </w:p>
        </w:tc>
        <w:tc>
          <w:tcPr>
            <w:tcW w:w="3916" w:type="pct"/>
            <w:shd w:val="clear" w:color="auto" w:fill="auto"/>
            <w:vAlign w:val="center"/>
          </w:tcPr>
          <w:p w14:paraId="7FB3A8C3">
            <w:pPr>
              <w:keepNext w:val="0"/>
              <w:keepLines w:val="0"/>
              <w:pageBreakBefore w:val="0"/>
              <w:kinsoku/>
              <w:wordWrap/>
              <w:overflowPunct/>
              <w:topLinePunct w:val="0"/>
              <w:autoSpaceDE/>
              <w:autoSpaceDN/>
              <w:bidi w:val="0"/>
              <w:adjustRightInd/>
              <w:snapToGrid w:val="0"/>
              <w:spacing w:line="312" w:lineRule="auto"/>
              <w:jc w:val="both"/>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项目预算：</w:t>
            </w:r>
            <w:r>
              <w:rPr>
                <w:rFonts w:hint="eastAsia" w:ascii="宋体" w:hAnsi="宋体" w:eastAsia="宋体" w:cs="宋体"/>
                <w:i w:val="0"/>
                <w:iCs w:val="0"/>
                <w:caps w:val="0"/>
                <w:color w:val="auto"/>
                <w:spacing w:val="0"/>
                <w:kern w:val="0"/>
                <w:sz w:val="24"/>
                <w:szCs w:val="24"/>
                <w:highlight w:val="none"/>
                <w:u w:val="none"/>
                <w:lang w:val="en-US" w:eastAsia="zh-CN" w:bidi="ar-SA"/>
              </w:rPr>
              <w:t>7,960,000.00</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每年3</w:t>
            </w:r>
            <w:r>
              <w:rPr>
                <w:rFonts w:hint="eastAsia" w:ascii="宋体" w:hAnsi="宋体" w:eastAsia="宋体" w:cs="宋体"/>
                <w:i w:val="0"/>
                <w:iCs w:val="0"/>
                <w:caps w:val="0"/>
                <w:color w:val="auto"/>
                <w:spacing w:val="0"/>
                <w:kern w:val="0"/>
                <w:sz w:val="24"/>
                <w:szCs w:val="24"/>
                <w:highlight w:val="none"/>
                <w:u w:val="none"/>
                <w:lang w:val="en-US" w:eastAsia="zh-CN" w:bidi="ar-SA"/>
              </w:rPr>
              <w:t>,</w:t>
            </w:r>
            <w:r>
              <w:rPr>
                <w:rFonts w:hint="eastAsia" w:ascii="宋体" w:hAnsi="宋体" w:eastAsia="宋体" w:cs="宋体"/>
                <w:sz w:val="24"/>
                <w:szCs w:val="24"/>
                <w:highlight w:val="none"/>
                <w:lang w:val="en-US" w:eastAsia="zh-CN"/>
              </w:rPr>
              <w:t>980</w:t>
            </w:r>
            <w:r>
              <w:rPr>
                <w:rFonts w:hint="eastAsia" w:ascii="宋体" w:hAnsi="宋体" w:eastAsia="宋体" w:cs="宋体"/>
                <w:i w:val="0"/>
                <w:iCs w:val="0"/>
                <w:caps w:val="0"/>
                <w:color w:val="auto"/>
                <w:spacing w:val="0"/>
                <w:kern w:val="0"/>
                <w:sz w:val="24"/>
                <w:szCs w:val="24"/>
                <w:highlight w:val="none"/>
                <w:u w:val="none"/>
                <w:lang w:val="en-US" w:eastAsia="zh-CN" w:bidi="ar-SA"/>
              </w:rPr>
              <w:t>,</w:t>
            </w:r>
            <w:r>
              <w:rPr>
                <w:rFonts w:hint="eastAsia" w:ascii="宋体" w:hAnsi="宋体" w:eastAsia="宋体" w:cs="宋体"/>
                <w:sz w:val="24"/>
                <w:szCs w:val="24"/>
                <w:highlight w:val="none"/>
                <w:lang w:val="en-US" w:eastAsia="zh-CN"/>
              </w:rPr>
              <w:t>000.00元，共计两年</w:t>
            </w:r>
            <w:r>
              <w:rPr>
                <w:rFonts w:hint="eastAsia" w:ascii="宋体" w:hAnsi="宋体" w:eastAsia="宋体" w:cs="宋体"/>
                <w:sz w:val="24"/>
                <w:szCs w:val="24"/>
                <w:highlight w:val="none"/>
                <w:lang w:eastAsia="zh-CN"/>
              </w:rPr>
              <w:t>）</w:t>
            </w:r>
          </w:p>
          <w:p w14:paraId="629A1199">
            <w:pPr>
              <w:pStyle w:val="16"/>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2.最高限价：</w:t>
            </w:r>
            <w:r>
              <w:rPr>
                <w:rFonts w:hint="eastAsia" w:ascii="宋体" w:hAnsi="宋体" w:eastAsia="宋体" w:cs="宋体"/>
                <w:i w:val="0"/>
                <w:iCs w:val="0"/>
                <w:caps w:val="0"/>
                <w:color w:val="auto"/>
                <w:spacing w:val="0"/>
                <w:kern w:val="0"/>
                <w:sz w:val="24"/>
                <w:szCs w:val="24"/>
                <w:highlight w:val="none"/>
                <w:u w:val="none"/>
                <w:lang w:val="en-US" w:eastAsia="zh-CN" w:bidi="ar-SA"/>
              </w:rPr>
              <w:t>7,960,000.00</w:t>
            </w:r>
            <w:r>
              <w:rPr>
                <w:rFonts w:hint="eastAsia" w:ascii="宋体" w:hAnsi="宋体" w:eastAsia="宋体" w:cs="宋体"/>
                <w:color w:val="auto"/>
                <w:kern w:val="0"/>
                <w:sz w:val="24"/>
                <w:szCs w:val="24"/>
                <w:highlight w:val="none"/>
                <w:lang w:val="en-US" w:eastAsia="zh-CN" w:bidi="ar-SA"/>
              </w:rPr>
              <w:t>元</w:t>
            </w:r>
          </w:p>
          <w:p w14:paraId="6249B20E">
            <w:pPr>
              <w:pStyle w:val="16"/>
              <w:keepNext w:val="0"/>
              <w:keepLines w:val="0"/>
              <w:pageBreakBefore w:val="0"/>
              <w:kinsoku/>
              <w:wordWrap/>
              <w:overflowPunct/>
              <w:topLinePunct w:val="0"/>
              <w:autoSpaceDE/>
              <w:autoSpaceDN/>
              <w:bidi w:val="0"/>
              <w:adjustRightInd/>
              <w:snapToGrid w:val="0"/>
              <w:spacing w:line="312" w:lineRule="auto"/>
              <w:rPr>
                <w:rFonts w:hint="eastAsia"/>
                <w:highlight w:val="none"/>
              </w:rPr>
            </w:pPr>
            <w:r>
              <w:rPr>
                <w:rFonts w:hint="eastAsia" w:ascii="宋体" w:hAnsi="宋体" w:eastAsia="宋体" w:cs="宋体"/>
                <w:color w:val="auto"/>
                <w:kern w:val="0"/>
                <w:sz w:val="24"/>
                <w:szCs w:val="24"/>
                <w:highlight w:val="none"/>
                <w:lang w:val="en-US" w:eastAsia="zh-CN" w:bidi="ar-SA"/>
              </w:rPr>
              <w:t>投标人投标总报价超过最高限价为无效投标。</w:t>
            </w:r>
          </w:p>
        </w:tc>
      </w:tr>
      <w:tr w14:paraId="252378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71773D3F">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843" w:type="pct"/>
            <w:shd w:val="clear" w:color="auto" w:fill="auto"/>
            <w:vAlign w:val="center"/>
          </w:tcPr>
          <w:p w14:paraId="5B5EAFB5">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是否接受联合体</w:t>
            </w:r>
          </w:p>
        </w:tc>
        <w:tc>
          <w:tcPr>
            <w:tcW w:w="3916" w:type="pct"/>
            <w:shd w:val="clear" w:color="auto" w:fill="auto"/>
            <w:vAlign w:val="center"/>
          </w:tcPr>
          <w:p w14:paraId="3040DD73">
            <w:pPr>
              <w:keepNext w:val="0"/>
              <w:keepLines w:val="0"/>
              <w:pageBreakBefore w:val="0"/>
              <w:kinsoku/>
              <w:wordWrap/>
              <w:overflowPunct/>
              <w:topLinePunct w:val="0"/>
              <w:autoSpaceDE/>
              <w:autoSpaceDN/>
              <w:bidi w:val="0"/>
              <w:adjustRightInd/>
              <w:snapToGrid w:val="0"/>
              <w:spacing w:line="312" w:lineRule="auto"/>
              <w:jc w:val="center"/>
              <w:rPr>
                <w:rFonts w:hint="eastAsia" w:ascii="楷体_GB2312" w:hAnsi="Times New Roman" w:eastAsia="楷体_GB2312" w:cs="Times New Roman"/>
                <w:kern w:val="0"/>
                <w:sz w:val="32"/>
                <w:szCs w:val="32"/>
                <w:highlight w:val="none"/>
                <w:lang w:val="en-US" w:eastAsia="zh-CN" w:bidi="ar-SA"/>
              </w:rPr>
            </w:pPr>
            <w:sdt>
              <w:sdtPr>
                <w:rPr>
                  <w:rFonts w:hint="eastAsia" w:ascii="宋体" w:hAnsi="宋体" w:eastAsia="宋体" w:cs="宋体"/>
                  <w:sz w:val="24"/>
                  <w:szCs w:val="24"/>
                  <w:highlight w:val="none"/>
                </w:rPr>
                <w:id w:val="608160193"/>
                <w14:checkbox>
                  <w14:checked w14:val="0"/>
                  <w14:checkedState w14:val="2611" w14:font="MS Gothic"/>
                  <w14:uncheckedState w14:val="2610" w14:font="MS Gothic"/>
                </w14:checkbox>
              </w:sdtPr>
              <w:sdtEndPr>
                <w:rPr>
                  <w:rFonts w:hint="eastAsia" w:ascii="宋体" w:hAnsi="宋体" w:eastAsia="宋体" w:cs="宋体"/>
                  <w:sz w:val="24"/>
                  <w:szCs w:val="24"/>
                  <w:highlight w:val="none"/>
                </w:rPr>
              </w:sdtEndPr>
              <w:sdtContent>
                <w:r>
                  <w:rPr>
                    <w:rFonts w:hint="eastAsia" w:ascii="宋体" w:hAnsi="宋体" w:eastAsia="宋体" w:cs="宋体"/>
                    <w:sz w:val="24"/>
                    <w:szCs w:val="24"/>
                    <w:highlight w:val="none"/>
                  </w:rPr>
                  <w:t>☐</w:t>
                </w:r>
              </w:sdtContent>
            </w:sdt>
            <w:r>
              <w:rPr>
                <w:rFonts w:hint="eastAsia" w:ascii="宋体" w:hAnsi="宋体" w:eastAsia="宋体" w:cs="宋体"/>
                <w:sz w:val="24"/>
                <w:szCs w:val="24"/>
                <w:highlight w:val="none"/>
              </w:rPr>
              <w:t xml:space="preserve">是  </w:t>
            </w:r>
            <w:sdt>
              <w:sdtPr>
                <w:rPr>
                  <w:rFonts w:hint="eastAsia" w:ascii="宋体" w:hAnsi="宋体" w:eastAsia="宋体" w:cs="宋体"/>
                  <w:sz w:val="24"/>
                  <w:szCs w:val="24"/>
                  <w:highlight w:val="none"/>
                </w:rPr>
                <w:id w:val="1317929335"/>
                <w14:checkbox>
                  <w14:checked w14:val="1"/>
                  <w14:checkedState w14:val="2611" w14:font="MS Gothic"/>
                  <w14:uncheckedState w14:val="2610" w14:font="MS Gothic"/>
                </w14:checkbox>
              </w:sdtPr>
              <w:sdtEndPr>
                <w:rPr>
                  <w:rFonts w:hint="eastAsia" w:ascii="宋体" w:hAnsi="宋体" w:eastAsia="宋体" w:cs="宋体"/>
                  <w:sz w:val="24"/>
                  <w:szCs w:val="24"/>
                  <w:highlight w:val="none"/>
                </w:rPr>
              </w:sdtEndPr>
              <w:sdtContent>
                <w:r>
                  <w:rPr>
                    <w:rFonts w:hint="eastAsia" w:ascii="宋体" w:hAnsi="宋体" w:eastAsia="宋体" w:cs="宋体"/>
                    <w:sz w:val="24"/>
                    <w:szCs w:val="24"/>
                    <w:highlight w:val="none"/>
                    <w:lang w:val="en-US" w:eastAsia="zh-CN" w:bidi="ar-SA"/>
                  </w:rPr>
                  <w:t>☑</w:t>
                </w:r>
              </w:sdtContent>
            </w:sdt>
            <w:r>
              <w:rPr>
                <w:rFonts w:hint="eastAsia" w:ascii="宋体" w:hAnsi="宋体" w:eastAsia="宋体" w:cs="宋体"/>
                <w:sz w:val="24"/>
                <w:szCs w:val="24"/>
                <w:highlight w:val="none"/>
              </w:rPr>
              <w:t>否</w:t>
            </w:r>
          </w:p>
        </w:tc>
      </w:tr>
      <w:tr w14:paraId="56F08A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425A8B90">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843" w:type="pct"/>
            <w:shd w:val="clear" w:color="auto" w:fill="auto"/>
            <w:vAlign w:val="center"/>
          </w:tcPr>
          <w:p w14:paraId="2C7971E5">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是否允许进口产品</w:t>
            </w:r>
          </w:p>
        </w:tc>
        <w:tc>
          <w:tcPr>
            <w:tcW w:w="3916" w:type="pct"/>
            <w:shd w:val="clear" w:color="auto" w:fill="auto"/>
            <w:vAlign w:val="center"/>
          </w:tcPr>
          <w:p w14:paraId="029D75EF">
            <w:pPr>
              <w:keepNext w:val="0"/>
              <w:keepLines w:val="0"/>
              <w:pageBreakBefore w:val="0"/>
              <w:kinsoku/>
              <w:wordWrap/>
              <w:overflowPunct/>
              <w:topLinePunct w:val="0"/>
              <w:autoSpaceDE/>
              <w:autoSpaceDN/>
              <w:bidi w:val="0"/>
              <w:adjustRightInd/>
              <w:snapToGrid w:val="0"/>
              <w:spacing w:line="312" w:lineRule="auto"/>
              <w:jc w:val="center"/>
              <w:rPr>
                <w:rFonts w:hint="eastAsia"/>
                <w:highlight w:val="none"/>
                <w:lang w:val="en-US" w:eastAsia="zh-CN"/>
              </w:rPr>
            </w:pPr>
            <w:sdt>
              <w:sdtPr>
                <w:rPr>
                  <w:rFonts w:hint="eastAsia" w:ascii="宋体" w:hAnsi="宋体" w:eastAsia="宋体" w:cs="宋体"/>
                  <w:sz w:val="24"/>
                  <w:szCs w:val="24"/>
                  <w:highlight w:val="none"/>
                </w:rPr>
                <w:id w:val="148570254"/>
                <w14:checkbox>
                  <w14:checked w14:val="0"/>
                  <w14:checkedState w14:val="2611" w14:font="MS Gothic"/>
                  <w14:uncheckedState w14:val="2610" w14:font="MS Gothic"/>
                </w14:checkbox>
              </w:sdtPr>
              <w:sdtEndPr>
                <w:rPr>
                  <w:rFonts w:hint="eastAsia" w:ascii="宋体" w:hAnsi="宋体" w:eastAsia="宋体" w:cs="宋体"/>
                  <w:sz w:val="24"/>
                  <w:szCs w:val="24"/>
                  <w:highlight w:val="none"/>
                </w:rPr>
              </w:sdtEndPr>
              <w:sdtContent>
                <w:r>
                  <w:rPr>
                    <w:rFonts w:hint="eastAsia" w:ascii="宋体" w:hAnsi="宋体" w:eastAsia="宋体" w:cs="宋体"/>
                    <w:sz w:val="24"/>
                    <w:szCs w:val="24"/>
                    <w:highlight w:val="none"/>
                  </w:rPr>
                  <w:t>☐</w:t>
                </w:r>
              </w:sdtContent>
            </w:sdt>
            <w:r>
              <w:rPr>
                <w:rFonts w:hint="eastAsia" w:ascii="宋体" w:hAnsi="宋体" w:eastAsia="宋体" w:cs="宋体"/>
                <w:sz w:val="24"/>
                <w:szCs w:val="24"/>
                <w:highlight w:val="none"/>
              </w:rPr>
              <w:t xml:space="preserve">是  </w:t>
            </w:r>
            <w:sdt>
              <w:sdtPr>
                <w:rPr>
                  <w:rFonts w:hint="eastAsia" w:ascii="宋体" w:hAnsi="宋体" w:eastAsia="宋体" w:cs="宋体"/>
                  <w:sz w:val="24"/>
                  <w:szCs w:val="24"/>
                  <w:highlight w:val="none"/>
                </w:rPr>
                <w:id w:val="-1689594843"/>
                <w14:checkbox>
                  <w14:checked w14:val="1"/>
                  <w14:checkedState w14:val="2611" w14:font="MS Gothic"/>
                  <w14:uncheckedState w14:val="2610" w14:font="MS Gothic"/>
                </w14:checkbox>
              </w:sdtPr>
              <w:sdtEndPr>
                <w:rPr>
                  <w:rFonts w:hint="eastAsia" w:ascii="宋体" w:hAnsi="宋体" w:eastAsia="宋体" w:cs="宋体"/>
                  <w:sz w:val="24"/>
                  <w:szCs w:val="24"/>
                  <w:highlight w:val="none"/>
                </w:rPr>
              </w:sdtEndPr>
              <w:sdtContent>
                <w:r>
                  <w:rPr>
                    <w:rFonts w:hint="eastAsia" w:ascii="宋体" w:hAnsi="宋体" w:eastAsia="宋体" w:cs="宋体"/>
                    <w:sz w:val="24"/>
                    <w:szCs w:val="24"/>
                    <w:highlight w:val="none"/>
                    <w:lang w:val="en-US" w:eastAsia="zh-CN" w:bidi="ar-SA"/>
                  </w:rPr>
                  <w:t>☑</w:t>
                </w:r>
              </w:sdtContent>
            </w:sdt>
            <w:r>
              <w:rPr>
                <w:rFonts w:hint="eastAsia" w:ascii="宋体" w:hAnsi="宋体" w:eastAsia="宋体" w:cs="宋体"/>
                <w:sz w:val="24"/>
                <w:szCs w:val="24"/>
                <w:highlight w:val="none"/>
              </w:rPr>
              <w:t>否</w:t>
            </w:r>
          </w:p>
        </w:tc>
      </w:tr>
      <w:tr w14:paraId="21B032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023E8DA1">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843" w:type="pct"/>
            <w:shd w:val="clear" w:color="auto" w:fill="auto"/>
            <w:vAlign w:val="center"/>
          </w:tcPr>
          <w:p w14:paraId="3E18F12B">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是否允许大中企业向小微企业分包</w:t>
            </w:r>
          </w:p>
        </w:tc>
        <w:tc>
          <w:tcPr>
            <w:tcW w:w="3916" w:type="pct"/>
            <w:shd w:val="clear" w:color="auto" w:fill="auto"/>
            <w:vAlign w:val="center"/>
          </w:tcPr>
          <w:p w14:paraId="4814F5AE">
            <w:pPr>
              <w:keepNext w:val="0"/>
              <w:keepLines w:val="0"/>
              <w:pageBreakBefore w:val="0"/>
              <w:kinsoku/>
              <w:wordWrap/>
              <w:overflowPunct/>
              <w:topLinePunct w:val="0"/>
              <w:autoSpaceDE/>
              <w:autoSpaceDN/>
              <w:bidi w:val="0"/>
              <w:adjustRightInd/>
              <w:snapToGrid w:val="0"/>
              <w:spacing w:line="312" w:lineRule="auto"/>
              <w:jc w:val="center"/>
              <w:rPr>
                <w:rFonts w:hint="default"/>
                <w:highlight w:val="none"/>
                <w:lang w:val="en-US" w:eastAsia="zh-CN"/>
              </w:rPr>
            </w:pPr>
            <w:sdt>
              <w:sdtPr>
                <w:rPr>
                  <w:rFonts w:hint="eastAsia" w:ascii="宋体" w:hAnsi="宋体" w:eastAsia="宋体" w:cs="宋体"/>
                  <w:sz w:val="24"/>
                  <w:szCs w:val="24"/>
                  <w:highlight w:val="none"/>
                </w:rPr>
                <w:id w:val="365725084"/>
                <w14:checkbox>
                  <w14:checked w14:val="0"/>
                  <w14:checkedState w14:val="2611" w14:font="MS Gothic"/>
                  <w14:uncheckedState w14:val="2610" w14:font="MS Gothic"/>
                </w14:checkbox>
              </w:sdtPr>
              <w:sdtEndPr>
                <w:rPr>
                  <w:rFonts w:hint="eastAsia" w:ascii="宋体" w:hAnsi="宋体" w:eastAsia="宋体" w:cs="宋体"/>
                  <w:sz w:val="24"/>
                  <w:szCs w:val="24"/>
                  <w:highlight w:val="none"/>
                </w:rPr>
              </w:sdtEndPr>
              <w:sdtContent>
                <w:r>
                  <w:rPr>
                    <w:rFonts w:hint="eastAsia" w:ascii="宋体" w:hAnsi="宋体" w:eastAsia="宋体" w:cs="宋体"/>
                    <w:sz w:val="24"/>
                    <w:szCs w:val="24"/>
                    <w:highlight w:val="none"/>
                    <w:lang w:val="en-US" w:eastAsia="zh-CN" w:bidi="ar-SA"/>
                  </w:rPr>
                  <w:t>☐</w:t>
                </w:r>
              </w:sdtContent>
            </w:sdt>
            <w:r>
              <w:rPr>
                <w:rFonts w:hint="eastAsia" w:ascii="宋体" w:hAnsi="宋体" w:eastAsia="宋体" w:cs="宋体"/>
                <w:sz w:val="24"/>
                <w:szCs w:val="24"/>
                <w:highlight w:val="none"/>
              </w:rPr>
              <w:t xml:space="preserve">是  </w:t>
            </w:r>
            <w:sdt>
              <w:sdtPr>
                <w:rPr>
                  <w:rFonts w:hint="eastAsia" w:ascii="宋体" w:hAnsi="宋体" w:eastAsia="宋体" w:cs="宋体"/>
                  <w:sz w:val="24"/>
                  <w:szCs w:val="24"/>
                  <w:highlight w:val="none"/>
                </w:rPr>
                <w:id w:val="-54473539"/>
                <w14:checkbox>
                  <w14:checked w14:val="1"/>
                  <w14:checkedState w14:val="2611" w14:font="MS Gothic"/>
                  <w14:uncheckedState w14:val="2610" w14:font="MS Gothic"/>
                </w14:checkbox>
              </w:sdtPr>
              <w:sdtEndPr>
                <w:rPr>
                  <w:rFonts w:hint="eastAsia" w:ascii="宋体" w:hAnsi="宋体" w:eastAsia="宋体" w:cs="宋体"/>
                  <w:sz w:val="24"/>
                  <w:szCs w:val="24"/>
                  <w:highlight w:val="none"/>
                </w:rPr>
              </w:sdtEndPr>
              <w:sdtContent>
                <w:r>
                  <w:rPr>
                    <w:rFonts w:hint="eastAsia" w:ascii="宋体" w:hAnsi="宋体" w:eastAsia="宋体" w:cs="宋体"/>
                    <w:sz w:val="24"/>
                    <w:szCs w:val="24"/>
                    <w:highlight w:val="none"/>
                    <w:lang w:val="en-US" w:eastAsia="zh-CN" w:bidi="ar-SA"/>
                  </w:rPr>
                  <w:t>☑</w:t>
                </w:r>
              </w:sdtContent>
            </w:sdt>
            <w:r>
              <w:rPr>
                <w:rFonts w:hint="eastAsia" w:ascii="宋体" w:hAnsi="宋体" w:eastAsia="宋体" w:cs="宋体"/>
                <w:sz w:val="24"/>
                <w:szCs w:val="24"/>
                <w:highlight w:val="none"/>
              </w:rPr>
              <w:t>否</w:t>
            </w:r>
          </w:p>
        </w:tc>
      </w:tr>
      <w:tr w14:paraId="1AB1D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163AFC4E">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843" w:type="pct"/>
            <w:shd w:val="clear" w:color="auto" w:fill="auto"/>
            <w:vAlign w:val="center"/>
          </w:tcPr>
          <w:p w14:paraId="4152FE11">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采购内容</w:t>
            </w:r>
          </w:p>
        </w:tc>
        <w:tc>
          <w:tcPr>
            <w:tcW w:w="3916" w:type="pct"/>
            <w:shd w:val="clear" w:color="auto" w:fill="auto"/>
            <w:vAlign w:val="center"/>
          </w:tcPr>
          <w:p w14:paraId="032895BB">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新筑街道2026-2027年垃圾压缩站运营外包服务</w:t>
            </w:r>
            <w:r>
              <w:rPr>
                <w:rFonts w:hint="eastAsia" w:ascii="宋体" w:hAnsi="宋体" w:eastAsia="宋体" w:cs="宋体"/>
                <w:i w:val="0"/>
                <w:iCs w:val="0"/>
                <w:caps w:val="0"/>
                <w:color w:val="auto"/>
                <w:spacing w:val="0"/>
                <w:kern w:val="0"/>
                <w:sz w:val="24"/>
                <w:szCs w:val="24"/>
                <w:highlight w:val="none"/>
                <w:u w:val="none"/>
                <w:lang w:val="en-US" w:eastAsia="zh-CN" w:bidi="ar-SA"/>
              </w:rPr>
              <w:t>，</w:t>
            </w:r>
            <w:r>
              <w:rPr>
                <w:rFonts w:hint="eastAsia" w:ascii="宋体" w:hAnsi="宋体" w:eastAsia="宋体" w:cs="宋体"/>
                <w:color w:val="auto"/>
                <w:sz w:val="24"/>
                <w:highlight w:val="none"/>
                <w:lang w:eastAsia="zh-CN"/>
              </w:rPr>
              <w:t>详见第三章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招标内容及要求</w:t>
            </w:r>
            <w:r>
              <w:rPr>
                <w:rFonts w:hint="eastAsia" w:ascii="宋体" w:hAnsi="宋体" w:eastAsia="宋体" w:cs="宋体"/>
                <w:color w:val="auto"/>
                <w:sz w:val="24"/>
                <w:highlight w:val="none"/>
              </w:rPr>
              <w:t>。</w:t>
            </w:r>
          </w:p>
        </w:tc>
      </w:tr>
      <w:tr w14:paraId="58C68C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0C2BCB77">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843" w:type="pct"/>
            <w:shd w:val="clear" w:color="auto" w:fill="auto"/>
            <w:vAlign w:val="center"/>
          </w:tcPr>
          <w:p w14:paraId="0B02D7E3">
            <w:pPr>
              <w:pStyle w:val="17"/>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服务期</w:t>
            </w:r>
          </w:p>
        </w:tc>
        <w:tc>
          <w:tcPr>
            <w:tcW w:w="3916" w:type="pct"/>
            <w:shd w:val="clear" w:color="auto" w:fill="auto"/>
            <w:vAlign w:val="center"/>
          </w:tcPr>
          <w:p w14:paraId="18405884">
            <w:pPr>
              <w:pStyle w:val="17"/>
              <w:keepNext w:val="0"/>
              <w:keepLines w:val="0"/>
              <w:pageBreakBefore w:val="0"/>
              <w:kinsoku/>
              <w:wordWrap/>
              <w:overflowPunct/>
              <w:topLinePunct w:val="0"/>
              <w:autoSpaceDE/>
              <w:autoSpaceDN/>
              <w:bidi w:val="0"/>
              <w:adjustRightInd/>
              <w:snapToGrid w:val="0"/>
              <w:spacing w:line="312" w:lineRule="auto"/>
              <w:jc w:val="left"/>
              <w:rPr>
                <w:rFonts w:hint="eastAsia" w:ascii="宋体" w:hAnsi="宋体" w:eastAsia="宋体" w:cs="宋体"/>
                <w:sz w:val="24"/>
                <w:szCs w:val="24"/>
                <w:highlight w:val="none"/>
              </w:rPr>
            </w:pPr>
            <w:r>
              <w:rPr>
                <w:rFonts w:hint="eastAsia" w:hAnsi="宋体" w:eastAsia="宋体" w:cs="宋体"/>
                <w:i w:val="0"/>
                <w:iCs w:val="0"/>
                <w:caps w:val="0"/>
                <w:color w:val="auto"/>
                <w:spacing w:val="0"/>
                <w:kern w:val="0"/>
                <w:sz w:val="24"/>
                <w:szCs w:val="24"/>
                <w:highlight w:val="none"/>
                <w:u w:val="none"/>
                <w:lang w:val="en-US" w:eastAsia="zh-CN" w:bidi="ar-SA"/>
              </w:rPr>
              <w:t>两年（合同一年一签，若中标单位上一年服务不能满足采购人要求，采购人可拒绝续签）。</w:t>
            </w:r>
          </w:p>
        </w:tc>
      </w:tr>
      <w:tr w14:paraId="70718B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07696F3A">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11</w:t>
            </w:r>
          </w:p>
        </w:tc>
        <w:tc>
          <w:tcPr>
            <w:tcW w:w="843" w:type="pct"/>
            <w:shd w:val="clear" w:color="auto" w:fill="auto"/>
            <w:vAlign w:val="center"/>
          </w:tcPr>
          <w:p w14:paraId="462A8E95">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highlight w:val="none"/>
                <w:lang w:eastAsia="zh-CN"/>
              </w:rPr>
              <w:t>服务地点</w:t>
            </w:r>
          </w:p>
        </w:tc>
        <w:tc>
          <w:tcPr>
            <w:tcW w:w="3916" w:type="pct"/>
            <w:shd w:val="clear" w:color="auto" w:fill="auto"/>
            <w:vAlign w:val="center"/>
          </w:tcPr>
          <w:p w14:paraId="5A16BD0E">
            <w:pPr>
              <w:keepNext w:val="0"/>
              <w:keepLines w:val="0"/>
              <w:pageBreakBefore w:val="0"/>
              <w:kinsoku/>
              <w:wordWrap/>
              <w:overflowPunct/>
              <w:topLinePunct w:val="0"/>
              <w:autoSpaceDE/>
              <w:autoSpaceDN/>
              <w:bidi w:val="0"/>
              <w:adjustRightInd/>
              <w:snapToGrid w:val="0"/>
              <w:spacing w:line="312" w:lineRule="auto"/>
              <w:jc w:val="left"/>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color w:val="auto"/>
                <w:sz w:val="24"/>
                <w:szCs w:val="24"/>
                <w:highlight w:val="none"/>
              </w:rPr>
              <w:t>采购人指定的地点</w:t>
            </w:r>
          </w:p>
        </w:tc>
      </w:tr>
      <w:tr w14:paraId="732438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41343D49">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12</w:t>
            </w:r>
          </w:p>
        </w:tc>
        <w:tc>
          <w:tcPr>
            <w:tcW w:w="843" w:type="pct"/>
            <w:shd w:val="clear" w:color="auto" w:fill="auto"/>
            <w:vAlign w:val="center"/>
          </w:tcPr>
          <w:p w14:paraId="281DCD78">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highlight w:val="none"/>
              </w:rPr>
              <w:t>质量要求</w:t>
            </w:r>
          </w:p>
        </w:tc>
        <w:tc>
          <w:tcPr>
            <w:tcW w:w="3916" w:type="pct"/>
            <w:shd w:val="clear" w:color="auto" w:fill="auto"/>
            <w:vAlign w:val="center"/>
          </w:tcPr>
          <w:p w14:paraId="77DEA2FF">
            <w:pPr>
              <w:keepNext w:val="0"/>
              <w:keepLines w:val="0"/>
              <w:pageBreakBefore w:val="0"/>
              <w:kinsoku/>
              <w:wordWrap/>
              <w:overflowPunct/>
              <w:topLinePunct w:val="0"/>
              <w:autoSpaceDE/>
              <w:autoSpaceDN/>
              <w:bidi w:val="0"/>
              <w:adjustRightInd/>
              <w:snapToGrid w:val="0"/>
              <w:spacing w:line="312"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符合国家及行业有关现行规范、标准的要求。</w:t>
            </w:r>
          </w:p>
        </w:tc>
      </w:tr>
      <w:tr w14:paraId="268375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16353474">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rPr>
              <w:t>13</w:t>
            </w:r>
          </w:p>
        </w:tc>
        <w:tc>
          <w:tcPr>
            <w:tcW w:w="843" w:type="pct"/>
            <w:shd w:val="clear" w:color="auto" w:fill="auto"/>
            <w:vAlign w:val="center"/>
          </w:tcPr>
          <w:p w14:paraId="56340CB8">
            <w:pPr>
              <w:keepNext w:val="0"/>
              <w:keepLines w:val="0"/>
              <w:pageBreakBefore w:val="0"/>
              <w:widowControl/>
              <w:kinsoku/>
              <w:wordWrap/>
              <w:overflowPunct/>
              <w:topLinePunct w:val="0"/>
              <w:autoSpaceDE/>
              <w:autoSpaceDN/>
              <w:bidi w:val="0"/>
              <w:adjustRightInd/>
              <w:snapToGrid w:val="0"/>
              <w:spacing w:line="312"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auto"/>
                <w:sz w:val="24"/>
                <w:highlight w:val="none"/>
              </w:rPr>
              <w:t>付款方式</w:t>
            </w:r>
          </w:p>
        </w:tc>
        <w:tc>
          <w:tcPr>
            <w:tcW w:w="3916" w:type="pct"/>
            <w:shd w:val="clear" w:color="auto" w:fill="auto"/>
            <w:vAlign w:val="center"/>
          </w:tcPr>
          <w:p w14:paraId="69BC19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12" w:lineRule="auto"/>
              <w:ind w:left="0" w:right="0" w:firstLine="480" w:firstLineChars="200"/>
              <w:jc w:val="left"/>
              <w:textAlignment w:val="baseline"/>
              <w:outlineLvl w:val="9"/>
              <w:rPr>
                <w:rFonts w:hint="default"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1.预付款支付条款：无</w:t>
            </w:r>
          </w:p>
          <w:p w14:paraId="4F0A68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2.剩余款项支付条款：</w:t>
            </w:r>
          </w:p>
          <w:p w14:paraId="578D35E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12" w:lineRule="auto"/>
              <w:ind w:left="0" w:right="0" w:firstLine="480" w:firstLineChars="200"/>
              <w:jc w:val="left"/>
              <w:textAlignment w:val="baseline"/>
              <w:outlineLvl w:val="9"/>
              <w:rPr>
                <w:rFonts w:hint="default" w:ascii="宋体" w:hAnsi="宋体" w:eastAsia="宋体" w:cs="宋体"/>
                <w:i w:val="0"/>
                <w:iCs w:val="0"/>
                <w:caps w:val="0"/>
                <w:color w:val="auto"/>
                <w:spacing w:val="0"/>
                <w:kern w:val="0"/>
                <w:sz w:val="24"/>
                <w:szCs w:val="24"/>
                <w:highlight w:val="none"/>
                <w:u w:val="none"/>
                <w:lang w:val="en-US" w:eastAsia="zh-CN" w:bidi="ar-SA"/>
              </w:rPr>
            </w:pPr>
            <w:r>
              <w:rPr>
                <w:rFonts w:hint="default" w:ascii="宋体" w:hAnsi="宋体" w:eastAsia="宋体" w:cs="宋体"/>
                <w:i w:val="0"/>
                <w:iCs w:val="0"/>
                <w:caps w:val="0"/>
                <w:color w:val="auto"/>
                <w:spacing w:val="0"/>
                <w:kern w:val="0"/>
                <w:sz w:val="24"/>
                <w:szCs w:val="24"/>
                <w:highlight w:val="none"/>
                <w:u w:val="none"/>
                <w:lang w:val="en-US" w:eastAsia="zh-CN" w:bidi="ar-SA"/>
              </w:rPr>
              <w:t>（1）按月支付，服务费用自服务期限第二个月起每月15日前支付；</w:t>
            </w:r>
          </w:p>
          <w:p w14:paraId="706349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12" w:lineRule="auto"/>
              <w:ind w:left="0" w:right="0" w:firstLine="480" w:firstLineChars="200"/>
              <w:jc w:val="left"/>
              <w:textAlignment w:val="baseline"/>
              <w:outlineLvl w:val="9"/>
              <w:rPr>
                <w:rFonts w:hint="default" w:ascii="宋体" w:hAnsi="宋体" w:eastAsia="宋体" w:cs="宋体"/>
                <w:i w:val="0"/>
                <w:iCs w:val="0"/>
                <w:caps w:val="0"/>
                <w:color w:val="auto"/>
                <w:spacing w:val="0"/>
                <w:kern w:val="0"/>
                <w:sz w:val="24"/>
                <w:szCs w:val="24"/>
                <w:highlight w:val="none"/>
                <w:u w:val="none"/>
                <w:lang w:val="en-US" w:eastAsia="zh-CN" w:bidi="ar-SA"/>
              </w:rPr>
            </w:pPr>
            <w:r>
              <w:rPr>
                <w:rFonts w:hint="default" w:ascii="宋体" w:hAnsi="宋体" w:eastAsia="宋体" w:cs="宋体"/>
                <w:i w:val="0"/>
                <w:iCs w:val="0"/>
                <w:caps w:val="0"/>
                <w:color w:val="auto"/>
                <w:spacing w:val="0"/>
                <w:kern w:val="0"/>
                <w:sz w:val="24"/>
                <w:szCs w:val="24"/>
                <w:highlight w:val="none"/>
                <w:u w:val="none"/>
                <w:lang w:val="en-US" w:eastAsia="zh-CN" w:bidi="ar-SA"/>
              </w:rPr>
              <w:t>（2）</w:t>
            </w:r>
            <w:r>
              <w:rPr>
                <w:rFonts w:hint="eastAsia" w:ascii="宋体" w:hAnsi="宋体" w:eastAsia="宋体" w:cs="宋体"/>
                <w:i w:val="0"/>
                <w:iCs w:val="0"/>
                <w:caps w:val="0"/>
                <w:color w:val="auto"/>
                <w:spacing w:val="0"/>
                <w:kern w:val="0"/>
                <w:sz w:val="24"/>
                <w:szCs w:val="24"/>
                <w:highlight w:val="none"/>
                <w:u w:val="none"/>
                <w:lang w:val="en-US" w:eastAsia="zh-CN" w:bidi="ar-SA"/>
              </w:rPr>
              <w:t>供应商</w:t>
            </w:r>
            <w:r>
              <w:rPr>
                <w:rFonts w:hint="default" w:ascii="宋体" w:hAnsi="宋体" w:eastAsia="宋体" w:cs="宋体"/>
                <w:i w:val="0"/>
                <w:iCs w:val="0"/>
                <w:caps w:val="0"/>
                <w:color w:val="auto"/>
                <w:spacing w:val="0"/>
                <w:kern w:val="0"/>
                <w:sz w:val="24"/>
                <w:szCs w:val="24"/>
                <w:highlight w:val="none"/>
                <w:u w:val="none"/>
                <w:lang w:val="en-US" w:eastAsia="zh-CN" w:bidi="ar-SA"/>
              </w:rPr>
              <w:t>服务质量每月根据考核细则进行考核，根据每月考核情况计算该月扣款金额；</w:t>
            </w:r>
          </w:p>
          <w:p w14:paraId="66152A9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12" w:lineRule="auto"/>
              <w:ind w:left="0" w:right="0" w:firstLine="480" w:firstLineChars="200"/>
              <w:jc w:val="left"/>
              <w:textAlignment w:val="baseline"/>
              <w:outlineLvl w:val="9"/>
              <w:rPr>
                <w:rFonts w:hint="default" w:ascii="宋体" w:hAnsi="宋体" w:eastAsia="宋体" w:cs="宋体"/>
                <w:i w:val="0"/>
                <w:iCs w:val="0"/>
                <w:caps w:val="0"/>
                <w:color w:val="auto"/>
                <w:spacing w:val="0"/>
                <w:kern w:val="0"/>
                <w:sz w:val="24"/>
                <w:szCs w:val="24"/>
                <w:highlight w:val="none"/>
                <w:u w:val="none"/>
                <w:lang w:val="en-US" w:eastAsia="zh-CN" w:bidi="ar-SA"/>
              </w:rPr>
            </w:pPr>
            <w:r>
              <w:rPr>
                <w:rFonts w:hint="default" w:ascii="宋体" w:hAnsi="宋体" w:eastAsia="宋体" w:cs="宋体"/>
                <w:i w:val="0"/>
                <w:iCs w:val="0"/>
                <w:caps w:val="0"/>
                <w:color w:val="auto"/>
                <w:spacing w:val="0"/>
                <w:kern w:val="0"/>
                <w:sz w:val="24"/>
                <w:szCs w:val="24"/>
                <w:highlight w:val="none"/>
                <w:u w:val="none"/>
                <w:lang w:val="en-US" w:eastAsia="zh-CN" w:bidi="ar-SA"/>
              </w:rPr>
              <w:t>即：每月实际应付金额=每月合同支付金额-考核扣除金额。</w:t>
            </w:r>
          </w:p>
          <w:p w14:paraId="2AEA1A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12" w:lineRule="auto"/>
              <w:ind w:left="0" w:right="0" w:firstLine="480" w:firstLineChars="200"/>
              <w:jc w:val="left"/>
              <w:textAlignment w:val="baseline"/>
              <w:outlineLvl w:val="9"/>
              <w:rPr>
                <w:rFonts w:hint="default" w:ascii="宋体" w:hAnsi="宋体" w:eastAsia="宋体" w:cs="宋体"/>
                <w:sz w:val="24"/>
                <w:szCs w:val="24"/>
                <w:highlight w:val="none"/>
                <w:lang w:val="en-US"/>
              </w:rPr>
            </w:pPr>
            <w:r>
              <w:rPr>
                <w:rFonts w:hint="eastAsia" w:ascii="宋体" w:hAnsi="宋体" w:eastAsia="宋体" w:cs="宋体"/>
                <w:i w:val="0"/>
                <w:iCs w:val="0"/>
                <w:caps w:val="0"/>
                <w:color w:val="auto"/>
                <w:spacing w:val="0"/>
                <w:kern w:val="0"/>
                <w:sz w:val="24"/>
                <w:szCs w:val="24"/>
                <w:highlight w:val="none"/>
                <w:u w:val="none"/>
                <w:lang w:val="en-US" w:eastAsia="zh-CN" w:bidi="ar-SA"/>
              </w:rPr>
              <w:t>注：供应商应向采购人出具符合国家财税规定的增值税发票，否则采购人有权延迟履行付款义务。如因供应商缘故（如开具增值税发票延误等）导致采购人无法按时付款，采购人不承担违约责任。如遇突发事件，付款日期则以实际付款日期为准。</w:t>
            </w:r>
          </w:p>
        </w:tc>
      </w:tr>
      <w:tr w14:paraId="7C64BF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1390EEF2">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p>
        </w:tc>
        <w:tc>
          <w:tcPr>
            <w:tcW w:w="843" w:type="pct"/>
            <w:shd w:val="clear" w:color="auto" w:fill="auto"/>
            <w:vAlign w:val="center"/>
          </w:tcPr>
          <w:p w14:paraId="3D0B959E">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供应商资质条件</w:t>
            </w:r>
          </w:p>
        </w:tc>
        <w:tc>
          <w:tcPr>
            <w:tcW w:w="3916" w:type="pct"/>
            <w:shd w:val="clear" w:color="auto" w:fill="auto"/>
            <w:vAlign w:val="center"/>
          </w:tcPr>
          <w:p w14:paraId="5763F68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right="0" w:rightChars="0"/>
              <w:jc w:val="left"/>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1.有效的主体资格证明：提供合格有效的法人或者其他组织的营业执照等证明文件或自然人的身份证明；</w:t>
            </w:r>
          </w:p>
          <w:p w14:paraId="3EE4BAD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right="0" w:rightChars="0"/>
              <w:jc w:val="left"/>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2.基本资格条件：符合《中华人民共和国政府采购法》第二十二条的规定；</w:t>
            </w:r>
          </w:p>
          <w:p w14:paraId="6E91C2A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right="0" w:rightChars="0"/>
              <w:jc w:val="left"/>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应授权合法的人员参加投标全过程，其中法定代表人直接参加投标的，须出具法定代表人身份证，并与营业执照上信息一致。法定代表人授权代表参加投标的，须出具法定代表人授权书及授权代表身份证，授权代表须提供近六个月中任一个月缴纳社保证明复印件并加盖单位公章；</w:t>
            </w:r>
          </w:p>
          <w:p w14:paraId="59E481E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right="0" w:rightChars="0"/>
              <w:jc w:val="left"/>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4.单位负责人为同一人或者存在直接控股、管理关系的不同供应商，不得参加同一合同项下的政府采购活动。</w:t>
            </w:r>
          </w:p>
        </w:tc>
      </w:tr>
      <w:tr w14:paraId="18467A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0955203D">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color w:val="FF0000"/>
                <w:sz w:val="24"/>
                <w:szCs w:val="24"/>
                <w:lang w:val="en-US" w:eastAsia="zh-CN"/>
              </w:rPr>
            </w:pPr>
            <w:r>
              <w:rPr>
                <w:rFonts w:hint="eastAsia" w:ascii="宋体" w:hAnsi="宋体" w:eastAsia="宋体" w:cs="宋体"/>
                <w:sz w:val="24"/>
                <w:szCs w:val="24"/>
                <w:lang w:val="en-US" w:eastAsia="zh-CN"/>
              </w:rPr>
              <w:t>15</w:t>
            </w:r>
          </w:p>
        </w:tc>
        <w:tc>
          <w:tcPr>
            <w:tcW w:w="843" w:type="pct"/>
            <w:shd w:val="clear" w:color="auto" w:fill="auto"/>
            <w:vAlign w:val="center"/>
          </w:tcPr>
          <w:p w14:paraId="5EA196B0">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color w:val="auto"/>
                <w:sz w:val="24"/>
                <w:szCs w:val="24"/>
                <w:highlight w:val="none"/>
              </w:rPr>
            </w:pPr>
            <w:r>
              <w:rPr>
                <w:rFonts w:hint="eastAsia" w:ascii="宋体" w:hAnsi="宋体" w:eastAsia="宋体" w:cs="宋体"/>
                <w:sz w:val="24"/>
                <w:szCs w:val="24"/>
              </w:rPr>
              <w:t>投标保证金</w:t>
            </w:r>
          </w:p>
        </w:tc>
        <w:tc>
          <w:tcPr>
            <w:tcW w:w="3916" w:type="pct"/>
            <w:shd w:val="clear" w:color="auto" w:fill="auto"/>
            <w:vAlign w:val="center"/>
          </w:tcPr>
          <w:p w14:paraId="7BA6773A">
            <w:pPr>
              <w:keepNext w:val="0"/>
              <w:keepLines w:val="0"/>
              <w:pageBreakBefore w:val="0"/>
              <w:kinsoku/>
              <w:wordWrap/>
              <w:overflowPunct/>
              <w:topLinePunct w:val="0"/>
              <w:autoSpaceDE/>
              <w:autoSpaceDN/>
              <w:bidi w:val="0"/>
              <w:adjustRightInd/>
              <w:snapToGrid w:val="0"/>
              <w:spacing w:line="312" w:lineRule="auto"/>
              <w:jc w:val="both"/>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lang w:eastAsia="zh-CN"/>
              </w:rPr>
              <w:t>无</w:t>
            </w:r>
          </w:p>
        </w:tc>
      </w:tr>
      <w:tr w14:paraId="51A8BB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575085FB">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16</w:t>
            </w:r>
          </w:p>
        </w:tc>
        <w:tc>
          <w:tcPr>
            <w:tcW w:w="843" w:type="pct"/>
            <w:shd w:val="clear" w:color="auto" w:fill="auto"/>
            <w:vAlign w:val="center"/>
          </w:tcPr>
          <w:p w14:paraId="5A0DB748">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rPr>
            </w:pPr>
            <w:r>
              <w:rPr>
                <w:rFonts w:hint="eastAsia" w:ascii="宋体" w:hAnsi="宋体" w:eastAsia="宋体" w:cs="宋体"/>
                <w:sz w:val="24"/>
                <w:szCs w:val="24"/>
              </w:rPr>
              <w:t>履约保证金</w:t>
            </w:r>
          </w:p>
        </w:tc>
        <w:tc>
          <w:tcPr>
            <w:tcW w:w="3916" w:type="pct"/>
            <w:shd w:val="clear" w:color="auto" w:fill="auto"/>
            <w:vAlign w:val="center"/>
          </w:tcPr>
          <w:p w14:paraId="1D76AD87">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陕西省财政厅关于落实政府采购支持中小企业政策有关事项的通知《陕财办采函〔2022〕10号》货物和服务采购项目为保证采购合同的履行，确需收取履约保证金的，应在采购文件中约定履约保证金收取要求，收取比例不超过合同金额的5%。</w:t>
            </w:r>
          </w:p>
          <w:p w14:paraId="7E488F5D">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供应商应在领取中标通知书后5个工作日内将履约保证金足额交纳至以下账户，其数额（或担保金额）为合同金额的〈0-10〉%（舍入到百元），履约保证金由采购代理机构代收和退还\采购人自行收取和退还。</w:t>
            </w:r>
          </w:p>
          <w:p w14:paraId="26547AAF">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户　名：_____________________________</w:t>
            </w:r>
          </w:p>
          <w:p w14:paraId="279A0625">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账　号：_____________________________</w:t>
            </w:r>
          </w:p>
          <w:p w14:paraId="41F590C4">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开户行：_____________________________</w:t>
            </w:r>
          </w:p>
          <w:p w14:paraId="6CDAC2A6">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业务咨询电话：_______________________</w:t>
            </w:r>
          </w:p>
          <w:p w14:paraId="09F4E747">
            <w:pPr>
              <w:keepNext w:val="0"/>
              <w:keepLines w:val="0"/>
              <w:pageBreakBefore w:val="0"/>
              <w:kinsoku/>
              <w:wordWrap/>
              <w:overflowPunct/>
              <w:topLinePunct w:val="0"/>
              <w:autoSpaceDE/>
              <w:autoSpaceDN/>
              <w:bidi w:val="0"/>
              <w:adjustRightInd/>
              <w:snapToGrid w:val="0"/>
              <w:spacing w:line="312" w:lineRule="auto"/>
              <w:rPr>
                <w:rFonts w:hint="eastAsia"/>
                <w:lang w:val="en-US" w:eastAsia="zh-CN"/>
              </w:rPr>
            </w:pPr>
            <w:r>
              <w:rPr>
                <w:rFonts w:hint="eastAsia" w:ascii="宋体" w:hAnsi="宋体" w:eastAsia="宋体" w:cs="宋体"/>
                <w:sz w:val="24"/>
                <w:szCs w:val="24"/>
                <w:highlight w:val="none"/>
                <w:lang w:eastAsia="zh-CN"/>
              </w:rPr>
              <w:t>本项目无</w:t>
            </w:r>
            <w:r>
              <w:rPr>
                <w:rFonts w:hint="eastAsia" w:ascii="宋体" w:hAnsi="宋体" w:eastAsia="宋体" w:cs="宋体"/>
                <w:sz w:val="24"/>
                <w:szCs w:val="24"/>
                <w:highlight w:val="none"/>
              </w:rPr>
              <w:t>履约保证金</w:t>
            </w:r>
            <w:r>
              <w:rPr>
                <w:rFonts w:hint="eastAsia" w:ascii="宋体" w:hAnsi="宋体" w:eastAsia="宋体" w:cs="宋体"/>
                <w:sz w:val="24"/>
                <w:szCs w:val="24"/>
                <w:highlight w:val="none"/>
                <w:lang w:eastAsia="zh-CN"/>
              </w:rPr>
              <w:t>。</w:t>
            </w:r>
          </w:p>
        </w:tc>
      </w:tr>
      <w:tr w14:paraId="208258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4A8AE2AD">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17</w:t>
            </w:r>
          </w:p>
        </w:tc>
        <w:tc>
          <w:tcPr>
            <w:tcW w:w="843" w:type="pct"/>
            <w:shd w:val="clear" w:color="auto" w:fill="auto"/>
            <w:vAlign w:val="center"/>
          </w:tcPr>
          <w:p w14:paraId="4F8416BE">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rPr>
              <w:t>投标文件份数</w:t>
            </w:r>
          </w:p>
        </w:tc>
        <w:tc>
          <w:tcPr>
            <w:tcW w:w="3916" w:type="pct"/>
            <w:shd w:val="clear" w:color="auto" w:fill="auto"/>
            <w:vAlign w:val="center"/>
          </w:tcPr>
          <w:p w14:paraId="6333EC37">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投标供应商无需提供；</w:t>
            </w:r>
          </w:p>
          <w:p w14:paraId="0725B9A9">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b/>
                <w:bCs/>
                <w:sz w:val="24"/>
                <w:szCs w:val="24"/>
              </w:rPr>
              <w:t>中标供应商在领取中标通知书时</w:t>
            </w:r>
            <w:r>
              <w:rPr>
                <w:rFonts w:hint="eastAsia" w:ascii="宋体" w:hAnsi="宋体" w:eastAsia="宋体" w:cs="宋体"/>
                <w:b/>
                <w:bCs/>
                <w:sz w:val="24"/>
                <w:szCs w:val="24"/>
                <w:lang w:eastAsia="zh-CN"/>
              </w:rPr>
              <w:t>提供</w:t>
            </w:r>
            <w:r>
              <w:rPr>
                <w:rFonts w:hint="eastAsia" w:ascii="宋体" w:hAnsi="宋体" w:eastAsia="宋体" w:cs="宋体"/>
                <w:b/>
                <w:bCs/>
                <w:sz w:val="24"/>
                <w:szCs w:val="24"/>
                <w:highlight w:val="none"/>
              </w:rPr>
              <w:t>正本壹份、副本贰份，电子版壹份</w:t>
            </w:r>
            <w:r>
              <w:rPr>
                <w:rFonts w:hint="eastAsia" w:ascii="宋体" w:hAnsi="宋体" w:eastAsia="宋体" w:cs="宋体"/>
                <w:b/>
                <w:bCs/>
                <w:sz w:val="24"/>
                <w:szCs w:val="24"/>
                <w:highlight w:val="none"/>
                <w:lang w:eastAsia="zh-CN"/>
              </w:rPr>
              <w:t>。</w:t>
            </w:r>
          </w:p>
        </w:tc>
      </w:tr>
      <w:tr w14:paraId="77131D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60A654B5">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18</w:t>
            </w:r>
          </w:p>
        </w:tc>
        <w:tc>
          <w:tcPr>
            <w:tcW w:w="843" w:type="pct"/>
            <w:shd w:val="clear" w:color="auto" w:fill="auto"/>
            <w:vAlign w:val="center"/>
          </w:tcPr>
          <w:p w14:paraId="70191335">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rPr>
            </w:pPr>
            <w:r>
              <w:rPr>
                <w:rFonts w:hint="eastAsia" w:ascii="宋体" w:hAnsi="宋体" w:eastAsia="宋体" w:cs="宋体"/>
                <w:sz w:val="24"/>
                <w:szCs w:val="24"/>
              </w:rPr>
              <w:t>现场踏勘和集中答疑</w:t>
            </w:r>
          </w:p>
        </w:tc>
        <w:tc>
          <w:tcPr>
            <w:tcW w:w="3916" w:type="pct"/>
            <w:shd w:val="clear" w:color="auto" w:fill="auto"/>
            <w:vAlign w:val="center"/>
          </w:tcPr>
          <w:p w14:paraId="1C4C2A6E">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不统一组织</w:t>
            </w:r>
          </w:p>
        </w:tc>
      </w:tr>
      <w:tr w14:paraId="491E51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676E13A7">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19</w:t>
            </w:r>
          </w:p>
        </w:tc>
        <w:tc>
          <w:tcPr>
            <w:tcW w:w="843" w:type="pct"/>
            <w:shd w:val="clear" w:color="auto" w:fill="auto"/>
            <w:vAlign w:val="center"/>
          </w:tcPr>
          <w:p w14:paraId="2A8A1025">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rPr>
              <w:t>政府采购信息发布媒体</w:t>
            </w:r>
          </w:p>
          <w:p w14:paraId="671D3ABA">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color w:val="auto"/>
                <w:sz w:val="24"/>
                <w:highlight w:val="green"/>
                <w:lang w:eastAsia="zh-CN"/>
              </w:rPr>
            </w:pPr>
            <w:r>
              <w:rPr>
                <w:rFonts w:hint="eastAsia" w:ascii="宋体" w:hAnsi="宋体" w:eastAsia="宋体" w:cs="宋体"/>
                <w:sz w:val="24"/>
                <w:szCs w:val="24"/>
              </w:rPr>
              <w:t>（采购公告、采购结果公告、变更公告）</w:t>
            </w:r>
          </w:p>
        </w:tc>
        <w:tc>
          <w:tcPr>
            <w:tcW w:w="3916" w:type="pct"/>
            <w:shd w:val="clear" w:color="auto" w:fill="auto"/>
            <w:vAlign w:val="center"/>
          </w:tcPr>
          <w:p w14:paraId="59134B0C">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rPr>
            </w:pPr>
            <w:r>
              <w:rPr>
                <w:rFonts w:hint="eastAsia" w:ascii="宋体" w:hAnsi="宋体" w:eastAsia="宋体" w:cs="宋体"/>
                <w:sz w:val="24"/>
                <w:szCs w:val="24"/>
              </w:rPr>
              <w:t>1．陕西省政府采购网：仅提供项目公告，官网地址：http://ccgp-shaanxi.gov.cn/。</w:t>
            </w:r>
          </w:p>
          <w:p w14:paraId="2FA6D5E6">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color w:val="auto"/>
                <w:sz w:val="24"/>
                <w:highlight w:val="none"/>
                <w:lang w:eastAsia="zh-CN"/>
              </w:rPr>
            </w:pPr>
            <w:r>
              <w:rPr>
                <w:rFonts w:hint="eastAsia" w:ascii="宋体" w:hAnsi="宋体" w:eastAsia="宋体" w:cs="宋体"/>
                <w:sz w:val="24"/>
                <w:szCs w:val="24"/>
              </w:rPr>
              <w:t>2．全国公共资源交易平台（陕西省·西安市）：即西安市公共资源交易平台，提供项目公告和采购文件下载。官网地址：http://sxggzyjy.xa.gov.cn/</w:t>
            </w:r>
          </w:p>
        </w:tc>
      </w:tr>
      <w:tr w14:paraId="4E6A7C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01FDA2AD">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20</w:t>
            </w:r>
          </w:p>
        </w:tc>
        <w:tc>
          <w:tcPr>
            <w:tcW w:w="843" w:type="pct"/>
            <w:shd w:val="clear" w:color="auto" w:fill="auto"/>
            <w:vAlign w:val="center"/>
          </w:tcPr>
          <w:p w14:paraId="7D3844CA">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rPr>
              <w:t>询问和质疑</w:t>
            </w:r>
          </w:p>
        </w:tc>
        <w:tc>
          <w:tcPr>
            <w:tcW w:w="3916" w:type="pct"/>
            <w:shd w:val="clear" w:color="auto" w:fill="auto"/>
            <w:vAlign w:val="center"/>
          </w:tcPr>
          <w:p w14:paraId="6ABC8C84">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eastAsia="zh-CN"/>
              </w:rPr>
            </w:pPr>
            <w:r>
              <w:rPr>
                <w:rFonts w:hint="eastAsia" w:ascii="宋体" w:hAnsi="宋体" w:eastAsia="宋体" w:cs="宋体"/>
                <w:sz w:val="24"/>
                <w:szCs w:val="24"/>
              </w:rPr>
              <w:t>见</w:t>
            </w:r>
            <w:r>
              <w:rPr>
                <w:rFonts w:hint="eastAsia" w:ascii="宋体" w:hAnsi="宋体" w:eastAsia="宋体" w:cs="宋体"/>
                <w:sz w:val="24"/>
                <w:szCs w:val="24"/>
                <w:lang w:eastAsia="zh-CN"/>
              </w:rPr>
              <w:t>招标公告</w:t>
            </w:r>
            <w:r>
              <w:rPr>
                <w:rFonts w:hint="eastAsia" w:ascii="宋体" w:hAnsi="宋体" w:eastAsia="宋体" w:cs="宋体"/>
                <w:sz w:val="24"/>
                <w:szCs w:val="24"/>
              </w:rPr>
              <w:t>中的“联系方式”</w:t>
            </w:r>
          </w:p>
        </w:tc>
      </w:tr>
      <w:tr w14:paraId="2B4CFB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202DC5C1">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21</w:t>
            </w:r>
          </w:p>
        </w:tc>
        <w:tc>
          <w:tcPr>
            <w:tcW w:w="843" w:type="pct"/>
            <w:shd w:val="clear" w:color="auto" w:fill="auto"/>
            <w:vAlign w:val="center"/>
          </w:tcPr>
          <w:p w14:paraId="42CE63F4">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投诉受理</w:t>
            </w:r>
          </w:p>
        </w:tc>
        <w:tc>
          <w:tcPr>
            <w:tcW w:w="3916" w:type="pct"/>
            <w:shd w:val="clear" w:color="auto" w:fill="auto"/>
            <w:vAlign w:val="center"/>
          </w:tcPr>
          <w:p w14:paraId="6365558C">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1．受理单位：同级财政部门</w:t>
            </w:r>
          </w:p>
          <w:p w14:paraId="1CE415CD">
            <w:pPr>
              <w:keepNext w:val="0"/>
              <w:keepLines w:val="0"/>
              <w:pageBreakBefore w:val="0"/>
              <w:kinsoku/>
              <w:wordWrap/>
              <w:overflowPunct/>
              <w:topLinePunct w:val="0"/>
              <w:autoSpaceDE/>
              <w:autoSpaceDN/>
              <w:bidi w:val="0"/>
              <w:adjustRightInd/>
              <w:snapToGrid w:val="0"/>
              <w:spacing w:line="312" w:lineRule="auto"/>
              <w:jc w:val="both"/>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2．联系电话：029-</w:t>
            </w:r>
            <w:r>
              <w:rPr>
                <w:rFonts w:hint="eastAsia" w:ascii="宋体" w:hAnsi="宋体" w:eastAsia="宋体" w:cs="宋体"/>
                <w:sz w:val="24"/>
                <w:szCs w:val="24"/>
                <w:highlight w:val="none"/>
                <w:lang w:val="en-US" w:eastAsia="zh-CN"/>
              </w:rPr>
              <w:t>83521198</w:t>
            </w:r>
          </w:p>
          <w:p w14:paraId="70229B80">
            <w:pPr>
              <w:keepNext w:val="0"/>
              <w:keepLines w:val="0"/>
              <w:pageBreakBefore w:val="0"/>
              <w:kinsoku/>
              <w:wordWrap/>
              <w:overflowPunct/>
              <w:topLinePunct w:val="0"/>
              <w:autoSpaceDE/>
              <w:autoSpaceDN/>
              <w:bidi w:val="0"/>
              <w:adjustRightInd/>
              <w:snapToGrid w:val="0"/>
              <w:spacing w:line="312" w:lineRule="auto"/>
              <w:jc w:val="both"/>
              <w:rPr>
                <w:rFonts w:hint="eastAsia" w:eastAsia="宋体"/>
                <w:lang w:eastAsia="zh-CN"/>
              </w:rPr>
            </w:pPr>
            <w:r>
              <w:rPr>
                <w:rFonts w:hint="eastAsia" w:ascii="宋体" w:hAnsi="宋体" w:eastAsia="宋体" w:cs="宋体"/>
                <w:sz w:val="24"/>
                <w:szCs w:val="24"/>
                <w:highlight w:val="none"/>
              </w:rPr>
              <w:t>3．地址：</w:t>
            </w:r>
            <w:r>
              <w:rPr>
                <w:rFonts w:hint="eastAsia" w:ascii="宋体" w:hAnsi="宋体" w:eastAsia="宋体" w:cs="宋体"/>
                <w:sz w:val="24"/>
                <w:szCs w:val="24"/>
                <w:highlight w:val="none"/>
                <w:lang w:eastAsia="zh-CN"/>
              </w:rPr>
              <w:t>西安市港务区港务大道</w:t>
            </w:r>
            <w:r>
              <w:rPr>
                <w:rFonts w:hint="eastAsia" w:ascii="宋体" w:hAnsi="宋体" w:eastAsia="宋体" w:cs="宋体"/>
                <w:sz w:val="24"/>
                <w:szCs w:val="24"/>
                <w:highlight w:val="none"/>
                <w:lang w:val="en-US" w:eastAsia="zh-CN"/>
              </w:rPr>
              <w:t>6号</w:t>
            </w:r>
          </w:p>
        </w:tc>
      </w:tr>
      <w:tr w14:paraId="236A33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0D7A153D">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22</w:t>
            </w:r>
          </w:p>
        </w:tc>
        <w:tc>
          <w:tcPr>
            <w:tcW w:w="843" w:type="pct"/>
            <w:shd w:val="clear" w:color="auto" w:fill="auto"/>
            <w:vAlign w:val="center"/>
          </w:tcPr>
          <w:p w14:paraId="002D5660">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rPr>
            </w:pPr>
            <w:r>
              <w:rPr>
                <w:rFonts w:hint="eastAsia" w:ascii="宋体" w:hAnsi="宋体" w:eastAsia="宋体" w:cs="宋体"/>
                <w:sz w:val="24"/>
                <w:szCs w:val="24"/>
              </w:rPr>
              <w:t>信用信息查询截至时点</w:t>
            </w:r>
          </w:p>
        </w:tc>
        <w:tc>
          <w:tcPr>
            <w:tcW w:w="3916" w:type="pct"/>
            <w:shd w:val="clear" w:color="auto" w:fill="auto"/>
            <w:vAlign w:val="center"/>
          </w:tcPr>
          <w:p w14:paraId="290E3169">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highlight w:val="none"/>
                <w:lang w:eastAsia="zh-CN"/>
              </w:rPr>
            </w:pPr>
            <w:r>
              <w:rPr>
                <w:rFonts w:hint="eastAsia" w:ascii="宋体" w:hAnsi="宋体" w:eastAsia="宋体" w:cs="宋体"/>
                <w:sz w:val="24"/>
                <w:szCs w:val="24"/>
              </w:rPr>
              <w:t>同提交投标文件截止时间</w:t>
            </w:r>
          </w:p>
        </w:tc>
      </w:tr>
      <w:tr w14:paraId="1641E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6AC3A138">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23</w:t>
            </w:r>
          </w:p>
        </w:tc>
        <w:tc>
          <w:tcPr>
            <w:tcW w:w="843" w:type="pct"/>
            <w:shd w:val="clear" w:color="auto" w:fill="auto"/>
            <w:vAlign w:val="center"/>
          </w:tcPr>
          <w:p w14:paraId="12892692">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rPr>
              <w:t>开标形式</w:t>
            </w:r>
          </w:p>
        </w:tc>
        <w:tc>
          <w:tcPr>
            <w:tcW w:w="3916" w:type="pct"/>
            <w:shd w:val="clear" w:color="auto" w:fill="auto"/>
            <w:vAlign w:val="center"/>
          </w:tcPr>
          <w:p w14:paraId="6359EBA3">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sdt>
              <w:sdtPr>
                <w:rPr>
                  <w:rFonts w:hint="eastAsia" w:ascii="宋体" w:hAnsi="宋体" w:eastAsia="宋体" w:cs="宋体"/>
                  <w:sz w:val="24"/>
                  <w:szCs w:val="24"/>
                </w:rPr>
                <w:id w:val="147469407"/>
                <w14:checkbox>
                  <w14:checked w14:val="1"/>
                  <w14:checkedState w14:val="2611" w14:font="MS Gothic"/>
                  <w14:uncheckedState w14:val="2610" w14:font="MS Gothic"/>
                </w14:checkbox>
              </w:sdtPr>
              <w:sdtEndPr>
                <w:rPr>
                  <w:rFonts w:hint="eastAsia" w:ascii="宋体" w:hAnsi="宋体" w:eastAsia="宋体" w:cs="宋体"/>
                  <w:sz w:val="24"/>
                  <w:szCs w:val="24"/>
                </w:rPr>
              </w:sdtEndPr>
              <w:sdtContent>
                <w:r>
                  <w:rPr>
                    <w:rFonts w:hint="eastAsia" w:ascii="宋体" w:hAnsi="宋体" w:eastAsia="宋体" w:cs="宋体"/>
                    <w:sz w:val="24"/>
                    <w:szCs w:val="24"/>
                    <w:lang w:val="en-US" w:eastAsia="zh-CN" w:bidi="ar-SA"/>
                  </w:rPr>
                  <w:t>☑</w:t>
                </w:r>
              </w:sdtContent>
            </w:sdt>
            <w:r>
              <w:rPr>
                <w:rFonts w:hint="eastAsia" w:ascii="宋体" w:hAnsi="宋体" w:eastAsia="宋体" w:cs="宋体"/>
                <w:sz w:val="24"/>
                <w:szCs w:val="24"/>
              </w:rPr>
              <w:t xml:space="preserve">不见面开标  </w:t>
            </w:r>
            <w:sdt>
              <w:sdtPr>
                <w:rPr>
                  <w:rFonts w:hint="eastAsia" w:ascii="宋体" w:hAnsi="宋体" w:eastAsia="宋体" w:cs="宋体"/>
                  <w:sz w:val="24"/>
                  <w:szCs w:val="24"/>
                </w:rPr>
                <w:id w:val="147480670"/>
                <w14:checkbox>
                  <w14:checked w14:val="0"/>
                  <w14:checkedState w14:val="2611" w14:font="MS Gothic"/>
                  <w14:uncheckedState w14:val="2610" w14:font="MS Gothic"/>
                </w14:checkbox>
              </w:sdtPr>
              <w:sdtEndPr>
                <w:rPr>
                  <w:rFonts w:hint="eastAsia" w:ascii="宋体" w:hAnsi="宋体" w:eastAsia="宋体" w:cs="宋体"/>
                  <w:sz w:val="24"/>
                  <w:szCs w:val="24"/>
                </w:rPr>
              </w:sdtEndPr>
              <w:sdtContent>
                <w:r>
                  <w:rPr>
                    <w:rFonts w:hint="eastAsia" w:ascii="宋体" w:hAnsi="宋体" w:eastAsia="宋体" w:cs="宋体"/>
                    <w:sz w:val="24"/>
                    <w:szCs w:val="24"/>
                  </w:rPr>
                  <w:t>☐</w:t>
                </w:r>
              </w:sdtContent>
            </w:sdt>
            <w:r>
              <w:rPr>
                <w:rFonts w:hint="eastAsia" w:ascii="宋体" w:hAnsi="宋体" w:eastAsia="宋体" w:cs="宋体"/>
                <w:sz w:val="24"/>
                <w:szCs w:val="24"/>
              </w:rPr>
              <w:t>见面开标</w:t>
            </w:r>
          </w:p>
          <w:p w14:paraId="3D507A59">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eastAsia="zh-CN"/>
              </w:rPr>
            </w:pPr>
            <w:r>
              <w:rPr>
                <w:rFonts w:hint="eastAsia" w:ascii="宋体" w:hAnsi="宋体" w:eastAsia="宋体" w:cs="宋体"/>
                <w:sz w:val="24"/>
                <w:szCs w:val="24"/>
              </w:rPr>
              <w:t>详见本章“开标程序”有关内容。</w:t>
            </w:r>
          </w:p>
        </w:tc>
      </w:tr>
      <w:tr w14:paraId="5D2CFE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1FEE690B">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24</w:t>
            </w:r>
          </w:p>
        </w:tc>
        <w:tc>
          <w:tcPr>
            <w:tcW w:w="843" w:type="pct"/>
            <w:shd w:val="clear" w:color="auto" w:fill="auto"/>
            <w:vAlign w:val="center"/>
          </w:tcPr>
          <w:p w14:paraId="326D50B2">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rPr>
              <w:t>是否允许递交多个备选投标方案</w:t>
            </w:r>
          </w:p>
        </w:tc>
        <w:tc>
          <w:tcPr>
            <w:tcW w:w="3916" w:type="pct"/>
            <w:shd w:val="clear" w:color="auto" w:fill="auto"/>
            <w:vAlign w:val="center"/>
          </w:tcPr>
          <w:p w14:paraId="26D7F05F">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eastAsia="zh-CN"/>
              </w:rPr>
            </w:pPr>
            <w:sdt>
              <w:sdtPr>
                <w:rPr>
                  <w:rFonts w:hint="eastAsia" w:ascii="宋体" w:hAnsi="宋体" w:eastAsia="宋体" w:cs="宋体"/>
                  <w:sz w:val="24"/>
                  <w:szCs w:val="24"/>
                </w:rPr>
                <w:id w:val="147468670"/>
                <w14:checkbox>
                  <w14:checked w14:val="0"/>
                  <w14:checkedState w14:val="2611" w14:font="MS Gothic"/>
                  <w14:uncheckedState w14:val="2610" w14:font="MS Gothic"/>
                </w14:checkbox>
              </w:sdtPr>
              <w:sdtEndPr>
                <w:rPr>
                  <w:rFonts w:hint="eastAsia" w:ascii="宋体" w:hAnsi="宋体" w:eastAsia="宋体" w:cs="宋体"/>
                  <w:sz w:val="24"/>
                  <w:szCs w:val="24"/>
                </w:rPr>
              </w:sdtEndPr>
              <w:sdtContent>
                <w:r>
                  <w:rPr>
                    <w:rFonts w:hint="eastAsia" w:ascii="宋体" w:hAnsi="宋体" w:eastAsia="宋体" w:cs="宋体"/>
                    <w:sz w:val="24"/>
                    <w:szCs w:val="24"/>
                  </w:rPr>
                  <w:t>☐</w:t>
                </w:r>
              </w:sdtContent>
            </w:sdt>
            <w:r>
              <w:rPr>
                <w:rFonts w:hint="eastAsia" w:ascii="宋体" w:hAnsi="宋体" w:eastAsia="宋体" w:cs="宋体"/>
                <w:sz w:val="24"/>
                <w:szCs w:val="24"/>
              </w:rPr>
              <w:t xml:space="preserve">是  </w:t>
            </w:r>
            <w:sdt>
              <w:sdtPr>
                <w:rPr>
                  <w:rFonts w:hint="eastAsia" w:ascii="宋体" w:hAnsi="宋体" w:eastAsia="宋体" w:cs="宋体"/>
                  <w:sz w:val="24"/>
                  <w:szCs w:val="24"/>
                </w:rPr>
                <w:id w:val="147467292"/>
                <w14:checkbox>
                  <w14:checked w14:val="1"/>
                  <w14:checkedState w14:val="2611" w14:font="MS Gothic"/>
                  <w14:uncheckedState w14:val="2610" w14:font="MS Gothic"/>
                </w14:checkbox>
              </w:sdtPr>
              <w:sdtEndPr>
                <w:rPr>
                  <w:rFonts w:hint="eastAsia" w:ascii="宋体" w:hAnsi="宋体" w:eastAsia="宋体" w:cs="宋体"/>
                  <w:sz w:val="24"/>
                  <w:szCs w:val="24"/>
                </w:rPr>
              </w:sdtEndPr>
              <w:sdtContent>
                <w:r>
                  <w:rPr>
                    <w:rFonts w:hint="eastAsia" w:ascii="宋体" w:hAnsi="宋体" w:eastAsia="宋体" w:cs="宋体"/>
                    <w:sz w:val="24"/>
                    <w:szCs w:val="24"/>
                    <w:lang w:val="en-US" w:eastAsia="zh-CN" w:bidi="ar-SA"/>
                  </w:rPr>
                  <w:t>☑</w:t>
                </w:r>
              </w:sdtContent>
            </w:sdt>
            <w:r>
              <w:rPr>
                <w:rFonts w:hint="eastAsia" w:ascii="宋体" w:hAnsi="宋体" w:eastAsia="宋体" w:cs="宋体"/>
                <w:sz w:val="24"/>
                <w:szCs w:val="24"/>
              </w:rPr>
              <w:t>否</w:t>
            </w:r>
          </w:p>
        </w:tc>
      </w:tr>
      <w:tr w14:paraId="07F38B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750A324E">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w:t>
            </w:r>
          </w:p>
        </w:tc>
        <w:tc>
          <w:tcPr>
            <w:tcW w:w="843" w:type="pct"/>
            <w:shd w:val="clear" w:color="auto" w:fill="auto"/>
            <w:vAlign w:val="center"/>
          </w:tcPr>
          <w:p w14:paraId="008C0A3A">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rPr>
              <w:t>中标通知书</w:t>
            </w:r>
          </w:p>
        </w:tc>
        <w:tc>
          <w:tcPr>
            <w:tcW w:w="3916" w:type="pct"/>
            <w:shd w:val="clear" w:color="auto" w:fill="auto"/>
            <w:vAlign w:val="center"/>
          </w:tcPr>
          <w:p w14:paraId="4277A4BC">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rPr>
              <w:t>1．领取地点：</w:t>
            </w:r>
            <w:r>
              <w:rPr>
                <w:rFonts w:hint="eastAsia" w:ascii="宋体" w:hAnsi="宋体" w:eastAsia="宋体" w:cs="宋体"/>
                <w:sz w:val="24"/>
                <w:szCs w:val="24"/>
                <w:highlight w:val="none"/>
              </w:rPr>
              <w:t>西安市高新路88号尚品国际B幢25层</w:t>
            </w:r>
          </w:p>
          <w:p w14:paraId="46A8FF75">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eastAsia="zh-CN"/>
              </w:rPr>
            </w:pPr>
            <w:r>
              <w:rPr>
                <w:rFonts w:hint="eastAsia" w:ascii="宋体" w:hAnsi="宋体" w:eastAsia="宋体" w:cs="宋体"/>
                <w:sz w:val="24"/>
                <w:szCs w:val="24"/>
              </w:rPr>
              <w:t>2．联系电话：</w:t>
            </w:r>
            <w:r>
              <w:rPr>
                <w:rFonts w:hint="eastAsia" w:ascii="宋体" w:hAnsi="宋体" w:eastAsia="宋体" w:cs="宋体"/>
                <w:sz w:val="24"/>
                <w:szCs w:val="24"/>
                <w:highlight w:val="none"/>
                <w:lang w:eastAsia="zh-CN"/>
              </w:rPr>
              <w:t>029-82665555转8003</w:t>
            </w:r>
          </w:p>
          <w:p w14:paraId="5CC907C7">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rPr>
              <w:t>3．联系人：</w:t>
            </w:r>
            <w:r>
              <w:rPr>
                <w:rFonts w:hint="eastAsia" w:ascii="宋体" w:hAnsi="宋体" w:eastAsia="宋体" w:cs="宋体"/>
                <w:i w:val="0"/>
                <w:iCs w:val="0"/>
                <w:caps w:val="0"/>
                <w:color w:val="auto"/>
                <w:spacing w:val="0"/>
                <w:sz w:val="24"/>
                <w:szCs w:val="24"/>
                <w:highlight w:val="none"/>
                <w:u w:val="none"/>
                <w:lang w:eastAsia="zh-CN"/>
              </w:rPr>
              <w:t>柴静、张佳音、</w:t>
            </w:r>
            <w:r>
              <w:rPr>
                <w:rFonts w:hint="eastAsia" w:ascii="宋体" w:hAnsi="宋体" w:eastAsia="宋体" w:cs="宋体"/>
                <w:i w:val="0"/>
                <w:iCs w:val="0"/>
                <w:caps w:val="0"/>
                <w:color w:val="auto"/>
                <w:spacing w:val="0"/>
                <w:sz w:val="24"/>
                <w:szCs w:val="24"/>
                <w:highlight w:val="none"/>
                <w:u w:val="none"/>
                <w:lang w:val="en-US" w:eastAsia="zh-CN"/>
              </w:rPr>
              <w:t>种梦妮</w:t>
            </w:r>
          </w:p>
        </w:tc>
      </w:tr>
      <w:tr w14:paraId="1A80F8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16FF17F3">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26</w:t>
            </w:r>
          </w:p>
        </w:tc>
        <w:tc>
          <w:tcPr>
            <w:tcW w:w="843" w:type="pct"/>
            <w:shd w:val="clear" w:color="auto" w:fill="auto"/>
            <w:vAlign w:val="center"/>
          </w:tcPr>
          <w:p w14:paraId="3A039465">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highlight w:val="none"/>
              </w:rPr>
            </w:pPr>
            <w:r>
              <w:rPr>
                <w:rFonts w:hint="eastAsia" w:ascii="宋体" w:hAnsi="宋体" w:eastAsia="宋体" w:cs="宋体"/>
                <w:sz w:val="24"/>
                <w:szCs w:val="24"/>
                <w:lang w:eastAsia="zh-CN"/>
              </w:rPr>
              <w:t>中标服务费及交纳信息</w:t>
            </w:r>
          </w:p>
        </w:tc>
        <w:tc>
          <w:tcPr>
            <w:tcW w:w="3916" w:type="pct"/>
            <w:shd w:val="clear" w:color="auto" w:fill="auto"/>
            <w:vAlign w:val="center"/>
          </w:tcPr>
          <w:p w14:paraId="753555C9">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中标</w:t>
            </w:r>
            <w:r>
              <w:rPr>
                <w:rFonts w:hint="eastAsia" w:ascii="宋体" w:hAnsi="宋体" w:eastAsia="宋体" w:cs="宋体"/>
                <w:sz w:val="24"/>
                <w:szCs w:val="24"/>
                <w:lang w:eastAsia="zh-CN"/>
              </w:rPr>
              <w:t>单位</w:t>
            </w:r>
            <w:r>
              <w:rPr>
                <w:rFonts w:hint="eastAsia" w:ascii="宋体" w:hAnsi="宋体" w:eastAsia="宋体" w:cs="宋体"/>
                <w:sz w:val="24"/>
                <w:szCs w:val="24"/>
              </w:rPr>
              <w:t>应向采购代理机构交纳招标代理服务费。招标代理服务费收取按照国家计委颁布的《招标代理服务收费管理暂行办法》（计价格[2002]1980号）和（发改办价格[2003]857号）按服务收费标准计取。此服务费应计入</w:t>
            </w:r>
            <w:r>
              <w:rPr>
                <w:rFonts w:hint="eastAsia" w:ascii="宋体" w:hAnsi="宋体" w:eastAsia="宋体" w:cs="宋体"/>
                <w:sz w:val="24"/>
                <w:szCs w:val="24"/>
                <w:lang w:eastAsia="zh-CN"/>
              </w:rPr>
              <w:t>投标</w:t>
            </w:r>
            <w:r>
              <w:rPr>
                <w:rFonts w:hint="eastAsia" w:ascii="宋体" w:hAnsi="宋体" w:eastAsia="宋体" w:cs="宋体"/>
                <w:sz w:val="24"/>
                <w:szCs w:val="24"/>
              </w:rPr>
              <w:t>报价中，但不需要单独开列。</w:t>
            </w:r>
          </w:p>
          <w:p w14:paraId="0B2F0B82">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2.代理服务费交纳信息</w:t>
            </w:r>
          </w:p>
          <w:p w14:paraId="3BFA6445">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银行户名：华晟国际项目管理有限公司</w:t>
            </w:r>
          </w:p>
          <w:p w14:paraId="1EBCA2FB">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开户银行：建设银行西安劳动路支行</w:t>
            </w:r>
          </w:p>
          <w:p w14:paraId="0C5C17C7">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账    号：610501 740015 00000 427</w:t>
            </w:r>
          </w:p>
          <w:p w14:paraId="6EC0142C">
            <w:pPr>
              <w:keepNext w:val="0"/>
              <w:keepLines w:val="0"/>
              <w:pageBreakBefore w:val="0"/>
              <w:kinsoku/>
              <w:wordWrap/>
              <w:overflowPunct/>
              <w:topLinePunct w:val="0"/>
              <w:autoSpaceDE/>
              <w:autoSpaceDN/>
              <w:bidi w:val="0"/>
              <w:adjustRightInd/>
              <w:snapToGrid w:val="0"/>
              <w:spacing w:line="312" w:lineRule="auto"/>
              <w:jc w:val="both"/>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转账事由：</w:t>
            </w:r>
            <w:r>
              <w:rPr>
                <w:rFonts w:hint="eastAsia" w:ascii="宋体" w:hAnsi="宋体" w:eastAsia="宋体" w:cs="宋体"/>
                <w:sz w:val="24"/>
                <w:szCs w:val="24"/>
                <w:highlight w:val="none"/>
                <w:lang w:val="en-US" w:eastAsia="zh-CN"/>
              </w:rPr>
              <w:t xml:space="preserve">CGZC-2026-028 </w:t>
            </w:r>
            <w:r>
              <w:rPr>
                <w:rFonts w:hint="default" w:ascii="宋体" w:hAnsi="宋体" w:eastAsia="宋体" w:cs="宋体"/>
                <w:sz w:val="24"/>
                <w:szCs w:val="24"/>
                <w:highlight w:val="none"/>
                <w:lang w:val="en-US" w:eastAsia="zh-CN"/>
              </w:rPr>
              <w:t>中标服务费</w:t>
            </w:r>
          </w:p>
        </w:tc>
      </w:tr>
      <w:tr w14:paraId="1E1811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582ACCC5">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27</w:t>
            </w:r>
          </w:p>
        </w:tc>
        <w:tc>
          <w:tcPr>
            <w:tcW w:w="843" w:type="pct"/>
            <w:shd w:val="clear" w:color="auto" w:fill="auto"/>
            <w:vAlign w:val="center"/>
          </w:tcPr>
          <w:p w14:paraId="1CFB5618">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rPr>
              <w:t>西安市公共资源交易中心电子化政府采购系统技术支持（软件开发商）</w:t>
            </w:r>
          </w:p>
        </w:tc>
        <w:tc>
          <w:tcPr>
            <w:tcW w:w="3916" w:type="pct"/>
            <w:shd w:val="clear" w:color="auto" w:fill="auto"/>
            <w:vAlign w:val="center"/>
          </w:tcPr>
          <w:p w14:paraId="6093B7D6">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rPr>
              <w:t>国泰新点软件股份有限公司</w:t>
            </w:r>
          </w:p>
          <w:p w14:paraId="491742E5">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rPr>
            </w:pPr>
            <w:r>
              <w:rPr>
                <w:rFonts w:hint="eastAsia" w:ascii="宋体" w:hAnsi="宋体" w:eastAsia="宋体" w:cs="宋体"/>
                <w:sz w:val="24"/>
                <w:szCs w:val="24"/>
              </w:rPr>
              <w:t>1．技术支持热线：400-998-0000/400-928-0095</w:t>
            </w:r>
          </w:p>
          <w:p w14:paraId="1F932A78">
            <w:pPr>
              <w:keepNext w:val="0"/>
              <w:keepLines w:val="0"/>
              <w:pageBreakBefore w:val="0"/>
              <w:kinsoku/>
              <w:wordWrap/>
              <w:overflowPunct/>
              <w:topLinePunct w:val="0"/>
              <w:autoSpaceDE/>
              <w:autoSpaceDN/>
              <w:bidi w:val="0"/>
              <w:adjustRightInd/>
              <w:snapToGrid w:val="0"/>
              <w:spacing w:line="312" w:lineRule="auto"/>
              <w:rPr>
                <w:rFonts w:hint="eastAsia" w:ascii="宋体" w:hAnsi="宋体" w:eastAsia="宋体" w:cs="宋体"/>
                <w:sz w:val="24"/>
                <w:szCs w:val="24"/>
              </w:rPr>
            </w:pPr>
            <w:r>
              <w:rPr>
                <w:rFonts w:hint="eastAsia" w:ascii="宋体" w:hAnsi="宋体" w:eastAsia="宋体" w:cs="宋体"/>
                <w:sz w:val="24"/>
                <w:szCs w:val="24"/>
              </w:rPr>
              <w:t>2．驻场技术人员：029-86510166/86510167转80310</w:t>
            </w:r>
          </w:p>
        </w:tc>
      </w:tr>
      <w:tr w14:paraId="0123A9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6970302C">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28</w:t>
            </w:r>
          </w:p>
        </w:tc>
        <w:tc>
          <w:tcPr>
            <w:tcW w:w="843" w:type="pct"/>
            <w:shd w:val="clear" w:color="auto" w:fill="auto"/>
            <w:vAlign w:val="center"/>
          </w:tcPr>
          <w:p w14:paraId="2F8986C9">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rPr>
              <w:t>CA业务网点</w:t>
            </w:r>
          </w:p>
        </w:tc>
        <w:tc>
          <w:tcPr>
            <w:tcW w:w="3916" w:type="pct"/>
            <w:shd w:val="clear" w:color="auto" w:fill="auto"/>
            <w:vAlign w:val="center"/>
          </w:tcPr>
          <w:p w14:paraId="02738837">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rPr>
              <w:t>陕西省数字证书认证中心股份有限公司</w:t>
            </w:r>
          </w:p>
          <w:p w14:paraId="249EAE75">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rPr>
              <w:t>网点1：西安市高新三路信息港大厦1楼客服中心</w:t>
            </w:r>
          </w:p>
          <w:p w14:paraId="449D56FB">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rPr>
              <w:t>客服电话：4006-369-888</w:t>
            </w:r>
          </w:p>
          <w:p w14:paraId="70608658">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rPr>
              <w:t>网点2：西安市长安北路14号省体育公寓B座一楼</w:t>
            </w:r>
          </w:p>
          <w:p w14:paraId="3367240E">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rPr>
              <w:t>咨询电话：029-88661241</w:t>
            </w:r>
          </w:p>
          <w:p w14:paraId="368ADC12">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rPr>
              <w:t>网点3：西安市文景北路16号白桦林国际B座2楼11#窗口</w:t>
            </w:r>
          </w:p>
          <w:p w14:paraId="22EAA372">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rPr>
            </w:pPr>
            <w:r>
              <w:rPr>
                <w:rFonts w:hint="eastAsia" w:ascii="宋体" w:hAnsi="宋体" w:eastAsia="宋体" w:cs="宋体"/>
                <w:sz w:val="24"/>
                <w:szCs w:val="24"/>
              </w:rPr>
              <w:t>咨询电话：029-86510073转80211</w:t>
            </w:r>
          </w:p>
        </w:tc>
      </w:tr>
      <w:tr w14:paraId="13BE0F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7D6EB932">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29</w:t>
            </w:r>
          </w:p>
        </w:tc>
        <w:tc>
          <w:tcPr>
            <w:tcW w:w="843" w:type="pct"/>
            <w:shd w:val="clear" w:color="auto" w:fill="auto"/>
            <w:vAlign w:val="center"/>
          </w:tcPr>
          <w:p w14:paraId="07EF94A9">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rPr>
            </w:pPr>
            <w:r>
              <w:rPr>
                <w:rFonts w:hint="eastAsia" w:ascii="宋体" w:hAnsi="宋体" w:eastAsia="宋体" w:cs="宋体"/>
                <w:sz w:val="24"/>
                <w:szCs w:val="24"/>
                <w:highlight w:val="none"/>
                <w:lang w:val="en-US" w:eastAsia="zh-CN"/>
              </w:rPr>
              <w:t>政府采购</w:t>
            </w:r>
            <w:r>
              <w:rPr>
                <w:rFonts w:hint="eastAsia" w:ascii="宋体" w:hAnsi="宋体" w:eastAsia="宋体" w:cs="宋体"/>
                <w:sz w:val="24"/>
                <w:szCs w:val="24"/>
                <w:highlight w:val="none"/>
                <w:lang w:eastAsia="zh-CN"/>
              </w:rPr>
              <w:t>信用担保及信用融资政策</w:t>
            </w:r>
          </w:p>
        </w:tc>
        <w:tc>
          <w:tcPr>
            <w:tcW w:w="3916" w:type="pct"/>
            <w:shd w:val="clear" w:color="auto" w:fill="auto"/>
            <w:vAlign w:val="center"/>
          </w:tcPr>
          <w:p w14:paraId="6A629BBA">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西安市政府采购信用担保及信用融资政策</w:t>
            </w:r>
          </w:p>
          <w:p w14:paraId="733B0324">
            <w:pPr>
              <w:keepNext w:val="0"/>
              <w:keepLines w:val="0"/>
              <w:pageBreakBefore w:val="0"/>
              <w:kinsoku/>
              <w:wordWrap/>
              <w:overflowPunct/>
              <w:topLinePunct w:val="0"/>
              <w:autoSpaceDE/>
              <w:autoSpaceDN/>
              <w:bidi w:val="0"/>
              <w:adjustRightInd/>
              <w:snapToGrid w:val="0"/>
              <w:spacing w:line="312" w:lineRule="auto"/>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为发挥政府采购促进中小企业发展的政策功能，西安市财政局制定了《西安市政府采购信用担保及信用融资工作实施方案（试行）》（市财发〔2014〕167），为参与西安市市级政府采购项目的投标人提供政府采购信用担保和融资服务，并按照程序确定了合作的担保机构和商业银行。中标人缴纳履约保证金时可自愿选择通过担保机构保函的形式缴纳；中标人如果需要融资贷款服务的，根据《陕西省中小企业政府采购信用融资办法》（陕财办采〔2018〕23号），可凭中标通知书、政府采购合同等相关资料，按照文件规定的程序申请办理，具体规定可登陆西安市财政局网站(http://xaczj.xa.gov.cn/)政府采购专栏中查询了解。</w:t>
            </w:r>
          </w:p>
          <w:p w14:paraId="24E5FFB2">
            <w:pPr>
              <w:keepNext w:val="0"/>
              <w:keepLines w:val="0"/>
              <w:pageBreakBefore w:val="0"/>
              <w:kinsoku/>
              <w:wordWrap/>
              <w:overflowPunct/>
              <w:topLinePunct w:val="0"/>
              <w:autoSpaceDE/>
              <w:autoSpaceDN/>
              <w:bidi w:val="0"/>
              <w:adjustRightInd/>
              <w:snapToGrid w:val="0"/>
              <w:spacing w:line="312" w:lineRule="auto"/>
              <w:jc w:val="both"/>
              <w:rPr>
                <w:rFonts w:hint="default" w:ascii="宋体" w:hAnsi="宋体" w:eastAsia="宋体" w:cs="宋体"/>
                <w:sz w:val="24"/>
                <w:szCs w:val="24"/>
                <w:lang w:val="en-US" w:eastAsia="zh-CN"/>
              </w:rPr>
            </w:pPr>
            <w:r>
              <w:rPr>
                <w:rFonts w:hint="eastAsia" w:ascii="宋体" w:hAnsi="宋体" w:eastAsia="宋体" w:cs="宋体"/>
                <w:sz w:val="24"/>
                <w:szCs w:val="24"/>
              </w:rPr>
              <w:t xml:space="preserve">西安浐灞国际港政府采购信用融资联系人：王涛  </w:t>
            </w:r>
            <w:r>
              <w:rPr>
                <w:rFonts w:hint="eastAsia" w:ascii="宋体" w:hAnsi="宋体" w:eastAsia="宋体" w:cs="宋体"/>
                <w:sz w:val="24"/>
                <w:szCs w:val="24"/>
                <w:lang w:val="en-US" w:eastAsia="zh-CN"/>
              </w:rPr>
              <w:t>029-83332219</w:t>
            </w:r>
          </w:p>
        </w:tc>
      </w:tr>
      <w:tr w14:paraId="3F299B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1362ABF3">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30</w:t>
            </w:r>
          </w:p>
        </w:tc>
        <w:tc>
          <w:tcPr>
            <w:tcW w:w="843" w:type="pct"/>
            <w:shd w:val="clear" w:color="auto" w:fill="auto"/>
            <w:vAlign w:val="center"/>
          </w:tcPr>
          <w:p w14:paraId="242651F3">
            <w:pPr>
              <w:keepNext w:val="0"/>
              <w:keepLines w:val="0"/>
              <w:pageBreakBefore w:val="0"/>
              <w:kinsoku/>
              <w:wordWrap/>
              <w:overflowPunct/>
              <w:topLinePunct w:val="0"/>
              <w:autoSpaceDE/>
              <w:autoSpaceDN/>
              <w:bidi w:val="0"/>
              <w:adjustRightInd/>
              <w:snapToGrid w:val="0"/>
              <w:spacing w:line="312" w:lineRule="auto"/>
              <w:ind w:left="0" w:leftChars="0" w:right="0" w:rightChars="0" w:firstLine="0" w:firstLineChars="0"/>
              <w:jc w:val="center"/>
              <w:rPr>
                <w:rFonts w:hint="eastAsia" w:ascii="宋体" w:hAnsi="宋体" w:eastAsia="宋体" w:cs="宋体"/>
                <w:sz w:val="24"/>
                <w:szCs w:val="24"/>
              </w:rPr>
            </w:pPr>
            <w:r>
              <w:rPr>
                <w:rFonts w:hint="eastAsia" w:hAnsi="宋体" w:cs="Times New Roman"/>
                <w:sz w:val="24"/>
                <w:szCs w:val="24"/>
                <w:highlight w:val="none"/>
              </w:rPr>
              <w:t>所属行业</w:t>
            </w:r>
          </w:p>
        </w:tc>
        <w:tc>
          <w:tcPr>
            <w:tcW w:w="3916" w:type="pct"/>
            <w:shd w:val="clear" w:color="auto" w:fill="auto"/>
            <w:vAlign w:val="center"/>
          </w:tcPr>
          <w:p w14:paraId="5BC01B85">
            <w:pPr>
              <w:pStyle w:val="25"/>
              <w:keepNext w:val="0"/>
              <w:keepLines w:val="0"/>
              <w:pageBreakBefore w:val="0"/>
              <w:kinsoku/>
              <w:wordWrap/>
              <w:overflowPunct/>
              <w:topLinePunct w:val="0"/>
              <w:autoSpaceDE/>
              <w:autoSpaceDN/>
              <w:bidi w:val="0"/>
              <w:adjustRightInd/>
              <w:snapToGrid w:val="0"/>
              <w:spacing w:before="0" w:beforeAutospacing="0" w:after="0" w:afterAutospacing="0" w:line="312" w:lineRule="auto"/>
              <w:jc w:val="both"/>
              <w:rPr>
                <w:rFonts w:hint="eastAsia" w:ascii="宋体" w:hAnsi="宋体" w:eastAsia="宋体" w:cs="宋体"/>
                <w:sz w:val="24"/>
                <w:szCs w:val="24"/>
              </w:rPr>
            </w:pPr>
            <w:r>
              <w:rPr>
                <w:rFonts w:hint="eastAsia" w:hAnsi="宋体" w:cs="Times New Roman"/>
                <w:sz w:val="24"/>
                <w:szCs w:val="24"/>
                <w:highlight w:val="none"/>
              </w:rPr>
              <w:t>采购标的对应的中小企业划分标准所属行业：</w:t>
            </w:r>
            <w:r>
              <w:rPr>
                <w:rFonts w:hint="eastAsia" w:hAnsi="宋体" w:cs="Times New Roman"/>
                <w:sz w:val="24"/>
                <w:szCs w:val="24"/>
                <w:highlight w:val="none"/>
                <w:lang w:val="en-US" w:eastAsia="zh-CN"/>
              </w:rPr>
              <w:t>其他未列明行业</w:t>
            </w:r>
            <w:r>
              <w:rPr>
                <w:rFonts w:hint="eastAsia" w:hAnsi="宋体" w:cs="Times New Roman"/>
                <w:sz w:val="24"/>
                <w:szCs w:val="24"/>
                <w:highlight w:val="none"/>
                <w:lang w:eastAsia="zh-CN"/>
              </w:rPr>
              <w:t>。</w:t>
            </w:r>
          </w:p>
        </w:tc>
      </w:tr>
      <w:tr w14:paraId="237A0A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6E8940C5">
            <w:pPr>
              <w:keepNext w:val="0"/>
              <w:keepLines w:val="0"/>
              <w:pageBreakBefore w:val="0"/>
              <w:kinsoku/>
              <w:wordWrap/>
              <w:overflowPunct/>
              <w:topLinePunct w:val="0"/>
              <w:autoSpaceDE/>
              <w:autoSpaceDN/>
              <w:bidi w:val="0"/>
              <w:adjustRightInd/>
              <w:snapToGrid w:val="0"/>
              <w:spacing w:line="312"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31</w:t>
            </w:r>
          </w:p>
        </w:tc>
        <w:tc>
          <w:tcPr>
            <w:tcW w:w="843" w:type="pct"/>
            <w:shd w:val="clear" w:color="auto" w:fill="auto"/>
            <w:vAlign w:val="center"/>
          </w:tcPr>
          <w:p w14:paraId="0E5358D1">
            <w:pPr>
              <w:pStyle w:val="73"/>
              <w:keepNext w:val="0"/>
              <w:keepLines w:val="0"/>
              <w:pageBreakBefore w:val="0"/>
              <w:widowControl w:val="0"/>
              <w:kinsoku/>
              <w:wordWrap/>
              <w:overflowPunct/>
              <w:topLinePunct w:val="0"/>
              <w:autoSpaceDE/>
              <w:autoSpaceDN/>
              <w:bidi w:val="0"/>
              <w:adjustRightInd/>
              <w:snapToGrid w:val="0"/>
              <w:spacing w:line="312"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highlight w:val="none"/>
              </w:rPr>
              <w:t>供应商</w:t>
            </w:r>
            <w:r>
              <w:rPr>
                <w:rFonts w:hint="eastAsia" w:ascii="宋体" w:hAnsi="宋体" w:eastAsia="宋体" w:cs="宋体"/>
                <w:color w:val="auto"/>
                <w:kern w:val="2"/>
                <w:highlight w:val="none"/>
                <w:lang w:eastAsia="zh-CN" w:bidi="ar-SA"/>
              </w:rPr>
              <w:t>入库登记</w:t>
            </w:r>
          </w:p>
        </w:tc>
        <w:tc>
          <w:tcPr>
            <w:tcW w:w="3916" w:type="pct"/>
            <w:shd w:val="clear" w:color="auto" w:fill="auto"/>
            <w:vAlign w:val="center"/>
          </w:tcPr>
          <w:p w14:paraId="6492069E">
            <w:pPr>
              <w:pStyle w:val="73"/>
              <w:keepNext w:val="0"/>
              <w:keepLines w:val="0"/>
              <w:pageBreakBefore w:val="0"/>
              <w:widowControl w:val="0"/>
              <w:kinsoku/>
              <w:wordWrap/>
              <w:overflowPunct/>
              <w:topLinePunct w:val="0"/>
              <w:autoSpaceDE/>
              <w:autoSpaceDN/>
              <w:bidi w:val="0"/>
              <w:adjustRightInd/>
              <w:snapToGrid w:val="0"/>
              <w:spacing w:line="312" w:lineRule="auto"/>
              <w:ind w:left="0" w:leftChars="0" w:right="0" w:rightChars="0"/>
              <w:textAlignment w:val="auto"/>
              <w:rPr>
                <w:rFonts w:hint="eastAsia" w:ascii="宋体" w:hAnsi="宋体" w:eastAsia="宋体" w:cs="宋体"/>
                <w:sz w:val="24"/>
                <w:szCs w:val="24"/>
              </w:rPr>
            </w:pPr>
            <w:r>
              <w:rPr>
                <w:rFonts w:hint="eastAsia" w:ascii="宋体" w:hAnsi="宋体" w:eastAsia="宋体" w:cs="宋体"/>
                <w:color w:val="auto"/>
                <w:kern w:val="2"/>
                <w:highlight w:val="none"/>
                <w:lang w:eastAsia="zh-CN" w:bidi="ar-SA"/>
              </w:rPr>
              <w:t>请</w:t>
            </w:r>
            <w:r>
              <w:rPr>
                <w:rFonts w:hint="eastAsia" w:ascii="宋体" w:hAnsi="宋体" w:eastAsia="宋体" w:cs="宋体"/>
                <w:sz w:val="24"/>
                <w:highlight w:val="none"/>
              </w:rPr>
              <w:t>供应商</w:t>
            </w:r>
            <w:r>
              <w:rPr>
                <w:rFonts w:hint="eastAsia" w:ascii="宋体" w:hAnsi="宋体" w:eastAsia="宋体" w:cs="宋体"/>
                <w:color w:val="auto"/>
                <w:kern w:val="2"/>
                <w:highlight w:val="none"/>
                <w:lang w:eastAsia="zh-CN" w:bidi="ar-SA"/>
              </w:rPr>
              <w:t>按照陕西省财政厅关于政府采购供应商注册登记有关事项的通知中的要求，通过陕西省政府采购网（http://www.ccgp-shaanxi.gov.cn/）注册登记加入陕西省政府采购供应商库。</w:t>
            </w:r>
          </w:p>
        </w:tc>
      </w:tr>
      <w:tr w14:paraId="5A1992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0" w:hRule="atLeast"/>
          <w:jc w:val="center"/>
        </w:trPr>
        <w:tc>
          <w:tcPr>
            <w:tcW w:w="240" w:type="pct"/>
            <w:shd w:val="clear" w:color="auto" w:fill="auto"/>
            <w:vAlign w:val="center"/>
          </w:tcPr>
          <w:p w14:paraId="29F5A620">
            <w:pPr>
              <w:keepNext w:val="0"/>
              <w:keepLines w:val="0"/>
              <w:pageBreakBefore w:val="0"/>
              <w:kinsoku/>
              <w:wordWrap/>
              <w:overflowPunct/>
              <w:topLinePunct w:val="0"/>
              <w:autoSpaceDE/>
              <w:autoSpaceDN/>
              <w:bidi w:val="0"/>
              <w:adjustRightInd/>
              <w:snapToGrid w:val="0"/>
              <w:spacing w:line="312"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32</w:t>
            </w:r>
          </w:p>
        </w:tc>
        <w:tc>
          <w:tcPr>
            <w:tcW w:w="843" w:type="pct"/>
            <w:shd w:val="clear" w:color="auto" w:fill="auto"/>
            <w:vAlign w:val="center"/>
          </w:tcPr>
          <w:p w14:paraId="160F3A65">
            <w:pPr>
              <w:pStyle w:val="73"/>
              <w:keepNext w:val="0"/>
              <w:keepLines w:val="0"/>
              <w:pageBreakBefore w:val="0"/>
              <w:widowControl w:val="0"/>
              <w:kinsoku/>
              <w:wordWrap/>
              <w:overflowPunct/>
              <w:topLinePunct w:val="0"/>
              <w:autoSpaceDE/>
              <w:autoSpaceDN/>
              <w:bidi w:val="0"/>
              <w:adjustRightInd/>
              <w:snapToGrid w:val="0"/>
              <w:spacing w:line="312"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color w:val="auto"/>
                <w:kern w:val="2"/>
                <w:highlight w:val="none"/>
                <w:lang w:eastAsia="zh-CN" w:bidi="ar-SA"/>
              </w:rPr>
              <w:t>其他未尽事宜</w:t>
            </w:r>
          </w:p>
        </w:tc>
        <w:tc>
          <w:tcPr>
            <w:tcW w:w="3916" w:type="pct"/>
            <w:shd w:val="clear" w:color="auto" w:fill="auto"/>
            <w:vAlign w:val="center"/>
          </w:tcPr>
          <w:p w14:paraId="73BDBA0D">
            <w:pPr>
              <w:pStyle w:val="73"/>
              <w:keepNext w:val="0"/>
              <w:keepLines w:val="0"/>
              <w:pageBreakBefore w:val="0"/>
              <w:widowControl w:val="0"/>
              <w:kinsoku/>
              <w:wordWrap/>
              <w:overflowPunct/>
              <w:topLinePunct w:val="0"/>
              <w:autoSpaceDE/>
              <w:autoSpaceDN/>
              <w:bidi w:val="0"/>
              <w:adjustRightInd/>
              <w:snapToGrid w:val="0"/>
              <w:spacing w:line="312" w:lineRule="auto"/>
              <w:ind w:left="0" w:right="0" w:rightChars="0"/>
              <w:textAlignment w:val="auto"/>
              <w:rPr>
                <w:rFonts w:hint="eastAsia" w:ascii="宋体" w:hAnsi="宋体" w:eastAsia="宋体" w:cs="宋体"/>
                <w:color w:val="auto"/>
                <w:kern w:val="2"/>
                <w:highlight w:val="none"/>
                <w:lang w:val="zh-TW" w:eastAsia="zh-CN" w:bidi="ar-SA"/>
              </w:rPr>
            </w:pPr>
            <w:r>
              <w:rPr>
                <w:rFonts w:hint="eastAsia" w:ascii="宋体" w:hAnsi="宋体" w:eastAsia="宋体" w:cs="宋体"/>
                <w:color w:val="auto"/>
                <w:kern w:val="2"/>
                <w:highlight w:val="none"/>
                <w:lang w:val="zh-TW" w:eastAsia="zh-CN" w:bidi="ar-SA"/>
              </w:rPr>
              <w:t>①按照《中华人民共和国政府采购法》及相关法律法规执行。</w:t>
            </w:r>
          </w:p>
          <w:p w14:paraId="7263951F">
            <w:pPr>
              <w:pStyle w:val="73"/>
              <w:keepNext w:val="0"/>
              <w:keepLines w:val="0"/>
              <w:pageBreakBefore w:val="0"/>
              <w:widowControl w:val="0"/>
              <w:kinsoku/>
              <w:wordWrap/>
              <w:overflowPunct/>
              <w:topLinePunct w:val="0"/>
              <w:autoSpaceDE/>
              <w:autoSpaceDN/>
              <w:bidi w:val="0"/>
              <w:adjustRightInd/>
              <w:snapToGrid w:val="0"/>
              <w:spacing w:line="312" w:lineRule="auto"/>
              <w:ind w:left="0" w:leftChars="0" w:right="0" w:rightChars="0"/>
              <w:textAlignment w:val="auto"/>
              <w:rPr>
                <w:rFonts w:hint="eastAsia" w:ascii="宋体" w:hAnsi="宋体" w:eastAsia="宋体" w:cs="宋体"/>
                <w:sz w:val="24"/>
                <w:szCs w:val="24"/>
              </w:rPr>
            </w:pPr>
            <w:r>
              <w:rPr>
                <w:rFonts w:hint="eastAsia" w:ascii="宋体" w:hAnsi="宋体" w:eastAsia="宋体" w:cs="宋体"/>
                <w:color w:val="auto"/>
                <w:kern w:val="2"/>
                <w:highlight w:val="none"/>
                <w:lang w:val="zh-TW" w:eastAsia="zh-CN" w:bidi="ar-SA"/>
              </w:rPr>
              <w:t>②根据西安市财政局关于促进政府采购公平竞争优化营商环境的通知</w:t>
            </w:r>
            <w:r>
              <w:rPr>
                <w:rFonts w:hint="eastAsia" w:ascii="宋体" w:hAnsi="宋体" w:eastAsia="宋体" w:cs="宋体"/>
                <w:color w:val="auto"/>
                <w:kern w:val="2"/>
                <w:highlight w:val="none"/>
                <w:lang w:val="en-US" w:eastAsia="zh-CN" w:bidi="ar-SA"/>
              </w:rPr>
              <w:t xml:space="preserve"> </w:t>
            </w:r>
            <w:r>
              <w:rPr>
                <w:rFonts w:hint="eastAsia" w:ascii="宋体" w:hAnsi="宋体" w:eastAsia="宋体" w:cs="宋体"/>
                <w:color w:val="auto"/>
                <w:kern w:val="2"/>
                <w:highlight w:val="none"/>
                <w:lang w:val="zh-TW" w:eastAsia="zh-CN" w:bidi="ar-SA"/>
              </w:rPr>
              <w:t>市财函〔2021〕431号文规定，</w:t>
            </w:r>
            <w:r>
              <w:rPr>
                <w:rFonts w:hint="eastAsia" w:ascii="宋体" w:hAnsi="宋体" w:eastAsia="宋体" w:cs="宋体"/>
                <w:sz w:val="24"/>
                <w:highlight w:val="none"/>
              </w:rPr>
              <w:t>供应商</w:t>
            </w:r>
            <w:r>
              <w:rPr>
                <w:rFonts w:hint="eastAsia" w:ascii="宋体" w:hAnsi="宋体" w:eastAsia="宋体" w:cs="宋体"/>
                <w:color w:val="auto"/>
                <w:kern w:val="2"/>
                <w:highlight w:val="none"/>
                <w:lang w:val="zh-TW" w:eastAsia="zh-CN" w:bidi="ar-SA"/>
              </w:rPr>
              <w:t>登记免费领取采购文件的，如不参与项目投标，应在递交投标（响应）文件截止时间前一日以书面形式告知采购代理机构。否则，采购代理机构可以向财政部门反映情况并提供相应的佐证。</w:t>
            </w:r>
            <w:r>
              <w:rPr>
                <w:rFonts w:hint="eastAsia" w:ascii="宋体" w:hAnsi="宋体" w:eastAsia="宋体" w:cs="宋体"/>
                <w:sz w:val="24"/>
                <w:highlight w:val="none"/>
              </w:rPr>
              <w:t>供应商</w:t>
            </w:r>
            <w:r>
              <w:rPr>
                <w:rFonts w:hint="eastAsia" w:ascii="宋体" w:hAnsi="宋体" w:eastAsia="宋体" w:cs="宋体"/>
                <w:color w:val="auto"/>
                <w:kern w:val="2"/>
                <w:highlight w:val="none"/>
                <w:lang w:val="zh-TW" w:eastAsia="zh-CN" w:bidi="ar-SA"/>
              </w:rPr>
              <w:t>一年内累计出现三次该情形，将被监管部门记录为失信行为。</w:t>
            </w:r>
          </w:p>
        </w:tc>
      </w:tr>
    </w:tbl>
    <w:p w14:paraId="720D9D87">
      <w:pPr>
        <w:jc w:val="both"/>
        <w:rPr>
          <w:rFonts w:hint="eastAsia" w:ascii="宋体" w:hAnsi="宋体" w:eastAsia="宋体" w:cs="宋体"/>
          <w:sz w:val="32"/>
          <w:szCs w:val="32"/>
        </w:rPr>
      </w:pPr>
      <w:r>
        <w:rPr>
          <w:rFonts w:hint="eastAsia" w:ascii="宋体" w:hAnsi="宋体" w:eastAsia="宋体" w:cs="宋体"/>
          <w:sz w:val="24"/>
          <w:szCs w:val="24"/>
        </w:rPr>
        <w:br w:type="page"/>
      </w:r>
    </w:p>
    <w:p w14:paraId="10D41D1F">
      <w:pPr>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一、有关定义</w:t>
      </w:r>
    </w:p>
    <w:p w14:paraId="1F016B41">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1．采购人：</w:t>
      </w:r>
      <w:r>
        <w:rPr>
          <w:rFonts w:hint="eastAsia" w:ascii="宋体" w:hAnsi="宋体" w:eastAsia="宋体" w:cs="宋体"/>
          <w:sz w:val="24"/>
          <w:szCs w:val="24"/>
          <w:lang w:val="en-US" w:eastAsia="zh-CN"/>
        </w:rPr>
        <w:t>西安市灞桥区人民政府新筑街道办事处</w:t>
      </w:r>
      <w:r>
        <w:rPr>
          <w:rFonts w:hint="eastAsia" w:ascii="宋体" w:hAnsi="宋体" w:eastAsia="宋体" w:cs="宋体"/>
          <w:sz w:val="24"/>
          <w:szCs w:val="24"/>
        </w:rPr>
        <w:t>。</w:t>
      </w:r>
    </w:p>
    <w:p w14:paraId="13AE8F6E">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2．供应商：指向采购人提供货物、工程或者服务的法人、其他组织或者自然人。</w:t>
      </w:r>
    </w:p>
    <w:p w14:paraId="21200A69">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3．同级政府采购监管部门：同级财政部门。</w:t>
      </w:r>
    </w:p>
    <w:p w14:paraId="6056D9A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4．西安市公共资源交易平台：即【全国公共资源交易平台（陕西省·西安市）】的简称，官网地址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"http://sxggzyjy.xa.gov.cn/"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http://sxggzyjy.xa.gov.cn/</w:t>
      </w:r>
      <w:r>
        <w:rPr>
          <w:rStyle w:val="36"/>
          <w:rFonts w:hint="eastAsia" w:ascii="宋体" w:hAnsi="宋体" w:eastAsia="宋体" w:cs="宋体"/>
          <w:color w:val="auto"/>
          <w:sz w:val="24"/>
          <w:szCs w:val="24"/>
          <w:u w:val="none"/>
        </w:rPr>
        <w:fldChar w:fldCharType="end"/>
      </w:r>
      <w:r>
        <w:rPr>
          <w:rFonts w:hint="eastAsia" w:ascii="宋体" w:hAnsi="宋体" w:eastAsia="宋体" w:cs="宋体"/>
          <w:sz w:val="24"/>
          <w:szCs w:val="24"/>
        </w:rPr>
        <w:t>。</w:t>
      </w:r>
    </w:p>
    <w:p w14:paraId="7FEB9C3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5．企业端：指西安市公共资源交易平台〖首页·〉电子交易平台·〉陕西政府采购交易系统·〉企业端〗，快捷登录网址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"http://www.sxggzyjy.cn:9002/TPBidder/memberLogin"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http://www.sxggzyjy.cn:9002/TPBidder/memberLogin</w:t>
      </w:r>
      <w:r>
        <w:rPr>
          <w:rStyle w:val="36"/>
          <w:rFonts w:hint="eastAsia" w:ascii="宋体" w:hAnsi="宋体" w:eastAsia="宋体" w:cs="宋体"/>
          <w:color w:val="auto"/>
          <w:sz w:val="24"/>
          <w:szCs w:val="24"/>
          <w:u w:val="none"/>
        </w:rPr>
        <w:fldChar w:fldCharType="end"/>
      </w:r>
      <w:r>
        <w:rPr>
          <w:rFonts w:hint="eastAsia" w:ascii="宋体" w:hAnsi="宋体" w:eastAsia="宋体" w:cs="宋体"/>
          <w:sz w:val="24"/>
          <w:szCs w:val="24"/>
        </w:rPr>
        <w:t>。</w:t>
      </w:r>
    </w:p>
    <w:p w14:paraId="4E365718">
      <w:pPr>
        <w:keepLines w:val="0"/>
        <w:pageBreakBefore w:val="0"/>
        <w:kinsoku/>
        <w:wordWrap/>
        <w:overflowPunct/>
        <w:topLinePunct w:val="0"/>
        <w:autoSpaceDE/>
        <w:autoSpaceDN/>
        <w:bidi w:val="0"/>
        <w:snapToGrid/>
        <w:spacing w:line="360" w:lineRule="auto"/>
        <w:jc w:val="both"/>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二、供应商注意事项</w:t>
      </w:r>
    </w:p>
    <w:p w14:paraId="05F7B94B">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（一）供应商投标流程</w:t>
      </w:r>
    </w:p>
    <w:p w14:paraId="227B716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使用电子交易系统的采购项目（即线上项目），将同时提供WORD\PDF格式（仅用于预览）和SXSZF格式（用于制作电子投标文件）两个版本，文件内容一致。</w:t>
      </w:r>
    </w:p>
    <w:p w14:paraId="3251E54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1．预览采购文件：打开西安市公共资源交易平台〖首页·〉交易大厅·〉政府采购〗栏目，下载和阅读本项目采购文件的预览版本（WORD\PDF格式）；</w:t>
      </w:r>
    </w:p>
    <w:p w14:paraId="108FAE2E">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2．办理注册登记（针对初次使用电子交易系统的用户）：</w:t>
      </w:r>
    </w:p>
    <w:p w14:paraId="4E96DDC7">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（1）办理诚信入库注册：在决定参加本项目采购活动后，供应商应先在西安市公共资源交易平台上完成“诚信入库登记”；</w:t>
      </w:r>
    </w:p>
    <w:p w14:paraId="01481FA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办理数字认证（CA锁）：一般分为法人锁（必选）、企业锁主锁（必选）及副锁（可选）。CA锁将用于对电子投标文件进行签章、加密、递交及开标时解密等相关操作。CA办理及售后服务统一由第三方机构（陕西省数字证书认证中心股份有限公司）负责。</w:t>
      </w:r>
    </w:p>
    <w:p w14:paraId="55DB972E">
      <w:pPr>
        <w:keepLines w:val="0"/>
        <w:pageBreakBefore w:val="0"/>
        <w:widowControl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办理须知：</w:t>
      </w:r>
    </w:p>
    <w:p w14:paraId="22D8F58C">
      <w:pPr>
        <w:keepLines w:val="0"/>
        <w:pageBreakBefore w:val="0"/>
        <w:widowControl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http://</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"http://www.snca.com.cn/channel/show/27.html"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www.snca.com.cn/channel/show/27.html</w:t>
      </w:r>
      <w:r>
        <w:rPr>
          <w:rStyle w:val="36"/>
          <w:rFonts w:hint="eastAsia" w:ascii="宋体" w:hAnsi="宋体" w:eastAsia="宋体" w:cs="宋体"/>
          <w:color w:val="auto"/>
          <w:sz w:val="24"/>
          <w:szCs w:val="24"/>
          <w:u w:val="none"/>
        </w:rPr>
        <w:fldChar w:fldCharType="end"/>
      </w:r>
    </w:p>
    <w:p w14:paraId="2FB53B1E">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（3）绑定和激活CA：将数字证书与诚信库中的供应商账户进行绑定。</w:t>
      </w:r>
    </w:p>
    <w:p w14:paraId="5B5B7E7E">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下载电子招标文件：供应商应登录西安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无法再下载！</w:t>
      </w:r>
    </w:p>
    <w:p w14:paraId="6B19B16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4．制作电子投标文件：需要使用专用制作软件“新点投标文件制作软件（陕西公共资源）”进行编制，编制完成后使用CA锁对电子投标文件进行签章、加密。详见本章中的“投标文件”相关内容。</w:t>
      </w:r>
    </w:p>
    <w:p w14:paraId="675C127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5．提交电子投标文件：在提交投标文件截止时间前及时提交加密后电子投标文件，逾期提交的，系统将会拒收；</w:t>
      </w:r>
    </w:p>
    <w:p w14:paraId="6AE2613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在线参加开标大会：开标当日，供应商法定代表人或其授权代表需提前登录“不见面开标”系统，收到主持人“开始解密”指令后，使用CA锁（必须与加密文件时的CA锁为同一把锁）在线对电子投标文件进行解密。采用“不见面开标”系统后，供应商无需到达开标现场，即可在线参与整个开标过程。相关技术问题，请咨询软件开发商。</w:t>
      </w:r>
    </w:p>
    <w:p w14:paraId="3AF7EB9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7．等待专家评审：评审期间，可能需要对评审专家提出的问题进行澄清或答复。在主持人宣布评审结束前，供应商请勿擅自离席，否则由此造成的不利后果，由供应商自行承担。</w:t>
      </w:r>
    </w:p>
    <w:p w14:paraId="37E046D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8．中标供应商注册：按照陕西省政府采购监管部门的要求，采购代理机构在发布中标公告前，应由中标供应商在陕西省政府采购网上完成注册。</w:t>
      </w:r>
    </w:p>
    <w:p w14:paraId="283EA836">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（二）关于询问、质疑和投诉</w:t>
      </w:r>
    </w:p>
    <w:p w14:paraId="03C3B2F1">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1．询问</w:t>
      </w:r>
    </w:p>
    <w:p w14:paraId="3700400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供应商对政府采购活动事项有疑问的，可以向采购人或采购代理机构提出询问。采购人或采购代理机构将在3个工作日内对供应商依法提出的询问作出答复。</w:t>
      </w:r>
    </w:p>
    <w:p w14:paraId="57FF624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根据采购人和采购代理机构签订的《政府采购委托代理协议》，针对采购需求（包括采购内容、技术或服务要求、商务要求、合同条款、供应商资格条件、评审要素及分值一览表）的询问请向采购人提出。</w:t>
      </w:r>
    </w:p>
    <w:p w14:paraId="3AFC9BF8">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2．质疑</w:t>
      </w:r>
    </w:p>
    <w:p w14:paraId="6FFCE485">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（1）供应商认为采购文件、采购过程、成交结果使自己的权益受到损害的，可以在知道或应知其权益受到损害之日起7个工作日内以书面形式向采购人、采购代理机构提出。</w:t>
      </w:r>
    </w:p>
    <w:p w14:paraId="59D8D4B7">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（2）质疑方式：</w:t>
      </w:r>
    </w:p>
    <w:p w14:paraId="6CAB312E">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 在线质疑：</w:t>
      </w:r>
    </w:p>
    <w:p w14:paraId="4F6EC9BC">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登录西安市公共资源交易平台〖首页·〉电子交易平台·〉企业端〗，在〖我的项目〗中点击“项目流程·〉提出质疑”，填写表单并提交质疑。</w:t>
      </w:r>
    </w:p>
    <w:p w14:paraId="2005FC2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 书面质疑：</w:t>
      </w:r>
    </w:p>
    <w:p w14:paraId="57DE422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书面质疑函应按照财政部国库司制定的《政府采购供应商质疑函范本》（见下方链接）进行填写，签字、盖章后提交至采购人、采购代理机构。</w:t>
      </w:r>
    </w:p>
    <w:p w14:paraId="2A19F079">
      <w:pPr>
        <w:keepLines w:val="0"/>
        <w:pageBreakBefore w:val="0"/>
        <w:kinsoku/>
        <w:wordWrap/>
        <w:overflowPunct/>
        <w:topLinePunct w:val="0"/>
        <w:autoSpaceDE/>
        <w:autoSpaceDN/>
        <w:bidi w:val="0"/>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质疑函范本地址：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"http://download.ccgp.gov.cn/2018/zhiyihanfanben.zip"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http://download.ccgp.gov.cn/2018/zhiyihanfanben.zip</w:t>
      </w:r>
      <w:r>
        <w:rPr>
          <w:rStyle w:val="36"/>
          <w:rFonts w:hint="eastAsia" w:ascii="宋体" w:hAnsi="宋体" w:eastAsia="宋体" w:cs="宋体"/>
          <w:color w:val="auto"/>
          <w:sz w:val="24"/>
          <w:szCs w:val="24"/>
          <w:u w:val="none"/>
        </w:rPr>
        <w:fldChar w:fldCharType="end"/>
      </w:r>
    </w:p>
    <w:p w14:paraId="2B5E2B47">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1D6B697F">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（4）在法定质疑期内，针对同一采购程序环节的质疑应当一次性提出。采购人、采购代理机构将在收到书面质疑后7个工作日内做出答复，并以书面形式通知质疑人和其他有关供应商。</w:t>
      </w:r>
    </w:p>
    <w:p w14:paraId="17BE0BF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（5）有下列情形之一的，属于无效质疑：</w:t>
      </w:r>
    </w:p>
    <w:p w14:paraId="2DF21BB8">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 对采购文件提出质疑的质疑人不是依法获取采购文件的潜在供应商；对采购过程、中标结果提出质疑的质疑人不是参与本次政府采购项目的供应商；</w:t>
      </w:r>
    </w:p>
    <w:p w14:paraId="4447491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 超过法定期限或未以书面形式提出的；</w:t>
      </w:r>
    </w:p>
    <w:p w14:paraId="72F7D68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 缺乏必要的证明材料，或捏造事实、提供虚假材料，或以非法手段取得证明材料的；</w:t>
      </w:r>
    </w:p>
    <w:p w14:paraId="5713E9B8">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④ 质疑函没有合法有效的签字、盖章或委托授权书的（代理人提出质疑和投诉，应当提交供应商签署的授权委托书）；</w:t>
      </w:r>
    </w:p>
    <w:p w14:paraId="1417DF5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⑤ 针对同一采购程序环节又提出其他质疑事项的，或质疑答复后就同一事项再次提出质疑的；</w:t>
      </w:r>
    </w:p>
    <w:p w14:paraId="35B3956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⑥ 不符合法律、法规、规章和政府采购监管机构规定的其他条件的。</w:t>
      </w:r>
    </w:p>
    <w:p w14:paraId="3B718FC4">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3．投诉</w:t>
      </w:r>
    </w:p>
    <w:p w14:paraId="5CDC03F8">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质疑供应商对采购人、采购代理机构的答复不满意，或者采购人、采购代理机构未在规定的时间内做出答复的，可以在答复期满后15个工作日内按照《政府采购质疑和投诉办法》（财政部94号令）相关规定向同级财政部门提出投诉。</w:t>
      </w:r>
    </w:p>
    <w:p w14:paraId="1FBF4208">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（2）供应商投诉的事项不得超出已质疑事项的范围。供应商提出投诉时，应当提交投诉书和必要的证明材料，并按财政部《投诉书范本》给定的格式进行填写。</w:t>
      </w:r>
    </w:p>
    <w:p w14:paraId="32E7BCE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投诉书范本地址：</w:t>
      </w:r>
    </w:p>
    <w:p w14:paraId="688A3638">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"http://download.ccgp.gov.cn/2018/tousushufanben.zip" </w:instrText>
      </w:r>
      <w:r>
        <w:rPr>
          <w:rFonts w:hint="eastAsia" w:ascii="宋体" w:hAnsi="宋体" w:eastAsia="宋体" w:cs="宋体"/>
          <w:sz w:val="24"/>
          <w:szCs w:val="24"/>
        </w:rPr>
        <w:fldChar w:fldCharType="separate"/>
      </w:r>
      <w:r>
        <w:rPr>
          <w:rStyle w:val="36"/>
          <w:rFonts w:hint="eastAsia" w:ascii="宋体" w:hAnsi="宋体" w:eastAsia="宋体" w:cs="宋体"/>
          <w:sz w:val="24"/>
          <w:szCs w:val="24"/>
        </w:rPr>
        <w:t>http://download.ccgp.gov.cn/2018/tousushufanben.zip</w:t>
      </w:r>
      <w:r>
        <w:rPr>
          <w:rStyle w:val="36"/>
          <w:rFonts w:hint="eastAsia" w:ascii="宋体" w:hAnsi="宋体" w:eastAsia="宋体" w:cs="宋体"/>
          <w:sz w:val="24"/>
          <w:szCs w:val="24"/>
        </w:rPr>
        <w:fldChar w:fldCharType="end"/>
      </w:r>
    </w:p>
    <w:p w14:paraId="4BFC6742">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4．恶意质疑、投诉的法律后果</w:t>
      </w:r>
    </w:p>
    <w:p w14:paraId="6B5E249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（1）对捏造事实、提供虚假材料进行质疑、投诉的行为予以严肃处理：</w:t>
      </w:r>
    </w:p>
    <w:p w14:paraId="052672A5">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410465E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（2）对捏造事实诬告陷害他人、诽谤他人的法律适用：</w:t>
      </w:r>
    </w:p>
    <w:p w14:paraId="56D8374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《中华人民共和国刑法》第243条【诬告陷害罪】捏造事实诬告陷害他人，意图使他人受刑事追究，情节严重的，处三年以下有期徒刑、拘役或者管制；造成严重后果的，处三年以上十年以下有期徒刑。</w:t>
      </w:r>
    </w:p>
    <w:p w14:paraId="796ED398">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《中华人民共和国刑法》第246条【侮辱罪、诽谤罪】以暴力或者其他方法公然侮辱他人或者捏造事实诽谤他人，情节严重的，处三年以下有期徒刑、拘役、管制或者剥夺政治权利。</w:t>
      </w:r>
    </w:p>
    <w:p w14:paraId="7AB017C8">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（三）关于保证金</w:t>
      </w:r>
    </w:p>
    <w:p w14:paraId="135331E6">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1．西安市政府采购信用担保及信用融资政策</w:t>
      </w:r>
    </w:p>
    <w:p w14:paraId="42292F5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为发挥政府采购促进中小企业发展的政策功能，西安市财政局制定了《西安市政府采购信用担保及信用融资工作实施方案（试行）》（市财发〔2014〕167号，以下简称《实施方案》），为参与西安市市级政府采购项目的供应商提供政府采购信用担保和融资服务。供应商在交纳投标保证金、履约保证金时可自愿选择通过担保函的形式交纳，供应商违约，开具担保函单位承担连带责任。</w:t>
      </w:r>
    </w:p>
    <w:p w14:paraId="5EF3854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为发挥政府采购促进中小企业发展的政策功能，进一步做好政府采购信用担保及信用融资相关工作，2015年西安市财政局先后发布了《关于贯彻落实〈西安市政府采购信用担保及信用融资工作实施方案（试行）〉有关事宜的通知》和《关于进一步做好政府采购信用担保及信用融资工作有关事宜的通知》。2017年西安市财政局对合作机构名单进行了调整，详见《2017年西安市政府采购信用担保及信用融资合作机构联系名单》（以下简称合作机构名单）。</w:t>
      </w:r>
    </w:p>
    <w:p w14:paraId="0A9A576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《实施方案》链接地址：</w:t>
      </w:r>
    </w:p>
    <w:p w14:paraId="6A105789">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"http://xaczj.xa.gov.cn/zfcg/cgfg/5db90552fd850863a9e4594d.html"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http://xaczj.xa.gov.cn/zfcg/cgfg/5db90552fd850863a9e4594d.html</w:t>
      </w:r>
      <w:r>
        <w:rPr>
          <w:rStyle w:val="36"/>
          <w:rFonts w:hint="eastAsia" w:ascii="宋体" w:hAnsi="宋体" w:eastAsia="宋体" w:cs="宋体"/>
          <w:color w:val="auto"/>
          <w:sz w:val="24"/>
          <w:szCs w:val="24"/>
          <w:u w:val="none"/>
        </w:rPr>
        <w:fldChar w:fldCharType="end"/>
      </w:r>
    </w:p>
    <w:p w14:paraId="2C75C29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《合作机构名单》链接地址：</w:t>
      </w:r>
    </w:p>
    <w:p w14:paraId="44C744A8">
      <w:pPr>
        <w:pStyle w:val="105"/>
        <w:keepLines w:val="0"/>
        <w:pageBreakBefore w:val="0"/>
        <w:kinsoku/>
        <w:wordWrap/>
        <w:overflowPunct/>
        <w:topLinePunct w:val="0"/>
        <w:autoSpaceDE/>
        <w:autoSpaceDN/>
        <w:bidi w:val="0"/>
        <w:snapToGrid/>
        <w:spacing w:line="360" w:lineRule="auto"/>
        <w:ind w:firstLine="410" w:firstLineChars="171"/>
        <w:textAlignment w:val="auto"/>
        <w:outlineLvl w:val="9"/>
        <w:rPr>
          <w:rStyle w:val="36"/>
          <w:rFonts w:hint="eastAsia" w:ascii="宋体" w:hAnsi="宋体" w:eastAsia="宋体" w:cs="宋体"/>
          <w:color w:val="auto"/>
          <w:sz w:val="24"/>
          <w:szCs w:val="24"/>
          <w:u w:val="none"/>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"http://xaczj.xa.gov.cn/zfcg/cgfg/5db9054565cbd804f69e97e0.html"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http://xaczj.xa.gov.cn/zfcg/cgfg/5db9054565cbd804f69e97e0.html</w:t>
      </w:r>
      <w:r>
        <w:rPr>
          <w:rStyle w:val="36"/>
          <w:rFonts w:hint="eastAsia" w:ascii="宋体" w:hAnsi="宋体" w:eastAsia="宋体" w:cs="宋体"/>
          <w:color w:val="auto"/>
          <w:sz w:val="24"/>
          <w:szCs w:val="24"/>
          <w:u w:val="none"/>
        </w:rPr>
        <w:fldChar w:fldCharType="end"/>
      </w:r>
    </w:p>
    <w:p w14:paraId="1539547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中标人缴纳履约保证金时可自愿选择通过担保机构保函的形式缴纳；中标人如果需要融资贷款服务的，根据《陕西省中小企业政府采购信用融资办法》（陕财办采〔2018〕23号），可凭中标通知书、政府采购合同等相关资料，按照文件规定的程序申请办理，具体规定可登陆西安市财政局网站(http://xaczj.xa.gov.cn/)政府采购专栏中查询了解</w:t>
      </w:r>
      <w:r>
        <w:rPr>
          <w:rFonts w:hint="eastAsia" w:ascii="宋体" w:hAnsi="宋体" w:eastAsia="宋体" w:cs="宋体"/>
          <w:sz w:val="24"/>
          <w:szCs w:val="24"/>
          <w:lang w:eastAsia="zh-CN"/>
        </w:rPr>
        <w:t>。</w:t>
      </w:r>
    </w:p>
    <w:p w14:paraId="18B3178E">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联系方式:西安浐灞国际港政府采购信用融资联系人：</w:t>
      </w:r>
      <w:r>
        <w:rPr>
          <w:rFonts w:hint="eastAsia" w:ascii="宋体" w:hAnsi="宋体" w:eastAsia="宋体" w:cs="宋体"/>
          <w:sz w:val="24"/>
          <w:szCs w:val="24"/>
        </w:rPr>
        <w:t xml:space="preserve">王涛  </w:t>
      </w:r>
      <w:r>
        <w:rPr>
          <w:rFonts w:hint="eastAsia" w:ascii="宋体" w:hAnsi="宋体" w:eastAsia="宋体" w:cs="宋体"/>
          <w:sz w:val="24"/>
          <w:szCs w:val="24"/>
          <w:lang w:val="en-US" w:eastAsia="zh-CN"/>
        </w:rPr>
        <w:t>029-83332219</w:t>
      </w:r>
      <w:r>
        <w:rPr>
          <w:rFonts w:hint="eastAsia" w:ascii="宋体" w:hAnsi="宋体" w:eastAsia="宋体" w:cs="宋体"/>
          <w:sz w:val="24"/>
          <w:szCs w:val="24"/>
          <w:highlight w:val="none"/>
          <w:lang w:val="en-US" w:eastAsia="zh-CN"/>
        </w:rPr>
        <w:t>）</w:t>
      </w:r>
    </w:p>
    <w:p w14:paraId="3BE904CB">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2．投标保证金</w:t>
      </w:r>
    </w:p>
    <w:p w14:paraId="2F96B91D">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按照西安市财政局《关于促进政府采购公平竞争优化营商环境的通知》第三条规定，供应商参与西安市政府采购活动时，免交投标保证金。</w:t>
      </w:r>
    </w:p>
    <w:p w14:paraId="7B3C1C16">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3．履约保证金</w:t>
      </w:r>
    </w:p>
    <w:p w14:paraId="377325D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（1）交纳履约保证金</w:t>
      </w:r>
    </w:p>
    <w:p w14:paraId="4BA6116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招标文件要求供应商提交履约保证金的，供应商可通过支票、本票、汇票、网上银行支付等非现金形式交纳，也可通过履约担保函（包含纸质保函、电子保函）形式提交，其中采用纸质保函的，应当提交保函原件；采用电子保函的，可登录西安市公共资源交易平台〖首页·〉电子交易平台·〉陕西政府采购交易系统·〉企业端〗，登录后切换到〖我的项目〗模块下，即可选择电子履约保函申请（点击申请后系统将自动跳转至电子保函业务平台，选择对应金融机构后，按要求填写相应信息进行申请）。</w:t>
      </w:r>
    </w:p>
    <w:p w14:paraId="2ED0C8F9">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（2）采用履约保函形式时应注意以下事项：</w:t>
      </w:r>
    </w:p>
    <w:p w14:paraId="59413947">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 履约保函的受益人为采购人，供应商未能按合同规定履行其义务时，采购人有权从履约保证金中取得补偿。</w:t>
      </w:r>
    </w:p>
    <w:p w14:paraId="2A44B85D">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 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0B130135">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 担保金额不少于《投标邀请函》中规定的履约保证金交纳金额；</w:t>
      </w:r>
    </w:p>
    <w:p w14:paraId="2C0A7679">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④ 保函申请人须与供应商名称一致。若供应商为联合体形式，原则上可由联合体任意一方或多方作为保函申请人，然而对于电子保函，目前只能由下载电子招标文件的一方作为保函申请人。</w:t>
      </w:r>
    </w:p>
    <w:p w14:paraId="23AB79AF">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（3）退还履约保证金</w:t>
      </w:r>
    </w:p>
    <w:p w14:paraId="0770ACD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在采购项目验收合格后，中标供应商持政府采购项目验收单，到履约保证金原收取人处办理退还手续，5个工作日内无息退还（针对支票、本票、汇票、网上银行等支付形式）\当场返还（针对纸质保函）\当场注销（针对电子保函）。</w:t>
      </w:r>
    </w:p>
    <w:p w14:paraId="16593ED7">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（四）关于联合体</w:t>
      </w:r>
    </w:p>
    <w:p w14:paraId="5C349589">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lang w:eastAsia="zh-CN"/>
        </w:rPr>
        <w:t>、</w:t>
      </w:r>
      <w:r>
        <w:rPr>
          <w:rFonts w:hint="eastAsia" w:ascii="宋体" w:hAnsi="宋体" w:eastAsia="宋体" w:cs="宋体"/>
          <w:color w:val="auto"/>
          <w:sz w:val="24"/>
          <w:szCs w:val="24"/>
          <w:lang w:eastAsia="zh-CN"/>
        </w:rPr>
        <w:t>《陕西省财政厅关于进一步落实政府采购支持中小企业相关政策的通知》（陕财办采〔2023〕3号）</w:t>
      </w:r>
      <w:r>
        <w:rPr>
          <w:rFonts w:hint="eastAsia" w:ascii="宋体" w:hAnsi="宋体" w:eastAsia="宋体" w:cs="宋体"/>
          <w:sz w:val="24"/>
          <w:szCs w:val="24"/>
        </w:rPr>
        <w:t>鼓励大中型企业和其他自然人、法人或者其他组织与小型、微型企业组成联合体共同参加非专门面向中小企业的政府采购活动。联合体各方均为小型、微型企业的，联合体视同为小型、微型企业；联合协议中约定，小型、微型企业的协议合同金额占到联合体协议合同总金额</w:t>
      </w:r>
      <w:r>
        <w:rPr>
          <w:rFonts w:hint="eastAsia" w:ascii="宋体" w:hAnsi="宋体" w:eastAsia="宋体" w:cs="宋体"/>
          <w:b w:val="0"/>
          <w:bCs w:val="0"/>
          <w:sz w:val="24"/>
          <w:szCs w:val="24"/>
          <w:lang w:val="en-US" w:eastAsia="zh-CN"/>
        </w:rPr>
        <w:t>30</w:t>
      </w:r>
      <w:r>
        <w:rPr>
          <w:rFonts w:hint="eastAsia" w:ascii="宋体" w:hAnsi="宋体" w:eastAsia="宋体" w:cs="宋体"/>
          <w:b w:val="0"/>
          <w:bCs w:val="0"/>
          <w:sz w:val="24"/>
          <w:szCs w:val="24"/>
        </w:rPr>
        <w:t>%</w:t>
      </w:r>
      <w:r>
        <w:rPr>
          <w:rFonts w:hint="eastAsia" w:ascii="宋体" w:hAnsi="宋体" w:eastAsia="宋体" w:cs="宋体"/>
          <w:sz w:val="24"/>
          <w:szCs w:val="24"/>
        </w:rPr>
        <w:t>以上的，对联合体或者大中型企业的报价给</w:t>
      </w:r>
      <w:r>
        <w:rPr>
          <w:rFonts w:hint="eastAsia" w:ascii="宋体" w:hAnsi="宋体" w:eastAsia="宋体" w:cs="宋体"/>
          <w:color w:val="auto"/>
          <w:sz w:val="24"/>
          <w:szCs w:val="24"/>
        </w:rPr>
        <w:t>予</w:t>
      </w:r>
      <w:r>
        <w:rPr>
          <w:rFonts w:hint="eastAsia" w:ascii="宋体" w:hAnsi="宋体" w:eastAsia="宋体" w:cs="宋体"/>
          <w:b w:val="0"/>
          <w:bCs w:val="0"/>
          <w:color w:val="auto"/>
          <w:sz w:val="24"/>
          <w:szCs w:val="24"/>
        </w:rPr>
        <w:t>4%—6%</w:t>
      </w:r>
      <w:r>
        <w:rPr>
          <w:rFonts w:hint="eastAsia" w:ascii="宋体" w:hAnsi="宋体" w:eastAsia="宋体" w:cs="宋体"/>
          <w:color w:val="auto"/>
          <w:sz w:val="24"/>
          <w:szCs w:val="24"/>
        </w:rPr>
        <w:t>（</w:t>
      </w:r>
      <w:r>
        <w:rPr>
          <w:rFonts w:hint="eastAsia" w:ascii="宋体" w:hAnsi="宋体" w:eastAsia="宋体" w:cs="宋体"/>
          <w:sz w:val="24"/>
          <w:szCs w:val="24"/>
        </w:rPr>
        <w:t>工程项目为1%~2%）的扣除，用扣除后的价格参加评审。</w:t>
      </w:r>
    </w:p>
    <w:p w14:paraId="28094778">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投标邀请函中载明“接受联合体”时，两个以上供应商可以组成一个联合体，以一个供应商的身份参与投标；投标邀请函未明确载明“不接受联合体”时，视同接受联合体。采购项目接受联合体时，组成联合体的大中型企业和其他自然人、法人或者其他组织，与小型、微型企业之间不得存在投资关系的。</w:t>
      </w:r>
    </w:p>
    <w:p w14:paraId="120E2C7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联合体各方之间应当签订《联合体协议书》，明确约定联合体各方承担的工作和相应的责任。联合体协议签订后，联合体各方不得再单独参加或者与其他供应商另外组成联合体参加同一合同项下的政府采购活动。</w:t>
      </w:r>
    </w:p>
    <w:p w14:paraId="4FEC715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4．供应商以联合体形式参加政府采购活动时，遵循以下规则：</w:t>
      </w:r>
    </w:p>
    <w:p w14:paraId="45376E3C">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 联合体各方均应当具备投标邀请函中前五项基本资格要求；第六项《法定代表人授权委托书》由联合体牵头人的法定代表人（法人单位）或负责人（非法人单位）代表联合体各方进行签字、盖章，并对联合体各方负责。</w:t>
      </w:r>
    </w:p>
    <w:p w14:paraId="5A187EA7">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 采购人根据采购项目的特殊要求规定供应商特定条件的，联合体各方中至少应当有一方符合采购人规定的特定条件。联合体中有同类资质的供应商按照联合体分工承担相同工作的，应当按照资质等级较低的供应商确定资质等级。</w:t>
      </w:r>
    </w:p>
    <w:p w14:paraId="5C6A0E2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 采用资格前审的项目，联合体应当在提交资格前审申请文件前组成。资格前审后联合体不得增减、更换成员。</w:t>
      </w:r>
    </w:p>
    <w:p w14:paraId="6C203EFD">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④ 资格审查阶段，采购人将对所有联合体成员进行信用记录查询，联合体成员存在不良信用记录的，视同联合体存在不良信用记录。</w:t>
      </w:r>
    </w:p>
    <w:p w14:paraId="6AEB5F8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⑤ 招标文件要求供应商交纳保证金的，可以由联合体中的一方或者多方共同交纳保证金，其交纳的保证金对联合体各方均具有约束力。</w:t>
      </w:r>
    </w:p>
    <w:p w14:paraId="4143D5F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⑥ 招标文件要求供应商提供履约人员和设备情况的，联合体各方均应提供，以说明其作为独立供应商所具有的能有效执行合同的能力和资源。</w:t>
      </w:r>
    </w:p>
    <w:p w14:paraId="0CB8472E">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⑦ 招标文件要求供应商提供同类或类似项目业绩的，联合体各方符合招标文件要求的同类或类似业绩可以累计，但联合体一方或多方共同参与的同一业绩不重复计算。</w:t>
      </w:r>
    </w:p>
    <w:p w14:paraId="2A141675">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⑧ 投标文件中需要供应商盖章之处，联合体牵头人加盖公章即可。除联合体协议必须由各方共同签署外，投标文件中要求由法定代表人签字、盖章之处，由联合体牵头人的法定代表人（法人单位）或负责人（非法人单位）代表联合体各方进行签字、盖章，并对联合体各方负责。</w:t>
      </w:r>
    </w:p>
    <w:p w14:paraId="620859F9">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⑨ 对采购项目提出投诉时，应当由组成联合体的所有供应商共同提出。</w:t>
      </w:r>
    </w:p>
    <w:p w14:paraId="0FE36DF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（5）联合体出现下列情形之一的，联合体投标无效：</w:t>
      </w:r>
    </w:p>
    <w:p w14:paraId="1FD87AE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 没有提交有效的联合体协议的；</w:t>
      </w:r>
    </w:p>
    <w:p w14:paraId="5C33A92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 组成联合体的大中型企业和其他自然人、法人或者其他组织，与小型、微型企业之间存在投资关系的；</w:t>
      </w:r>
    </w:p>
    <w:p w14:paraId="5015B802">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 联合体协议签订后，联合体成员单独参加或者与其他供应商另外组成联合体参加同一合同项下的政府采购活动的；</w:t>
      </w:r>
    </w:p>
    <w:p w14:paraId="583730A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④ 资格前审后联合体增减、更换成员的；</w:t>
      </w:r>
    </w:p>
    <w:p w14:paraId="682FD19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⑤ 联合体成员因存在不良信用记录，被拒绝其参与政府采购活动的。</w:t>
      </w:r>
    </w:p>
    <w:p w14:paraId="67B5E8E6">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（五）关于进口产品</w:t>
      </w:r>
    </w:p>
    <w:p w14:paraId="6E8E9C9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根据《政府采购进口产品管理办法》（财库〔2007〕119号）规定，政府采购应当采购本国产品，确需采购进口产品的，应当在采购活动开始前向财政部门提出申请并获得财政部门审核同意后，依法开展政府采购活动。采购人采购进口产品时，优先采购向我国企业转让技术、与我国企业签订消化吸收再创新方案的供应商的进口产品。</w:t>
      </w:r>
    </w:p>
    <w:p w14:paraId="7CC94D2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根据《关于政府采购进口产品管理有关问题的通知》（财办库〔2008〕248号）有关规定，财政部门审核同意购买进口产品的，投标邀请函将明确载明“允许进口产品参与”，此时满足招标文件要求的国产产品仍然可以参与竞争；否则，视为拒绝进口产品参与，供应商以进口产品参与投标时，将作无效投标处理。</w:t>
      </w:r>
    </w:p>
    <w:p w14:paraId="13C1040A">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（六）关于政府采购政策</w:t>
      </w:r>
    </w:p>
    <w:p w14:paraId="5B2A8390">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1．对中小企业、监狱企业、残疾人福利性单位的优惠政策</w:t>
      </w:r>
    </w:p>
    <w:p w14:paraId="59BCEE5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2F26F83C">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（2）根据财政部、司法部联合下发的《关于政府采购支持监狱企业发展有关问题的通知》（财库〔2014〕68号）的规定，监狱企业视同小型、微型企业。</w:t>
      </w:r>
    </w:p>
    <w:p w14:paraId="50A2703E">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BBE1A2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招标文件规定的价格扣除，但不影响投标文件的有效性。</w:t>
      </w:r>
    </w:p>
    <w:p w14:paraId="53DBDCBA">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2．节能、环保产品采购政策</w:t>
      </w:r>
    </w:p>
    <w:p w14:paraId="0B8A019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6ED5F98C">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471A395E">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（3）《节能产品政府采购品目清单》见财政部、发展改革委《关于印发节能产品政府采购品目清单的通知》（财库〔2019〕19号）附件。</w:t>
      </w:r>
    </w:p>
    <w:p w14:paraId="1E8ECA27">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（4）《环境标志产品政府采购品目清单》见财政部、生态环境部《关于印发环境标志产品政府采购品目清单的通知》（财库〔2019〕18号）附件。</w:t>
      </w:r>
    </w:p>
    <w:p w14:paraId="0895269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lang w:eastAsia="zh-CN"/>
        </w:rPr>
      </w:pPr>
      <w:r>
        <w:rPr>
          <w:rFonts w:hint="eastAsia" w:ascii="宋体" w:hAnsi="宋体" w:eastAsia="宋体" w:cs="宋体"/>
          <w:sz w:val="24"/>
          <w:szCs w:val="24"/>
        </w:rPr>
        <w:t>（5）“国家确定的认证机构”名单见市场监管总局《关于发布参与实施政府采购节能产品、环境标志产品认证机构名录的公告》（2019年第16号）。</w:t>
      </w:r>
    </w:p>
    <w:p w14:paraId="26899BE8">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陕西省中小企业政府采购信用融资办法</w:t>
      </w:r>
    </w:p>
    <w:p w14:paraId="1E46319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72BFD022">
      <w:pPr>
        <w:keepLines w:val="0"/>
        <w:pageBreakBefore w:val="0"/>
        <w:kinsoku/>
        <w:wordWrap/>
        <w:overflowPunct/>
        <w:topLinePunct w:val="0"/>
        <w:autoSpaceDE/>
        <w:autoSpaceDN/>
        <w:bidi w:val="0"/>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链接地址：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"http://www.ccgp-shaanxi.gov.cn/zcdservice/zcd/shanxi/article/zcdt/1390497710741917696"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http://www.ccgp-shaanxi.gov.cn/zcdservice/zcd/shanxi/article/zcdt/1390497710741917696</w:t>
      </w:r>
      <w:r>
        <w:rPr>
          <w:rStyle w:val="36"/>
          <w:rFonts w:hint="eastAsia" w:ascii="宋体" w:hAnsi="宋体" w:eastAsia="宋体" w:cs="宋体"/>
          <w:color w:val="auto"/>
          <w:sz w:val="24"/>
          <w:szCs w:val="24"/>
          <w:u w:val="none"/>
        </w:rPr>
        <w:fldChar w:fldCharType="end"/>
      </w:r>
    </w:p>
    <w:p w14:paraId="4C0B11F3">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（七）关于现场踏勘和集中答疑</w:t>
      </w:r>
    </w:p>
    <w:p w14:paraId="3E49339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采购人可以根据项目实际情况决定是否组织现场踏勘\标前集中答疑</w:t>
      </w:r>
      <w:r>
        <w:rPr>
          <w:rFonts w:hint="eastAsia" w:ascii="宋体" w:hAnsi="宋体" w:eastAsia="宋体" w:cs="宋体"/>
          <w:color w:val="auto"/>
          <w:sz w:val="24"/>
          <w:szCs w:val="24"/>
        </w:rPr>
        <w:t>。投标邀请函中</w:t>
      </w:r>
      <w:r>
        <w:rPr>
          <w:rFonts w:hint="eastAsia" w:ascii="宋体" w:hAnsi="宋体" w:eastAsia="宋体" w:cs="宋体"/>
          <w:sz w:val="24"/>
          <w:szCs w:val="24"/>
        </w:rPr>
        <w:t>明确载明安排上述活动的，各供应商应派出技术、预算等相关人员，在招标文件约定的时间、地点参加现场踏勘\标前集中答疑。</w:t>
      </w:r>
    </w:p>
    <w:p w14:paraId="071B0D0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供应商代表可在采购人指引下就采购内容相关数据进行实地测量，需要采购人或采购代理机构解答的问题可以以口头或书面形式做出。口头问题，口头答复；书面问题，将由采购人和采购代理机构整理后，在“政府采购信息发布媒体”上发布《答疑纪要》。答疑纪要是招标文件的组成部分，与招标文件中表述不一致的内容，以答疑纪要为准。</w:t>
      </w:r>
    </w:p>
    <w:p w14:paraId="21BFE2E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凡未参加现场踏勘和集中答疑的供应商，由此带来的不利后果由该供应商自行承担。</w:t>
      </w:r>
    </w:p>
    <w:p w14:paraId="4153D848">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（八）关于同一品牌产品的处理</w:t>
      </w:r>
    </w:p>
    <w:p w14:paraId="0A47038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采用最低评标价法的采购项目，提供相同品牌产品的不同供应商参加同一合同项下投标的，以其中通过资格审查、符合性审查且报价最低的参加评标；报价相同的，由采购人或者采购人委托评审委员会按照采购文件规定的方式确定一个参加评标的供应商，采购文件未规定的采取随机抽取方式确定，其他投标无效。</w:t>
      </w:r>
    </w:p>
    <w:p w14:paraId="0B14D592">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评审委员会按照采购文件规定的方式确定一个供应商获得中标供应商推荐资格，采购文件未规定的采取随机抽取方式确定，其他同品牌供应商不作为中标候选人。</w:t>
      </w:r>
    </w:p>
    <w:p w14:paraId="6400D072">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非单一产品采购项目，采购人将根据采购项目技术构成、产品价格比重等因素确定核心产品（可能不止一种），并在采购文件中载明。多家供应商提供的核心产品有部分采用或全部采用相同品牌的，按一家供应商计算。</w:t>
      </w:r>
    </w:p>
    <w:p w14:paraId="6267C5D9">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（九）关于知识产权和保密事项</w:t>
      </w:r>
    </w:p>
    <w:p w14:paraId="15C6A31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1．所有涉及知识产权的产品及设计，供应商必须确保委托人、采购人拥有其合法的、不受限制的无偿使用权，并免受任何侵权诉讼或索偿；否则，由此产生的一切经济损失和法律责任由供应商承担。</w:t>
      </w:r>
    </w:p>
    <w:p w14:paraId="3CB3681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由采购人向供应商提供的用户需求书、图纸、样品、模型、模件和所有资料，供应商获得后，应对其保密。除非采购人同意，供应商不得向第三方透露或将其用于本次投标以外的任何用途。开标后，若采购人有要求，供应商人须归还采购人认为需保密的文件和资料，并销毁所有相应的备份文件及资料。</w:t>
      </w:r>
    </w:p>
    <w:p w14:paraId="5A573DED">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（十）关于信用记录的查询和使用</w:t>
      </w:r>
    </w:p>
    <w:p w14:paraId="3A86E1C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1．根据财政部《关于在政府采购活动中查询及使用信用记录有关问题的通知》（财库〔2016〕125号）第二条有关要求，采购人将在资格审查阶段通过【信用中国】（</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"https://www.creditchina.gov.cn"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https://www.creditchina.gov.cn</w:t>
      </w:r>
      <w:r>
        <w:rPr>
          <w:rStyle w:val="36"/>
          <w:rFonts w:hint="eastAsia" w:ascii="宋体" w:hAnsi="宋体" w:eastAsia="宋体" w:cs="宋体"/>
          <w:color w:val="auto"/>
          <w:sz w:val="24"/>
          <w:szCs w:val="24"/>
          <w:u w:val="none"/>
        </w:rPr>
        <w:fldChar w:fldCharType="end"/>
      </w:r>
      <w:r>
        <w:rPr>
          <w:rFonts w:hint="eastAsia" w:ascii="宋体" w:hAnsi="宋体" w:eastAsia="宋体" w:cs="宋体"/>
          <w:sz w:val="24"/>
          <w:szCs w:val="24"/>
        </w:rPr>
        <w:t>/）和【中国政府采购网】（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http://www.ccgp.gov.cn/）</w:t>
      </w:r>
      <w:r>
        <w:rPr>
          <w:rStyle w:val="36"/>
          <w:rFonts w:hint="eastAsia" w:ascii="宋体" w:hAnsi="宋体" w:eastAsia="宋体" w:cs="宋体"/>
          <w:color w:val="auto"/>
          <w:sz w:val="24"/>
          <w:szCs w:val="24"/>
          <w:u w:val="none"/>
        </w:rPr>
        <w:fldChar w:fldCharType="end"/>
      </w:r>
      <w:r>
        <w:rPr>
          <w:rFonts w:hint="eastAsia" w:ascii="宋体" w:hAnsi="宋体" w:eastAsia="宋体" w:cs="宋体"/>
          <w:sz w:val="24"/>
          <w:szCs w:val="24"/>
        </w:rPr>
        <w:t>对供应商的信用情况进行甄别。</w:t>
      </w:r>
    </w:p>
    <w:p w14:paraId="1891268D">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2．对列入失信被执行人、</w:t>
      </w:r>
      <w:r>
        <w:rPr>
          <w:rFonts w:hint="eastAsia" w:ascii="宋体" w:hAnsi="宋体" w:eastAsia="宋体" w:cs="宋体"/>
          <w:sz w:val="24"/>
          <w:szCs w:val="24"/>
          <w:lang w:eastAsia="zh-CN"/>
        </w:rPr>
        <w:t>重大税收违法失信主体</w:t>
      </w:r>
      <w:r>
        <w:rPr>
          <w:rFonts w:hint="eastAsia" w:ascii="宋体" w:hAnsi="宋体" w:eastAsia="宋体" w:cs="宋体"/>
          <w:sz w:val="24"/>
          <w:szCs w:val="24"/>
        </w:rPr>
        <w:t>、政府采购严重违法失信行为记录名单及其他不符合《中华人民共和国政府采购法》第二十二条规定条件的供应商，将拒绝其参与政府采购活动。</w:t>
      </w:r>
    </w:p>
    <w:p w14:paraId="1F64CDF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3．供应商在参加政府采购活动前3年内因违法经营被禁止在一定期限内参加政府采购活动，期限届满的，可以参加政府采购活动的，但供应商应提供相关证明材料。</w:t>
      </w:r>
    </w:p>
    <w:p w14:paraId="2B40050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4．信用记录查询结果打印后，将与其他采购文件一并保存。</w:t>
      </w:r>
    </w:p>
    <w:p w14:paraId="4B7EE9B4">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（十一）其他重要事项</w:t>
      </w:r>
    </w:p>
    <w:p w14:paraId="692E527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1．招标文件内所附网络链接仅供参考，不保证其长期有效性。</w:t>
      </w:r>
    </w:p>
    <w:p w14:paraId="2D664E05">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2．供应商的投标费用自理。</w:t>
      </w:r>
    </w:p>
    <w:p w14:paraId="5A7BB007">
      <w:pPr>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三、招标文件</w:t>
      </w:r>
    </w:p>
    <w:p w14:paraId="2DDCEE89">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（一）招标文件的解释权</w:t>
      </w:r>
    </w:p>
    <w:p w14:paraId="035D44F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本项目招标文件的解释权归采购代理机构，评标委员会成员应根据政府采购法律法规和招标文件所载明的评审方法、标准进行评审。</w:t>
      </w:r>
    </w:p>
    <w:p w14:paraId="2EF7C55C">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（二）招标文件主要内容</w:t>
      </w:r>
    </w:p>
    <w:p w14:paraId="44CF5FC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第1章  </w:t>
      </w:r>
      <w:r>
        <w:rPr>
          <w:rFonts w:hint="eastAsia" w:ascii="宋体" w:hAnsi="宋体" w:eastAsia="宋体" w:cs="宋体"/>
          <w:color w:val="auto"/>
          <w:sz w:val="24"/>
          <w:szCs w:val="24"/>
          <w:lang w:eastAsia="zh-CN"/>
        </w:rPr>
        <w:t>招标公告</w:t>
      </w:r>
    </w:p>
    <w:p w14:paraId="19598AF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第2章  供应商须知</w:t>
      </w:r>
    </w:p>
    <w:p w14:paraId="28CE85BF">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第3章  招标内容及要求</w:t>
      </w:r>
    </w:p>
    <w:p w14:paraId="3680202F">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第4章  </w:t>
      </w:r>
      <w:r>
        <w:rPr>
          <w:rFonts w:hint="eastAsia" w:ascii="宋体" w:hAnsi="宋体" w:eastAsia="宋体" w:cs="宋体"/>
          <w:sz w:val="24"/>
          <w:szCs w:val="24"/>
          <w:lang w:eastAsia="zh-CN"/>
        </w:rPr>
        <w:t>商务及</w:t>
      </w:r>
      <w:r>
        <w:rPr>
          <w:rFonts w:hint="eastAsia" w:ascii="宋体" w:hAnsi="宋体" w:eastAsia="宋体" w:cs="宋体"/>
          <w:sz w:val="24"/>
          <w:szCs w:val="24"/>
        </w:rPr>
        <w:t>合同文本</w:t>
      </w:r>
    </w:p>
    <w:p w14:paraId="0A089C7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第5章  投标文件构成及格式</w:t>
      </w:r>
    </w:p>
    <w:p w14:paraId="37CF68D8">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（三）招标文件的检查及阅读</w:t>
      </w:r>
    </w:p>
    <w:p w14:paraId="6473B56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供应商应认真阅读和充分理解招标文件中所有的事项、格式条款和规范要求，在投标文件中对招标文件做出全面响应，并按招标文件的要求提交全部资料。</w:t>
      </w:r>
    </w:p>
    <w:p w14:paraId="52599B7D">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项目废标后重新组织招标的，采购代理机构将重新编制、发布新版招标文件，供应商应按新版招标文件重新编制投标文件。原招标文件及投标文件失效。</w:t>
      </w:r>
    </w:p>
    <w:p w14:paraId="01F4FE05">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（四）招标文件的修改、澄清</w:t>
      </w:r>
    </w:p>
    <w:p w14:paraId="11D82A7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1．提交投标文件截止之日前，采购人或采购代理机构可能对已发出的招标文件进行澄清或者修改，澄清或者修改的内容为招标文件的组成部分。</w:t>
      </w:r>
    </w:p>
    <w:p w14:paraId="79B60675">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2．当需要澄清或修改时，采购代理机构将在提交投标文件截止之日15日前，在财政部门指定的“政府采购信息发布媒体”上发布变更公告；不足15日的，将顺延提交投标文件截止时间。</w:t>
      </w:r>
    </w:p>
    <w:p w14:paraId="7F8B21CC">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澄清或修改的内容可能影响投标文件编制时，采购代理机构将在发布变更公告的同时，提醒供应商下载答疑文件（*.SXSCF，即更新后的电子招标文件）。供应商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1BD0551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4．请各供应商在提交投标文件截止时间之前，务必随时关注“政府采购信息发布媒体”上发布的变更公告，采购代理机构不再另行通知，因供应商未及时关注所造成的一切后果由供应商自行承担：</w:t>
      </w:r>
    </w:p>
    <w:p w14:paraId="51563FE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"http://www.ccgp-shaanxi.gov.cn"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陕西省政府采购网</w:t>
      </w:r>
      <w:r>
        <w:rPr>
          <w:rStyle w:val="36"/>
          <w:rFonts w:hint="eastAsia" w:ascii="宋体" w:hAnsi="宋体" w:eastAsia="宋体" w:cs="宋体"/>
          <w:color w:val="auto"/>
          <w:sz w:val="24"/>
          <w:szCs w:val="24"/>
          <w:u w:val="none"/>
        </w:rPr>
        <w:fldChar w:fldCharType="end"/>
      </w: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"http://www.ccgp-shaanxi.gov.cn/"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http://www.ccgp-shaanxi.gov.cn/</w:t>
      </w:r>
      <w:r>
        <w:rPr>
          <w:rStyle w:val="36"/>
          <w:rFonts w:hint="eastAsia" w:ascii="宋体" w:hAnsi="宋体" w:eastAsia="宋体" w:cs="宋体"/>
          <w:color w:val="auto"/>
          <w:sz w:val="24"/>
          <w:szCs w:val="24"/>
          <w:u w:val="none"/>
        </w:rPr>
        <w:fldChar w:fldCharType="end"/>
      </w:r>
      <w:r>
        <w:rPr>
          <w:rFonts w:hint="eastAsia" w:ascii="宋体" w:hAnsi="宋体" w:eastAsia="宋体" w:cs="宋体"/>
          <w:sz w:val="24"/>
          <w:szCs w:val="24"/>
        </w:rPr>
        <w:t>）中的〖首页·〉信息公告·〉市级·〉西安市〗；</w:t>
      </w:r>
    </w:p>
    <w:p w14:paraId="1F5C7F9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"http://xa.sxggzyjy.cn/"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全国公共资源交易网（陕西省·西安市）</w:t>
      </w:r>
      <w:r>
        <w:rPr>
          <w:rStyle w:val="36"/>
          <w:rFonts w:hint="eastAsia" w:ascii="宋体" w:hAnsi="宋体" w:eastAsia="宋体" w:cs="宋体"/>
          <w:color w:val="auto"/>
          <w:sz w:val="24"/>
          <w:szCs w:val="24"/>
          <w:u w:val="none"/>
        </w:rPr>
        <w:fldChar w:fldCharType="end"/>
      </w: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"http://sxggzyjy.xa.gov.cn/"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http://sxggzyjy.xa.gov.cn/</w:t>
      </w:r>
      <w:r>
        <w:rPr>
          <w:rStyle w:val="36"/>
          <w:rFonts w:hint="eastAsia" w:ascii="宋体" w:hAnsi="宋体" w:eastAsia="宋体" w:cs="宋体"/>
          <w:color w:val="auto"/>
          <w:sz w:val="24"/>
          <w:szCs w:val="24"/>
          <w:u w:val="none"/>
        </w:rPr>
        <w:fldChar w:fldCharType="end"/>
      </w:r>
      <w:r>
        <w:rPr>
          <w:rFonts w:hint="eastAsia" w:ascii="宋体" w:hAnsi="宋体" w:eastAsia="宋体" w:cs="宋体"/>
          <w:sz w:val="24"/>
          <w:szCs w:val="24"/>
        </w:rPr>
        <w:t>）中的〖首页·〉交易大厅·〉政府采购〗。</w:t>
      </w:r>
    </w:p>
    <w:p w14:paraId="0DD1B331">
      <w:pPr>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四、投标文件</w:t>
      </w:r>
    </w:p>
    <w:p w14:paraId="4B367F5D">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（一）投标文件的式样</w:t>
      </w:r>
    </w:p>
    <w:p w14:paraId="2B6407BF">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1．组成及格式</w:t>
      </w:r>
    </w:p>
    <w:p w14:paraId="50BAF14D">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供应商依照招标文件第五章《投标文件构成及格式》给定形式进行编制投标文件。项目分标段的，应按所投标段分别准备投标文件。</w:t>
      </w:r>
    </w:p>
    <w:p w14:paraId="3F915676">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2．语言</w:t>
      </w:r>
    </w:p>
    <w:p w14:paraId="7206AB7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招标活动的所有文件、资料、函电文字均使用简体中文，确需提交用其他语言形成的资料，必须翻译成简体中文，如有差异，以简体中文为准。</w:t>
      </w:r>
    </w:p>
    <w:p w14:paraId="7A3E6033">
      <w:pPr>
        <w:pStyle w:val="96"/>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3．计量单位</w:t>
      </w:r>
    </w:p>
    <w:p w14:paraId="0D039462">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投标文件的计量单位应使用中华人民共和国法定计量单位，但招标文件另有规定的除外。</w:t>
      </w:r>
    </w:p>
    <w:p w14:paraId="404E1B88">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（二）投标文件的有效期</w:t>
      </w:r>
    </w:p>
    <w:p w14:paraId="770CA0E5">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投标文件有效期为自开标之日起不少于90个日历日。如中标，延长至合同执行完毕时止。</w:t>
      </w:r>
    </w:p>
    <w:p w14:paraId="37E359D9">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（三）投标报价</w:t>
      </w:r>
    </w:p>
    <w:p w14:paraId="1FCD1E8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本项目投标方案范围内计价模式固定</w:t>
      </w:r>
      <w:r>
        <w:rPr>
          <w:rFonts w:hint="eastAsia" w:ascii="宋体" w:hAnsi="宋体" w:eastAsia="宋体" w:cs="宋体"/>
          <w:sz w:val="24"/>
          <w:szCs w:val="24"/>
          <w:highlight w:val="none"/>
          <w:lang w:val="en-US" w:eastAsia="zh-CN"/>
        </w:rPr>
        <w:t>单价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报价包括但</w:t>
      </w:r>
      <w:r>
        <w:rPr>
          <w:rFonts w:hint="eastAsia" w:ascii="宋体" w:hAnsi="宋体" w:eastAsia="宋体" w:cs="宋体"/>
          <w:color w:val="auto"/>
          <w:sz w:val="24"/>
          <w:highlight w:val="none"/>
          <w:lang w:val="en-US" w:eastAsia="zh-CN"/>
        </w:rPr>
        <w:t xml:space="preserve">不限于管理费、人工费、水电费、消毒费、设备及车辆维修费、车辆油费、保养费、保险费、审验费和税金、招标代理服务费等其他一切相关费用。 </w:t>
      </w:r>
    </w:p>
    <w:p w14:paraId="7CC3ACD5">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供应商在报价时应充分考虑所有可能发生的费用，</w:t>
      </w:r>
      <w:r>
        <w:rPr>
          <w:rFonts w:hint="eastAsia" w:ascii="宋体" w:hAnsi="宋体" w:eastAsia="宋体" w:cs="宋体"/>
          <w:sz w:val="24"/>
          <w:szCs w:val="24"/>
        </w:rPr>
        <w:t>招标文件未列明，而供应商认为应当计取的费用均应列入报价中。报价时不论是否计取，采购人均按已计取对待。</w:t>
      </w:r>
    </w:p>
    <w:p w14:paraId="74C55D12">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2．供应商应严格按照《投标文件构成及格式》第二部分《开标一览表》中的相关要求填写分类报价及其他需要响应的内容。投标报价只能提交唯一报价，任何有选择的报价将不予接受，按无效投标处理。</w:t>
      </w:r>
    </w:p>
    <w:p w14:paraId="55C7CB4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3．投标报价货币：人民币；单位：元。</w:t>
      </w:r>
    </w:p>
    <w:p w14:paraId="2DFD37D2">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4．投标文件报价出现前后不一致的，除招标文件另有规定外，按照下列规则修正：</w:t>
      </w:r>
    </w:p>
    <w:p w14:paraId="5AD2F0CD">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（1）投标文件中开标一览表内容与投标文件中其他位置相应内容表述不一致的，以开标一览表为准；</w:t>
      </w:r>
    </w:p>
    <w:p w14:paraId="71E2909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638BDDD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08836E2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67016302">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同时出现两种以上不一致的，按照前款规定的顺序修正。修正后的报价经供应商确认后产生约束力，供应商不确认的，其投标无效。</w:t>
      </w:r>
    </w:p>
    <w:p w14:paraId="2C9C59A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5．因供应商对招标文件理解不透、误解、疏漏或对市场行情了解不清造成的后果和风险，均由供应商自己负责。</w:t>
      </w:r>
    </w:p>
    <w:p w14:paraId="2EE5D167">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（四）投标文件的制作和签章</w:t>
      </w:r>
    </w:p>
    <w:p w14:paraId="0014B43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1．电子投标文件（*.SXSTF）需要使用专用制作软件——“新点投标文件制作软件（陕西公共资源）”进行编制。软件下载地址及操作手册：见西安市公共资源交易平台〖首页〉服务指南〉下载专区〗中的《</w:t>
      </w:r>
      <w:r>
        <w:rPr>
          <w:rFonts w:hint="eastAsia" w:ascii="宋体" w:hAnsi="宋体" w:eastAsia="宋体" w:cs="宋体"/>
          <w:b/>
          <w:bCs/>
          <w:sz w:val="24"/>
          <w:szCs w:val="24"/>
        </w:rPr>
        <w:t>政府采购项目投标文件制作软件及操作手册</w:t>
      </w:r>
      <w:r>
        <w:rPr>
          <w:rFonts w:hint="eastAsia" w:ascii="宋体" w:hAnsi="宋体" w:eastAsia="宋体" w:cs="宋体"/>
          <w:sz w:val="24"/>
          <w:szCs w:val="24"/>
        </w:rPr>
        <w:t>》。</w:t>
      </w:r>
    </w:p>
    <w:p w14:paraId="7D1FA39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链接地址：</w:t>
      </w:r>
    </w:p>
    <w:p w14:paraId="50F8AA82">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"http://sxggzyjy.xa.gov.cn/fwzn/004003/20181115/4d59c184-e8f6-4d5a-a416-c2f6b0601e66.html" </w:instrText>
      </w:r>
      <w:r>
        <w:rPr>
          <w:rFonts w:hint="eastAsia" w:ascii="宋体" w:hAnsi="宋体" w:eastAsia="宋体" w:cs="宋体"/>
          <w:sz w:val="24"/>
          <w:szCs w:val="24"/>
        </w:rPr>
        <w:fldChar w:fldCharType="separate"/>
      </w:r>
      <w:r>
        <w:rPr>
          <w:rStyle w:val="36"/>
          <w:rFonts w:hint="eastAsia" w:ascii="宋体" w:hAnsi="宋体" w:eastAsia="宋体" w:cs="宋体"/>
          <w:sz w:val="24"/>
          <w:szCs w:val="24"/>
        </w:rPr>
        <w:t>http://sxggzyjy.xa.gov.cn/fwzn/004003/20181115/4d59c184-e8f6-4d5a-a416-c2f6b0601e66.html</w:t>
      </w:r>
      <w:r>
        <w:rPr>
          <w:rStyle w:val="36"/>
          <w:rFonts w:hint="eastAsia" w:ascii="宋体" w:hAnsi="宋体" w:eastAsia="宋体" w:cs="宋体"/>
          <w:sz w:val="24"/>
          <w:szCs w:val="24"/>
        </w:rPr>
        <w:fldChar w:fldCharType="end"/>
      </w:r>
    </w:p>
    <w:p w14:paraId="7AC0244E">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2．编制电子投标文件前，</w:t>
      </w:r>
      <w:r>
        <w:rPr>
          <w:rFonts w:hint="eastAsia" w:ascii="宋体" w:hAnsi="宋体" w:eastAsia="宋体" w:cs="宋体"/>
          <w:b/>
          <w:bCs/>
          <w:sz w:val="24"/>
          <w:szCs w:val="24"/>
        </w:rPr>
        <w:t>务必先做好电子招标文件的备份工作</w:t>
      </w:r>
      <w:r>
        <w:rPr>
          <w:rFonts w:hint="eastAsia" w:ascii="宋体" w:hAnsi="宋体" w:eastAsia="宋体" w:cs="宋体"/>
          <w:sz w:val="24"/>
          <w:szCs w:val="24"/>
        </w:rPr>
        <w:t>。然后按操作手册中给出的方法将电子招标文件（*.SXSZF）或答疑文件（*.SXSCF，即更新后的电子招标文件）导入制作软件，最后按照章节分别编制投标文件各个部分。</w:t>
      </w:r>
    </w:p>
    <w:p w14:paraId="29B578C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再次提醒</w:t>
      </w:r>
      <w:r>
        <w:rPr>
          <w:rFonts w:hint="eastAsia" w:ascii="宋体" w:hAnsi="宋体" w:eastAsia="宋体" w:cs="宋体"/>
          <w:sz w:val="24"/>
          <w:szCs w:val="24"/>
        </w:rPr>
        <w:t>：提交投标文件截止时间前，供应商应随时留意“政府采购信息发布媒体”上可能发布的变更公告。若变更公告中明确注明本项目伴有变更文件的，供应商应登录企业端后，从〖项目流程·〉项目管理·〉答疑文件下载〗获取更新后的电子招标文件（*.SXSCF），</w:t>
      </w:r>
      <w:r>
        <w:rPr>
          <w:rFonts w:hint="eastAsia" w:ascii="宋体" w:hAnsi="宋体" w:eastAsia="宋体" w:cs="宋体"/>
          <w:b/>
          <w:bCs/>
          <w:sz w:val="24"/>
          <w:szCs w:val="24"/>
        </w:rPr>
        <w:t>使用旧版电子招标文件制作的电子投标文件（*.SXSTF），系统将拒绝接收。</w:t>
      </w:r>
    </w:p>
    <w:p w14:paraId="3714E0DC">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3．电子投标文件制作过程中，需要法定代表人签字或盖章的地方，请使用“法人CA锁”进行签章；需要加盖供应商公章的地方，请使用“企业CA锁”进行签章。</w:t>
      </w:r>
    </w:p>
    <w:p w14:paraId="5A709A24">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若导出的PDF文件里看不到签章，请尝试使用专用制作软件中的“查看投标文件工具”打开未加密的电子投标文件重新导出。在制作过程中，如有其他技术性问题，请先翻阅操作手册，或致电软件开发商。</w:t>
      </w:r>
    </w:p>
    <w:p w14:paraId="1163EA16">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（五）投标文件的加密和提交</w:t>
      </w:r>
    </w:p>
    <w:p w14:paraId="7257F03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1．在生成电子投标文件时，需要使用CA锁对投标文件进行加密。</w:t>
      </w:r>
    </w:p>
    <w:p w14:paraId="3B4E2063">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注意：加密投标文件和开标时解密投标文件应当使用同一CA，否则将会导致解密失败。</w:t>
      </w:r>
    </w:p>
    <w:p w14:paraId="615DE09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17341D96">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3．上传文件有误或需要重新提交的，可先撤销已经上传的文件，然后重新上传新文件。</w:t>
      </w:r>
    </w:p>
    <w:p w14:paraId="7F6EE8F9">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（六）投标文件的补充、修改和撤回</w:t>
      </w:r>
    </w:p>
    <w:p w14:paraId="1C79827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09BE7F2C">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2．供应商在提交投标文件截止时间后，撤回投标文件的，投标保证金不予退还。</w:t>
      </w:r>
    </w:p>
    <w:p w14:paraId="2AFE159E">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18FCB24B">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（七）关于投标文件的雷同性分析</w:t>
      </w:r>
    </w:p>
    <w:p w14:paraId="5F8D3C6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根据陕西省公共资源交易中心2021年7月22日印发的《关于在政府采购交易系统中开通标书雷同性分析功能的通知》，在符合性审查环节，将由评标委员会在评标系统中对供应商的电子投标文件进行雷同性分析。</w:t>
      </w:r>
    </w:p>
    <w:p w14:paraId="34081FF7">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1F07325C">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若“文件制作机器码”一致，则表明不同投标供应商的电子投标文件出自同一台制作设备，根据《陕西省财政厅关于政府采购有关政策的复函》（陕财办采函〔2019〕18号），该情形可以视为投标供应商串通投标，其投标无效。</w:t>
      </w:r>
    </w:p>
    <w:p w14:paraId="3E059AAF">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若“文件创建标识码”一致，则表示不同投标供应商使用投标文件制作软件时，使用同一源工程文件，该情形建议由评标委员会结合项目情况综合判定。</w:t>
      </w:r>
    </w:p>
    <w:p w14:paraId="40B3F80A">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（八）投标文件被拒绝接收的情形</w:t>
      </w:r>
    </w:p>
    <w:p w14:paraId="7F3BBD3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1．误投的或采用旧版电子招标文件制作的；</w:t>
      </w:r>
    </w:p>
    <w:p w14:paraId="7E300018">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2．逾期提交电子投标文件的。</w:t>
      </w:r>
    </w:p>
    <w:p w14:paraId="4938D505">
      <w:pPr>
        <w:keepLines w:val="0"/>
        <w:pageBreakBefore w:val="0"/>
        <w:kinsoku/>
        <w:wordWrap/>
        <w:overflowPunct/>
        <w:topLinePunct w:val="0"/>
        <w:autoSpaceDE/>
        <w:autoSpaceDN/>
        <w:bidi w:val="0"/>
        <w:snapToGrid/>
        <w:spacing w:line="360" w:lineRule="auto"/>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五、开标程序</w:t>
      </w:r>
    </w:p>
    <w:p w14:paraId="2E5A8F7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开标工作由采购代理机构组织实施，整个过程受同级政府采购监管机构的监督、管理。</w:t>
      </w:r>
    </w:p>
    <w:p w14:paraId="1B1DC04E">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[适用于不见面开标项目]</w:t>
      </w:r>
    </w:p>
    <w:p w14:paraId="684A5EF5">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（一）“不见面开标”基本流程</w:t>
      </w:r>
    </w:p>
    <w:p w14:paraId="30444D8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“不见面开标”是依托政府采购云平台实现的供应商在线参与开标的一种组织形式。供应商无需抵达开标现场，即可在线实现开标、解密、澄清等操作。</w:t>
      </w:r>
    </w:p>
    <w:p w14:paraId="16C80AD7">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1．供应商登录：开标前，请各供应商至少提前半小时登录西安市公共资源交易平台〖首页·〉不见面开标〗系统。</w:t>
      </w:r>
    </w:p>
    <w:p w14:paraId="262AEAA8">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2．主持人宣布开标：提交投标文件截止时间过后，系统将不再接收任何投标文件。</w:t>
      </w:r>
    </w:p>
    <w:p w14:paraId="286471D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3．解密投标文件：供应商在收到主持人“开始解密”指令后，应使用“加密该投标文件的CA锁（</w:t>
      </w:r>
      <w:r>
        <w:rPr>
          <w:rFonts w:hint="eastAsia" w:ascii="宋体" w:hAnsi="宋体" w:eastAsia="宋体" w:cs="宋体"/>
          <w:b/>
          <w:bCs/>
          <w:sz w:val="24"/>
          <w:szCs w:val="24"/>
        </w:rPr>
        <w:t>必须是同一把锁</w:t>
      </w:r>
      <w:r>
        <w:rPr>
          <w:rFonts w:hint="eastAsia" w:ascii="宋体" w:hAnsi="宋体" w:eastAsia="宋体" w:cs="宋体"/>
          <w:sz w:val="24"/>
          <w:szCs w:val="24"/>
        </w:rPr>
        <w:t>）”在线完成投标文件解密。除因【西安市公共资源交易中心】断电、断网、系统故障及其他不可抗力等因素，导致“不见面开标”系统无法正常运行外，供应商应在规定的解密时间内完成解密。</w:t>
      </w:r>
    </w:p>
    <w:p w14:paraId="00A6C3E5">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4．唱标：对于公开招标项目，“不见面开标”系统将自动展示供应商名单及其投标报价。</w:t>
      </w:r>
    </w:p>
    <w:p w14:paraId="53C03EC0">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5．开标结束：进入评审环节。供应商请保持在线，评审期间评标委员会可能会要求供应商做相应的澄清。因供应商擅自离席造成的不利后果，由供应商自行承担。</w:t>
      </w:r>
    </w:p>
    <w:p w14:paraId="531732D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“不见面开标”系统操作说明：详见西安市公共资源交易平台〖首页·〉服务指南·〉下载专区〗中的《</w:t>
      </w:r>
      <w:r>
        <w:rPr>
          <w:rFonts w:hint="eastAsia" w:ascii="宋体" w:hAnsi="宋体" w:eastAsia="宋体" w:cs="宋体"/>
          <w:b/>
          <w:bCs/>
          <w:sz w:val="24"/>
          <w:szCs w:val="24"/>
        </w:rPr>
        <w:t>西安公共资源交易不见面开标大厅供应商操作手册</w:t>
      </w:r>
      <w:r>
        <w:rPr>
          <w:rFonts w:hint="eastAsia" w:ascii="宋体" w:hAnsi="宋体" w:eastAsia="宋体" w:cs="宋体"/>
          <w:sz w:val="24"/>
          <w:szCs w:val="24"/>
        </w:rPr>
        <w:t>》。</w:t>
      </w:r>
    </w:p>
    <w:p w14:paraId="746D1AC5">
      <w:pPr>
        <w:keepLines w:val="0"/>
        <w:pageBreakBefore w:val="0"/>
        <w:kinsoku/>
        <w:wordWrap/>
        <w:overflowPunct/>
        <w:topLinePunct w:val="0"/>
        <w:autoSpaceDE/>
        <w:autoSpaceDN/>
        <w:bidi w:val="0"/>
        <w:snapToGrid/>
        <w:spacing w:line="360" w:lineRule="auto"/>
        <w:ind w:firstLine="480" w:firstLineChars="200"/>
        <w:textAlignment w:val="auto"/>
        <w:outlineLvl w:val="9"/>
        <w:rPr>
          <w:rStyle w:val="36"/>
          <w:rFonts w:hint="eastAsia" w:ascii="宋体" w:hAnsi="宋体" w:eastAsia="宋体" w:cs="宋体"/>
          <w:color w:val="auto"/>
          <w:sz w:val="24"/>
          <w:szCs w:val="24"/>
          <w:u w:val="none"/>
        </w:rPr>
      </w:pPr>
      <w:r>
        <w:rPr>
          <w:rFonts w:hint="eastAsia" w:ascii="宋体" w:hAnsi="宋体" w:eastAsia="宋体" w:cs="宋体"/>
          <w:sz w:val="24"/>
          <w:szCs w:val="24"/>
        </w:rPr>
        <w:t>链接地址：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"http://sxggzyjy.xa.gov.cn/fwzn/004003/20200426/bc8b2c1e-abe2-4168-913c-68ff93345faf.html"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http://sxggzyjy.xa.gov.cn/fwzn/004003/20200426/bc8b2c1e-abe2-4168-913c-68ff93345faf.html</w:t>
      </w:r>
      <w:r>
        <w:rPr>
          <w:rStyle w:val="36"/>
          <w:rFonts w:hint="eastAsia" w:ascii="宋体" w:hAnsi="宋体" w:eastAsia="宋体" w:cs="宋体"/>
          <w:color w:val="auto"/>
          <w:sz w:val="24"/>
          <w:szCs w:val="24"/>
          <w:u w:val="none"/>
        </w:rPr>
        <w:fldChar w:fldCharType="end"/>
      </w:r>
    </w:p>
    <w:p w14:paraId="65E78BFC">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（二）开标环节投标文件视为无效的情形</w:t>
      </w:r>
    </w:p>
    <w:p w14:paraId="3945C954">
      <w:pPr>
        <w:pStyle w:val="1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rPr>
      </w:pPr>
      <w:r>
        <w:rPr>
          <w:rFonts w:hint="eastAsia" w:ascii="宋体" w:hAnsi="宋体" w:eastAsia="宋体" w:cs="宋体"/>
          <w:color w:val="auto"/>
        </w:rPr>
        <w:t>1．供应商放弃或拒绝对电子投标文件进行解密的；</w:t>
      </w:r>
    </w:p>
    <w:p w14:paraId="727C0B5D">
      <w:pPr>
        <w:pStyle w:val="1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rPr>
      </w:pPr>
      <w:r>
        <w:rPr>
          <w:rFonts w:hint="eastAsia" w:ascii="宋体" w:hAnsi="宋体" w:eastAsia="宋体" w:cs="宋体"/>
          <w:color w:val="auto"/>
        </w:rPr>
        <w:t>2．因供应商自身原因，导致未在规定的解密时限内完整解密的，如忘带CA锁、或携带的CA锁与加密文件的CA锁不同、或使用旧版招标文件编制投标文件等情形；</w:t>
      </w:r>
    </w:p>
    <w:p w14:paraId="25B5D6AE">
      <w:pPr>
        <w:pStyle w:val="1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rPr>
      </w:pPr>
      <w:r>
        <w:rPr>
          <w:rFonts w:hint="eastAsia" w:ascii="宋体" w:hAnsi="宋体" w:eastAsia="宋体" w:cs="宋体"/>
          <w:color w:val="auto"/>
        </w:rPr>
        <w:t>3．上传的电子投标文件无法正常打开的；</w:t>
      </w:r>
    </w:p>
    <w:p w14:paraId="3A4B1188">
      <w:pPr>
        <w:pStyle w:val="16"/>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rPr>
      </w:pPr>
      <w:r>
        <w:rPr>
          <w:rFonts w:hint="eastAsia" w:ascii="宋体" w:hAnsi="宋体" w:eastAsia="宋体" w:cs="宋体"/>
          <w:color w:val="auto"/>
        </w:rPr>
        <w:t>4．政府采购法律法规规定的其他无效情形。</w:t>
      </w:r>
    </w:p>
    <w:p w14:paraId="5FF9ED58">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（三）开标环节投标文件视为无效的情形</w:t>
      </w:r>
    </w:p>
    <w:p w14:paraId="17A61AE1">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1．供应商放弃或拒绝对电子投标文件进行解密的；</w:t>
      </w:r>
    </w:p>
    <w:p w14:paraId="77BD628C">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2．因供应商自身原因，导致未在规定的解密时限内完整解密的，如忘带CA锁、或携带的CA锁与加密文件的CA锁不同、或使用旧版招标文件编制投标文件等情形；</w:t>
      </w:r>
    </w:p>
    <w:p w14:paraId="11F187BA">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3．上传的电子投标文件无法正常打开的；</w:t>
      </w:r>
    </w:p>
    <w:p w14:paraId="0B0E5FCB">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4．政府采购法律法规规定的其他无效情形。</w:t>
      </w:r>
    </w:p>
    <w:p w14:paraId="5CA6264F">
      <w:pPr>
        <w:pStyle w:val="97"/>
        <w:keepLines w:val="0"/>
        <w:pageBreakBefore w:val="0"/>
        <w:kinsoku/>
        <w:wordWrap/>
        <w:overflowPunct/>
        <w:topLinePunct w:val="0"/>
        <w:autoSpaceDE/>
        <w:autoSpaceDN/>
        <w:bidi w:val="0"/>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（四）突发状况的应急处置</w:t>
      </w:r>
    </w:p>
    <w:p w14:paraId="20AAE979">
      <w:pPr>
        <w:keepLines w:val="0"/>
        <w:pageBreakBefore w:val="0"/>
        <w:kinsoku/>
        <w:wordWrap/>
        <w:overflowPunct/>
        <w:topLinePunct w:val="0"/>
        <w:autoSpaceDE/>
        <w:autoSpaceDN/>
        <w:bidi w:val="0"/>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在开评标过程中，如因停电、断网、电子化系统故障等特殊原因导致电子化开、评标工作无法正常进行时，采购代理机构将及时汇报政府采购监管部门，并等待或中止后续活动。</w:t>
      </w:r>
    </w:p>
    <w:p w14:paraId="3EBB15E5">
      <w:pPr>
        <w:pStyle w:val="3"/>
        <w:keepLines w:val="0"/>
        <w:pageBreakBefore w:val="0"/>
        <w:kinsoku/>
        <w:wordWrap/>
        <w:overflowPunct/>
        <w:topLinePunct w:val="0"/>
        <w:autoSpaceDE/>
        <w:autoSpaceDN/>
        <w:bidi w:val="0"/>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sz w:val="28"/>
          <w:szCs w:val="28"/>
        </w:rPr>
        <w:t>六、资格审查</w:t>
      </w:r>
    </w:p>
    <w:p w14:paraId="4DD06567">
      <w:pPr>
        <w:keepLines w:val="0"/>
        <w:pageBreakBefore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开标结束后，由采购人委派的资格审查小组按照《政府采购货物和服务招标投标管理办法》（财政部第87号令）有关规定，对投标文件中的供应商资格证明文件进行审查，并对供应商信用记录进行核查。资格审查小组由3人以上单数组成，采购人应出具书面授权函，并指定组长。</w:t>
      </w:r>
    </w:p>
    <w:p w14:paraId="13086461">
      <w:pPr>
        <w:keepLines w:val="0"/>
        <w:pageBreakBefore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供应商提供的资格证明文件缺少任何一项或有任何一项不满足，都将被视为无效投标。供应商所提供的资格证明文件应图文清晰、易于辨识，否则由此带来的不利后果由供应商自行承担。</w:t>
      </w:r>
    </w:p>
    <w:p w14:paraId="4A0D66B6">
      <w:pPr>
        <w:keepLines w:val="0"/>
        <w:pageBreakBefore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资格审查结束后，资格审查小组成员应当对审查结果进行签字确认；对未通过资格审查的供应商，资格审查小组应当场告知其未通过的原因。</w:t>
      </w:r>
    </w:p>
    <w:p w14:paraId="4866F8E0">
      <w:pPr>
        <w:keepLines w:val="0"/>
        <w:pageBreakBefore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合格供应商不足3家的，不得评标。</w:t>
      </w:r>
    </w:p>
    <w:p w14:paraId="235C99C0">
      <w:pPr>
        <w:spacing w:line="360" w:lineRule="auto"/>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〖资格性审查表〗</w:t>
      </w:r>
    </w:p>
    <w:tbl>
      <w:tblPr>
        <w:tblStyle w:val="29"/>
        <w:tblW w:w="499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17"/>
        <w:gridCol w:w="2721"/>
        <w:gridCol w:w="6253"/>
      </w:tblGrid>
      <w:tr w14:paraId="577BF0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370" w:type="pct"/>
            <w:tcBorders>
              <w:top w:val="single" w:color="auto" w:sz="12" w:space="0"/>
              <w:bottom w:val="single" w:color="auto" w:sz="2" w:space="0"/>
            </w:tcBorders>
            <w:shd w:val="clear" w:color="auto" w:fill="F1F1F1" w:themeFill="background1" w:themeFillShade="F2"/>
            <w:vAlign w:val="center"/>
          </w:tcPr>
          <w:p w14:paraId="2ADC674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404" w:type="pct"/>
            <w:tcBorders>
              <w:top w:val="single" w:color="auto" w:sz="12" w:space="0"/>
              <w:bottom w:val="single" w:color="auto" w:sz="2" w:space="0"/>
            </w:tcBorders>
            <w:shd w:val="clear" w:color="auto" w:fill="F1F1F1" w:themeFill="background1" w:themeFillShade="F2"/>
            <w:vAlign w:val="center"/>
          </w:tcPr>
          <w:p w14:paraId="6F13DFF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资格性审查项</w:t>
            </w:r>
          </w:p>
        </w:tc>
        <w:tc>
          <w:tcPr>
            <w:tcW w:w="3224" w:type="pct"/>
            <w:tcBorders>
              <w:top w:val="single" w:color="auto" w:sz="12" w:space="0"/>
              <w:bottom w:val="single" w:color="auto" w:sz="2" w:space="0"/>
            </w:tcBorders>
            <w:shd w:val="clear" w:color="auto" w:fill="F1F1F1" w:themeFill="background1" w:themeFillShade="F2"/>
            <w:vAlign w:val="center"/>
          </w:tcPr>
          <w:p w14:paraId="594CED2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通过条件</w:t>
            </w:r>
          </w:p>
        </w:tc>
      </w:tr>
      <w:tr w14:paraId="5B8343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370" w:type="pct"/>
            <w:vAlign w:val="center"/>
          </w:tcPr>
          <w:p w14:paraId="070F4E4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404" w:type="pct"/>
            <w:vAlign w:val="center"/>
          </w:tcPr>
          <w:p w14:paraId="3F4C0E8F">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有效的主体资格证明</w:t>
            </w:r>
          </w:p>
        </w:tc>
        <w:tc>
          <w:tcPr>
            <w:tcW w:w="3224" w:type="pct"/>
            <w:vAlign w:val="center"/>
          </w:tcPr>
          <w:p w14:paraId="47271E8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right="0" w:rightChars="0"/>
              <w:jc w:val="left"/>
              <w:textAlignment w:val="baseline"/>
              <w:outlineLvl w:val="9"/>
              <w:rPr>
                <w:rFonts w:hint="eastAsia" w:ascii="宋体" w:hAnsi="宋体" w:eastAsia="宋体" w:cs="宋体"/>
                <w:sz w:val="24"/>
                <w:szCs w:val="24"/>
              </w:rPr>
            </w:pPr>
            <w:r>
              <w:rPr>
                <w:rFonts w:hint="eastAsia" w:ascii="宋体" w:hAnsi="宋体" w:eastAsia="宋体" w:cs="宋体"/>
                <w:i w:val="0"/>
                <w:iCs w:val="0"/>
                <w:caps w:val="0"/>
                <w:color w:val="auto"/>
                <w:spacing w:val="0"/>
                <w:kern w:val="0"/>
                <w:sz w:val="24"/>
                <w:szCs w:val="24"/>
                <w:highlight w:val="none"/>
                <w:u w:val="none"/>
                <w:lang w:val="en-US" w:eastAsia="zh-CN" w:bidi="ar-SA"/>
              </w:rPr>
              <w:t>提供合格有效的法人或者其他组织的营业执照等证明文件或自然人的身份证明；</w:t>
            </w:r>
          </w:p>
        </w:tc>
      </w:tr>
      <w:tr w14:paraId="677EFD1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370" w:type="pct"/>
            <w:vAlign w:val="center"/>
          </w:tcPr>
          <w:p w14:paraId="47DCBB5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404" w:type="pct"/>
            <w:vAlign w:val="center"/>
          </w:tcPr>
          <w:p w14:paraId="592D1FE7">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i w:val="0"/>
                <w:iCs w:val="0"/>
                <w:caps w:val="0"/>
                <w:color w:val="auto"/>
                <w:spacing w:val="0"/>
                <w:kern w:val="0"/>
                <w:sz w:val="24"/>
                <w:szCs w:val="24"/>
                <w:highlight w:val="none"/>
                <w:u w:val="none"/>
                <w:lang w:val="en-US" w:eastAsia="zh-CN" w:bidi="ar-SA"/>
              </w:rPr>
              <w:t>基本资格条件</w:t>
            </w:r>
          </w:p>
        </w:tc>
        <w:tc>
          <w:tcPr>
            <w:tcW w:w="3224" w:type="pct"/>
            <w:vAlign w:val="center"/>
          </w:tcPr>
          <w:p w14:paraId="1B8CC03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right="0" w:rightChars="0"/>
              <w:jc w:val="left"/>
              <w:textAlignment w:val="baseline"/>
              <w:outlineLvl w:val="9"/>
              <w:rPr>
                <w:rFonts w:hint="eastAsia" w:ascii="宋体" w:hAnsi="宋体" w:eastAsia="宋体" w:cs="宋体"/>
                <w:sz w:val="24"/>
                <w:szCs w:val="24"/>
              </w:rPr>
            </w:pPr>
            <w:r>
              <w:rPr>
                <w:rFonts w:hint="eastAsia" w:ascii="宋体" w:hAnsi="宋体" w:eastAsia="宋体" w:cs="宋体"/>
                <w:i w:val="0"/>
                <w:iCs w:val="0"/>
                <w:caps w:val="0"/>
                <w:color w:val="auto"/>
                <w:spacing w:val="0"/>
                <w:kern w:val="0"/>
                <w:sz w:val="24"/>
                <w:szCs w:val="24"/>
                <w:highlight w:val="none"/>
                <w:u w:val="none"/>
                <w:lang w:val="en-US" w:eastAsia="zh-CN" w:bidi="ar-SA"/>
              </w:rPr>
              <w:t>符合《中华人民共和国政府采购法》第二十二条的规定；</w:t>
            </w:r>
          </w:p>
        </w:tc>
      </w:tr>
      <w:tr w14:paraId="211C03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370" w:type="pct"/>
            <w:vAlign w:val="center"/>
          </w:tcPr>
          <w:p w14:paraId="0507305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404" w:type="pct"/>
            <w:vAlign w:val="center"/>
          </w:tcPr>
          <w:p w14:paraId="2593899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法定代表人授权委托书</w:t>
            </w:r>
            <w:r>
              <w:rPr>
                <w:rFonts w:hint="eastAsia" w:ascii="宋体" w:hAnsi="宋体" w:eastAsia="宋体" w:cs="宋体"/>
                <w:sz w:val="24"/>
                <w:szCs w:val="24"/>
                <w:lang w:val="en-US" w:eastAsia="zh-CN"/>
              </w:rPr>
              <w:t>/</w:t>
            </w:r>
            <w:r>
              <w:rPr>
                <w:rFonts w:hint="eastAsia" w:ascii="宋体" w:hAnsi="宋体" w:eastAsia="宋体" w:cs="宋体"/>
                <w:sz w:val="24"/>
                <w:szCs w:val="24"/>
              </w:rPr>
              <w:t>身份证明</w:t>
            </w:r>
          </w:p>
        </w:tc>
        <w:tc>
          <w:tcPr>
            <w:tcW w:w="3224" w:type="pct"/>
            <w:vAlign w:val="center"/>
          </w:tcPr>
          <w:p w14:paraId="28D524C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i w:val="0"/>
                <w:iCs w:val="0"/>
                <w:caps w:val="0"/>
                <w:color w:val="auto"/>
                <w:spacing w:val="0"/>
                <w:kern w:val="0"/>
                <w:sz w:val="24"/>
                <w:szCs w:val="24"/>
                <w:highlight w:val="none"/>
                <w:u w:val="none"/>
                <w:lang w:val="en-US" w:eastAsia="zh-CN" w:bidi="ar-SA"/>
              </w:rPr>
              <w:t>供应商应授权合法的人员参加投标全过程，其中法定代表人直接参加投标的，须出具法定代表人身份证，并与营业执照上信息一致。法定代表人授权代表参加投标的，须出具法定代表人授权书及授权代表身份证，授权代表须提供近六个月中任一个月缴纳社保证明复印件并加盖单位公章；</w:t>
            </w:r>
          </w:p>
        </w:tc>
      </w:tr>
      <w:tr w14:paraId="6A2C76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370" w:type="pct"/>
            <w:vAlign w:val="center"/>
          </w:tcPr>
          <w:p w14:paraId="3A6A63A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404" w:type="pct"/>
            <w:vAlign w:val="center"/>
          </w:tcPr>
          <w:p w14:paraId="0777F84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关联关系</w:t>
            </w:r>
          </w:p>
        </w:tc>
        <w:tc>
          <w:tcPr>
            <w:tcW w:w="3224" w:type="pct"/>
            <w:vAlign w:val="center"/>
          </w:tcPr>
          <w:p w14:paraId="24EFD047">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auto"/>
                <w:spacing w:val="0"/>
                <w:kern w:val="0"/>
                <w:sz w:val="24"/>
                <w:szCs w:val="24"/>
                <w:highlight w:val="none"/>
                <w:u w:val="none"/>
                <w:lang w:val="en-US" w:eastAsia="zh-CN" w:bidi="ar-SA"/>
              </w:rPr>
              <w:t>单位负责人为同一人或者存在直接控股、管理关系的不同供应商，不得参加同一合同项下的政府采购活动。</w:t>
            </w:r>
          </w:p>
        </w:tc>
      </w:tr>
      <w:tr w14:paraId="69F1A5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000" w:type="pct"/>
            <w:gridSpan w:val="3"/>
            <w:vAlign w:val="center"/>
          </w:tcPr>
          <w:p w14:paraId="3A840738">
            <w:pPr>
              <w:spacing w:line="360" w:lineRule="auto"/>
              <w:ind w:left="0" w:leftChars="0" w:right="0" w:rightChars="0" w:firstLine="0" w:firstLineChars="0"/>
              <w:jc w:val="both"/>
              <w:rPr>
                <w:rFonts w:hint="eastAsia" w:ascii="宋体" w:hAnsi="宋体" w:eastAsia="宋体" w:cs="宋体"/>
                <w:b/>
                <w:bCs/>
                <w:sz w:val="24"/>
                <w:szCs w:val="24"/>
              </w:rPr>
            </w:pPr>
            <w:r>
              <w:rPr>
                <w:rFonts w:hint="eastAsia" w:ascii="宋体" w:hAnsi="宋体" w:eastAsia="宋体" w:cs="宋体"/>
                <w:b/>
                <w:bCs/>
                <w:sz w:val="24"/>
                <w:szCs w:val="24"/>
              </w:rPr>
              <w:t>注意事项：</w:t>
            </w:r>
          </w:p>
          <w:p w14:paraId="3CD80266">
            <w:pPr>
              <w:spacing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sz w:val="24"/>
                <w:szCs w:val="24"/>
              </w:rPr>
              <w:t>1．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0E866193">
            <w:pPr>
              <w:spacing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sz w:val="24"/>
                <w:szCs w:val="24"/>
              </w:rPr>
              <w:t>2．事业单位参与投标时，可不提供财务状况报告、社会保障资金和税收缴纳证明；依法免税或不需要缴纳社会保障资金的供应商，应提供相应证明文件，证明其依法免税或不需要缴纳社会保障资金；自然人（仅限中国公民）参与投标时，只须提供身份证复印件。</w:t>
            </w:r>
          </w:p>
          <w:p w14:paraId="285139FB">
            <w:pPr>
              <w:spacing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sz w:val="24"/>
                <w:szCs w:val="24"/>
              </w:rPr>
              <w:t>3．以联合体形式参与投标时，应提供有效的《联合体协议书》，并遵循招标文件第二章中“关于联合体”的相关规定。</w:t>
            </w:r>
          </w:p>
          <w:p w14:paraId="5504E50B">
            <w:pPr>
              <w:spacing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sz w:val="24"/>
                <w:szCs w:val="24"/>
              </w:rPr>
              <w:t>4．《无重大违法记录声明》、《法定代表人授权委托书》、《法定代表人身份证明书》、《联合体协议书》应按第五章《投标文件构成及格式》中给定的格式填写，并按要求签字、盖章。</w:t>
            </w:r>
          </w:p>
          <w:p w14:paraId="4034A4A2">
            <w:pPr>
              <w:spacing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sz w:val="24"/>
                <w:szCs w:val="24"/>
              </w:rPr>
              <w:t>5．按照财政部《关于在政府采购活动中查询及使用信用记录有关问题的通知》（财库〔2016〕125号）要求，在资格审查阶段，采购人将对投标供应商的信用记录进行核查，出现招标文件第二章中“关于信用记录的查询和使用”所列失信行为的，将拒绝其参与政府采购活动。</w:t>
            </w:r>
          </w:p>
        </w:tc>
      </w:tr>
    </w:tbl>
    <w:p w14:paraId="69411A37">
      <w:pPr>
        <w:pStyle w:val="3"/>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sz w:val="28"/>
          <w:szCs w:val="28"/>
        </w:rPr>
        <w:t>七、评审方法和程序</w:t>
      </w:r>
    </w:p>
    <w:p w14:paraId="6976250D">
      <w:pPr>
        <w:pStyle w:val="97"/>
        <w:keepNext/>
        <w:keepLines w:val="0"/>
        <w:pageBreakBefore w:val="0"/>
        <w:widowControl/>
        <w:kinsoku/>
        <w:wordWrap/>
        <w:overflowPunct/>
        <w:topLinePunct w:val="0"/>
        <w:autoSpaceDE/>
        <w:autoSpaceDN/>
        <w:bidi w:val="0"/>
        <w:adjustRightInd/>
        <w:snapToGrid/>
        <w:spacing w:before="0" w:beforeLines="0" w:after="0" w:afterLines="0" w:line="360" w:lineRule="auto"/>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（一）评标方法</w:t>
      </w:r>
    </w:p>
    <w:p w14:paraId="35893243">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本项目采用综合评分法，即投标文件满足招标文件全部实质性要求，且按照评审因素的量化指标评审得分最高的供应商为中标候选人。</w:t>
      </w:r>
    </w:p>
    <w:p w14:paraId="43631E77">
      <w:pPr>
        <w:pStyle w:val="97"/>
        <w:keepLines w:val="0"/>
        <w:pageBreakBefore w:val="0"/>
        <w:widowControl/>
        <w:kinsoku/>
        <w:wordWrap/>
        <w:overflowPunct/>
        <w:topLinePunct w:val="0"/>
        <w:autoSpaceDE/>
        <w:autoSpaceDN/>
        <w:bidi w:val="0"/>
        <w:adjustRightInd/>
        <w:snapToGrid/>
        <w:spacing w:before="0" w:beforeLines="0" w:after="0" w:afterLines="0" w:line="360" w:lineRule="auto"/>
        <w:ind w:firstLine="640"/>
        <w:textAlignment w:val="auto"/>
        <w:rPr>
          <w:rFonts w:hint="eastAsia" w:ascii="宋体" w:hAnsi="宋体" w:eastAsia="宋体" w:cs="宋体"/>
          <w:sz w:val="24"/>
          <w:szCs w:val="24"/>
        </w:rPr>
      </w:pPr>
      <w:r>
        <w:rPr>
          <w:rFonts w:hint="eastAsia" w:ascii="宋体" w:hAnsi="宋体" w:eastAsia="宋体" w:cs="宋体"/>
          <w:sz w:val="24"/>
          <w:szCs w:val="24"/>
        </w:rPr>
        <w:t>（二）评标程序</w:t>
      </w:r>
    </w:p>
    <w:p w14:paraId="6803A542">
      <w:pPr>
        <w:pStyle w:val="96"/>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1．组建评标委员会</w:t>
      </w:r>
    </w:p>
    <w:p w14:paraId="2CB3B646">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为了确保评标工作的公平、公正，依据政府采购法和政府采购相关法规、规章，成立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政府采购评审专家库内相关专业的专家名单中随机抽取。</w:t>
      </w:r>
    </w:p>
    <w:p w14:paraId="681ABF7D">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由采购代理机构组织评标委员会推选评标组长，采购人代表不得担任组长。</w:t>
      </w:r>
    </w:p>
    <w:p w14:paraId="014BEA58">
      <w:pPr>
        <w:pStyle w:val="96"/>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2．投标文件的符合性审查</w:t>
      </w:r>
    </w:p>
    <w:p w14:paraId="27B4580A">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供应商资格性审查通过后，评标委员会对符合资格的投标人的投标文件进行符合性审查，以确定其是否满足招标文件的实质性要求。</w:t>
      </w:r>
    </w:p>
    <w:p w14:paraId="6E0DE4AE">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对于投标文件中含义不明确、同类问题表述不一致或者有明显文字和计算错误的内容，评标委员会应当以书面形式要求投标人作出必要的澄清、说明或者补正。</w:t>
      </w:r>
    </w:p>
    <w:p w14:paraId="4A4BDDDD">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73875B0D">
      <w:pPr>
        <w:spacing w:line="360" w:lineRule="auto"/>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〖符合性审查表〗</w:t>
      </w:r>
    </w:p>
    <w:tbl>
      <w:tblPr>
        <w:tblStyle w:val="29"/>
        <w:tblW w:w="4989"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21"/>
        <w:gridCol w:w="2173"/>
        <w:gridCol w:w="6795"/>
      </w:tblGrid>
      <w:tr w14:paraId="286F67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72" w:type="pct"/>
            <w:tcBorders>
              <w:top w:val="single" w:color="auto" w:sz="12" w:space="0"/>
              <w:bottom w:val="single" w:color="auto" w:sz="2" w:space="0"/>
            </w:tcBorders>
            <w:shd w:val="clear" w:color="auto" w:fill="F1F1F1" w:themeFill="background1" w:themeFillShade="F2"/>
            <w:vAlign w:val="center"/>
          </w:tcPr>
          <w:p w14:paraId="598783AF">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121" w:type="pct"/>
            <w:tcBorders>
              <w:top w:val="single" w:color="auto" w:sz="12" w:space="0"/>
              <w:bottom w:val="single" w:color="auto" w:sz="2" w:space="0"/>
            </w:tcBorders>
            <w:shd w:val="clear" w:color="auto" w:fill="F1F1F1" w:themeFill="background1" w:themeFillShade="F2"/>
            <w:vAlign w:val="center"/>
          </w:tcPr>
          <w:p w14:paraId="21BEB7D3">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符合性审查项</w:t>
            </w:r>
          </w:p>
        </w:tc>
        <w:tc>
          <w:tcPr>
            <w:tcW w:w="3505" w:type="pct"/>
            <w:tcBorders>
              <w:top w:val="single" w:color="auto" w:sz="12" w:space="0"/>
              <w:bottom w:val="single" w:color="auto" w:sz="2" w:space="0"/>
            </w:tcBorders>
            <w:shd w:val="clear" w:color="auto" w:fill="F1F1F1" w:themeFill="background1" w:themeFillShade="F2"/>
            <w:vAlign w:val="center"/>
          </w:tcPr>
          <w:p w14:paraId="683B7891">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通过条件</w:t>
            </w:r>
          </w:p>
        </w:tc>
      </w:tr>
      <w:tr w14:paraId="2FCF76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72" w:type="pct"/>
            <w:tcBorders>
              <w:top w:val="single" w:color="auto" w:sz="2" w:space="0"/>
            </w:tcBorders>
            <w:vAlign w:val="center"/>
          </w:tcPr>
          <w:p w14:paraId="38D30A23">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121" w:type="pct"/>
            <w:tcBorders>
              <w:top w:val="single" w:color="auto" w:sz="2" w:space="0"/>
            </w:tcBorders>
            <w:vAlign w:val="center"/>
          </w:tcPr>
          <w:p w14:paraId="49CE56C5">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与项目的一致性</w:t>
            </w:r>
          </w:p>
        </w:tc>
        <w:tc>
          <w:tcPr>
            <w:tcW w:w="3505" w:type="pct"/>
            <w:tcBorders>
              <w:top w:val="single" w:color="auto" w:sz="2" w:space="0"/>
            </w:tcBorders>
            <w:vAlign w:val="center"/>
          </w:tcPr>
          <w:p w14:paraId="2E92F24C">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至少以下三处的项目名称、项目编号、标段（未分标段的除外）与本项目完全一致：</w:t>
            </w:r>
          </w:p>
          <w:p w14:paraId="1B0A0DA0">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（1）投标文件封面</w:t>
            </w:r>
          </w:p>
          <w:p w14:paraId="7EB5D54C">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（2）投标函</w:t>
            </w:r>
          </w:p>
          <w:p w14:paraId="7992FFBB">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highlight w:val="none"/>
              </w:rPr>
              <w:t>法定代表人授权委托书</w:t>
            </w:r>
            <w:r>
              <w:rPr>
                <w:rFonts w:hint="eastAsia" w:ascii="宋体" w:hAnsi="宋体" w:eastAsia="宋体" w:cs="宋体"/>
                <w:sz w:val="24"/>
                <w:szCs w:val="24"/>
                <w:lang w:val="en-US" w:eastAsia="zh-CN"/>
              </w:rPr>
              <w:t>/</w:t>
            </w:r>
            <w:r>
              <w:rPr>
                <w:rFonts w:hint="eastAsia" w:ascii="宋体" w:hAnsi="宋体" w:eastAsia="宋体" w:cs="宋体"/>
                <w:sz w:val="24"/>
                <w:szCs w:val="24"/>
              </w:rPr>
              <w:t>身份证明</w:t>
            </w:r>
          </w:p>
        </w:tc>
      </w:tr>
      <w:tr w14:paraId="4312C5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72" w:type="pct"/>
            <w:vAlign w:val="center"/>
          </w:tcPr>
          <w:p w14:paraId="4075CD85">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121" w:type="pct"/>
            <w:vAlign w:val="center"/>
          </w:tcPr>
          <w:p w14:paraId="6FC8E7A4">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投标文件组成</w:t>
            </w:r>
          </w:p>
        </w:tc>
        <w:tc>
          <w:tcPr>
            <w:tcW w:w="3505" w:type="pct"/>
            <w:vAlign w:val="center"/>
          </w:tcPr>
          <w:p w14:paraId="4E5F0342">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投标文件应包含以下部分：</w:t>
            </w:r>
          </w:p>
          <w:p w14:paraId="6FE68778">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（1）投标函</w:t>
            </w:r>
          </w:p>
          <w:p w14:paraId="1E3C3F46">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（2）开标一览表</w:t>
            </w:r>
          </w:p>
          <w:p w14:paraId="7016AB79">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（3）资格证明文件</w:t>
            </w:r>
          </w:p>
          <w:p w14:paraId="1A0DDFD4">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（4）供应商概况</w:t>
            </w:r>
          </w:p>
          <w:p w14:paraId="16534DEB">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（5）供应商参加政府采购活动承诺书</w:t>
            </w:r>
          </w:p>
          <w:p w14:paraId="4645A3B6">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（6）投标方案</w:t>
            </w:r>
          </w:p>
        </w:tc>
      </w:tr>
      <w:tr w14:paraId="0DADD06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72" w:type="pct"/>
            <w:vAlign w:val="center"/>
          </w:tcPr>
          <w:p w14:paraId="04F31307">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121" w:type="pct"/>
            <w:vAlign w:val="center"/>
          </w:tcPr>
          <w:p w14:paraId="58C3E422">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签章</w:t>
            </w:r>
          </w:p>
        </w:tc>
        <w:tc>
          <w:tcPr>
            <w:tcW w:w="3505" w:type="pct"/>
            <w:vAlign w:val="center"/>
          </w:tcPr>
          <w:p w14:paraId="15CD6FDC">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签章均符合招标文件要求，且无遗漏。</w:t>
            </w:r>
          </w:p>
        </w:tc>
      </w:tr>
      <w:tr w14:paraId="0A3484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72" w:type="pct"/>
            <w:vAlign w:val="center"/>
          </w:tcPr>
          <w:p w14:paraId="6F7AE4F0">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121" w:type="pct"/>
            <w:vAlign w:val="center"/>
          </w:tcPr>
          <w:p w14:paraId="53B02469">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语言和计量单位</w:t>
            </w:r>
          </w:p>
        </w:tc>
        <w:tc>
          <w:tcPr>
            <w:tcW w:w="3505" w:type="pct"/>
            <w:vAlign w:val="center"/>
          </w:tcPr>
          <w:p w14:paraId="68229157">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符合招标文件的要求</w:t>
            </w:r>
          </w:p>
        </w:tc>
      </w:tr>
      <w:tr w14:paraId="153189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72" w:type="pct"/>
            <w:vAlign w:val="center"/>
          </w:tcPr>
          <w:p w14:paraId="1E243D00">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121" w:type="pct"/>
            <w:vAlign w:val="center"/>
          </w:tcPr>
          <w:p w14:paraId="26004FD0">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投标文件有效期</w:t>
            </w:r>
          </w:p>
        </w:tc>
        <w:tc>
          <w:tcPr>
            <w:tcW w:w="3505" w:type="pct"/>
            <w:vAlign w:val="center"/>
          </w:tcPr>
          <w:p w14:paraId="6F64D725">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符合招标文件的要求</w:t>
            </w:r>
          </w:p>
        </w:tc>
      </w:tr>
      <w:tr w14:paraId="5C2137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72" w:type="pct"/>
            <w:vAlign w:val="center"/>
          </w:tcPr>
          <w:p w14:paraId="4BC592F0">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121" w:type="pct"/>
            <w:vAlign w:val="center"/>
          </w:tcPr>
          <w:p w14:paraId="0BB5C8E1">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3505" w:type="pct"/>
            <w:vAlign w:val="center"/>
          </w:tcPr>
          <w:p w14:paraId="4D29D293">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同时满足以下条款：</w:t>
            </w:r>
          </w:p>
          <w:p w14:paraId="4DA24C79">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（1）货币单位符合招标文件要求</w:t>
            </w:r>
          </w:p>
          <w:p w14:paraId="6AF98728">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（2）报价符合唯一性要求</w:t>
            </w:r>
          </w:p>
          <w:p w14:paraId="37BBEC3D">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（3）未超出采购预算及最高限价</w:t>
            </w:r>
          </w:p>
          <w:p w14:paraId="4FD317A6">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highlight w:val="none"/>
              </w:rPr>
            </w:pPr>
            <w:r>
              <w:rPr>
                <w:rFonts w:hint="eastAsia" w:ascii="宋体" w:hAnsi="宋体" w:eastAsia="宋体" w:cs="宋体"/>
                <w:sz w:val="24"/>
                <w:szCs w:val="24"/>
                <w:highlight w:val="none"/>
              </w:rPr>
              <w:t>（4）符合《开标一览表》的填报要求</w:t>
            </w:r>
          </w:p>
        </w:tc>
      </w:tr>
      <w:tr w14:paraId="56AD5E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72" w:type="pct"/>
            <w:vAlign w:val="center"/>
          </w:tcPr>
          <w:p w14:paraId="03EE7674">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121" w:type="pct"/>
            <w:vAlign w:val="center"/>
          </w:tcPr>
          <w:p w14:paraId="5BFE9CE3">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实质性条款响应</w:t>
            </w:r>
          </w:p>
        </w:tc>
        <w:tc>
          <w:tcPr>
            <w:tcW w:w="3505" w:type="pct"/>
            <w:vAlign w:val="center"/>
          </w:tcPr>
          <w:p w14:paraId="064C430B">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完全响应招标文件要求的各项技术（服务）、商务实质性条款。</w:t>
            </w:r>
          </w:p>
          <w:p w14:paraId="3DBF114D">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en-US" w:eastAsia="en-US"/>
              </w:rPr>
              <w:t>根据财政部《关于推动解决政府采购异常低价问题的通知》（财库〔2026〕2号）出现下列情形之一的，评审委员会应当启动异常低价投标（响应）审查程序：</w:t>
            </w:r>
          </w:p>
          <w:p w14:paraId="089FCD1A">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A.投标（响应）报价低于全部通过符合性审查供应商投标（响应）报价平均值50%的，即投标（响应）报价&lt;全部通过符合性审查供应商投标（响应）报价平均值×50%；</w:t>
            </w:r>
          </w:p>
          <w:p w14:paraId="7EB93C9B">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B.投标（响应）报价低于通过符合性审查的次低报价供应商投标（响应）报价50%的，即投标（响应）报价&lt;通过符合性审查的次低报价供应商投标（响应）报价×50%；</w:t>
            </w:r>
          </w:p>
          <w:p w14:paraId="1CE708F3">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C.投标（响应）报价低于采购项目最高限价45%的，即投标（响应）报价&lt;采购项目最高限价×45%；</w:t>
            </w:r>
          </w:p>
          <w:p w14:paraId="16D6A478">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D.评审委员会基于专业判断，认为供应商报价过低，有可能影响产品质量或者不能诚信履约的其他情形。</w:t>
            </w:r>
          </w:p>
          <w:p w14:paraId="682C222E">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相关法律法规对供应商报价有规定的，从其规定。</w:t>
            </w:r>
          </w:p>
          <w:p w14:paraId="59549361">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C项情形，供应商已随投标（响应）文件一并提交相关书面说明及必要的证明材料的，在评审现场可不再重复提交。</w:t>
            </w:r>
          </w:p>
          <w:p w14:paraId="47CE6006">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en-U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6772C2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72" w:type="pct"/>
            <w:vAlign w:val="center"/>
          </w:tcPr>
          <w:p w14:paraId="5FE2FD46">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121" w:type="pct"/>
            <w:vAlign w:val="center"/>
          </w:tcPr>
          <w:p w14:paraId="4AF29D87">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合同条款响应</w:t>
            </w:r>
          </w:p>
        </w:tc>
        <w:tc>
          <w:tcPr>
            <w:tcW w:w="3505" w:type="pct"/>
            <w:vAlign w:val="center"/>
          </w:tcPr>
          <w:p w14:paraId="3D87DA7A">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完全理解并响应招标文件合同条款的要求，且未含有采购人不能接受的附加条件的。</w:t>
            </w:r>
          </w:p>
        </w:tc>
      </w:tr>
      <w:tr w14:paraId="50114E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16" w:hRule="atLeast"/>
          <w:jc w:val="center"/>
        </w:trPr>
        <w:tc>
          <w:tcPr>
            <w:tcW w:w="372" w:type="pct"/>
            <w:vAlign w:val="center"/>
          </w:tcPr>
          <w:p w14:paraId="7533673A">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1121" w:type="pct"/>
            <w:vAlign w:val="center"/>
          </w:tcPr>
          <w:p w14:paraId="1CC2BCDE">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电子投标文件雷同性分析</w:t>
            </w:r>
          </w:p>
        </w:tc>
        <w:tc>
          <w:tcPr>
            <w:tcW w:w="3505" w:type="pct"/>
            <w:vAlign w:val="center"/>
          </w:tcPr>
          <w:p w14:paraId="50DF9C4E">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rPr>
            </w:pPr>
            <w:r>
              <w:rPr>
                <w:rFonts w:hint="eastAsia" w:ascii="宋体" w:hAnsi="宋体" w:eastAsia="宋体" w:cs="宋体"/>
                <w:sz w:val="24"/>
                <w:szCs w:val="24"/>
              </w:rPr>
              <w:t>电子投标文件的“文件制作机器码”和“文件创建标识码”通过评标系统的雷同性分析。</w:t>
            </w:r>
          </w:p>
        </w:tc>
      </w:tr>
      <w:tr w14:paraId="150C65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72" w:type="pct"/>
            <w:vAlign w:val="center"/>
          </w:tcPr>
          <w:p w14:paraId="43019709">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1121" w:type="pct"/>
            <w:vAlign w:val="center"/>
          </w:tcPr>
          <w:p w14:paraId="1F6399B6">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rPr>
              <w:t>其他</w:t>
            </w:r>
          </w:p>
        </w:tc>
        <w:tc>
          <w:tcPr>
            <w:tcW w:w="3505" w:type="pct"/>
            <w:vAlign w:val="center"/>
          </w:tcPr>
          <w:p w14:paraId="34C8B8BF">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rPr>
              <w:t>完全理解并接受法律法规和招标文件对供应商合法经营的各类规约和责任义务要求，没有出现法律法规或招标文件规定的其他无效情形。</w:t>
            </w:r>
          </w:p>
        </w:tc>
      </w:tr>
    </w:tbl>
    <w:p w14:paraId="758AF4C4">
      <w:pPr>
        <w:pStyle w:val="96"/>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3．综合比较与评价</w:t>
      </w:r>
    </w:p>
    <w:p w14:paraId="7F9DDFF6">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评标委员会按《评审要素及分值一览表》中规定的评标方法和标准，对通过符合性审查的投标文件进行商务和技术评估，综合比较与评价。</w:t>
      </w:r>
    </w:p>
    <w:p w14:paraId="26814CBB">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出现下列情形的，供应商投标无效：</w:t>
      </w:r>
    </w:p>
    <w:p w14:paraId="394F5662">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（1）投标文件报价出现本章第五小节“投标报价”所列需要修正情形，但供应商对修正后的报价不予确认的；</w:t>
      </w:r>
    </w:p>
    <w:p w14:paraId="3BF4EB56">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32"/>
          <w:szCs w:val="32"/>
          <w:highlight w:val="red"/>
        </w:rPr>
      </w:pPr>
      <w:r>
        <w:rPr>
          <w:rFonts w:hint="eastAsia" w:ascii="宋体" w:hAnsi="宋体" w:eastAsia="宋体" w:cs="宋体"/>
          <w:sz w:val="24"/>
          <w:szCs w:val="24"/>
        </w:rPr>
        <w:t>（2）评标委员会认为供应商的报价明显低于其他通过符合性审查供应商的报价，有可能影响产品质量或者不能诚信履约的，要求供应商在评标现场合理的时间内提供书面说明（必要时提交相关证明材料），供应商不能证明其报价合理性的。</w:t>
      </w:r>
    </w:p>
    <w:p w14:paraId="71A78032">
      <w:pPr>
        <w:spacing w:line="560" w:lineRule="exact"/>
        <w:jc w:val="center"/>
        <w:outlineLvl w:val="3"/>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〖评审要素及分值一览表〗</w:t>
      </w:r>
    </w:p>
    <w:tbl>
      <w:tblPr>
        <w:tblStyle w:val="109"/>
        <w:tblW w:w="51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3"/>
        <w:gridCol w:w="1021"/>
        <w:gridCol w:w="563"/>
        <w:gridCol w:w="7920"/>
      </w:tblGrid>
      <w:tr w14:paraId="7F9C12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217" w:type="pct"/>
            <w:vAlign w:val="center"/>
          </w:tcPr>
          <w:p w14:paraId="3E3DE4A9">
            <w:pPr>
              <w:pStyle w:val="110"/>
              <w:keepNext w:val="0"/>
              <w:keepLines w:val="0"/>
              <w:pageBreakBefore w:val="0"/>
              <w:widowControl/>
              <w:kinsoku/>
              <w:wordWrap/>
              <w:overflowPunct/>
              <w:topLinePunct w:val="0"/>
              <w:autoSpaceDE/>
              <w:autoSpaceDN/>
              <w:bidi w:val="0"/>
              <w:adjustRightInd/>
              <w:snapToGrid/>
              <w:spacing w:line="219" w:lineRule="auto"/>
              <w:ind w:left="0"/>
              <w:jc w:val="center"/>
              <w:textAlignment w:val="auto"/>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序号</w:t>
            </w:r>
          </w:p>
        </w:tc>
        <w:tc>
          <w:tcPr>
            <w:tcW w:w="513" w:type="pct"/>
            <w:vAlign w:val="center"/>
          </w:tcPr>
          <w:p w14:paraId="488A3502">
            <w:pPr>
              <w:pStyle w:val="110"/>
              <w:keepNext w:val="0"/>
              <w:keepLines w:val="0"/>
              <w:pageBreakBefore w:val="0"/>
              <w:widowControl/>
              <w:kinsoku/>
              <w:wordWrap/>
              <w:overflowPunct/>
              <w:topLinePunct w:val="0"/>
              <w:autoSpaceDE/>
              <w:autoSpaceDN/>
              <w:bidi w:val="0"/>
              <w:adjustRightInd/>
              <w:snapToGrid/>
              <w:spacing w:line="219" w:lineRule="auto"/>
              <w:ind w:left="0"/>
              <w:jc w:val="center"/>
              <w:textAlignment w:val="auto"/>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评审内容</w:t>
            </w:r>
          </w:p>
        </w:tc>
        <w:tc>
          <w:tcPr>
            <w:tcW w:w="283" w:type="pct"/>
            <w:vAlign w:val="center"/>
          </w:tcPr>
          <w:p w14:paraId="2F5A5354">
            <w:pPr>
              <w:bidi w:val="0"/>
              <w:jc w:val="center"/>
              <w:rPr>
                <w:rFonts w:hint="eastAsia" w:ascii="宋体" w:hAnsi="宋体" w:eastAsia="宋体" w:cs="宋体"/>
                <w:b/>
                <w:bCs/>
                <w:lang w:val="en-US" w:eastAsia="zh-CN"/>
              </w:rPr>
            </w:pPr>
            <w:r>
              <w:rPr>
                <w:rFonts w:hint="eastAsia" w:ascii="宋体" w:hAnsi="宋体" w:eastAsia="宋体" w:cs="宋体"/>
                <w:b/>
                <w:bCs/>
                <w:lang w:val="en-US" w:eastAsia="zh-CN"/>
              </w:rPr>
              <w:t>分值</w:t>
            </w:r>
          </w:p>
        </w:tc>
        <w:tc>
          <w:tcPr>
            <w:tcW w:w="3985" w:type="pct"/>
            <w:vAlign w:val="top"/>
          </w:tcPr>
          <w:p w14:paraId="4582D2BE">
            <w:pPr>
              <w:pStyle w:val="110"/>
              <w:spacing w:before="216" w:line="220" w:lineRule="auto"/>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评审原则与标准</w:t>
            </w:r>
          </w:p>
        </w:tc>
      </w:tr>
      <w:tr w14:paraId="38AE1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217" w:type="pct"/>
            <w:vAlign w:val="center"/>
          </w:tcPr>
          <w:p w14:paraId="612486D4">
            <w:pPr>
              <w:pStyle w:val="110"/>
              <w:keepNext w:val="0"/>
              <w:keepLines w:val="0"/>
              <w:pageBreakBefore w:val="0"/>
              <w:widowControl/>
              <w:kinsoku/>
              <w:wordWrap/>
              <w:overflowPunct/>
              <w:topLinePunct w:val="0"/>
              <w:autoSpaceDE/>
              <w:autoSpaceDN/>
              <w:bidi w:val="0"/>
              <w:adjustRightInd/>
              <w:snapToGrid/>
              <w:spacing w:line="312" w:lineRule="auto"/>
              <w:ind w:left="0" w:firstLine="0" w:firstLineChars="0"/>
              <w:jc w:val="center"/>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w:t>
            </w:r>
          </w:p>
        </w:tc>
        <w:tc>
          <w:tcPr>
            <w:tcW w:w="513" w:type="pct"/>
            <w:vAlign w:val="center"/>
          </w:tcPr>
          <w:p w14:paraId="41FD808B">
            <w:pPr>
              <w:pStyle w:val="110"/>
              <w:keepNext w:val="0"/>
              <w:keepLines w:val="0"/>
              <w:pageBreakBefore w:val="0"/>
              <w:widowControl/>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w:t>
            </w:r>
            <w:r>
              <w:rPr>
                <w:rFonts w:hint="eastAsia" w:ascii="宋体" w:hAnsi="宋体" w:eastAsia="宋体" w:cs="宋体"/>
                <w:spacing w:val="0"/>
                <w:sz w:val="24"/>
                <w:szCs w:val="24"/>
                <w:highlight w:val="none"/>
              </w:rPr>
              <w:t>报价</w:t>
            </w:r>
          </w:p>
        </w:tc>
        <w:tc>
          <w:tcPr>
            <w:tcW w:w="283" w:type="pct"/>
            <w:vAlign w:val="center"/>
          </w:tcPr>
          <w:p w14:paraId="3E105978">
            <w:pPr>
              <w:bidi w:val="0"/>
              <w:rPr>
                <w:rFonts w:hint="eastAsia" w:ascii="宋体" w:hAnsi="宋体" w:eastAsia="宋体" w:cs="宋体"/>
                <w:highlight w:val="none"/>
                <w:lang w:val="zh-TW" w:eastAsia="zh-TW"/>
              </w:rPr>
            </w:pPr>
            <w:r>
              <w:rPr>
                <w:rFonts w:hint="eastAsia" w:ascii="宋体" w:hAnsi="宋体" w:eastAsia="宋体" w:cs="宋体"/>
                <w:highlight w:val="none"/>
                <w:lang w:val="en-US" w:eastAsia="zh-CN"/>
              </w:rPr>
              <w:t>15</w:t>
            </w:r>
            <w:r>
              <w:rPr>
                <w:rFonts w:hint="eastAsia" w:ascii="宋体" w:hAnsi="宋体" w:eastAsia="宋体" w:cs="宋体"/>
                <w:highlight w:val="none"/>
              </w:rPr>
              <w:t>分</w:t>
            </w:r>
          </w:p>
        </w:tc>
        <w:tc>
          <w:tcPr>
            <w:tcW w:w="3985" w:type="pct"/>
            <w:vAlign w:val="center"/>
          </w:tcPr>
          <w:p w14:paraId="331BB4CF">
            <w:pPr>
              <w:pStyle w:val="110"/>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0"/>
                <w:sz w:val="24"/>
                <w:szCs w:val="24"/>
                <w:highlight w:val="none"/>
                <w:lang w:val="zh-TW" w:eastAsia="zh-TW"/>
              </w:rPr>
            </w:pPr>
            <w:r>
              <w:rPr>
                <w:rFonts w:hint="eastAsia" w:ascii="宋体" w:hAnsi="宋体" w:eastAsia="宋体" w:cs="宋体"/>
                <w:spacing w:val="0"/>
                <w:sz w:val="24"/>
                <w:szCs w:val="24"/>
                <w:highlight w:val="none"/>
                <w:lang w:val="zh-TW" w:eastAsia="zh-TW"/>
              </w:rPr>
              <w:t>经资格审查、符合性审查合格的投标文件，其投标报价为有效投标报价。满足招标文件要求且投标价格最低的投标报价为评标基准价，其价格分为满分。价格分按照下列公式计算。</w:t>
            </w:r>
          </w:p>
          <w:p w14:paraId="49402B32">
            <w:pPr>
              <w:pStyle w:val="110"/>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zh-TW" w:eastAsia="zh-TW"/>
              </w:rPr>
              <w:t>投标报价得分=(评标基准价／投标报价)×</w:t>
            </w:r>
            <w:r>
              <w:rPr>
                <w:rFonts w:hint="eastAsia" w:ascii="宋体" w:hAnsi="宋体" w:eastAsia="宋体" w:cs="宋体"/>
                <w:spacing w:val="0"/>
                <w:sz w:val="24"/>
                <w:szCs w:val="24"/>
                <w:highlight w:val="none"/>
                <w:lang w:val="en-US" w:eastAsia="zh-CN"/>
              </w:rPr>
              <w:t>1</w:t>
            </w:r>
            <w:r>
              <w:rPr>
                <w:rFonts w:hint="eastAsia" w:cs="宋体"/>
                <w:spacing w:val="0"/>
                <w:sz w:val="24"/>
                <w:szCs w:val="24"/>
                <w:highlight w:val="none"/>
                <w:lang w:val="en-US" w:eastAsia="zh-CN"/>
              </w:rPr>
              <w:t>5</w:t>
            </w:r>
          </w:p>
        </w:tc>
      </w:tr>
      <w:tr w14:paraId="1EF1C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217" w:type="pct"/>
            <w:vAlign w:val="center"/>
          </w:tcPr>
          <w:p w14:paraId="552DB524">
            <w:pPr>
              <w:pStyle w:val="110"/>
              <w:keepNext w:val="0"/>
              <w:keepLines w:val="0"/>
              <w:pageBreakBefore w:val="0"/>
              <w:widowControl/>
              <w:kinsoku/>
              <w:wordWrap/>
              <w:overflowPunct/>
              <w:topLinePunct w:val="0"/>
              <w:autoSpaceDE/>
              <w:autoSpaceDN/>
              <w:bidi w:val="0"/>
              <w:adjustRightInd/>
              <w:snapToGrid/>
              <w:spacing w:line="312" w:lineRule="auto"/>
              <w:ind w:left="0" w:leftChars="0"/>
              <w:jc w:val="center"/>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w:t>
            </w:r>
          </w:p>
        </w:tc>
        <w:tc>
          <w:tcPr>
            <w:tcW w:w="513" w:type="pct"/>
            <w:vAlign w:val="center"/>
          </w:tcPr>
          <w:p w14:paraId="2AE284C4">
            <w:pPr>
              <w:pStyle w:val="110"/>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auto"/>
              <w:rPr>
                <w:rFonts w:hint="eastAsia" w:ascii="宋体" w:hAnsi="宋体" w:eastAsia="宋体" w:cs="宋体"/>
                <w:spacing w:val="0"/>
                <w:sz w:val="24"/>
                <w:szCs w:val="24"/>
                <w:highlight w:val="none"/>
                <w:lang w:val="en-US" w:eastAsia="en-US" w:bidi="ar-SA"/>
              </w:rPr>
            </w:pPr>
            <w:r>
              <w:rPr>
                <w:rFonts w:hint="eastAsia" w:ascii="宋体" w:hAnsi="宋体" w:eastAsia="宋体" w:cs="宋体"/>
                <w:spacing w:val="0"/>
                <w:sz w:val="24"/>
                <w:szCs w:val="24"/>
                <w:highlight w:val="none"/>
                <w:lang w:eastAsia="zh-CN"/>
              </w:rPr>
              <w:t>服务</w:t>
            </w:r>
            <w:r>
              <w:rPr>
                <w:rFonts w:hint="eastAsia" w:ascii="宋体" w:hAnsi="宋体" w:eastAsia="宋体" w:cs="宋体"/>
                <w:spacing w:val="0"/>
                <w:sz w:val="24"/>
                <w:szCs w:val="24"/>
                <w:highlight w:val="none"/>
              </w:rPr>
              <w:t>方案</w:t>
            </w:r>
          </w:p>
        </w:tc>
        <w:tc>
          <w:tcPr>
            <w:tcW w:w="283" w:type="pct"/>
            <w:vAlign w:val="center"/>
          </w:tcPr>
          <w:p w14:paraId="7495B8F4">
            <w:pPr>
              <w:bidi w:val="0"/>
              <w:rPr>
                <w:rFonts w:hint="eastAsia" w:ascii="宋体" w:hAnsi="宋体" w:eastAsia="宋体" w:cs="宋体"/>
              </w:rPr>
            </w:pPr>
            <w:r>
              <w:rPr>
                <w:rFonts w:hint="eastAsia" w:ascii="宋体" w:hAnsi="宋体" w:eastAsia="宋体" w:cs="宋体"/>
                <w:spacing w:val="0"/>
                <w:sz w:val="24"/>
                <w:szCs w:val="24"/>
                <w:highlight w:val="none"/>
                <w:lang w:val="en-US" w:eastAsia="zh-CN"/>
              </w:rPr>
              <w:t>12</w:t>
            </w:r>
            <w:r>
              <w:rPr>
                <w:rFonts w:hint="eastAsia" w:ascii="宋体" w:hAnsi="宋体" w:eastAsia="宋体" w:cs="宋体"/>
                <w:spacing w:val="0"/>
                <w:sz w:val="24"/>
                <w:szCs w:val="24"/>
                <w:highlight w:val="none"/>
              </w:rPr>
              <w:t>分</w:t>
            </w:r>
          </w:p>
        </w:tc>
        <w:tc>
          <w:tcPr>
            <w:tcW w:w="3985" w:type="pct"/>
            <w:vAlign w:val="center"/>
          </w:tcPr>
          <w:p w14:paraId="20B6198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供应商对项目内容理解透彻，针对本项目制定规范化的服务方案，服务方案合理、架构完整、层次清楚，满足项目整体要求得12分；供应商对项目有一定程度的了解，方案内容较全面、针对性较强得10分；方案内容基本涵盖，基本保证项目质量得8分；方案内容简要、措施一般、可行性一般得6分；方案涵盖内容一般，措施不够全面得4分；方案内容简单笼统，无针对性得2分；未提供不得分。</w:t>
            </w:r>
          </w:p>
        </w:tc>
      </w:tr>
      <w:tr w14:paraId="054F9F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217" w:type="pct"/>
            <w:vAlign w:val="center"/>
          </w:tcPr>
          <w:p w14:paraId="6F53E333">
            <w:pPr>
              <w:pStyle w:val="110"/>
              <w:keepNext w:val="0"/>
              <w:keepLines w:val="0"/>
              <w:pageBreakBefore w:val="0"/>
              <w:widowControl/>
              <w:kinsoku/>
              <w:wordWrap/>
              <w:overflowPunct/>
              <w:topLinePunct w:val="0"/>
              <w:autoSpaceDE/>
              <w:autoSpaceDN/>
              <w:bidi w:val="0"/>
              <w:adjustRightInd/>
              <w:snapToGrid/>
              <w:spacing w:line="312" w:lineRule="auto"/>
              <w:ind w:left="0" w:leftChars="0"/>
              <w:jc w:val="center"/>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3</w:t>
            </w:r>
          </w:p>
        </w:tc>
        <w:tc>
          <w:tcPr>
            <w:tcW w:w="513" w:type="pct"/>
            <w:vAlign w:val="center"/>
          </w:tcPr>
          <w:p w14:paraId="3D80EF76">
            <w:pPr>
              <w:pStyle w:val="110"/>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auto"/>
              <w:rPr>
                <w:rFonts w:hint="default"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人员配备</w:t>
            </w:r>
          </w:p>
        </w:tc>
        <w:tc>
          <w:tcPr>
            <w:tcW w:w="283" w:type="pct"/>
            <w:vAlign w:val="center"/>
          </w:tcPr>
          <w:p w14:paraId="420322C7">
            <w:pPr>
              <w:bidi w:val="0"/>
              <w:jc w:val="center"/>
              <w:rPr>
                <w:rFonts w:hint="eastAsia" w:ascii="宋体" w:hAnsi="宋体" w:eastAsia="宋体" w:cs="宋体"/>
                <w:lang w:val="en-US" w:eastAsia="zh-CN"/>
              </w:rPr>
            </w:pPr>
            <w:r>
              <w:rPr>
                <w:rFonts w:hint="eastAsia" w:ascii="宋体" w:hAnsi="宋体" w:eastAsia="宋体" w:cs="宋体"/>
                <w:spacing w:val="0"/>
                <w:sz w:val="24"/>
                <w:szCs w:val="24"/>
                <w:highlight w:val="none"/>
                <w:lang w:val="en-US" w:eastAsia="zh-CN"/>
              </w:rPr>
              <w:t>10分</w:t>
            </w:r>
          </w:p>
        </w:tc>
        <w:tc>
          <w:tcPr>
            <w:tcW w:w="3985" w:type="pct"/>
            <w:vAlign w:val="center"/>
          </w:tcPr>
          <w:p w14:paraId="0FE02CA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拟投入项目团队人员分工明确、配置合理，经验丰富，专业性强，完全满足采购要求得10分；人员分工较明确、配置较合理、经验较丰富，满足采购要求得8分；人员分工基本明确、配置经验一般，基本满足采购要求得6分；分工不够明确、部分满足采购要求得4分；人员分工简单宽泛或无实质性内容得2分；未提供不得分。</w:t>
            </w:r>
          </w:p>
        </w:tc>
      </w:tr>
      <w:tr w14:paraId="68572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217" w:type="pct"/>
            <w:vAlign w:val="center"/>
          </w:tcPr>
          <w:p w14:paraId="6F0A9EB8">
            <w:pPr>
              <w:pStyle w:val="110"/>
              <w:keepNext w:val="0"/>
              <w:keepLines w:val="0"/>
              <w:pageBreakBefore w:val="0"/>
              <w:widowControl/>
              <w:kinsoku/>
              <w:wordWrap/>
              <w:overflowPunct/>
              <w:topLinePunct w:val="0"/>
              <w:autoSpaceDE/>
              <w:autoSpaceDN/>
              <w:bidi w:val="0"/>
              <w:adjustRightInd/>
              <w:snapToGrid/>
              <w:spacing w:line="312" w:lineRule="auto"/>
              <w:ind w:left="0" w:leftChars="0"/>
              <w:jc w:val="center"/>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4</w:t>
            </w:r>
          </w:p>
        </w:tc>
        <w:tc>
          <w:tcPr>
            <w:tcW w:w="513" w:type="pct"/>
            <w:vAlign w:val="center"/>
          </w:tcPr>
          <w:p w14:paraId="7C2CD663">
            <w:pPr>
              <w:keepNext w:val="0"/>
              <w:keepLines w:val="0"/>
              <w:pageBreakBefore w:val="0"/>
              <w:widowControl/>
              <w:suppressLineNumbers w:val="0"/>
              <w:kinsoku w:val="0"/>
              <w:wordWrap/>
              <w:overflowPunct/>
              <w:topLinePunct w:val="0"/>
              <w:autoSpaceDE w:val="0"/>
              <w:autoSpaceDN w:val="0"/>
              <w:bidi w:val="0"/>
              <w:adjustRightInd/>
              <w:snapToGrid/>
              <w:spacing w:before="0" w:beforeAutospacing="0" w:after="0" w:afterAutospacing="0" w:line="300" w:lineRule="auto"/>
              <w:ind w:left="0" w:leftChars="0" w:right="0" w:rightChars="0" w:firstLine="0" w:firstLineChars="0"/>
              <w:jc w:val="center"/>
              <w:textAlignment w:val="baseline"/>
              <w:outlineLvl w:val="9"/>
              <w:rPr>
                <w:rFonts w:hint="eastAsia" w:ascii="宋体" w:hAnsi="宋体" w:eastAsia="宋体" w:cs="宋体"/>
                <w:spacing w:val="0"/>
                <w:sz w:val="32"/>
                <w:szCs w:val="32"/>
                <w:highlight w:val="none"/>
              </w:rPr>
            </w:pPr>
            <w:r>
              <w:rPr>
                <w:rFonts w:hint="eastAsia" w:ascii="宋体" w:hAnsi="宋体" w:eastAsia="宋体" w:cs="宋体"/>
                <w:sz w:val="24"/>
                <w:szCs w:val="24"/>
              </w:rPr>
              <w:t>质量保障</w:t>
            </w:r>
          </w:p>
        </w:tc>
        <w:tc>
          <w:tcPr>
            <w:tcW w:w="283" w:type="pct"/>
            <w:vAlign w:val="center"/>
          </w:tcPr>
          <w:p w14:paraId="0013EDB7">
            <w:pPr>
              <w:bidi w:val="0"/>
              <w:jc w:val="center"/>
              <w:rPr>
                <w:rFonts w:hint="eastAsia" w:ascii="宋体" w:hAnsi="宋体" w:eastAsia="宋体" w:cs="宋体"/>
              </w:rPr>
            </w:pPr>
            <w:r>
              <w:rPr>
                <w:rFonts w:hint="eastAsia" w:ascii="宋体" w:hAnsi="宋体" w:eastAsia="宋体" w:cs="宋体"/>
                <w:spacing w:val="0"/>
                <w:sz w:val="24"/>
                <w:szCs w:val="24"/>
                <w:highlight w:val="none"/>
                <w:lang w:val="en-US" w:eastAsia="zh-CN"/>
              </w:rPr>
              <w:t>10</w:t>
            </w:r>
            <w:r>
              <w:rPr>
                <w:rFonts w:hint="eastAsia" w:ascii="宋体" w:hAnsi="宋体" w:eastAsia="宋体" w:cs="宋体"/>
                <w:spacing w:val="0"/>
                <w:sz w:val="24"/>
                <w:szCs w:val="24"/>
                <w:highlight w:val="none"/>
              </w:rPr>
              <w:t>分</w:t>
            </w:r>
          </w:p>
        </w:tc>
        <w:tc>
          <w:tcPr>
            <w:tcW w:w="3985" w:type="pct"/>
            <w:vAlign w:val="center"/>
          </w:tcPr>
          <w:p w14:paraId="33ACDE7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针对本项目提供详细完善的质量保证措施，质量保证措施方案详尽、完全可行，针对性强得10分；质量保证措施方案详尽、可行，针对性较强得8分；质量保证措施方案较完整、内容较适用，可行性较明确得6分；质量保证措施方案基本完整、内容基本适用，可行性基本明确得4分；质量保证措施方案描述简单宽泛或无实质性内容得2分；未提供不得分。</w:t>
            </w:r>
          </w:p>
        </w:tc>
      </w:tr>
      <w:tr w14:paraId="3CCE8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217" w:type="pct"/>
            <w:shd w:val="clear" w:color="auto" w:fill="auto"/>
            <w:vAlign w:val="center"/>
          </w:tcPr>
          <w:p w14:paraId="5D3DC942">
            <w:pPr>
              <w:pStyle w:val="110"/>
              <w:keepNext w:val="0"/>
              <w:keepLines w:val="0"/>
              <w:pageBreakBefore w:val="0"/>
              <w:widowControl/>
              <w:kinsoku/>
              <w:wordWrap/>
              <w:overflowPunct/>
              <w:topLinePunct w:val="0"/>
              <w:autoSpaceDE/>
              <w:autoSpaceDN/>
              <w:bidi w:val="0"/>
              <w:adjustRightInd/>
              <w:snapToGrid/>
              <w:spacing w:line="312" w:lineRule="auto"/>
              <w:ind w:left="0" w:leftChars="0"/>
              <w:jc w:val="center"/>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rPr>
              <w:t>5</w:t>
            </w:r>
          </w:p>
        </w:tc>
        <w:tc>
          <w:tcPr>
            <w:tcW w:w="513" w:type="pct"/>
            <w:vAlign w:val="center"/>
          </w:tcPr>
          <w:p w14:paraId="12B1A328">
            <w:pPr>
              <w:keepNext w:val="0"/>
              <w:keepLines w:val="0"/>
              <w:pageBreakBefore w:val="0"/>
              <w:widowControl/>
              <w:suppressLineNumbers w:val="0"/>
              <w:kinsoku w:val="0"/>
              <w:wordWrap/>
              <w:overflowPunct/>
              <w:topLinePunct w:val="0"/>
              <w:autoSpaceDE w:val="0"/>
              <w:autoSpaceDN w:val="0"/>
              <w:bidi w:val="0"/>
              <w:adjustRightInd/>
              <w:snapToGrid/>
              <w:spacing w:before="0" w:beforeAutospacing="0" w:after="0" w:afterAutospacing="0" w:line="300" w:lineRule="auto"/>
              <w:ind w:left="0" w:leftChars="0" w:right="0" w:rightChars="0" w:firstLine="0" w:firstLineChars="0"/>
              <w:jc w:val="center"/>
              <w:textAlignment w:val="baseline"/>
              <w:outlineLvl w:val="9"/>
              <w:rPr>
                <w:rFonts w:hint="eastAsia" w:ascii="宋体" w:hAnsi="宋体" w:eastAsia="宋体" w:cs="宋体"/>
                <w:sz w:val="24"/>
                <w:szCs w:val="24"/>
              </w:rPr>
            </w:pPr>
            <w:r>
              <w:rPr>
                <w:rFonts w:hint="eastAsia" w:ascii="宋体" w:hAnsi="宋体" w:eastAsia="宋体" w:cs="宋体"/>
                <w:sz w:val="24"/>
                <w:szCs w:val="24"/>
                <w:lang w:val="en-US" w:eastAsia="zh-CN"/>
              </w:rPr>
              <w:t>进度计划及计划保证实施方案</w:t>
            </w:r>
          </w:p>
        </w:tc>
        <w:tc>
          <w:tcPr>
            <w:tcW w:w="283" w:type="pct"/>
            <w:vAlign w:val="center"/>
          </w:tcPr>
          <w:p w14:paraId="5B074028">
            <w:pPr>
              <w:bidi w:val="0"/>
              <w:spacing w:line="240" w:lineRule="auto"/>
              <w:jc w:val="center"/>
              <w:rPr>
                <w:rFonts w:hint="default"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10分</w:t>
            </w:r>
          </w:p>
        </w:tc>
        <w:tc>
          <w:tcPr>
            <w:tcW w:w="3985" w:type="pct"/>
            <w:vAlign w:val="center"/>
          </w:tcPr>
          <w:p w14:paraId="2C82F28F">
            <w:pPr>
              <w:widowControl w:val="0"/>
              <w:spacing w:line="240" w:lineRule="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严格按承运要求与计划运输垃圾，要求制定详细的进度计划及计划保证实施方案。</w:t>
            </w:r>
            <w:r>
              <w:rPr>
                <w:rFonts w:hint="eastAsia" w:ascii="宋体" w:hAnsi="宋体" w:cs="宋体"/>
                <w:sz w:val="24"/>
                <w:szCs w:val="24"/>
                <w:highlight w:val="none"/>
                <w:lang w:val="zh-CN"/>
              </w:rPr>
              <w:t>方案针对性强、具体明确、科学详细完整的得</w:t>
            </w:r>
            <w:r>
              <w:rPr>
                <w:rFonts w:hint="eastAsia" w:ascii="宋体" w:hAnsi="宋体" w:eastAsia="宋体" w:cs="宋体"/>
                <w:sz w:val="24"/>
                <w:szCs w:val="24"/>
                <w:highlight w:val="none"/>
                <w:lang w:val="en-US" w:eastAsia="zh-CN"/>
              </w:rPr>
              <w:t>10</w:t>
            </w:r>
            <w:r>
              <w:rPr>
                <w:rFonts w:hint="eastAsia" w:ascii="宋体" w:hAnsi="宋体" w:cs="宋体"/>
                <w:sz w:val="24"/>
                <w:szCs w:val="24"/>
                <w:highlight w:val="none"/>
                <w:lang w:val="en-US" w:eastAsia="zh-CN"/>
              </w:rPr>
              <w:t>分；</w:t>
            </w:r>
            <w:r>
              <w:rPr>
                <w:rFonts w:hint="eastAsia" w:ascii="宋体" w:hAnsi="宋体" w:cs="宋体"/>
                <w:sz w:val="24"/>
                <w:szCs w:val="24"/>
                <w:highlight w:val="none"/>
                <w:lang w:val="zh-CN"/>
              </w:rPr>
              <w:t>方案针对性较强、较明确、科学详细完整的得</w:t>
            </w:r>
            <w:r>
              <w:rPr>
                <w:rFonts w:hint="eastAsia" w:ascii="宋体" w:hAnsi="宋体" w:eastAsia="宋体" w:cs="宋体"/>
                <w:sz w:val="24"/>
                <w:szCs w:val="24"/>
                <w:highlight w:val="none"/>
                <w:lang w:val="en-US" w:eastAsia="zh-CN"/>
              </w:rPr>
              <w:t>8</w:t>
            </w:r>
            <w:r>
              <w:rPr>
                <w:rFonts w:hint="eastAsia" w:ascii="宋体" w:hAnsi="宋体" w:cs="宋体"/>
                <w:sz w:val="24"/>
                <w:szCs w:val="24"/>
                <w:highlight w:val="none"/>
                <w:lang w:val="en-US" w:eastAsia="zh-CN"/>
              </w:rPr>
              <w:t>分；</w:t>
            </w:r>
            <w:r>
              <w:rPr>
                <w:rFonts w:hint="eastAsia" w:ascii="宋体" w:hAnsi="宋体" w:cs="宋体"/>
                <w:sz w:val="24"/>
                <w:szCs w:val="24"/>
                <w:highlight w:val="none"/>
                <w:lang w:val="zh-CN"/>
              </w:rPr>
              <w:t>方案</w:t>
            </w:r>
            <w:r>
              <w:rPr>
                <w:rFonts w:hint="eastAsia" w:ascii="宋体" w:hAnsi="宋体" w:eastAsia="宋体" w:cs="宋体"/>
                <w:sz w:val="24"/>
                <w:szCs w:val="24"/>
                <w:highlight w:val="none"/>
                <w:lang w:val="en-US" w:eastAsia="zh-CN"/>
              </w:rPr>
              <w:t>基本</w:t>
            </w:r>
            <w:r>
              <w:rPr>
                <w:rFonts w:hint="eastAsia" w:ascii="宋体" w:hAnsi="宋体" w:cs="宋体"/>
                <w:sz w:val="24"/>
                <w:szCs w:val="24"/>
                <w:highlight w:val="none"/>
                <w:lang w:val="zh-CN"/>
              </w:rPr>
              <w:t>明确、</w:t>
            </w:r>
            <w:r>
              <w:rPr>
                <w:rFonts w:hint="eastAsia" w:ascii="宋体" w:hAnsi="宋体" w:eastAsia="宋体" w:cs="宋体"/>
                <w:sz w:val="24"/>
                <w:szCs w:val="24"/>
                <w:highlight w:val="none"/>
                <w:lang w:val="en-US" w:eastAsia="zh-CN"/>
              </w:rPr>
              <w:t>基本</w:t>
            </w:r>
            <w:r>
              <w:rPr>
                <w:rFonts w:hint="eastAsia" w:ascii="宋体" w:hAnsi="宋体" w:cs="宋体"/>
                <w:sz w:val="24"/>
                <w:szCs w:val="24"/>
                <w:highlight w:val="none"/>
                <w:lang w:val="zh-CN"/>
              </w:rPr>
              <w:t>详细的得</w:t>
            </w:r>
            <w:r>
              <w:rPr>
                <w:rFonts w:hint="eastAsia" w:ascii="宋体" w:hAnsi="宋体" w:cs="宋体"/>
                <w:sz w:val="24"/>
                <w:szCs w:val="24"/>
                <w:highlight w:val="none"/>
                <w:lang w:val="en-US" w:eastAsia="zh-CN"/>
              </w:rPr>
              <w:t>6分；</w:t>
            </w:r>
            <w:r>
              <w:rPr>
                <w:rFonts w:hint="eastAsia" w:ascii="宋体" w:hAnsi="宋体" w:cs="宋体"/>
                <w:sz w:val="24"/>
                <w:szCs w:val="24"/>
                <w:highlight w:val="none"/>
                <w:lang w:val="zh-CN"/>
              </w:rPr>
              <w:t>方案可行性</w:t>
            </w:r>
            <w:r>
              <w:rPr>
                <w:rFonts w:hint="eastAsia" w:ascii="宋体" w:hAnsi="宋体" w:cs="宋体"/>
                <w:sz w:val="24"/>
                <w:szCs w:val="24"/>
                <w:highlight w:val="none"/>
                <w:lang w:val="zh-CN" w:eastAsia="zh-CN"/>
              </w:rPr>
              <w:t>一般，</w:t>
            </w:r>
            <w:r>
              <w:rPr>
                <w:rFonts w:hint="eastAsia" w:ascii="宋体" w:hAnsi="宋体" w:cs="宋体"/>
                <w:sz w:val="24"/>
                <w:szCs w:val="24"/>
                <w:highlight w:val="none"/>
                <w:lang w:val="en-US" w:eastAsia="zh-CN"/>
              </w:rPr>
              <w:t>部分</w:t>
            </w:r>
            <w:r>
              <w:rPr>
                <w:rFonts w:hint="eastAsia" w:ascii="宋体" w:hAnsi="宋体" w:cs="宋体"/>
                <w:sz w:val="24"/>
                <w:szCs w:val="24"/>
                <w:highlight w:val="none"/>
                <w:lang w:val="zh-CN"/>
              </w:rPr>
              <w:t>可行得</w:t>
            </w:r>
            <w:r>
              <w:rPr>
                <w:rFonts w:hint="eastAsia" w:ascii="宋体" w:hAnsi="宋体" w:eastAsia="宋体" w:cs="宋体"/>
                <w:sz w:val="24"/>
                <w:szCs w:val="24"/>
                <w:highlight w:val="none"/>
                <w:lang w:val="en-US" w:eastAsia="zh-CN"/>
              </w:rPr>
              <w:t>4</w:t>
            </w:r>
            <w:r>
              <w:rPr>
                <w:rFonts w:hint="eastAsia" w:ascii="宋体" w:hAnsi="宋体" w:cs="宋体"/>
                <w:sz w:val="24"/>
                <w:szCs w:val="24"/>
                <w:highlight w:val="none"/>
                <w:lang w:val="en-US" w:eastAsia="zh-CN"/>
              </w:rPr>
              <w:t>分；</w:t>
            </w:r>
            <w:r>
              <w:rPr>
                <w:rFonts w:hint="eastAsia" w:ascii="宋体" w:hAnsi="宋体" w:eastAsia="宋体" w:cs="宋体"/>
                <w:spacing w:val="0"/>
                <w:sz w:val="24"/>
                <w:szCs w:val="24"/>
                <w:highlight w:val="none"/>
                <w:lang w:val="en-US" w:eastAsia="zh-CN" w:bidi="ar-SA"/>
              </w:rPr>
              <w:t>方案简单笼统，无针对性得2分；未提供不得分。</w:t>
            </w:r>
          </w:p>
        </w:tc>
      </w:tr>
      <w:tr w14:paraId="2E8AC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217" w:type="pct"/>
            <w:shd w:val="clear" w:color="auto" w:fill="auto"/>
            <w:vAlign w:val="center"/>
          </w:tcPr>
          <w:p w14:paraId="1031C324">
            <w:pPr>
              <w:pStyle w:val="110"/>
              <w:keepNext w:val="0"/>
              <w:keepLines w:val="0"/>
              <w:pageBreakBefore w:val="0"/>
              <w:widowControl/>
              <w:kinsoku/>
              <w:wordWrap/>
              <w:overflowPunct/>
              <w:topLinePunct w:val="0"/>
              <w:autoSpaceDE/>
              <w:autoSpaceDN/>
              <w:bidi w:val="0"/>
              <w:adjustRightInd/>
              <w:snapToGrid/>
              <w:spacing w:line="312" w:lineRule="auto"/>
              <w:ind w:left="0" w:leftChars="0"/>
              <w:jc w:val="center"/>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rPr>
              <w:t>6</w:t>
            </w:r>
          </w:p>
        </w:tc>
        <w:tc>
          <w:tcPr>
            <w:tcW w:w="513" w:type="pct"/>
            <w:vAlign w:val="center"/>
          </w:tcPr>
          <w:p w14:paraId="21FB1521">
            <w:pPr>
              <w:keepNext w:val="0"/>
              <w:keepLines w:val="0"/>
              <w:pageBreakBefore w:val="0"/>
              <w:widowControl/>
              <w:suppressLineNumbers w:val="0"/>
              <w:kinsoku w:val="0"/>
              <w:wordWrap/>
              <w:overflowPunct/>
              <w:topLinePunct w:val="0"/>
              <w:autoSpaceDE w:val="0"/>
              <w:autoSpaceDN w:val="0"/>
              <w:bidi w:val="0"/>
              <w:adjustRightInd/>
              <w:snapToGrid/>
              <w:spacing w:before="0" w:beforeAutospacing="0" w:after="0" w:afterAutospacing="0" w:line="300" w:lineRule="auto"/>
              <w:ind w:left="0" w:leftChars="0" w:right="0" w:rightChars="0" w:firstLine="0" w:firstLineChars="0"/>
              <w:jc w:val="center"/>
              <w:textAlignment w:val="baseline"/>
              <w:outlineLvl w:val="9"/>
              <w:rPr>
                <w:rFonts w:hint="eastAsia" w:ascii="宋体" w:hAnsi="宋体" w:eastAsia="宋体" w:cs="宋体"/>
                <w:sz w:val="32"/>
                <w:szCs w:val="32"/>
                <w:highlight w:val="none"/>
              </w:rPr>
            </w:pPr>
            <w:r>
              <w:rPr>
                <w:rFonts w:hint="eastAsia" w:ascii="宋体" w:hAnsi="宋体" w:eastAsia="宋体" w:cs="宋体"/>
                <w:sz w:val="24"/>
                <w:szCs w:val="24"/>
                <w:lang w:val="en-US" w:eastAsia="zh-CN"/>
              </w:rPr>
              <w:t>突发事件</w:t>
            </w:r>
            <w:r>
              <w:rPr>
                <w:rFonts w:hint="eastAsia" w:ascii="宋体" w:hAnsi="宋体" w:eastAsia="宋体" w:cs="宋体"/>
                <w:sz w:val="24"/>
                <w:szCs w:val="24"/>
              </w:rPr>
              <w:t>应急</w:t>
            </w:r>
            <w:r>
              <w:rPr>
                <w:rFonts w:hint="eastAsia" w:ascii="宋体" w:hAnsi="宋体" w:eastAsia="宋体" w:cs="宋体"/>
                <w:sz w:val="24"/>
                <w:szCs w:val="24"/>
                <w:lang w:val="en-US" w:eastAsia="zh-CN"/>
              </w:rPr>
              <w:t>预案</w:t>
            </w:r>
          </w:p>
        </w:tc>
        <w:tc>
          <w:tcPr>
            <w:tcW w:w="283" w:type="pct"/>
            <w:vAlign w:val="center"/>
          </w:tcPr>
          <w:p w14:paraId="4CE3BE1A">
            <w:pPr>
              <w:bidi w:val="0"/>
              <w:rPr>
                <w:rFonts w:hint="eastAsia" w:ascii="宋体" w:hAnsi="宋体" w:eastAsia="宋体" w:cs="宋体"/>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分</w:t>
            </w:r>
          </w:p>
        </w:tc>
        <w:tc>
          <w:tcPr>
            <w:tcW w:w="3985" w:type="pct"/>
            <w:vAlign w:val="center"/>
          </w:tcPr>
          <w:p w14:paraId="5323ADE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根据项目服务特点提供完善的应急预案。应急预案内容完善、合理可行、针对性强得9分；应急预案内容较完善、较合理可行、针对性较强得7分；应急预案内容基本完善、合理可行得5分；应急预案内容一般、针对性一般得3分；应急预案内容简单笼统，无针对性得1分；未提供不得分。</w:t>
            </w:r>
          </w:p>
        </w:tc>
      </w:tr>
      <w:tr w14:paraId="49E16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6" w:hRule="atLeast"/>
        </w:trPr>
        <w:tc>
          <w:tcPr>
            <w:tcW w:w="217" w:type="pct"/>
            <w:shd w:val="clear" w:color="auto" w:fill="auto"/>
            <w:vAlign w:val="center"/>
          </w:tcPr>
          <w:p w14:paraId="0078F754">
            <w:pPr>
              <w:pStyle w:val="110"/>
              <w:keepNext w:val="0"/>
              <w:keepLines w:val="0"/>
              <w:pageBreakBefore w:val="0"/>
              <w:widowControl/>
              <w:kinsoku/>
              <w:wordWrap/>
              <w:overflowPunct/>
              <w:topLinePunct w:val="0"/>
              <w:autoSpaceDE/>
              <w:autoSpaceDN/>
              <w:bidi w:val="0"/>
              <w:adjustRightInd/>
              <w:snapToGrid/>
              <w:spacing w:line="312" w:lineRule="auto"/>
              <w:ind w:left="0" w:leftChars="0"/>
              <w:jc w:val="center"/>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rPr>
              <w:t>7</w:t>
            </w:r>
          </w:p>
        </w:tc>
        <w:tc>
          <w:tcPr>
            <w:tcW w:w="513" w:type="pct"/>
            <w:vAlign w:val="center"/>
          </w:tcPr>
          <w:p w14:paraId="0274FE51">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安全事故 </w:t>
            </w:r>
          </w:p>
          <w:p w14:paraId="23C84E60">
            <w:pPr>
              <w:keepNext w:val="0"/>
              <w:keepLines w:val="0"/>
              <w:widowControl/>
              <w:suppressLineNumbers w:val="0"/>
              <w:jc w:val="left"/>
            </w:pPr>
            <w:r>
              <w:rPr>
                <w:rFonts w:hint="eastAsia" w:ascii="宋体" w:hAnsi="宋体" w:eastAsia="宋体" w:cs="宋体"/>
                <w:color w:val="000000"/>
                <w:kern w:val="0"/>
                <w:sz w:val="24"/>
                <w:szCs w:val="24"/>
                <w:lang w:val="en-US" w:eastAsia="zh-CN" w:bidi="ar"/>
              </w:rPr>
              <w:t>处理措施</w:t>
            </w:r>
          </w:p>
          <w:p w14:paraId="670A2D62">
            <w:pPr>
              <w:pStyle w:val="110"/>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auto"/>
              <w:rPr>
                <w:rFonts w:hint="eastAsia" w:ascii="宋体" w:hAnsi="宋体" w:eastAsia="宋体" w:cs="宋体"/>
                <w:sz w:val="24"/>
                <w:szCs w:val="24"/>
                <w:highlight w:val="none"/>
              </w:rPr>
            </w:pPr>
          </w:p>
        </w:tc>
        <w:tc>
          <w:tcPr>
            <w:tcW w:w="283" w:type="pct"/>
            <w:vAlign w:val="center"/>
          </w:tcPr>
          <w:p w14:paraId="3D182326">
            <w:pPr>
              <w:bidi w:val="0"/>
              <w:jc w:val="center"/>
              <w:rPr>
                <w:rFonts w:hint="eastAsia" w:ascii="宋体" w:hAnsi="宋体" w:eastAsia="宋体" w:cs="宋体"/>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tc>
        <w:tc>
          <w:tcPr>
            <w:tcW w:w="3985" w:type="pct"/>
            <w:vAlign w:val="center"/>
          </w:tcPr>
          <w:p w14:paraId="6F6B49B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针对本项目制定的安全保障及事故处理措施，包括但不限于：意外伤害赔偿、风险规避措施；保障及处理措施详细合理，可性强得10分； 保障及处理措施较完整，可行性较强得8分；保障及处理措施基本完整、可行得6分；保障及处理措施部分完整，可行得4分；保障及处理措施简单宽泛或无实质性内容得2分；未提供不得分。</w:t>
            </w:r>
          </w:p>
        </w:tc>
      </w:tr>
      <w:tr w14:paraId="314246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6" w:hRule="atLeast"/>
        </w:trPr>
        <w:tc>
          <w:tcPr>
            <w:tcW w:w="217" w:type="pct"/>
            <w:shd w:val="clear" w:color="auto" w:fill="auto"/>
            <w:vAlign w:val="center"/>
          </w:tcPr>
          <w:p w14:paraId="018CD134">
            <w:pPr>
              <w:pStyle w:val="110"/>
              <w:keepNext w:val="0"/>
              <w:keepLines w:val="0"/>
              <w:pageBreakBefore w:val="0"/>
              <w:widowControl/>
              <w:kinsoku/>
              <w:wordWrap/>
              <w:overflowPunct/>
              <w:topLinePunct w:val="0"/>
              <w:autoSpaceDE/>
              <w:autoSpaceDN/>
              <w:bidi w:val="0"/>
              <w:adjustRightInd/>
              <w:snapToGrid/>
              <w:spacing w:line="312" w:lineRule="auto"/>
              <w:ind w:left="0" w:leftChars="0"/>
              <w:jc w:val="center"/>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rPr>
              <w:t>8</w:t>
            </w:r>
          </w:p>
        </w:tc>
        <w:tc>
          <w:tcPr>
            <w:tcW w:w="513" w:type="pct"/>
            <w:vAlign w:val="center"/>
          </w:tcPr>
          <w:p w14:paraId="6DB5176A">
            <w:pPr>
              <w:pStyle w:val="110"/>
              <w:keepNext w:val="0"/>
              <w:keepLines w:val="0"/>
              <w:pageBreakBefore w:val="0"/>
              <w:widowControl/>
              <w:kinsoku/>
              <w:wordWrap/>
              <w:overflowPunct/>
              <w:topLinePunct w:val="0"/>
              <w:autoSpaceDE/>
              <w:autoSpaceDN/>
              <w:bidi w:val="0"/>
              <w:adjustRightInd/>
              <w:snapToGrid/>
              <w:spacing w:line="288" w:lineRule="auto"/>
              <w:ind w:left="0" w:leftChars="0"/>
              <w:jc w:val="center"/>
              <w:textAlignment w:val="auto"/>
              <w:rPr>
                <w:rFonts w:hint="eastAsia" w:ascii="宋体" w:hAnsi="宋体" w:eastAsia="宋体" w:cs="宋体"/>
                <w:sz w:val="24"/>
                <w:szCs w:val="24"/>
                <w:highlight w:val="none"/>
              </w:rPr>
            </w:pPr>
            <w:r>
              <w:rPr>
                <w:rFonts w:hint="eastAsia" w:ascii="宋体" w:hAnsi="宋体" w:cs="宋体"/>
                <w:color w:val="auto"/>
                <w:sz w:val="24"/>
                <w:highlight w:val="none"/>
                <w:lang w:val="en-US" w:eastAsia="zh-CN"/>
              </w:rPr>
              <w:t>培训</w:t>
            </w:r>
          </w:p>
        </w:tc>
        <w:tc>
          <w:tcPr>
            <w:tcW w:w="283" w:type="pct"/>
            <w:vAlign w:val="center"/>
          </w:tcPr>
          <w:p w14:paraId="6D6852A6">
            <w:pPr>
              <w:bidi w:val="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6分</w:t>
            </w:r>
          </w:p>
        </w:tc>
        <w:tc>
          <w:tcPr>
            <w:tcW w:w="3985" w:type="pct"/>
            <w:vAlign w:val="center"/>
          </w:tcPr>
          <w:p w14:paraId="2532F0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highlight w:val="none"/>
                <w:vertAlign w:val="baseline"/>
                <w:lang w:val="en-US" w:eastAsia="zh-CN"/>
              </w:rPr>
              <w:t>针对本项目提出的培训方案；方案包含：①培训内容和培训方式（2分）；②培训流程及培训日程安排（2分）；③培训效果保障措施（2分）；以上各项</w:t>
            </w:r>
            <w:r>
              <w:rPr>
                <w:rFonts w:hint="eastAsia" w:ascii="宋体" w:hAnsi="宋体" w:eastAsia="宋体" w:cs="宋体"/>
                <w:color w:val="auto"/>
                <w:sz w:val="24"/>
                <w:szCs w:val="24"/>
                <w:highlight w:val="none"/>
                <w:lang w:val="en-US" w:eastAsia="zh-CN"/>
              </w:rPr>
              <w:t>方案内容详尽、科学、合理，可行性强</w:t>
            </w:r>
            <w:r>
              <w:rPr>
                <w:rFonts w:hint="eastAsia" w:ascii="宋体" w:hAnsi="宋体" w:eastAsia="宋体" w:cs="宋体"/>
                <w:sz w:val="24"/>
                <w:szCs w:val="24"/>
                <w:lang w:val="en-US" w:eastAsia="zh-CN"/>
              </w:rPr>
              <w:t>每一项</w:t>
            </w:r>
            <w:r>
              <w:rPr>
                <w:rFonts w:hint="eastAsia" w:ascii="宋体" w:hAnsi="宋体" w:eastAsia="宋体" w:cs="宋体"/>
                <w:color w:val="auto"/>
                <w:sz w:val="24"/>
                <w:szCs w:val="24"/>
                <w:highlight w:val="none"/>
                <w:lang w:val="en-US" w:eastAsia="zh-CN"/>
              </w:rPr>
              <w:t>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r>
              <w:rPr>
                <w:rFonts w:hint="eastAsia" w:ascii="宋体" w:hAnsi="宋体" w:eastAsia="宋体" w:cs="宋体"/>
                <w:color w:val="auto"/>
                <w:sz w:val="24"/>
                <w:szCs w:val="24"/>
                <w:highlight w:val="none"/>
                <w:lang w:val="en-US" w:eastAsia="zh-CN"/>
              </w:rPr>
              <w:t>方案基本科学、合理，可行性一般</w:t>
            </w:r>
            <w:r>
              <w:rPr>
                <w:rFonts w:hint="eastAsia" w:ascii="宋体" w:hAnsi="宋体" w:eastAsia="宋体" w:cs="宋体"/>
                <w:sz w:val="24"/>
                <w:szCs w:val="24"/>
                <w:lang w:val="en-US" w:eastAsia="zh-CN"/>
              </w:rPr>
              <w:t>每一项</w:t>
            </w:r>
            <w:r>
              <w:rPr>
                <w:rFonts w:hint="eastAsia" w:ascii="宋体" w:hAnsi="宋体" w:eastAsia="宋体" w:cs="宋体"/>
                <w:color w:val="auto"/>
                <w:sz w:val="24"/>
                <w:szCs w:val="24"/>
                <w:highlight w:val="none"/>
                <w:lang w:val="en-US" w:eastAsia="zh-CN"/>
              </w:rPr>
              <w:t>得</w:t>
            </w:r>
            <w:r>
              <w:rPr>
                <w:rFonts w:hint="eastAsia" w:ascii="宋体" w:hAnsi="宋体" w:eastAsia="宋体" w:cs="宋体"/>
                <w:sz w:val="24"/>
                <w:szCs w:val="24"/>
                <w:lang w:val="en-US" w:eastAsia="zh-CN"/>
              </w:rPr>
              <w:t>1</w:t>
            </w:r>
            <w:r>
              <w:rPr>
                <w:rFonts w:hint="eastAsia" w:ascii="宋体" w:hAnsi="宋体" w:eastAsia="宋体" w:cs="宋体"/>
                <w:sz w:val="24"/>
                <w:szCs w:val="24"/>
              </w:rPr>
              <w:t>分；</w:t>
            </w:r>
            <w:r>
              <w:rPr>
                <w:rFonts w:hint="eastAsia" w:ascii="宋体" w:hAnsi="宋体" w:eastAsia="宋体" w:cs="宋体"/>
                <w:sz w:val="24"/>
                <w:szCs w:val="24"/>
                <w:lang w:val="en-US" w:eastAsia="zh-CN"/>
              </w:rPr>
              <w:t>未提供不得分。</w:t>
            </w:r>
          </w:p>
        </w:tc>
      </w:tr>
      <w:tr w14:paraId="367BC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217" w:type="pct"/>
            <w:shd w:val="clear" w:color="auto" w:fill="auto"/>
            <w:vAlign w:val="center"/>
          </w:tcPr>
          <w:p w14:paraId="6D2CEF47">
            <w:pPr>
              <w:pStyle w:val="110"/>
              <w:keepNext w:val="0"/>
              <w:keepLines w:val="0"/>
              <w:pageBreakBefore w:val="0"/>
              <w:widowControl/>
              <w:kinsoku/>
              <w:wordWrap/>
              <w:overflowPunct/>
              <w:topLinePunct w:val="0"/>
              <w:autoSpaceDE/>
              <w:autoSpaceDN/>
              <w:bidi w:val="0"/>
              <w:adjustRightInd/>
              <w:snapToGrid/>
              <w:spacing w:line="312" w:lineRule="auto"/>
              <w:ind w:left="0" w:leftChars="0"/>
              <w:jc w:val="center"/>
              <w:textAlignment w:val="auto"/>
              <w:rPr>
                <w:rFonts w:hint="eastAsia"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rPr>
              <w:t>9</w:t>
            </w:r>
          </w:p>
        </w:tc>
        <w:tc>
          <w:tcPr>
            <w:tcW w:w="513" w:type="pct"/>
            <w:vAlign w:val="center"/>
          </w:tcPr>
          <w:p w14:paraId="1ACBFDAA">
            <w:pPr>
              <w:pStyle w:val="110"/>
              <w:keepNext w:val="0"/>
              <w:keepLines w:val="0"/>
              <w:pageBreakBefore w:val="0"/>
              <w:widowControl/>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
              </w:rPr>
              <w:t>服务承诺</w:t>
            </w:r>
          </w:p>
        </w:tc>
        <w:tc>
          <w:tcPr>
            <w:tcW w:w="283" w:type="pct"/>
            <w:vAlign w:val="center"/>
          </w:tcPr>
          <w:p w14:paraId="0D00CA4C">
            <w:pPr>
              <w:bidi w:val="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8分</w:t>
            </w:r>
          </w:p>
        </w:tc>
        <w:tc>
          <w:tcPr>
            <w:tcW w:w="3985" w:type="pct"/>
            <w:vAlign w:val="center"/>
          </w:tcPr>
          <w:p w14:paraId="0B4D76F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各供应商针对本项目提供合理、可行的服务承诺和建议。服务承诺全面、可行，建议合理得8分；服务承诺较全面、可行，建议较合理得6分；服务承诺基本合理可行得4分；服务承诺部分合理可行得2分；服务承诺简单笼统得1分；未提供不得分。</w:t>
            </w:r>
          </w:p>
        </w:tc>
      </w:tr>
      <w:tr w14:paraId="4F078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217" w:type="pct"/>
            <w:vAlign w:val="center"/>
          </w:tcPr>
          <w:p w14:paraId="5F011BE6">
            <w:pPr>
              <w:pStyle w:val="110"/>
              <w:keepNext w:val="0"/>
              <w:keepLines w:val="0"/>
              <w:pageBreakBefore w:val="0"/>
              <w:widowControl/>
              <w:kinsoku/>
              <w:wordWrap/>
              <w:overflowPunct/>
              <w:topLinePunct w:val="0"/>
              <w:autoSpaceDE/>
              <w:autoSpaceDN/>
              <w:bidi w:val="0"/>
              <w:adjustRightInd/>
              <w:snapToGrid/>
              <w:spacing w:line="312" w:lineRule="auto"/>
              <w:ind w:left="0" w:leftChars="0"/>
              <w:jc w:val="center"/>
              <w:textAlignment w:val="auto"/>
              <w:rPr>
                <w:rFonts w:hint="default"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10</w:t>
            </w:r>
          </w:p>
        </w:tc>
        <w:tc>
          <w:tcPr>
            <w:tcW w:w="513" w:type="pct"/>
            <w:vAlign w:val="center"/>
          </w:tcPr>
          <w:p w14:paraId="13D25B1A">
            <w:pPr>
              <w:pStyle w:val="110"/>
              <w:keepNext w:val="0"/>
              <w:keepLines w:val="0"/>
              <w:pageBreakBefore w:val="0"/>
              <w:widowControl/>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z w:val="24"/>
                <w:szCs w:val="24"/>
                <w:highlight w:val="none"/>
                <w:vertAlign w:val="baseline"/>
                <w:lang w:eastAsia="zh-CN"/>
              </w:rPr>
              <w:t>类似业绩</w:t>
            </w:r>
          </w:p>
        </w:tc>
        <w:tc>
          <w:tcPr>
            <w:tcW w:w="283" w:type="pct"/>
            <w:vAlign w:val="center"/>
          </w:tcPr>
          <w:p w14:paraId="11A67759">
            <w:pPr>
              <w:bidi w:val="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10分</w:t>
            </w:r>
          </w:p>
        </w:tc>
        <w:tc>
          <w:tcPr>
            <w:tcW w:w="3985" w:type="pct"/>
            <w:vAlign w:val="center"/>
          </w:tcPr>
          <w:p w14:paraId="475B496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pacing w:val="0"/>
                <w:sz w:val="24"/>
                <w:szCs w:val="24"/>
                <w:highlight w:val="none"/>
                <w:lang w:val="en-US" w:eastAsia="en-US" w:bidi="ar-SA"/>
              </w:rPr>
            </w:pPr>
            <w:r>
              <w:rPr>
                <w:rFonts w:hint="eastAsia" w:ascii="宋体" w:hAnsi="宋体" w:eastAsia="宋体" w:cs="宋体"/>
                <w:spacing w:val="0"/>
                <w:sz w:val="24"/>
                <w:szCs w:val="24"/>
                <w:highlight w:val="none"/>
                <w:lang w:val="en-US" w:eastAsia="zh-CN" w:bidi="ar-SA"/>
              </w:rPr>
              <w:t>提供2022年01月01日以来类似项目业绩合同（以合同签订时间为准），每份得2分，满分10分。</w:t>
            </w:r>
            <w:r>
              <w:rPr>
                <w:rFonts w:hint="eastAsia" w:ascii="宋体" w:hAnsi="宋体" w:eastAsia="宋体" w:cs="宋体"/>
                <w:b/>
                <w:bCs/>
                <w:spacing w:val="0"/>
                <w:sz w:val="24"/>
                <w:szCs w:val="24"/>
                <w:highlight w:val="none"/>
                <w:lang w:val="en-US" w:eastAsia="zh-CN" w:bidi="ar-SA"/>
              </w:rPr>
              <w:t>（注：以上证明文件在投标文件中附业绩合同扫描件并加盖公司公章。）</w:t>
            </w:r>
          </w:p>
        </w:tc>
      </w:tr>
    </w:tbl>
    <w:p w14:paraId="4DE7B371">
      <w:pPr>
        <w:pStyle w:val="96"/>
        <w:keepNext w:val="0"/>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4．推荐中标候选人</w:t>
      </w:r>
    </w:p>
    <w:p w14:paraId="09E1B180">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（1）采用最低评标价法的，评标结果按投标报价由低到高顺序排列。投标报价相同的并列。投标文件满足招标文件全部实质性要求且投标报价最低的投标人为排名第一的中标候选人。</w:t>
      </w:r>
    </w:p>
    <w:p w14:paraId="234D8C54">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1C63D814">
      <w:pPr>
        <w:pStyle w:val="96"/>
        <w:keepNext w:val="0"/>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rPr>
        <w:t>5</w:t>
      </w:r>
      <w:r>
        <w:rPr>
          <w:rFonts w:hint="eastAsia" w:ascii="宋体" w:hAnsi="宋体" w:eastAsia="宋体" w:cs="宋体"/>
          <w:b/>
          <w:bCs/>
          <w:sz w:val="24"/>
          <w:szCs w:val="24"/>
          <w:highlight w:val="none"/>
        </w:rPr>
        <w:t>．编写</w:t>
      </w:r>
      <w:r>
        <w:rPr>
          <w:rFonts w:hint="eastAsia" w:ascii="宋体" w:hAnsi="宋体" w:eastAsia="宋体" w:cs="宋体"/>
          <w:b/>
          <w:bCs/>
          <w:sz w:val="24"/>
          <w:szCs w:val="24"/>
          <w:highlight w:val="none"/>
          <w:lang w:eastAsia="zh-CN"/>
        </w:rPr>
        <w:t>评标报告</w:t>
      </w:r>
    </w:p>
    <w:p w14:paraId="6B7CA9E8">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评标报告</w:t>
      </w:r>
      <w:r>
        <w:rPr>
          <w:rFonts w:hint="eastAsia" w:ascii="宋体" w:hAnsi="宋体" w:eastAsia="宋体" w:cs="宋体"/>
          <w:sz w:val="24"/>
          <w:szCs w:val="24"/>
        </w:rPr>
        <w:t>是评标委员会根据全体评标成员签字的原始评标记录和评标结果编写的报告，其主要内容包括：</w:t>
      </w:r>
    </w:p>
    <w:p w14:paraId="7DFAEA73">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（1）招标公告刊登的媒体名称、开标日期和地点；</w:t>
      </w:r>
    </w:p>
    <w:p w14:paraId="4CF57C5F">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（2）投标供应商名单和评标委员会成员名单；</w:t>
      </w:r>
    </w:p>
    <w:p w14:paraId="2AA4A168">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（3）评标方法；</w:t>
      </w:r>
    </w:p>
    <w:p w14:paraId="28C18A88">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（4）开标记录和评标情况及说明，包括投标无效供应商名单及原因；</w:t>
      </w:r>
    </w:p>
    <w:p w14:paraId="36858137">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（5）评标结果，确定的中标候选人名单或者经采购人委托直接确定的中标供应商；</w:t>
      </w:r>
    </w:p>
    <w:p w14:paraId="7A5709E7">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（6）其他需要说明的情况，包括评标过程中投标供应商根据评标委员会要求进行的澄清、说明或者补正，评标委员会成员的更换等。</w:t>
      </w:r>
    </w:p>
    <w:p w14:paraId="6A49883B">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328C78E9">
      <w:pPr>
        <w:pStyle w:val="97"/>
        <w:keepLines w:val="0"/>
        <w:pageBreakBefore w:val="0"/>
        <w:widowControl/>
        <w:kinsoku/>
        <w:wordWrap/>
        <w:overflowPunct/>
        <w:topLinePunct w:val="0"/>
        <w:autoSpaceDE/>
        <w:autoSpaceDN/>
        <w:bidi w:val="0"/>
        <w:adjustRightInd/>
        <w:snapToGrid/>
        <w:spacing w:before="210" w:after="210"/>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（三）评标争议处理规则</w:t>
      </w:r>
    </w:p>
    <w:p w14:paraId="5462D930">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27542A80">
      <w:pPr>
        <w:pStyle w:val="97"/>
        <w:keepLines w:val="0"/>
        <w:pageBreakBefore w:val="0"/>
        <w:widowControl/>
        <w:kinsoku/>
        <w:wordWrap/>
        <w:overflowPunct/>
        <w:topLinePunct w:val="0"/>
        <w:autoSpaceDE/>
        <w:autoSpaceDN/>
        <w:bidi w:val="0"/>
        <w:adjustRightInd/>
        <w:snapToGrid/>
        <w:spacing w:before="210" w:after="210"/>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（四）评审现场人员的保密责任</w:t>
      </w:r>
    </w:p>
    <w:p w14:paraId="6641FD6B">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317A8147">
      <w:pPr>
        <w:pStyle w:val="97"/>
        <w:keepLines w:val="0"/>
        <w:pageBreakBefore w:val="0"/>
        <w:widowControl/>
        <w:kinsoku/>
        <w:wordWrap/>
        <w:overflowPunct/>
        <w:topLinePunct w:val="0"/>
        <w:autoSpaceDE/>
        <w:autoSpaceDN/>
        <w:bidi w:val="0"/>
        <w:adjustRightInd/>
        <w:snapToGrid/>
        <w:spacing w:before="210" w:after="210"/>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（五）视同供应商串通投标的情形，其投标无效：</w:t>
      </w:r>
    </w:p>
    <w:p w14:paraId="1302276B">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1．不同供应商的投标文件由同一单位或者个人编制；</w:t>
      </w:r>
    </w:p>
    <w:p w14:paraId="7953FC6E">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2．不同供应商委托同一单位或者个人办理投标事宜；</w:t>
      </w:r>
    </w:p>
    <w:p w14:paraId="452C5376">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3．不同供应商的投标文件载明的项目管理成员或者联系人员为同一人；</w:t>
      </w:r>
    </w:p>
    <w:p w14:paraId="7E68D40A">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4．不同供应商的投标文件异常一致或者投标报价呈规律性差异。</w:t>
      </w:r>
    </w:p>
    <w:p w14:paraId="74D862B3">
      <w:pPr>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八、中标</w:t>
      </w:r>
    </w:p>
    <w:p w14:paraId="714D896D">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1．采购代理机构在评标工作结束后2个工作日内将</w:t>
      </w:r>
      <w:r>
        <w:rPr>
          <w:rFonts w:hint="eastAsia" w:ascii="宋体" w:hAnsi="宋体" w:eastAsia="宋体" w:cs="宋体"/>
          <w:sz w:val="24"/>
          <w:szCs w:val="24"/>
          <w:lang w:eastAsia="zh-CN"/>
        </w:rPr>
        <w:t>评标报告</w:t>
      </w:r>
      <w:r>
        <w:rPr>
          <w:rFonts w:hint="eastAsia" w:ascii="宋体" w:hAnsi="宋体" w:eastAsia="宋体" w:cs="宋体"/>
          <w:sz w:val="24"/>
          <w:szCs w:val="24"/>
        </w:rPr>
        <w:t>送采购人。</w:t>
      </w:r>
    </w:p>
    <w:p w14:paraId="52077124">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2．采购人应当自收到评标报告之日起</w:t>
      </w:r>
      <w:r>
        <w:rPr>
          <w:rFonts w:hint="eastAsia" w:ascii="宋体" w:hAnsi="宋体" w:eastAsia="宋体" w:cs="宋体"/>
          <w:sz w:val="24"/>
          <w:szCs w:val="24"/>
          <w:lang w:val="en-US" w:eastAsia="zh-CN"/>
        </w:rPr>
        <w:t>5</w:t>
      </w:r>
      <w:r>
        <w:rPr>
          <w:rFonts w:hint="eastAsia" w:ascii="宋体" w:hAnsi="宋体" w:eastAsia="宋体" w:cs="宋体"/>
          <w:sz w:val="24"/>
          <w:szCs w:val="24"/>
        </w:rPr>
        <w:t>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34BFCBB2">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3．采购代理机构将在中标供应商确定之日起2个工作日内，在【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"http://www.ccgp-shaanxi.gov.cn"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陕西省政府采购网</w:t>
      </w:r>
      <w:r>
        <w:rPr>
          <w:rStyle w:val="36"/>
          <w:rFonts w:hint="eastAsia" w:ascii="宋体" w:hAnsi="宋体" w:eastAsia="宋体" w:cs="宋体"/>
          <w:color w:val="auto"/>
          <w:sz w:val="24"/>
          <w:szCs w:val="24"/>
          <w:u w:val="none"/>
        </w:rPr>
        <w:fldChar w:fldCharType="end"/>
      </w: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"http://www.ccgp-shaanxi.gov.cn/" </w:instrText>
      </w:r>
      <w:r>
        <w:rPr>
          <w:rFonts w:hint="eastAsia" w:ascii="宋体" w:hAnsi="宋体" w:eastAsia="宋体" w:cs="宋体"/>
          <w:sz w:val="24"/>
          <w:szCs w:val="24"/>
        </w:rPr>
        <w:fldChar w:fldCharType="separate"/>
      </w:r>
      <w:r>
        <w:rPr>
          <w:rStyle w:val="36"/>
          <w:rFonts w:hint="eastAsia" w:ascii="宋体" w:hAnsi="宋体" w:eastAsia="宋体" w:cs="宋体"/>
          <w:color w:val="auto"/>
          <w:sz w:val="24"/>
          <w:szCs w:val="24"/>
          <w:u w:val="none"/>
        </w:rPr>
        <w:t>http://www.ccgp-shaanxi.gov.cn/</w:t>
      </w:r>
      <w:r>
        <w:rPr>
          <w:rStyle w:val="36"/>
          <w:rFonts w:hint="eastAsia" w:ascii="宋体" w:hAnsi="宋体" w:eastAsia="宋体" w:cs="宋体"/>
          <w:color w:val="auto"/>
          <w:sz w:val="24"/>
          <w:szCs w:val="24"/>
          <w:u w:val="none"/>
        </w:rPr>
        <w:fldChar w:fldCharType="end"/>
      </w:r>
      <w:r>
        <w:rPr>
          <w:rFonts w:hint="eastAsia" w:ascii="宋体" w:hAnsi="宋体" w:eastAsia="宋体" w:cs="宋体"/>
          <w:sz w:val="24"/>
          <w:szCs w:val="24"/>
        </w:rPr>
        <w:t>）上公布中标结果。中标公告期限为1个工作日。</w:t>
      </w:r>
    </w:p>
    <w:p w14:paraId="659320DD">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4．在公告中标结果的同时，采购代理机构将向中标供应商发出中标通知书，中标供应</w:t>
      </w:r>
      <w:r>
        <w:rPr>
          <w:rFonts w:hint="eastAsia" w:ascii="宋体" w:hAnsi="宋体" w:eastAsia="宋体" w:cs="宋体"/>
          <w:color w:val="auto"/>
          <w:sz w:val="24"/>
          <w:szCs w:val="24"/>
        </w:rPr>
        <w:t>商在领取中标通知书时提供一正两副纸质投标文件</w:t>
      </w:r>
      <w:r>
        <w:rPr>
          <w:rFonts w:hint="eastAsia" w:ascii="宋体" w:hAnsi="宋体" w:eastAsia="宋体" w:cs="宋体"/>
          <w:color w:val="auto"/>
          <w:sz w:val="24"/>
          <w:szCs w:val="24"/>
          <w:lang w:eastAsia="zh-CN"/>
        </w:rPr>
        <w:t>及电子版一份</w:t>
      </w:r>
      <w:r>
        <w:rPr>
          <w:rFonts w:hint="eastAsia" w:ascii="宋体" w:hAnsi="宋体" w:eastAsia="宋体" w:cs="宋体"/>
          <w:color w:val="auto"/>
          <w:sz w:val="24"/>
          <w:szCs w:val="24"/>
        </w:rPr>
        <w:t>用于备案。</w:t>
      </w:r>
    </w:p>
    <w:p w14:paraId="43C99647">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采用综合评分法评审的，供应商可登录【全国公共资源交易中心（陕西省·西安市）】网站〖首页·〉电子交易平台·〉企业端〗，登录后切换到〖我的项目〗模块，依次点选〖项目流程·〉项目管理·〉评标结果查看〗，查看本单位的最终得分与排序。</w:t>
      </w:r>
    </w:p>
    <w:p w14:paraId="0FD172D1">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6．采购代理机构按照相关规定将</w:t>
      </w:r>
      <w:r>
        <w:rPr>
          <w:rFonts w:hint="eastAsia" w:ascii="宋体" w:hAnsi="宋体" w:eastAsia="宋体" w:cs="宋体"/>
          <w:sz w:val="24"/>
          <w:szCs w:val="24"/>
          <w:lang w:eastAsia="zh-CN"/>
        </w:rPr>
        <w:t>评标报告</w:t>
      </w:r>
      <w:r>
        <w:rPr>
          <w:rFonts w:hint="eastAsia" w:ascii="宋体" w:hAnsi="宋体" w:eastAsia="宋体" w:cs="宋体"/>
          <w:sz w:val="24"/>
          <w:szCs w:val="24"/>
        </w:rPr>
        <w:t>送监管机构备案。</w:t>
      </w:r>
    </w:p>
    <w:p w14:paraId="7AE08C5B">
      <w:pPr>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九、合同签订、履行及验收</w:t>
      </w:r>
    </w:p>
    <w:p w14:paraId="772245FE">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招标文件、投标文件、澄清、补充合同等为政府采购合同的组成部分，具有同等法律效力。</w:t>
      </w:r>
    </w:p>
    <w:p w14:paraId="6B587980">
      <w:pPr>
        <w:pStyle w:val="97"/>
        <w:keepLines w:val="0"/>
        <w:pageBreakBefore w:val="0"/>
        <w:widowControl/>
        <w:kinsoku/>
        <w:wordWrap/>
        <w:overflowPunct/>
        <w:topLinePunct w:val="0"/>
        <w:autoSpaceDE/>
        <w:autoSpaceDN/>
        <w:bidi w:val="0"/>
        <w:adjustRightInd/>
        <w:snapToGrid/>
        <w:spacing w:before="210" w:after="210"/>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（一）签订政府采购合同</w:t>
      </w:r>
    </w:p>
    <w:p w14:paraId="06E5E163">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1．自中标通知书发出之日起</w:t>
      </w:r>
      <w:r>
        <w:rPr>
          <w:rFonts w:hint="eastAsia" w:ascii="宋体" w:hAnsi="宋体" w:eastAsia="宋体" w:cs="宋体"/>
          <w:sz w:val="24"/>
          <w:szCs w:val="24"/>
          <w:lang w:val="en-US" w:eastAsia="zh-CN"/>
        </w:rPr>
        <w:t>25</w:t>
      </w:r>
      <w:r>
        <w:rPr>
          <w:rFonts w:hint="eastAsia" w:ascii="宋体" w:hAnsi="宋体" w:eastAsia="宋体" w:cs="宋体"/>
          <w:sz w:val="24"/>
          <w:szCs w:val="24"/>
        </w:rPr>
        <w:t>日内，采购人与中标供应商应按招标文件和中标供应商投标文件的约定，签订书面合同。</w:t>
      </w:r>
    </w:p>
    <w:p w14:paraId="005EA931">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2．中标供应商拒绝与采购人签订合同的，采购人可以按照《政府采购法实施条例》第四十九条规定，确定下一候选人为中标供应商，也可以重新开展政府采购活动。</w:t>
      </w:r>
    </w:p>
    <w:p w14:paraId="3AF127B1">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3．采购人不得向中标供应商提出任何不合理的要求，作为签订合同的条件，不得与中标供应商私下订立背离合同实质性内容的任何协议，所签订的合同不得对招标文件和中标供应商投标文件作实质性修改。</w:t>
      </w:r>
    </w:p>
    <w:p w14:paraId="032A2059">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4．质疑或者投诉事项可能影响中标、成交结果的，采购人应当暂停签订合同，已经签订合同的，应当中止履行合同。</w:t>
      </w:r>
    </w:p>
    <w:p w14:paraId="1D9FF452">
      <w:pPr>
        <w:pStyle w:val="97"/>
        <w:keepLines w:val="0"/>
        <w:pageBreakBefore w:val="0"/>
        <w:widowControl/>
        <w:kinsoku/>
        <w:wordWrap/>
        <w:overflowPunct/>
        <w:topLinePunct w:val="0"/>
        <w:autoSpaceDE/>
        <w:autoSpaceDN/>
        <w:bidi w:val="0"/>
        <w:adjustRightInd/>
        <w:snapToGrid/>
        <w:spacing w:before="210" w:after="210"/>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（二）合同公告及备案</w:t>
      </w:r>
    </w:p>
    <w:p w14:paraId="5C6CD273">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1．采购人应当自政府采购合同签订之日起2个工作日内，在陕西省政府采购网对合同进行公示，但政府采购合同中涉及国家秘密、商业秘密的内容除外。</w:t>
      </w:r>
    </w:p>
    <w:p w14:paraId="12225A50">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2．采购人应自合同签订之日起7个工作日内将政府采购合同报送监管机构备案。</w:t>
      </w:r>
    </w:p>
    <w:p w14:paraId="5473E407">
      <w:pPr>
        <w:pStyle w:val="97"/>
        <w:keepLines w:val="0"/>
        <w:pageBreakBefore w:val="0"/>
        <w:widowControl/>
        <w:kinsoku/>
        <w:wordWrap/>
        <w:overflowPunct/>
        <w:topLinePunct w:val="0"/>
        <w:autoSpaceDE/>
        <w:autoSpaceDN/>
        <w:bidi w:val="0"/>
        <w:adjustRightInd/>
        <w:snapToGrid/>
        <w:spacing w:before="210" w:after="210"/>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（三）履行合同</w:t>
      </w:r>
    </w:p>
    <w:p w14:paraId="1FD9D3C4">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1．合同一经签订，双方应严格履行合同规定的义务。</w:t>
      </w:r>
    </w:p>
    <w:p w14:paraId="1C8DA941">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2．在合同履行过程中，如发生合同纠纷，合同双方应按照《中华人民共和国民法典》及合同条款的有关规定进行处理。</w:t>
      </w:r>
    </w:p>
    <w:p w14:paraId="1C8925B3">
      <w:pPr>
        <w:pStyle w:val="97"/>
        <w:keepLines w:val="0"/>
        <w:pageBreakBefore w:val="0"/>
        <w:widowControl/>
        <w:kinsoku/>
        <w:wordWrap/>
        <w:overflowPunct/>
        <w:topLinePunct w:val="0"/>
        <w:autoSpaceDE/>
        <w:autoSpaceDN/>
        <w:bidi w:val="0"/>
        <w:adjustRightInd/>
        <w:snapToGrid/>
        <w:spacing w:before="210" w:after="210"/>
        <w:ind w:firstLine="640"/>
        <w:textAlignment w:val="auto"/>
        <w:outlineLvl w:val="9"/>
        <w:rPr>
          <w:rFonts w:hint="eastAsia" w:ascii="宋体" w:hAnsi="宋体" w:eastAsia="宋体" w:cs="宋体"/>
          <w:sz w:val="24"/>
          <w:szCs w:val="24"/>
        </w:rPr>
      </w:pPr>
      <w:r>
        <w:rPr>
          <w:rFonts w:hint="eastAsia" w:ascii="宋体" w:hAnsi="宋体" w:eastAsia="宋体" w:cs="宋体"/>
          <w:sz w:val="24"/>
          <w:szCs w:val="24"/>
        </w:rPr>
        <w:t>（四）验收或考核</w:t>
      </w:r>
    </w:p>
    <w:p w14:paraId="4E3AD0AC">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1．采购人严格按照国家相关法律法规的要求及招标文件的要求组织验收或考核。</w:t>
      </w:r>
    </w:p>
    <w:p w14:paraId="2CC4F4A0">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2．采购人按《关于促进政府采购公平竞争优化营商环境的通知》（财库〔2019〕38号）、《保障中小企业款项支付条例》（国务院令第728号）等规定及采购合同的约定进行支付合同款项。</w:t>
      </w:r>
    </w:p>
    <w:p w14:paraId="5F4EA9BA">
      <w:pPr>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十、废标及重新招标</w:t>
      </w:r>
    </w:p>
    <w:p w14:paraId="2D57D867">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A160BDD">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2．根据《政府采购法》第三十六条规定，在招标采购中，出现下列情形之一的，本项目按废标处理：</w:t>
      </w:r>
    </w:p>
    <w:p w14:paraId="624307DE">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（1）出现影响采购公正的违法、违规行为的；</w:t>
      </w:r>
    </w:p>
    <w:p w14:paraId="2F1AC77F">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（2）供应商的报价均超过了采购预算，采购人不能支付的；</w:t>
      </w:r>
    </w:p>
    <w:p w14:paraId="3B3E6842">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（3）因重大变故，采购任务取消的。</w:t>
      </w:r>
    </w:p>
    <w:p w14:paraId="016A8BD5">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废标后，除采购任务取消外，本项目将重新组织招标。</w:t>
      </w:r>
    </w:p>
    <w:p w14:paraId="3D27EC14">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在递交投标文件阶段、密封性等形式检查阶段、资格审查阶段或评标委员会评标阶段，当出现有效投标供应商不足3家时，本项目将依据西安市财政局《关于进一步规范市级预算单位变更政府采购方式审批管理的通知》（市财发〔2017〕186号）的有关规定，按政府采购监管部门事前批准的采购方式继续进行。</w:t>
      </w:r>
    </w:p>
    <w:p w14:paraId="66681A50">
      <w:pPr>
        <w:keepLines w:val="0"/>
        <w:pageBreakBefore w:val="0"/>
        <w:widowControl/>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4．招标文件未明确的其他事项，按《政府采购法》及其相关法律法规执行。</w:t>
      </w:r>
    </w:p>
    <w:p w14:paraId="203B4F8A">
      <w:pPr>
        <w:rPr>
          <w:rFonts w:hint="eastAsia" w:ascii="宋体" w:hAnsi="宋体" w:eastAsia="宋体" w:cs="宋体"/>
          <w:sz w:val="32"/>
          <w:szCs w:val="32"/>
        </w:rPr>
      </w:pPr>
      <w:bookmarkStart w:id="14" w:name="_Toc100219614"/>
      <w:r>
        <w:rPr>
          <w:rFonts w:hint="eastAsia" w:ascii="宋体" w:hAnsi="宋体" w:eastAsia="宋体" w:cs="宋体"/>
          <w:sz w:val="32"/>
          <w:szCs w:val="32"/>
        </w:rPr>
        <w:br w:type="page"/>
      </w:r>
    </w:p>
    <w:p w14:paraId="64761A50">
      <w:pPr>
        <w:spacing w:before="90" w:after="0" w:line="360" w:lineRule="auto"/>
        <w:ind w:right="0"/>
        <w:jc w:val="both"/>
        <w:rPr>
          <w:rFonts w:hint="eastAsia" w:asciiTheme="minorEastAsia" w:hAnsiTheme="minorEastAsia" w:eastAsiaTheme="minorEastAsia" w:cstheme="minorEastAsia"/>
          <w:color w:val="000000"/>
          <w:spacing w:val="0"/>
          <w:sz w:val="24"/>
          <w:szCs w:val="24"/>
          <w:highlight w:val="none"/>
        </w:rPr>
      </w:pPr>
      <w:r>
        <w:rPr>
          <w:rFonts w:hint="eastAsia" w:ascii="宋体" w:hAnsi="宋体"/>
          <w:b/>
          <w:sz w:val="24"/>
          <w:highlight w:val="none"/>
          <w:lang w:eastAsia="zh-CN"/>
        </w:rPr>
        <w:t>附件一</w:t>
      </w:r>
      <w:r>
        <w:rPr>
          <w:rFonts w:hint="eastAsia" w:ascii="宋体" w:hAnsi="宋体"/>
          <w:b/>
          <w:sz w:val="24"/>
          <w:highlight w:val="none"/>
          <w:lang w:val="en-US" w:eastAsia="zh-CN"/>
        </w:rPr>
        <w:t xml:space="preserve">                            </w:t>
      </w:r>
      <w:r>
        <w:rPr>
          <w:rFonts w:hint="eastAsia" w:asciiTheme="minorEastAsia" w:hAnsiTheme="minorEastAsia" w:eastAsiaTheme="minorEastAsia" w:cstheme="minorEastAsia"/>
          <w:color w:val="000000"/>
          <w:spacing w:val="-8"/>
          <w:sz w:val="24"/>
          <w:szCs w:val="24"/>
          <w:highlight w:val="none"/>
        </w:rPr>
        <w:t>“政采贷”业务介绍</w:t>
      </w:r>
    </w:p>
    <w:p w14:paraId="36808D3D">
      <w:pPr>
        <w:keepNext w:val="0"/>
        <w:keepLines w:val="0"/>
        <w:pageBreakBefore w:val="0"/>
        <w:widowControl w:val="0"/>
        <w:kinsoku/>
        <w:wordWrap/>
        <w:overflowPunct/>
        <w:topLinePunct w:val="0"/>
        <w:autoSpaceDE/>
        <w:autoSpaceDN/>
        <w:bidi w:val="0"/>
        <w:adjustRightInd/>
        <w:snapToGrid/>
        <w:spacing w:after="0" w:line="480" w:lineRule="auto"/>
        <w:ind w:left="0" w:right="0" w:firstLine="468" w:firstLineChars="200"/>
        <w:jc w:val="left"/>
        <w:textAlignment w:val="auto"/>
        <w:rPr>
          <w:rFonts w:hint="eastAsia" w:asciiTheme="minorEastAsia" w:hAnsiTheme="minorEastAsia" w:eastAsiaTheme="minorEastAsia" w:cstheme="minorEastAsia"/>
          <w:color w:val="333333"/>
          <w:spacing w:val="0"/>
          <w:sz w:val="24"/>
          <w:szCs w:val="24"/>
          <w:highlight w:val="none"/>
        </w:rPr>
      </w:pPr>
      <w:r>
        <w:rPr>
          <w:rFonts w:hint="eastAsia" w:asciiTheme="minorEastAsia" w:hAnsiTheme="minorEastAsia" w:eastAsiaTheme="minorEastAsia" w:cstheme="minorEastAsia"/>
          <w:color w:val="333333"/>
          <w:spacing w:val="-3"/>
          <w:sz w:val="24"/>
          <w:szCs w:val="24"/>
          <w:highlight w:val="none"/>
        </w:rPr>
        <w:t>政采贷，即政府采购合同融资，是银行机构以政府采购诚信考核和信用审查为基础，凭借中小企业取得并提供的政府采购合同，按优于一般中小企业贷款的利率直接向申请贷款的中小企业发放贷款的一种新融资方式。政府采购贷特点政</w:t>
      </w:r>
      <w:r>
        <w:rPr>
          <w:rFonts w:hint="eastAsia" w:asciiTheme="minorEastAsia" w:hAnsiTheme="minorEastAsia" w:eastAsiaTheme="minorEastAsia" w:cstheme="minorEastAsia"/>
          <w:color w:val="333333"/>
          <w:spacing w:val="5"/>
          <w:sz w:val="24"/>
          <w:szCs w:val="24"/>
          <w:highlight w:val="none"/>
        </w:rPr>
        <w:t>采贷以中小企业的政府采购信用和国库集中支付作为履约保障的政府采购合同</w:t>
      </w:r>
      <w:r>
        <w:rPr>
          <w:rFonts w:hint="eastAsia" w:asciiTheme="minorEastAsia" w:hAnsiTheme="minorEastAsia" w:eastAsiaTheme="minorEastAsia" w:cstheme="minorEastAsia"/>
          <w:color w:val="333333"/>
          <w:spacing w:val="0"/>
          <w:sz w:val="24"/>
          <w:szCs w:val="24"/>
          <w:highlight w:val="none"/>
        </w:rPr>
        <w:t>为基础，借力政府采购诚信保障，提供了银企对接的机会和相关的服务支持。</w:t>
      </w:r>
    </w:p>
    <w:p w14:paraId="7A469569">
      <w:pPr>
        <w:spacing w:line="360" w:lineRule="auto"/>
        <w:rPr>
          <w:rFonts w:hint="eastAsia" w:asciiTheme="minorEastAsia" w:hAnsiTheme="minorEastAsia" w:eastAsiaTheme="minorEastAsia" w:cstheme="minorEastAsia"/>
          <w:color w:val="333333"/>
          <w:spacing w:val="0"/>
          <w:sz w:val="24"/>
          <w:szCs w:val="24"/>
          <w:highlight w:val="none"/>
        </w:rPr>
      </w:pPr>
      <w:r>
        <w:rPr>
          <w:rFonts w:hint="eastAsia" w:asciiTheme="minorEastAsia" w:hAnsiTheme="minorEastAsia" w:eastAsiaTheme="minorEastAsia" w:cstheme="minorEastAsia"/>
          <w:color w:val="333333"/>
          <w:spacing w:val="0"/>
          <w:sz w:val="24"/>
          <w:szCs w:val="24"/>
          <w:highlight w:val="none"/>
        </w:rPr>
        <w:br w:type="page"/>
      </w:r>
    </w:p>
    <w:p w14:paraId="2CA2F971">
      <w:pPr>
        <w:pStyle w:val="103"/>
        <w:spacing w:before="40" w:line="420" w:lineRule="exact"/>
        <w:rPr>
          <w:rFonts w:hint="eastAsia" w:ascii="宋体" w:hAnsi="宋体"/>
          <w:b/>
          <w:sz w:val="24"/>
          <w:highlight w:val="none"/>
          <w:lang w:eastAsia="zh-CN"/>
        </w:rPr>
      </w:pPr>
      <w:r>
        <w:rPr>
          <w:rFonts w:hint="eastAsia" w:ascii="宋体" w:hAnsi="宋体"/>
          <w:b/>
          <w:sz w:val="24"/>
          <w:highlight w:val="none"/>
          <w:lang w:eastAsia="zh-CN"/>
        </w:rPr>
        <w:t>附件二</w:t>
      </w:r>
    </w:p>
    <w:p w14:paraId="6EDD1ED6">
      <w:pPr>
        <w:spacing w:before="281" w:after="0" w:line="360" w:lineRule="auto"/>
        <w:ind w:left="480" w:right="0" w:firstLine="0"/>
        <w:jc w:val="center"/>
        <w:rPr>
          <w:rFonts w:hint="eastAsia" w:asciiTheme="minorEastAsia" w:hAnsiTheme="minorEastAsia" w:eastAsiaTheme="minorEastAsia" w:cstheme="minorEastAsia"/>
          <w:color w:val="333333"/>
          <w:spacing w:val="-3"/>
          <w:sz w:val="24"/>
          <w:highlight w:val="none"/>
        </w:rPr>
      </w:pPr>
      <w:r>
        <w:rPr>
          <w:rFonts w:hint="eastAsia" w:asciiTheme="minorEastAsia" w:hAnsiTheme="minorEastAsia" w:eastAsiaTheme="minorEastAsia" w:cstheme="minorEastAsia"/>
          <w:color w:val="333333"/>
          <w:spacing w:val="-3"/>
          <w:sz w:val="24"/>
          <w:highlight w:val="none"/>
        </w:rPr>
        <w:t>陕西政府采购供应商信用融资信息服务平台操作手册</w:t>
      </w:r>
    </w:p>
    <w:p w14:paraId="6A708745">
      <w:pPr>
        <w:keepNext w:val="0"/>
        <w:keepLines w:val="0"/>
        <w:pageBreakBefore w:val="0"/>
        <w:widowControl w:val="0"/>
        <w:kinsoku/>
        <w:wordWrap/>
        <w:overflowPunct/>
        <w:topLinePunct w:val="0"/>
        <w:autoSpaceDE/>
        <w:autoSpaceDN/>
        <w:bidi w:val="0"/>
        <w:adjustRightInd/>
        <w:snapToGrid/>
        <w:spacing w:after="0" w:line="480" w:lineRule="auto"/>
        <w:ind w:left="0" w:right="0" w:firstLine="468" w:firstLineChars="200"/>
        <w:jc w:val="left"/>
        <w:textAlignment w:val="auto"/>
        <w:rPr>
          <w:rFonts w:hint="eastAsia" w:asciiTheme="minorEastAsia" w:hAnsiTheme="minorEastAsia" w:eastAsiaTheme="minorEastAsia" w:cstheme="minorEastAsia"/>
          <w:color w:val="000000"/>
          <w:spacing w:val="0"/>
          <w:sz w:val="24"/>
          <w:highlight w:val="none"/>
        </w:rPr>
      </w:pPr>
      <w:r>
        <w:rPr>
          <w:rFonts w:hint="eastAsia" w:asciiTheme="minorEastAsia" w:hAnsiTheme="minorEastAsia" w:eastAsiaTheme="minorEastAsia" w:cstheme="minorEastAsia"/>
          <w:color w:val="333333"/>
          <w:spacing w:val="-3"/>
          <w:sz w:val="24"/>
          <w:highlight w:val="none"/>
        </w:rPr>
        <w:t>陕西政府采购供应商信用融资信息服务平台主要功能为：供应商凭中标项目或成交合提交融资意向，查看融资申请进度等功能，本操作手册将详细说明这些</w:t>
      </w:r>
      <w:r>
        <w:rPr>
          <w:rFonts w:hint="eastAsia" w:asciiTheme="minorEastAsia" w:hAnsiTheme="minorEastAsia" w:eastAsiaTheme="minorEastAsia" w:cstheme="minorEastAsia"/>
          <w:color w:val="333333"/>
          <w:spacing w:val="0"/>
          <w:sz w:val="24"/>
          <w:highlight w:val="none"/>
        </w:rPr>
        <w:t>功能。</w:t>
      </w:r>
    </w:p>
    <w:p w14:paraId="2DE52CB2">
      <w:pPr>
        <w:keepNext w:val="0"/>
        <w:keepLines w:val="0"/>
        <w:pageBreakBefore w:val="0"/>
        <w:widowControl w:val="0"/>
        <w:kinsoku/>
        <w:wordWrap/>
        <w:overflowPunct/>
        <w:topLinePunct w:val="0"/>
        <w:autoSpaceDE/>
        <w:autoSpaceDN/>
        <w:bidi w:val="0"/>
        <w:adjustRightInd/>
        <w:snapToGrid/>
        <w:spacing w:after="0" w:line="240" w:lineRule="auto"/>
        <w:ind w:left="480" w:right="0" w:firstLine="0"/>
        <w:jc w:val="left"/>
        <w:textAlignment w:val="auto"/>
        <w:rPr>
          <w:rFonts w:hint="eastAsia" w:asciiTheme="minorEastAsia" w:hAnsiTheme="minorEastAsia" w:eastAsiaTheme="minorEastAsia" w:cstheme="minorEastAsia"/>
          <w:color w:val="000000"/>
          <w:spacing w:val="0"/>
          <w:sz w:val="24"/>
          <w:highlight w:val="none"/>
        </w:rPr>
      </w:pPr>
      <w:r>
        <w:rPr>
          <w:rFonts w:hint="eastAsia" w:asciiTheme="minorEastAsia" w:hAnsiTheme="minorEastAsia" w:eastAsiaTheme="minorEastAsia" w:cstheme="minorEastAsia"/>
          <w:color w:val="333333"/>
          <w:spacing w:val="0"/>
          <w:sz w:val="24"/>
          <w:highlight w:val="none"/>
        </w:rPr>
        <w:t>1</w:t>
      </w:r>
      <w:r>
        <w:rPr>
          <w:rFonts w:hint="eastAsia" w:asciiTheme="minorEastAsia" w:hAnsiTheme="minorEastAsia" w:cstheme="minorEastAsia"/>
          <w:color w:val="333333"/>
          <w:spacing w:val="0"/>
          <w:sz w:val="24"/>
          <w:highlight w:val="none"/>
          <w:lang w:val="en-US" w:eastAsia="zh-CN"/>
        </w:rPr>
        <w:t>.</w:t>
      </w:r>
      <w:r>
        <w:rPr>
          <w:rFonts w:hint="eastAsia" w:asciiTheme="minorEastAsia" w:hAnsiTheme="minorEastAsia" w:eastAsiaTheme="minorEastAsia" w:cstheme="minorEastAsia"/>
          <w:color w:val="333333"/>
          <w:spacing w:val="0"/>
          <w:sz w:val="24"/>
          <w:highlight w:val="none"/>
        </w:rPr>
        <w:t>首页</w:t>
      </w:r>
    </w:p>
    <w:p w14:paraId="7869AF04">
      <w:pPr>
        <w:keepNext w:val="0"/>
        <w:keepLines w:val="0"/>
        <w:pageBreakBefore w:val="0"/>
        <w:widowControl w:val="0"/>
        <w:kinsoku/>
        <w:wordWrap/>
        <w:overflowPunct/>
        <w:topLinePunct w:val="0"/>
        <w:autoSpaceDE/>
        <w:autoSpaceDN/>
        <w:bidi w:val="0"/>
        <w:adjustRightInd/>
        <w:snapToGrid/>
        <w:spacing w:after="0" w:line="480" w:lineRule="auto"/>
        <w:ind w:left="0" w:right="0" w:firstLine="468" w:firstLineChars="200"/>
        <w:jc w:val="left"/>
        <w:textAlignment w:val="auto"/>
        <w:rPr>
          <w:rFonts w:hint="eastAsia" w:asciiTheme="minorEastAsia" w:hAnsiTheme="minorEastAsia" w:eastAsiaTheme="minorEastAsia" w:cstheme="minorEastAsia"/>
          <w:color w:val="333333"/>
          <w:spacing w:val="-3"/>
          <w:sz w:val="24"/>
          <w:highlight w:val="none"/>
        </w:rPr>
      </w:pPr>
      <w:r>
        <w:rPr>
          <w:rFonts w:hint="eastAsia" w:asciiTheme="minorEastAsia" w:hAnsiTheme="minorEastAsia" w:eastAsiaTheme="minorEastAsia" w:cstheme="minorEastAsia"/>
          <w:color w:val="333333"/>
          <w:spacing w:val="-3"/>
          <w:sz w:val="24"/>
          <w:highlight w:val="none"/>
        </w:rPr>
        <w:t>平台首页主要呈现陕西政府采购信用融资相关政策法规、基本操作流程及供应商帮助内容，供应商企业可由登录注册模块登录平台。</w:t>
      </w:r>
    </w:p>
    <w:p w14:paraId="1F179152">
      <w:pPr>
        <w:keepNext w:val="0"/>
        <w:keepLines w:val="0"/>
        <w:pageBreakBefore w:val="0"/>
        <w:widowControl w:val="0"/>
        <w:kinsoku/>
        <w:wordWrap/>
        <w:overflowPunct/>
        <w:topLinePunct w:val="0"/>
        <w:autoSpaceDE/>
        <w:autoSpaceDN/>
        <w:bidi w:val="0"/>
        <w:adjustRightInd/>
        <w:snapToGrid/>
        <w:spacing w:after="0" w:line="240" w:lineRule="auto"/>
        <w:ind w:left="480" w:right="0" w:firstLine="0"/>
        <w:jc w:val="left"/>
        <w:textAlignment w:val="auto"/>
        <w:rPr>
          <w:rFonts w:hint="eastAsia" w:asciiTheme="minorEastAsia" w:hAnsiTheme="minorEastAsia" w:eastAsiaTheme="minorEastAsia" w:cstheme="minorEastAsia"/>
          <w:color w:val="000000"/>
          <w:spacing w:val="0"/>
          <w:sz w:val="24"/>
          <w:highlight w:val="none"/>
        </w:rPr>
      </w:pPr>
      <w:r>
        <w:rPr>
          <w:rFonts w:hint="eastAsia" w:asciiTheme="minorEastAsia" w:hAnsiTheme="minorEastAsia" w:eastAsiaTheme="minorEastAsia" w:cstheme="minorEastAsia"/>
          <w:color w:val="333333"/>
          <w:spacing w:val="0"/>
          <w:sz w:val="24"/>
          <w:highlight w:val="none"/>
        </w:rPr>
        <w:t>2</w:t>
      </w:r>
      <w:r>
        <w:rPr>
          <w:rFonts w:hint="eastAsia" w:asciiTheme="minorEastAsia" w:hAnsiTheme="minorEastAsia" w:cstheme="minorEastAsia"/>
          <w:color w:val="333333"/>
          <w:spacing w:val="0"/>
          <w:sz w:val="24"/>
          <w:highlight w:val="none"/>
          <w:lang w:val="en-US" w:eastAsia="zh-CN"/>
        </w:rPr>
        <w:t>.</w:t>
      </w:r>
      <w:r>
        <w:rPr>
          <w:rFonts w:hint="eastAsia" w:asciiTheme="minorEastAsia" w:hAnsiTheme="minorEastAsia" w:eastAsiaTheme="minorEastAsia" w:cstheme="minorEastAsia"/>
          <w:color w:val="333333"/>
          <w:spacing w:val="0"/>
          <w:sz w:val="24"/>
          <w:highlight w:val="none"/>
        </w:rPr>
        <w:t>登录</w:t>
      </w:r>
    </w:p>
    <w:p w14:paraId="7E57B744">
      <w:pPr>
        <w:keepNext w:val="0"/>
        <w:keepLines w:val="0"/>
        <w:pageBreakBefore w:val="0"/>
        <w:widowControl w:val="0"/>
        <w:kinsoku/>
        <w:wordWrap/>
        <w:overflowPunct/>
        <w:topLinePunct w:val="0"/>
        <w:autoSpaceDE/>
        <w:autoSpaceDN/>
        <w:bidi w:val="0"/>
        <w:adjustRightInd/>
        <w:snapToGrid/>
        <w:spacing w:after="0" w:line="480" w:lineRule="auto"/>
        <w:ind w:left="0" w:right="0" w:firstLine="468" w:firstLineChars="200"/>
        <w:jc w:val="left"/>
        <w:textAlignment w:val="auto"/>
        <w:rPr>
          <w:rFonts w:hint="eastAsia" w:asciiTheme="minorEastAsia" w:hAnsiTheme="minorEastAsia" w:eastAsiaTheme="minorEastAsia" w:cstheme="minorEastAsia"/>
          <w:color w:val="333333"/>
          <w:spacing w:val="-3"/>
          <w:sz w:val="24"/>
          <w:highlight w:val="none"/>
          <w:lang w:eastAsia="zh-CN"/>
        </w:rPr>
      </w:pPr>
      <w:r>
        <w:rPr>
          <w:rFonts w:hint="eastAsia" w:asciiTheme="minorEastAsia" w:hAnsiTheme="minorEastAsia" w:eastAsiaTheme="minorEastAsia" w:cstheme="minorEastAsia"/>
          <w:color w:val="333333"/>
          <w:spacing w:val="-3"/>
          <w:sz w:val="24"/>
          <w:highlight w:val="none"/>
        </w:rPr>
        <w:t>陕西政府采购网的中标企业可用手机号注册用户，注册时需要填写企业名称及社会统一信用代码等信息，如下图：</w:t>
      </w:r>
    </w:p>
    <w:p w14:paraId="2562212B">
      <w:pPr>
        <w:rPr>
          <w:rFonts w:hint="eastAsia" w:ascii="宋体" w:hAnsi="宋体"/>
          <w:b/>
          <w:sz w:val="24"/>
          <w:highlight w:val="none"/>
          <w:lang w:eastAsia="zh-CN"/>
        </w:rPr>
      </w:pPr>
      <w:r>
        <w:rPr>
          <w:rFonts w:hint="eastAsia" w:ascii="宋体" w:hAnsi="宋体"/>
          <w:b/>
          <w:sz w:val="24"/>
          <w:highlight w:val="none"/>
          <w:lang w:eastAsia="zh-CN"/>
        </w:rPr>
        <w:drawing>
          <wp:inline distT="0" distB="0" distL="114300" distR="114300">
            <wp:extent cx="6127750" cy="3615690"/>
            <wp:effectExtent l="0" t="0" r="6350" b="3810"/>
            <wp:docPr id="6"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pic:cNvPicPr>
                      <a:picLocks noChangeAspect="1"/>
                    </pic:cNvPicPr>
                  </pic:nvPicPr>
                  <pic:blipFill>
                    <a:blip r:embed="rId11"/>
                    <a:stretch>
                      <a:fillRect/>
                    </a:stretch>
                  </pic:blipFill>
                  <pic:spPr>
                    <a:xfrm>
                      <a:off x="0" y="0"/>
                      <a:ext cx="6127750" cy="3615690"/>
                    </a:xfrm>
                    <a:prstGeom prst="rect">
                      <a:avLst/>
                    </a:prstGeom>
                  </pic:spPr>
                </pic:pic>
              </a:graphicData>
            </a:graphic>
          </wp:inline>
        </w:drawing>
      </w:r>
    </w:p>
    <w:p w14:paraId="6C91D5DC">
      <w:pPr>
        <w:rPr>
          <w:rFonts w:hint="eastAsia" w:ascii="宋体" w:hAnsi="宋体"/>
          <w:b/>
          <w:sz w:val="24"/>
          <w:highlight w:val="none"/>
          <w:lang w:eastAsia="zh-CN"/>
        </w:rPr>
      </w:pPr>
      <w:r>
        <w:rPr>
          <w:rFonts w:hint="eastAsia" w:ascii="宋体" w:hAnsi="宋体"/>
          <w:b/>
          <w:sz w:val="24"/>
          <w:highlight w:val="none"/>
          <w:lang w:eastAsia="zh-CN"/>
        </w:rPr>
        <w:br w:type="page"/>
      </w:r>
    </w:p>
    <w:p w14:paraId="6FFD8AF1">
      <w:pPr>
        <w:keepNext w:val="0"/>
        <w:keepLines w:val="0"/>
        <w:pageBreakBefore w:val="0"/>
        <w:widowControl w:val="0"/>
        <w:kinsoku/>
        <w:wordWrap/>
        <w:overflowPunct/>
        <w:topLinePunct w:val="0"/>
        <w:autoSpaceDE/>
        <w:autoSpaceDN/>
        <w:bidi w:val="0"/>
        <w:adjustRightInd/>
        <w:snapToGrid/>
        <w:spacing w:before="281" w:after="0" w:line="480" w:lineRule="auto"/>
        <w:ind w:left="0" w:right="0" w:firstLine="468" w:firstLineChars="200"/>
        <w:jc w:val="left"/>
        <w:textAlignment w:val="auto"/>
        <w:rPr>
          <w:rFonts w:hint="eastAsia" w:asciiTheme="minorEastAsia" w:hAnsiTheme="minorEastAsia" w:eastAsiaTheme="minorEastAsia" w:cstheme="minorEastAsia"/>
          <w:color w:val="333333"/>
          <w:spacing w:val="-3"/>
          <w:sz w:val="24"/>
          <w:highlight w:val="none"/>
        </w:rPr>
      </w:pPr>
      <w:r>
        <w:rPr>
          <w:rFonts w:hint="eastAsia" w:asciiTheme="minorEastAsia" w:hAnsiTheme="minorEastAsia" w:eastAsiaTheme="minorEastAsia" w:cstheme="minorEastAsia"/>
          <w:color w:val="333333"/>
          <w:spacing w:val="-3"/>
          <w:sz w:val="24"/>
          <w:highlight w:val="none"/>
        </w:rPr>
        <w:t>注册成功后，凭手机登录平台，如下图，点击首页：</w:t>
      </w:r>
    </w:p>
    <w:p w14:paraId="536C2863">
      <w:pPr>
        <w:rPr>
          <w:highlight w:val="none"/>
          <w:lang w:eastAsia="zh-CN"/>
        </w:rPr>
      </w:pPr>
      <w:r>
        <w:rPr>
          <w:highlight w:val="none"/>
          <w:lang w:eastAsia="zh-CN"/>
        </w:rPr>
        <w:drawing>
          <wp:inline distT="0" distB="0" distL="114300" distR="114300">
            <wp:extent cx="6071235" cy="3425190"/>
            <wp:effectExtent l="0" t="0" r="5715" b="3810"/>
            <wp:docPr id="9" name="图片 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
                    <pic:cNvPicPr>
                      <a:picLocks noChangeAspect="1"/>
                    </pic:cNvPicPr>
                  </pic:nvPicPr>
                  <pic:blipFill>
                    <a:blip r:embed="rId12"/>
                    <a:stretch>
                      <a:fillRect/>
                    </a:stretch>
                  </pic:blipFill>
                  <pic:spPr>
                    <a:xfrm>
                      <a:off x="0" y="0"/>
                      <a:ext cx="6071235" cy="3425190"/>
                    </a:xfrm>
                    <a:prstGeom prst="rect">
                      <a:avLst/>
                    </a:prstGeom>
                  </pic:spPr>
                </pic:pic>
              </a:graphicData>
            </a:graphic>
          </wp:inline>
        </w:drawing>
      </w:r>
    </w:p>
    <w:p w14:paraId="504E8B6B">
      <w:pPr>
        <w:keepNext w:val="0"/>
        <w:keepLines w:val="0"/>
        <w:pageBreakBefore w:val="0"/>
        <w:widowControl w:val="0"/>
        <w:kinsoku/>
        <w:wordWrap/>
        <w:overflowPunct/>
        <w:topLinePunct w:val="0"/>
        <w:autoSpaceDE/>
        <w:autoSpaceDN/>
        <w:bidi w:val="0"/>
        <w:adjustRightInd/>
        <w:snapToGrid/>
        <w:spacing w:before="281" w:after="0" w:line="480" w:lineRule="auto"/>
        <w:ind w:left="0" w:right="0" w:firstLine="468" w:firstLineChars="200"/>
        <w:jc w:val="left"/>
        <w:textAlignment w:val="auto"/>
        <w:rPr>
          <w:rFonts w:hint="eastAsia" w:asciiTheme="minorEastAsia" w:hAnsiTheme="minorEastAsia" w:eastAsiaTheme="minorEastAsia" w:cstheme="minorEastAsia"/>
          <w:color w:val="333333"/>
          <w:spacing w:val="-3"/>
          <w:sz w:val="24"/>
          <w:highlight w:val="none"/>
        </w:rPr>
      </w:pPr>
      <w:r>
        <w:rPr>
          <w:rFonts w:hint="eastAsia" w:asciiTheme="minorEastAsia" w:hAnsiTheme="minorEastAsia" w:eastAsiaTheme="minorEastAsia" w:cstheme="minorEastAsia"/>
          <w:color w:val="333333"/>
          <w:spacing w:val="-3"/>
          <w:sz w:val="24"/>
          <w:highlight w:val="none"/>
        </w:rPr>
        <w:t>3.点击“可融资项目/合同”，再点击申请贷款：</w:t>
      </w:r>
    </w:p>
    <w:p w14:paraId="5BAD2BB2">
      <w:pPr>
        <w:rPr>
          <w:highlight w:val="none"/>
          <w:lang w:eastAsia="zh-CN"/>
        </w:rPr>
      </w:pPr>
      <w:r>
        <w:rPr>
          <w:highlight w:val="none"/>
          <w:lang w:eastAsia="zh-CN"/>
        </w:rPr>
        <w:drawing>
          <wp:inline distT="0" distB="0" distL="114300" distR="114300">
            <wp:extent cx="6101715" cy="3441065"/>
            <wp:effectExtent l="0" t="0" r="13335" b="6985"/>
            <wp:docPr id="10" name="图片 1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
                    <pic:cNvPicPr>
                      <a:picLocks noChangeAspect="1"/>
                    </pic:cNvPicPr>
                  </pic:nvPicPr>
                  <pic:blipFill>
                    <a:blip r:embed="rId13"/>
                    <a:stretch>
                      <a:fillRect/>
                    </a:stretch>
                  </pic:blipFill>
                  <pic:spPr>
                    <a:xfrm>
                      <a:off x="0" y="0"/>
                      <a:ext cx="6101715" cy="3441065"/>
                    </a:xfrm>
                    <a:prstGeom prst="rect">
                      <a:avLst/>
                    </a:prstGeom>
                  </pic:spPr>
                </pic:pic>
              </a:graphicData>
            </a:graphic>
          </wp:inline>
        </w:drawing>
      </w:r>
    </w:p>
    <w:p w14:paraId="4B78BB42">
      <w:pPr>
        <w:rPr>
          <w:highlight w:val="none"/>
          <w:lang w:eastAsia="zh-CN"/>
        </w:rPr>
      </w:pPr>
      <w:r>
        <w:rPr>
          <w:highlight w:val="none"/>
          <w:lang w:eastAsia="zh-CN"/>
        </w:rPr>
        <w:br w:type="page"/>
      </w:r>
    </w:p>
    <w:p w14:paraId="718D6BFF">
      <w:pPr>
        <w:keepNext w:val="0"/>
        <w:keepLines w:val="0"/>
        <w:pageBreakBefore w:val="0"/>
        <w:widowControl w:val="0"/>
        <w:kinsoku/>
        <w:wordWrap/>
        <w:overflowPunct/>
        <w:topLinePunct w:val="0"/>
        <w:autoSpaceDE/>
        <w:autoSpaceDN/>
        <w:bidi w:val="0"/>
        <w:adjustRightInd/>
        <w:snapToGrid/>
        <w:spacing w:after="0" w:line="480" w:lineRule="auto"/>
        <w:ind w:left="0" w:right="0" w:firstLine="468" w:firstLineChars="200"/>
        <w:jc w:val="left"/>
        <w:textAlignment w:val="auto"/>
        <w:rPr>
          <w:rFonts w:hint="eastAsia" w:asciiTheme="minorEastAsia" w:hAnsiTheme="minorEastAsia" w:eastAsiaTheme="minorEastAsia" w:cstheme="minorEastAsia"/>
          <w:color w:val="333333"/>
          <w:spacing w:val="-3"/>
          <w:sz w:val="24"/>
          <w:highlight w:val="none"/>
        </w:rPr>
      </w:pPr>
      <w:r>
        <w:rPr>
          <w:rFonts w:hint="eastAsia" w:asciiTheme="minorEastAsia" w:hAnsiTheme="minorEastAsia" w:eastAsiaTheme="minorEastAsia" w:cstheme="minorEastAsia"/>
          <w:color w:val="333333"/>
          <w:spacing w:val="-3"/>
          <w:sz w:val="24"/>
          <w:highlight w:val="none"/>
        </w:rPr>
        <w:t>4.勾选融资意向书：</w:t>
      </w:r>
    </w:p>
    <w:p w14:paraId="2B47E199">
      <w:pPr>
        <w:rPr>
          <w:highlight w:val="none"/>
          <w:lang w:eastAsia="zh-CN"/>
        </w:rPr>
      </w:pPr>
      <w:r>
        <w:rPr>
          <w:highlight w:val="none"/>
          <w:lang w:eastAsia="zh-CN"/>
        </w:rPr>
        <w:drawing>
          <wp:inline distT="0" distB="0" distL="114300" distR="114300">
            <wp:extent cx="6142990" cy="3464560"/>
            <wp:effectExtent l="0" t="0" r="10160" b="2540"/>
            <wp:docPr id="11" name="图片 1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4"/>
                    <pic:cNvPicPr>
                      <a:picLocks noChangeAspect="1"/>
                    </pic:cNvPicPr>
                  </pic:nvPicPr>
                  <pic:blipFill>
                    <a:blip r:embed="rId14"/>
                    <a:stretch>
                      <a:fillRect/>
                    </a:stretch>
                  </pic:blipFill>
                  <pic:spPr>
                    <a:xfrm>
                      <a:off x="0" y="0"/>
                      <a:ext cx="6142990" cy="3464560"/>
                    </a:xfrm>
                    <a:prstGeom prst="rect">
                      <a:avLst/>
                    </a:prstGeom>
                  </pic:spPr>
                </pic:pic>
              </a:graphicData>
            </a:graphic>
          </wp:inline>
        </w:drawing>
      </w:r>
    </w:p>
    <w:p w14:paraId="07F34C7F">
      <w:pPr>
        <w:keepNext w:val="0"/>
        <w:keepLines w:val="0"/>
        <w:pageBreakBefore w:val="0"/>
        <w:widowControl w:val="0"/>
        <w:kinsoku/>
        <w:wordWrap/>
        <w:overflowPunct/>
        <w:topLinePunct w:val="0"/>
        <w:autoSpaceDE/>
        <w:autoSpaceDN/>
        <w:bidi w:val="0"/>
        <w:adjustRightInd/>
        <w:snapToGrid/>
        <w:spacing w:after="0" w:line="480" w:lineRule="auto"/>
        <w:ind w:left="0" w:right="0" w:firstLine="468" w:firstLineChars="200"/>
        <w:jc w:val="left"/>
        <w:textAlignment w:val="auto"/>
        <w:rPr>
          <w:rFonts w:hint="eastAsia" w:asciiTheme="minorEastAsia" w:hAnsiTheme="minorEastAsia" w:eastAsiaTheme="minorEastAsia" w:cstheme="minorEastAsia"/>
          <w:color w:val="333333"/>
          <w:spacing w:val="-3"/>
          <w:sz w:val="24"/>
          <w:highlight w:val="none"/>
        </w:rPr>
      </w:pPr>
      <w:r>
        <w:rPr>
          <w:rFonts w:hint="eastAsia" w:asciiTheme="minorEastAsia" w:hAnsiTheme="minorEastAsia" w:eastAsiaTheme="minorEastAsia" w:cstheme="minorEastAsia"/>
          <w:color w:val="333333"/>
          <w:spacing w:val="-3"/>
          <w:sz w:val="24"/>
          <w:highlight w:val="none"/>
        </w:rPr>
        <w:t>5.页面下拉，输入贷款金额、预计用款周期、可接受利率、贷款资金用途，点击保存，选择办理贷款机构所在地，然后点击下一步。</w:t>
      </w:r>
    </w:p>
    <w:p w14:paraId="28731FCF">
      <w:pPr>
        <w:rPr>
          <w:highlight w:val="none"/>
          <w:lang w:eastAsia="zh-CN"/>
        </w:rPr>
      </w:pPr>
      <w:r>
        <w:rPr>
          <w:highlight w:val="none"/>
          <w:lang w:eastAsia="zh-CN"/>
        </w:rPr>
        <w:drawing>
          <wp:inline distT="0" distB="0" distL="114300" distR="114300">
            <wp:extent cx="6176645" cy="3484880"/>
            <wp:effectExtent l="0" t="0" r="14605" b="1270"/>
            <wp:docPr id="14" name="图片 1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5"/>
                    <pic:cNvPicPr>
                      <a:picLocks noChangeAspect="1"/>
                    </pic:cNvPicPr>
                  </pic:nvPicPr>
                  <pic:blipFill>
                    <a:blip r:embed="rId15"/>
                    <a:stretch>
                      <a:fillRect/>
                    </a:stretch>
                  </pic:blipFill>
                  <pic:spPr>
                    <a:xfrm>
                      <a:off x="0" y="0"/>
                      <a:ext cx="6176645" cy="3484880"/>
                    </a:xfrm>
                    <a:prstGeom prst="rect">
                      <a:avLst/>
                    </a:prstGeom>
                  </pic:spPr>
                </pic:pic>
              </a:graphicData>
            </a:graphic>
          </wp:inline>
        </w:drawing>
      </w:r>
      <w:r>
        <w:rPr>
          <w:highlight w:val="none"/>
          <w:lang w:eastAsia="zh-CN"/>
        </w:rPr>
        <w:br w:type="page"/>
      </w:r>
    </w:p>
    <w:p w14:paraId="6F9DCE20">
      <w:pPr>
        <w:keepNext w:val="0"/>
        <w:keepLines w:val="0"/>
        <w:pageBreakBefore w:val="0"/>
        <w:widowControl w:val="0"/>
        <w:kinsoku/>
        <w:wordWrap/>
        <w:overflowPunct/>
        <w:topLinePunct w:val="0"/>
        <w:autoSpaceDE/>
        <w:autoSpaceDN/>
        <w:bidi w:val="0"/>
        <w:adjustRightInd/>
        <w:snapToGrid/>
        <w:spacing w:before="281" w:after="0" w:line="480" w:lineRule="auto"/>
        <w:ind w:left="0" w:right="0" w:firstLine="468" w:firstLineChars="200"/>
        <w:jc w:val="left"/>
        <w:textAlignment w:val="auto"/>
        <w:rPr>
          <w:rFonts w:hint="eastAsia" w:asciiTheme="minorEastAsia" w:hAnsiTheme="minorEastAsia" w:eastAsiaTheme="minorEastAsia" w:cstheme="minorEastAsia"/>
          <w:color w:val="333333"/>
          <w:spacing w:val="-3"/>
          <w:sz w:val="24"/>
          <w:highlight w:val="none"/>
        </w:rPr>
      </w:pPr>
      <w:r>
        <w:rPr>
          <w:rFonts w:hint="eastAsia" w:asciiTheme="minorEastAsia" w:hAnsiTheme="minorEastAsia" w:eastAsiaTheme="minorEastAsia" w:cstheme="minorEastAsia"/>
          <w:color w:val="333333"/>
          <w:spacing w:val="-3"/>
          <w:sz w:val="24"/>
          <w:highlight w:val="none"/>
        </w:rPr>
        <w:t>6.在意向银行列点击提交贷款意向并确定：</w:t>
      </w:r>
    </w:p>
    <w:p w14:paraId="1D45C8C3">
      <w:pPr>
        <w:rPr>
          <w:highlight w:val="none"/>
          <w:lang w:eastAsia="zh-CN"/>
        </w:rPr>
      </w:pPr>
      <w:r>
        <w:rPr>
          <w:highlight w:val="none"/>
          <w:lang w:eastAsia="zh-CN"/>
        </w:rPr>
        <w:drawing>
          <wp:inline distT="0" distB="0" distL="114300" distR="114300">
            <wp:extent cx="6113780" cy="3449320"/>
            <wp:effectExtent l="0" t="0" r="1270" b="17780"/>
            <wp:docPr id="15" name="图片 1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6"/>
                    <pic:cNvPicPr>
                      <a:picLocks noChangeAspect="1"/>
                    </pic:cNvPicPr>
                  </pic:nvPicPr>
                  <pic:blipFill>
                    <a:blip r:embed="rId16"/>
                    <a:stretch>
                      <a:fillRect/>
                    </a:stretch>
                  </pic:blipFill>
                  <pic:spPr>
                    <a:xfrm>
                      <a:off x="0" y="0"/>
                      <a:ext cx="6113780" cy="3449320"/>
                    </a:xfrm>
                    <a:prstGeom prst="rect">
                      <a:avLst/>
                    </a:prstGeom>
                  </pic:spPr>
                </pic:pic>
              </a:graphicData>
            </a:graphic>
          </wp:inline>
        </w:drawing>
      </w:r>
    </w:p>
    <w:p w14:paraId="07C1423A">
      <w:pPr>
        <w:keepNext w:val="0"/>
        <w:keepLines w:val="0"/>
        <w:pageBreakBefore w:val="0"/>
        <w:widowControl w:val="0"/>
        <w:kinsoku/>
        <w:wordWrap/>
        <w:overflowPunct/>
        <w:topLinePunct w:val="0"/>
        <w:autoSpaceDE/>
        <w:autoSpaceDN/>
        <w:bidi w:val="0"/>
        <w:adjustRightInd/>
        <w:snapToGrid/>
        <w:spacing w:before="281" w:after="0" w:line="480" w:lineRule="auto"/>
        <w:ind w:left="0" w:right="0" w:firstLine="468" w:firstLineChars="200"/>
        <w:jc w:val="left"/>
        <w:textAlignment w:val="auto"/>
        <w:rPr>
          <w:rFonts w:hint="eastAsia" w:asciiTheme="minorEastAsia" w:hAnsiTheme="minorEastAsia" w:eastAsiaTheme="minorEastAsia" w:cstheme="minorEastAsia"/>
          <w:color w:val="333333"/>
          <w:spacing w:val="-3"/>
          <w:sz w:val="24"/>
          <w:highlight w:val="none"/>
        </w:rPr>
      </w:pPr>
      <w:r>
        <w:rPr>
          <w:rFonts w:hint="eastAsia" w:asciiTheme="minorEastAsia" w:hAnsiTheme="minorEastAsia" w:eastAsiaTheme="minorEastAsia" w:cstheme="minorEastAsia"/>
          <w:color w:val="333333"/>
          <w:spacing w:val="-3"/>
          <w:sz w:val="24"/>
          <w:highlight w:val="none"/>
        </w:rPr>
        <w:t>7.在申请进度栏即可查看本笔融资进度：</w:t>
      </w:r>
    </w:p>
    <w:p w14:paraId="2AA284CD">
      <w:pPr>
        <w:rPr>
          <w:highlight w:val="none"/>
          <w:lang w:eastAsia="zh-CN"/>
        </w:rPr>
      </w:pPr>
      <w:r>
        <w:rPr>
          <w:highlight w:val="none"/>
          <w:lang w:eastAsia="zh-CN"/>
        </w:rPr>
        <w:drawing>
          <wp:inline distT="0" distB="0" distL="114300" distR="114300">
            <wp:extent cx="6142990" cy="3464560"/>
            <wp:effectExtent l="0" t="0" r="10160" b="2540"/>
            <wp:docPr id="16" name="图片 16"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7"/>
                    <pic:cNvPicPr>
                      <a:picLocks noChangeAspect="1"/>
                    </pic:cNvPicPr>
                  </pic:nvPicPr>
                  <pic:blipFill>
                    <a:blip r:embed="rId17"/>
                    <a:stretch>
                      <a:fillRect/>
                    </a:stretch>
                  </pic:blipFill>
                  <pic:spPr>
                    <a:xfrm>
                      <a:off x="0" y="0"/>
                      <a:ext cx="6142990" cy="3464560"/>
                    </a:xfrm>
                    <a:prstGeom prst="rect">
                      <a:avLst/>
                    </a:prstGeom>
                  </pic:spPr>
                </pic:pic>
              </a:graphicData>
            </a:graphic>
          </wp:inline>
        </w:drawing>
      </w:r>
    </w:p>
    <w:p w14:paraId="183FAD78">
      <w:pPr>
        <w:rPr>
          <w:highlight w:val="none"/>
          <w:lang w:eastAsia="zh-CN"/>
        </w:rPr>
      </w:pPr>
      <w:r>
        <w:rPr>
          <w:highlight w:val="none"/>
          <w:lang w:eastAsia="zh-CN"/>
        </w:rPr>
        <w:br w:type="page"/>
      </w:r>
    </w:p>
    <w:p w14:paraId="463F030B">
      <w:pPr>
        <w:pStyle w:val="103"/>
        <w:keepNext w:val="0"/>
        <w:keepLines w:val="0"/>
        <w:pageBreakBefore w:val="0"/>
        <w:widowControl w:val="0"/>
        <w:kinsoku/>
        <w:wordWrap/>
        <w:overflowPunct/>
        <w:topLinePunct w:val="0"/>
        <w:autoSpaceDE/>
        <w:autoSpaceDN/>
        <w:bidi w:val="0"/>
        <w:adjustRightInd/>
        <w:snapToGrid/>
        <w:spacing w:before="40" w:line="420" w:lineRule="exact"/>
        <w:textAlignment w:val="auto"/>
        <w:outlineLvl w:val="9"/>
        <w:rPr>
          <w:rFonts w:hint="eastAsia" w:ascii="宋体" w:hAnsi="宋体"/>
          <w:b/>
          <w:sz w:val="24"/>
          <w:highlight w:val="none"/>
          <w:lang w:eastAsia="zh-CN"/>
        </w:rPr>
      </w:pPr>
      <w:r>
        <w:rPr>
          <w:rFonts w:hint="eastAsia" w:ascii="宋体" w:hAnsi="宋体"/>
          <w:b/>
          <w:sz w:val="24"/>
          <w:highlight w:val="none"/>
          <w:lang w:eastAsia="zh-CN"/>
        </w:rPr>
        <w:t>附件三</w:t>
      </w:r>
    </w:p>
    <w:p w14:paraId="2F28E99F">
      <w:pPr>
        <w:pStyle w:val="103"/>
        <w:spacing w:before="40" w:line="360" w:lineRule="auto"/>
        <w:jc w:val="center"/>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en-US" w:bidi="ar-SA"/>
        </w:rPr>
        <w:t>西安浐灞国际港开展政采贷业务</w:t>
      </w:r>
      <w:r>
        <w:rPr>
          <w:rFonts w:hint="eastAsia" w:ascii="宋体" w:hAnsi="宋体" w:eastAsia="宋体" w:cs="宋体"/>
          <w:color w:val="000000"/>
          <w:spacing w:val="0"/>
          <w:sz w:val="24"/>
          <w:highlight w:val="none"/>
        </w:rPr>
        <w:t>联系方式：</w:t>
      </w:r>
    </w:p>
    <w:p w14:paraId="5CC076C5">
      <w:pPr>
        <w:spacing w:before="165" w:after="0" w:line="360" w:lineRule="auto"/>
        <w:ind w:left="0" w:right="0" w:firstLine="0"/>
        <w:jc w:val="left"/>
        <w:rPr>
          <w:rFonts w:hint="eastAsia" w:ascii="宋体" w:hAnsi="宋体" w:eastAsia="宋体" w:cs="宋体"/>
          <w:color w:val="000000"/>
          <w:spacing w:val="0"/>
          <w:sz w:val="24"/>
          <w:highlight w:val="none"/>
        </w:rPr>
      </w:pPr>
    </w:p>
    <w:p w14:paraId="53112C58">
      <w:pPr>
        <w:spacing w:before="165" w:after="0" w:line="360" w:lineRule="auto"/>
        <w:ind w:left="0" w:right="0" w:firstLine="480" w:firstLineChars="200"/>
        <w:jc w:val="left"/>
        <w:rPr>
          <w:rFonts w:hint="default" w:ascii="宋体" w:hAnsi="宋体" w:eastAsia="宋体" w:cs="宋体"/>
          <w:color w:val="000000"/>
          <w:spacing w:val="0"/>
          <w:sz w:val="24"/>
          <w:highlight w:val="cyan"/>
          <w:lang w:val="en-US"/>
        </w:rPr>
      </w:pPr>
      <w:r>
        <w:rPr>
          <w:rFonts w:hint="eastAsia" w:ascii="宋体" w:hAnsi="宋体" w:eastAsia="宋体" w:cs="宋体"/>
          <w:color w:val="000000"/>
          <w:spacing w:val="0"/>
          <w:sz w:val="24"/>
          <w:highlight w:val="none"/>
          <w:lang w:eastAsia="zh-CN"/>
        </w:rPr>
        <w:t>西安浐灞国际港</w:t>
      </w:r>
      <w:r>
        <w:rPr>
          <w:rFonts w:hint="eastAsia" w:ascii="宋体" w:hAnsi="宋体" w:eastAsia="宋体" w:cs="宋体"/>
          <w:color w:val="000000"/>
          <w:spacing w:val="0"/>
          <w:sz w:val="24"/>
          <w:highlight w:val="none"/>
        </w:rPr>
        <w:t>政府采购信用融资联系人：</w:t>
      </w:r>
      <w:r>
        <w:rPr>
          <w:rFonts w:hint="eastAsia" w:ascii="宋体" w:hAnsi="宋体" w:eastAsia="宋体" w:cs="宋体"/>
          <w:color w:val="auto"/>
          <w:spacing w:val="0"/>
          <w:sz w:val="24"/>
          <w:highlight w:val="none"/>
          <w:lang w:eastAsia="zh-CN"/>
        </w:rPr>
        <w:t>王涛</w:t>
      </w:r>
      <w:r>
        <w:rPr>
          <w:rFonts w:hint="eastAsia" w:ascii="宋体" w:hAnsi="宋体" w:eastAsia="宋体" w:cs="宋体"/>
          <w:color w:val="auto"/>
          <w:spacing w:val="0"/>
          <w:sz w:val="24"/>
          <w:highlight w:val="none"/>
          <w:lang w:val="en-US" w:eastAsia="zh-CN"/>
        </w:rPr>
        <w:t xml:space="preserve">  </w:t>
      </w:r>
      <w:r>
        <w:rPr>
          <w:rFonts w:hint="eastAsia" w:ascii="宋体" w:hAnsi="宋体" w:eastAsia="宋体" w:cs="宋体"/>
          <w:sz w:val="24"/>
          <w:szCs w:val="24"/>
          <w:lang w:val="en-US" w:eastAsia="zh-CN"/>
        </w:rPr>
        <w:t>029-83332219</w:t>
      </w:r>
    </w:p>
    <w:p w14:paraId="1DCD50A5">
      <w:pPr>
        <w:rPr>
          <w:rFonts w:hint="eastAsia"/>
        </w:rPr>
      </w:pPr>
    </w:p>
    <w:p w14:paraId="2000DE66">
      <w:pPr>
        <w:rPr>
          <w:rFonts w:hint="eastAsia" w:ascii="宋体" w:hAnsi="宋体"/>
          <w:sz w:val="24"/>
          <w:szCs w:val="24"/>
          <w:highlight w:val="none"/>
          <w:lang w:val="zh-CN"/>
        </w:rPr>
      </w:pPr>
      <w:r>
        <w:rPr>
          <w:rFonts w:hint="eastAsia" w:ascii="宋体" w:hAnsi="宋体"/>
          <w:sz w:val="24"/>
          <w:szCs w:val="24"/>
          <w:highlight w:val="none"/>
          <w:lang w:val="zh-CN"/>
        </w:rPr>
        <w:br w:type="page"/>
      </w:r>
    </w:p>
    <w:p w14:paraId="73DDA747">
      <w:pPr>
        <w:pStyle w:val="2"/>
        <w:rPr>
          <w:rFonts w:hint="eastAsia" w:ascii="宋体" w:hAnsi="宋体" w:eastAsia="宋体" w:cs="宋体"/>
          <w:b/>
          <w:bCs/>
          <w:sz w:val="32"/>
          <w:szCs w:val="32"/>
          <w:highlight w:val="none"/>
        </w:rPr>
      </w:pPr>
      <w:bookmarkStart w:id="15" w:name="_Toc12670"/>
      <w:bookmarkStart w:id="16" w:name="_Toc26456"/>
      <w:r>
        <w:rPr>
          <w:rFonts w:hint="eastAsia" w:ascii="宋体" w:hAnsi="宋体" w:eastAsia="宋体" w:cs="宋体"/>
          <w:b/>
          <w:bCs/>
          <w:sz w:val="32"/>
          <w:szCs w:val="32"/>
          <w:highlight w:val="none"/>
        </w:rPr>
        <w:t>第三章  招标内容及要求</w:t>
      </w:r>
      <w:bookmarkEnd w:id="14"/>
      <w:bookmarkEnd w:id="15"/>
      <w:bookmarkEnd w:id="16"/>
    </w:p>
    <w:p w14:paraId="010A4EC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bCs/>
          <w:sz w:val="24"/>
          <w:szCs w:val="24"/>
          <w:lang w:val="en-US" w:eastAsia="zh-CN"/>
        </w:rPr>
      </w:pPr>
      <w:bookmarkStart w:id="17" w:name="_Toc100219615"/>
      <w:r>
        <w:rPr>
          <w:rFonts w:hint="eastAsia" w:ascii="宋体" w:hAnsi="宋体" w:eastAsia="宋体" w:cs="宋体"/>
          <w:b/>
          <w:bCs/>
          <w:sz w:val="24"/>
          <w:szCs w:val="24"/>
          <w:lang w:val="en-US" w:eastAsia="zh-CN"/>
        </w:rPr>
        <w:t>一、项目概况</w:t>
      </w:r>
    </w:p>
    <w:p w14:paraId="0A61842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新筑垃圾压缩站2026-2027年度运维服务项目 </w:t>
      </w:r>
      <w:r>
        <w:rPr>
          <w:rFonts w:hint="eastAsia" w:ascii="宋体" w:hAnsi="宋体" w:eastAsia="宋体" w:cs="宋体"/>
          <w:sz w:val="24"/>
          <w:szCs w:val="24"/>
        </w:rPr>
        <w:t>，垃圾清运（包含清运、压缩、外运和消纳</w:t>
      </w:r>
      <w:r>
        <w:rPr>
          <w:rFonts w:hint="eastAsia" w:ascii="宋体" w:hAnsi="宋体" w:eastAsia="宋体" w:cs="宋体"/>
          <w:sz w:val="24"/>
          <w:szCs w:val="24"/>
          <w:highlight w:val="none"/>
        </w:rPr>
        <w:t>等），固定资产管理，按照垃圾清</w:t>
      </w:r>
      <w:r>
        <w:rPr>
          <w:rFonts w:hint="eastAsia" w:ascii="宋体" w:hAnsi="宋体" w:eastAsia="宋体" w:cs="宋体"/>
          <w:sz w:val="24"/>
          <w:szCs w:val="24"/>
        </w:rPr>
        <w:t>运及车辆配备情况分配垃圾驾驶员及工作人员，做好垃圾清运压缩工作。</w:t>
      </w:r>
    </w:p>
    <w:p w14:paraId="2877D1B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二、服务内容</w:t>
      </w:r>
    </w:p>
    <w:p w14:paraId="1CB2BF5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1.垃圾清运（包含清运、压缩、外运和消纳等）</w:t>
      </w:r>
    </w:p>
    <w:p w14:paraId="6812AD6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（1）清运范围：甲方辖区内所有生活垃圾。</w:t>
      </w:r>
    </w:p>
    <w:p w14:paraId="0A49E9D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（2）作业方式及时间：日产日清。每天早上8:00前完成主干道沿线垃圾斗收集清运工作，其他各村垃圾斗、垃圾点按照垃圾情况及时清运，严格做到随满随清。辖区内现有</w:t>
      </w:r>
      <w:r>
        <w:rPr>
          <w:rFonts w:hint="eastAsia" w:ascii="宋体" w:hAnsi="宋体" w:eastAsia="宋体" w:cs="宋体"/>
          <w:sz w:val="24"/>
          <w:szCs w:val="24"/>
          <w:lang w:val="en-US" w:eastAsia="zh-CN"/>
        </w:rPr>
        <w:t>68</w:t>
      </w:r>
      <w:r>
        <w:rPr>
          <w:rFonts w:hint="eastAsia" w:ascii="宋体" w:hAnsi="宋体" w:eastAsia="宋体" w:cs="宋体"/>
          <w:sz w:val="24"/>
          <w:szCs w:val="24"/>
        </w:rPr>
        <w:t>个垃圾斗和</w:t>
      </w:r>
      <w:r>
        <w:rPr>
          <w:rFonts w:hint="eastAsia" w:ascii="宋体" w:hAnsi="宋体" w:eastAsia="宋体" w:cs="宋体"/>
          <w:sz w:val="24"/>
          <w:szCs w:val="24"/>
          <w:lang w:val="en-US" w:eastAsia="zh-CN"/>
        </w:rPr>
        <w:t>56</w:t>
      </w:r>
      <w:r>
        <w:rPr>
          <w:rFonts w:hint="eastAsia" w:ascii="宋体" w:hAnsi="宋体" w:eastAsia="宋体" w:cs="宋体"/>
          <w:sz w:val="24"/>
          <w:szCs w:val="24"/>
        </w:rPr>
        <w:t>个垃圾点，确保每天的清运任务当天完成，特殊情况下随产随清；每日对辖区倾倒的生活垃圾进行及时清运，并运至指定垃圾消纳场。</w:t>
      </w:r>
    </w:p>
    <w:p w14:paraId="4BAF86D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（3）在大型检查活动期间，乙方必须按照甲方要求完成辖区内垃圾清运工作。</w:t>
      </w:r>
    </w:p>
    <w:p w14:paraId="03037E8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2.委托固定资产管理</w:t>
      </w:r>
    </w:p>
    <w:p w14:paraId="7399AA8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（1）房屋</w:t>
      </w:r>
    </w:p>
    <w:p w14:paraId="3A7DB35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（2）垃圾压缩设备；</w:t>
      </w:r>
    </w:p>
    <w:p w14:paraId="739D778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（3）车辆；</w:t>
      </w:r>
    </w:p>
    <w:p w14:paraId="7A778C7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（4）其他辅助设施。</w:t>
      </w:r>
    </w:p>
    <w:p w14:paraId="4779A90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所有车辆、机械的相关事项：自行完成站内所有车辆各项手续的办理及费用。车辆及设备保养维修等费用、车辆正常检审验费用和车辆全额保险费用。</w:t>
      </w:r>
    </w:p>
    <w:p w14:paraId="4E36DB4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人员费用：负责压缩站内所有司机、安全员、操作员等人员的工资、保险费用；</w:t>
      </w:r>
    </w:p>
    <w:p w14:paraId="316A659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其他：垃圾压缩站托管包含的管理费、压缩站内设备维修费、水电费、消毒费、配电室维护管理等。</w:t>
      </w:r>
    </w:p>
    <w:p w14:paraId="317222E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FF0000"/>
          <w:sz w:val="24"/>
          <w:szCs w:val="24"/>
        </w:rPr>
      </w:pPr>
      <w:r>
        <w:rPr>
          <w:rFonts w:hint="eastAsia" w:ascii="宋体" w:hAnsi="宋体" w:eastAsia="宋体" w:cs="宋体"/>
          <w:sz w:val="24"/>
          <w:szCs w:val="24"/>
        </w:rPr>
        <w:t>3.新筑垃圾压缩站车辆情况，按照垃圾清运及车辆配备情况分配垃圾驾驶员及工作人员，做好垃圾清运压缩工作。</w:t>
      </w:r>
    </w:p>
    <w:p w14:paraId="599C099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三、服务要求</w:t>
      </w:r>
    </w:p>
    <w:p w14:paraId="52202997">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1.工作要求：</w:t>
      </w:r>
    </w:p>
    <w:p w14:paraId="47E64E5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（1）优先保证主干道、随满随清工作原则，及时将各处垃圾斗和垃圾点内垃圾清运回压缩站；</w:t>
      </w:r>
    </w:p>
    <w:p w14:paraId="65DEEBC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（2）压缩站内垃圾压缩工作应与清运工作同步进行，保证未处理垃圾不在压缩站堆积；</w:t>
      </w:r>
    </w:p>
    <w:p w14:paraId="42A5BD9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（3）压缩后的垃圾及时安排车辆运至采购人指定垃圾消纳场。</w:t>
      </w:r>
    </w:p>
    <w:p w14:paraId="64ECACC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2.具体工作过程 </w:t>
      </w:r>
    </w:p>
    <w:p w14:paraId="722FC0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（1）垃圾清运工作。每天早上8:00前完成主干道沿线垃圾斗收集清运工作，其他各村垃圾斗按照斗内垃圾情况及时清运，严格做到随满随清。辖区内现</w:t>
      </w:r>
      <w:r>
        <w:rPr>
          <w:rFonts w:hint="eastAsia" w:ascii="宋体" w:hAnsi="宋体" w:eastAsia="宋体" w:cs="宋体"/>
          <w:sz w:val="24"/>
          <w:szCs w:val="24"/>
          <w:highlight w:val="none"/>
          <w:lang w:val="en-US" w:eastAsia="zh-CN"/>
        </w:rPr>
        <w:t>有68个垃圾斗和56个垃圾点</w:t>
      </w:r>
      <w:r>
        <w:rPr>
          <w:rFonts w:hint="eastAsia" w:ascii="宋体" w:hAnsi="宋体" w:eastAsia="宋体" w:cs="宋体"/>
          <w:sz w:val="24"/>
          <w:szCs w:val="24"/>
          <w:lang w:val="en-US" w:eastAsia="zh-CN"/>
        </w:rPr>
        <w:t>，确保每天的清运任务当天完成。</w:t>
      </w:r>
    </w:p>
    <w:p w14:paraId="61318B0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垃圾压缩工作。垃圾清运回压缩站立即安排垃圾压缩工作。该环节应按照国家相关规定和工作内容要求配备具有相应资质的设备操作员和设备上料员。（操作员2名、上料员3名）。操作员和上料员必须严格按照规范进行作业，在操作员和上料员相互配合进行现场作业时，必须有1名操作员和1名上料员在旁边做好各自环节的安全监督检查工作。</w:t>
      </w:r>
    </w:p>
    <w:p w14:paraId="2482256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（3）压缩垃圾运送工作。将压缩后的垃圾及时装至运送车内，装满之后及时安排运送至垃圾消纳场进行倾倒。</w:t>
      </w:r>
    </w:p>
    <w:p w14:paraId="6FA43A1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（4）垃圾倾倒工作。压缩后的垃圾必须倾倒在采购人指定的垃圾消纳场，采购人每月提供一定数量的垃圾消纳票，供应商凭票进入消纳场进行倾倒。</w:t>
      </w:r>
    </w:p>
    <w:p w14:paraId="3FF6480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辅助性工作。供应商应按照国家相关规定和工作内容要求配备具有相应资质辅助性工作的人员11人，专业人员必须持证上岗。其中：垃圾清运车辆和压缩垃圾运送车需各配1名安全员，1辆自压车需配安全员及自压装置辅助工共3名人员。</w:t>
      </w:r>
    </w:p>
    <w:p w14:paraId="2202988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后勤保障工作。为保证压缩站的正常运行，供应商应配备具有相应资质的后勤保障人员。保养员兼电工负责压缩设备的日常保养、配电室及电路维护，电工必须具有国家相关规定的相应资质，持证上岗，门卫负责场地安全事项，厨师负责压缩站工作人员的饮食，会计负责账务处理。</w:t>
      </w:r>
    </w:p>
    <w:p w14:paraId="41BEDC5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保洁消毒工作。压缩站不再单独配备保洁员，站内环境卫生工作由供应商负责监督落实。司机在完成清运工作后必须将自己驾驶车辆冲洗干净后方能停车入库；操作员和上料员完成作业后必须将压缩设备和设备用房清理干净后方能离开；厨师要注重厨房的卫生保证饮食安全；门卫负责其他公共区域的保洁工作。应定期对压缩站进行全面的消毒工作。</w:t>
      </w:r>
    </w:p>
    <w:p w14:paraId="4597128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（8）安全培训工作。对人员安全进行管理，定期组织安全培训工作，对服务项目各环节的操作流程进行培训，增强员工安全意识。</w:t>
      </w:r>
    </w:p>
    <w:p w14:paraId="7CA7FC9F">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四、资产管理</w:t>
      </w:r>
    </w:p>
    <w:p w14:paraId="6F0FF90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lang w:val="en-US" w:eastAsia="zh-CN" w:bidi="ar"/>
        </w:rPr>
        <w:t>1.垃圾压缩站合同签订后，采购人将压缩站内全部资产交付供应商经营，双方办理移交手续，供应商</w:t>
      </w:r>
      <w:r>
        <w:rPr>
          <w:rFonts w:hint="eastAsia" w:ascii="宋体" w:hAnsi="宋体" w:eastAsia="宋体" w:cs="宋体"/>
          <w:color w:val="000000"/>
          <w:kern w:val="0"/>
          <w:sz w:val="24"/>
          <w:szCs w:val="24"/>
          <w:highlight w:val="none"/>
          <w:lang w:val="en-US" w:eastAsia="zh-CN" w:bidi="ar"/>
        </w:rPr>
        <w:t>即有了资产的经营权和使用权，但无资产所有权。（附固定资产移交单）</w:t>
      </w:r>
    </w:p>
    <w:p w14:paraId="44D59AF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2.服务期满，供应商应按移交清单，全数交还给采购人。若有丢失和损坏，由供应商赔偿。</w:t>
      </w:r>
    </w:p>
    <w:p w14:paraId="1E35A9A1">
      <w:pPr>
        <w:keepNext w:val="0"/>
        <w:keepLines w:val="0"/>
        <w:widowControl/>
        <w:suppressLineNumbers w:val="0"/>
        <w:jc w:val="center"/>
        <w:rPr>
          <w:rFonts w:hint="default"/>
          <w:b/>
          <w:bCs/>
          <w:sz w:val="28"/>
          <w:szCs w:val="28"/>
          <w:highlight w:val="none"/>
          <w:lang w:val="en-US"/>
        </w:rPr>
      </w:pPr>
      <w:r>
        <w:rPr>
          <w:rFonts w:hint="eastAsia" w:ascii="宋体" w:hAnsi="宋体" w:eastAsia="宋体" w:cs="宋体"/>
          <w:b/>
          <w:bCs/>
          <w:color w:val="000000"/>
          <w:kern w:val="0"/>
          <w:sz w:val="28"/>
          <w:szCs w:val="28"/>
          <w:highlight w:val="none"/>
          <w:lang w:val="en-US" w:eastAsia="zh-CN" w:bidi="ar"/>
        </w:rPr>
        <w:t>新筑垃圾压缩站固定资产移交单</w:t>
      </w:r>
    </w:p>
    <w:tbl>
      <w:tblPr>
        <w:tblStyle w:val="109"/>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153"/>
        <w:gridCol w:w="1311"/>
        <w:gridCol w:w="1311"/>
        <w:gridCol w:w="4975"/>
      </w:tblGrid>
      <w:tr w14:paraId="3165E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104" w:type="pct"/>
            <w:vAlign w:val="top"/>
          </w:tcPr>
          <w:p w14:paraId="34FD2BC2">
            <w:pPr>
              <w:pStyle w:val="110"/>
              <w:spacing w:before="166" w:line="221" w:lineRule="auto"/>
              <w:jc w:val="center"/>
              <w:rPr>
                <w:highlight w:val="none"/>
              </w:rPr>
            </w:pPr>
            <w:r>
              <w:rPr>
                <w:b/>
                <w:bCs/>
                <w:spacing w:val="-16"/>
                <w:highlight w:val="none"/>
              </w:rPr>
              <w:t>物</w:t>
            </w:r>
            <w:r>
              <w:rPr>
                <w:spacing w:val="31"/>
                <w:highlight w:val="none"/>
              </w:rPr>
              <w:t xml:space="preserve"> </w:t>
            </w:r>
            <w:r>
              <w:rPr>
                <w:b/>
                <w:bCs/>
                <w:spacing w:val="-16"/>
                <w:highlight w:val="none"/>
              </w:rPr>
              <w:t>品</w:t>
            </w:r>
            <w:r>
              <w:rPr>
                <w:spacing w:val="14"/>
                <w:highlight w:val="none"/>
              </w:rPr>
              <w:t xml:space="preserve"> </w:t>
            </w:r>
            <w:r>
              <w:rPr>
                <w:b/>
                <w:bCs/>
                <w:spacing w:val="-16"/>
                <w:highlight w:val="none"/>
              </w:rPr>
              <w:t>名</w:t>
            </w:r>
            <w:r>
              <w:rPr>
                <w:spacing w:val="11"/>
                <w:highlight w:val="none"/>
              </w:rPr>
              <w:t xml:space="preserve"> </w:t>
            </w:r>
            <w:r>
              <w:rPr>
                <w:b/>
                <w:bCs/>
                <w:spacing w:val="-16"/>
                <w:highlight w:val="none"/>
              </w:rPr>
              <w:t>称</w:t>
            </w:r>
          </w:p>
        </w:tc>
        <w:tc>
          <w:tcPr>
            <w:tcW w:w="672" w:type="pct"/>
            <w:vAlign w:val="top"/>
          </w:tcPr>
          <w:p w14:paraId="728E9DAD">
            <w:pPr>
              <w:pStyle w:val="110"/>
              <w:spacing w:before="167" w:line="219" w:lineRule="auto"/>
              <w:ind w:left="374"/>
              <w:rPr>
                <w:highlight w:val="none"/>
              </w:rPr>
            </w:pPr>
            <w:r>
              <w:rPr>
                <w:b/>
                <w:bCs/>
                <w:spacing w:val="-9"/>
                <w:highlight w:val="none"/>
              </w:rPr>
              <w:t>数量</w:t>
            </w:r>
          </w:p>
        </w:tc>
        <w:tc>
          <w:tcPr>
            <w:tcW w:w="672" w:type="pct"/>
            <w:vAlign w:val="top"/>
          </w:tcPr>
          <w:p w14:paraId="15634631">
            <w:pPr>
              <w:pStyle w:val="110"/>
              <w:spacing w:before="167" w:line="220" w:lineRule="auto"/>
              <w:ind w:left="392"/>
              <w:rPr>
                <w:highlight w:val="none"/>
              </w:rPr>
            </w:pPr>
            <w:r>
              <w:rPr>
                <w:b/>
                <w:bCs/>
                <w:spacing w:val="-9"/>
                <w:highlight w:val="none"/>
              </w:rPr>
              <w:t>单位</w:t>
            </w:r>
          </w:p>
        </w:tc>
        <w:tc>
          <w:tcPr>
            <w:tcW w:w="2550" w:type="pct"/>
            <w:vAlign w:val="top"/>
          </w:tcPr>
          <w:p w14:paraId="34B95501">
            <w:pPr>
              <w:pStyle w:val="110"/>
              <w:spacing w:before="166" w:line="221" w:lineRule="auto"/>
              <w:ind w:left="1907"/>
              <w:rPr>
                <w:highlight w:val="none"/>
              </w:rPr>
            </w:pPr>
            <w:r>
              <w:rPr>
                <w:b/>
                <w:bCs/>
                <w:spacing w:val="-9"/>
                <w:highlight w:val="none"/>
              </w:rPr>
              <w:t>备</w:t>
            </w:r>
            <w:r>
              <w:rPr>
                <w:spacing w:val="5"/>
                <w:highlight w:val="none"/>
              </w:rPr>
              <w:t xml:space="preserve">  </w:t>
            </w:r>
            <w:r>
              <w:rPr>
                <w:b/>
                <w:bCs/>
                <w:spacing w:val="-9"/>
                <w:highlight w:val="none"/>
              </w:rPr>
              <w:t>注</w:t>
            </w:r>
          </w:p>
        </w:tc>
      </w:tr>
      <w:tr w14:paraId="6C67A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66A046EE">
            <w:pPr>
              <w:bidi w:val="0"/>
              <w:jc w:val="center"/>
              <w:rPr>
                <w:sz w:val="24"/>
                <w:szCs w:val="32"/>
                <w:highlight w:val="none"/>
              </w:rPr>
            </w:pPr>
            <w:r>
              <w:rPr>
                <w:sz w:val="24"/>
                <w:szCs w:val="32"/>
                <w:highlight w:val="none"/>
              </w:rPr>
              <w:t>压缩设备</w:t>
            </w:r>
          </w:p>
        </w:tc>
        <w:tc>
          <w:tcPr>
            <w:tcW w:w="672" w:type="pct"/>
            <w:vAlign w:val="top"/>
          </w:tcPr>
          <w:p w14:paraId="20B8D506">
            <w:pPr>
              <w:pStyle w:val="110"/>
              <w:spacing w:before="164" w:line="241" w:lineRule="auto"/>
              <w:ind w:left="570"/>
              <w:rPr>
                <w:highlight w:val="none"/>
              </w:rPr>
            </w:pPr>
            <w:r>
              <w:rPr>
                <w:highlight w:val="none"/>
              </w:rPr>
              <w:t>1</w:t>
            </w:r>
          </w:p>
        </w:tc>
        <w:tc>
          <w:tcPr>
            <w:tcW w:w="672" w:type="pct"/>
            <w:vAlign w:val="top"/>
          </w:tcPr>
          <w:p w14:paraId="162A888D">
            <w:pPr>
              <w:pStyle w:val="110"/>
              <w:spacing w:before="164" w:line="220" w:lineRule="auto"/>
              <w:ind w:left="511"/>
              <w:rPr>
                <w:highlight w:val="none"/>
              </w:rPr>
            </w:pPr>
            <w:r>
              <w:rPr>
                <w:highlight w:val="none"/>
              </w:rPr>
              <w:t>套</w:t>
            </w:r>
          </w:p>
        </w:tc>
        <w:tc>
          <w:tcPr>
            <w:tcW w:w="2550" w:type="pct"/>
            <w:vAlign w:val="top"/>
          </w:tcPr>
          <w:p w14:paraId="0CE8D729">
            <w:pPr>
              <w:rPr>
                <w:rFonts w:ascii="Arial"/>
                <w:sz w:val="21"/>
                <w:highlight w:val="none"/>
              </w:rPr>
            </w:pPr>
          </w:p>
        </w:tc>
      </w:tr>
      <w:tr w14:paraId="0DF5B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430B5D9A">
            <w:pPr>
              <w:bidi w:val="0"/>
              <w:jc w:val="center"/>
              <w:rPr>
                <w:sz w:val="24"/>
                <w:szCs w:val="32"/>
                <w:highlight w:val="none"/>
              </w:rPr>
            </w:pPr>
            <w:r>
              <w:rPr>
                <w:sz w:val="24"/>
                <w:szCs w:val="32"/>
                <w:highlight w:val="none"/>
              </w:rPr>
              <w:t>发电机</w:t>
            </w:r>
          </w:p>
        </w:tc>
        <w:tc>
          <w:tcPr>
            <w:tcW w:w="672" w:type="pct"/>
            <w:vAlign w:val="top"/>
          </w:tcPr>
          <w:p w14:paraId="2B24C2B6">
            <w:pPr>
              <w:pStyle w:val="110"/>
              <w:spacing w:before="163" w:line="241" w:lineRule="auto"/>
              <w:ind w:left="570"/>
              <w:rPr>
                <w:highlight w:val="none"/>
              </w:rPr>
            </w:pPr>
            <w:r>
              <w:rPr>
                <w:highlight w:val="none"/>
              </w:rPr>
              <w:t>1</w:t>
            </w:r>
          </w:p>
        </w:tc>
        <w:tc>
          <w:tcPr>
            <w:tcW w:w="672" w:type="pct"/>
            <w:vAlign w:val="top"/>
          </w:tcPr>
          <w:p w14:paraId="42CC741F">
            <w:pPr>
              <w:pStyle w:val="110"/>
              <w:spacing w:before="164" w:line="221" w:lineRule="auto"/>
              <w:ind w:left="529"/>
              <w:rPr>
                <w:highlight w:val="none"/>
              </w:rPr>
            </w:pPr>
            <w:r>
              <w:rPr>
                <w:highlight w:val="none"/>
              </w:rPr>
              <w:t>台</w:t>
            </w:r>
          </w:p>
        </w:tc>
        <w:tc>
          <w:tcPr>
            <w:tcW w:w="2550" w:type="pct"/>
            <w:vAlign w:val="top"/>
          </w:tcPr>
          <w:p w14:paraId="31EB7E4C">
            <w:pPr>
              <w:rPr>
                <w:rFonts w:ascii="Arial"/>
                <w:sz w:val="21"/>
                <w:highlight w:val="none"/>
              </w:rPr>
            </w:pPr>
          </w:p>
        </w:tc>
      </w:tr>
      <w:tr w14:paraId="787BB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4D5846CB">
            <w:pPr>
              <w:bidi w:val="0"/>
              <w:jc w:val="center"/>
              <w:rPr>
                <w:sz w:val="24"/>
                <w:szCs w:val="32"/>
              </w:rPr>
            </w:pPr>
            <w:r>
              <w:rPr>
                <w:sz w:val="24"/>
                <w:szCs w:val="32"/>
              </w:rPr>
              <w:t>除臭设备</w:t>
            </w:r>
          </w:p>
        </w:tc>
        <w:tc>
          <w:tcPr>
            <w:tcW w:w="672" w:type="pct"/>
            <w:vAlign w:val="top"/>
          </w:tcPr>
          <w:p w14:paraId="0387B126">
            <w:pPr>
              <w:pStyle w:val="110"/>
              <w:spacing w:before="162" w:line="241" w:lineRule="auto"/>
              <w:ind w:left="570"/>
            </w:pPr>
            <w:r>
              <w:t>1</w:t>
            </w:r>
          </w:p>
        </w:tc>
        <w:tc>
          <w:tcPr>
            <w:tcW w:w="672" w:type="pct"/>
            <w:vAlign w:val="top"/>
          </w:tcPr>
          <w:p w14:paraId="06DD57B0">
            <w:pPr>
              <w:pStyle w:val="110"/>
              <w:spacing w:before="162" w:line="220" w:lineRule="auto"/>
              <w:ind w:left="511"/>
            </w:pPr>
            <w:r>
              <w:t>套</w:t>
            </w:r>
          </w:p>
        </w:tc>
        <w:tc>
          <w:tcPr>
            <w:tcW w:w="2550" w:type="pct"/>
            <w:vAlign w:val="top"/>
          </w:tcPr>
          <w:p w14:paraId="61A1FBBB">
            <w:pPr>
              <w:rPr>
                <w:rFonts w:ascii="Arial"/>
                <w:sz w:val="21"/>
              </w:rPr>
            </w:pPr>
          </w:p>
        </w:tc>
      </w:tr>
      <w:tr w14:paraId="6CF1F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10012228">
            <w:pPr>
              <w:bidi w:val="0"/>
              <w:jc w:val="center"/>
              <w:rPr>
                <w:sz w:val="24"/>
                <w:szCs w:val="32"/>
              </w:rPr>
            </w:pPr>
            <w:r>
              <w:rPr>
                <w:sz w:val="24"/>
                <w:szCs w:val="32"/>
              </w:rPr>
              <w:t>监控设备</w:t>
            </w:r>
          </w:p>
        </w:tc>
        <w:tc>
          <w:tcPr>
            <w:tcW w:w="672" w:type="pct"/>
            <w:vAlign w:val="top"/>
          </w:tcPr>
          <w:p w14:paraId="09F66DDA">
            <w:pPr>
              <w:pStyle w:val="110"/>
              <w:spacing w:before="163" w:line="241" w:lineRule="auto"/>
              <w:ind w:left="570"/>
            </w:pPr>
            <w:r>
              <w:t>1</w:t>
            </w:r>
          </w:p>
        </w:tc>
        <w:tc>
          <w:tcPr>
            <w:tcW w:w="672" w:type="pct"/>
            <w:vAlign w:val="top"/>
          </w:tcPr>
          <w:p w14:paraId="7943D473">
            <w:pPr>
              <w:pStyle w:val="110"/>
              <w:spacing w:before="164" w:line="220" w:lineRule="auto"/>
              <w:ind w:left="511"/>
            </w:pPr>
            <w:r>
              <w:t>套</w:t>
            </w:r>
          </w:p>
        </w:tc>
        <w:tc>
          <w:tcPr>
            <w:tcW w:w="2550" w:type="pct"/>
            <w:vAlign w:val="top"/>
          </w:tcPr>
          <w:p w14:paraId="26828150">
            <w:pPr>
              <w:rPr>
                <w:rFonts w:ascii="Arial"/>
                <w:sz w:val="21"/>
              </w:rPr>
            </w:pPr>
          </w:p>
        </w:tc>
      </w:tr>
      <w:tr w14:paraId="612D4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7" w:hRule="atLeast"/>
        </w:trPr>
        <w:tc>
          <w:tcPr>
            <w:tcW w:w="1104" w:type="pct"/>
            <w:vAlign w:val="top"/>
          </w:tcPr>
          <w:p w14:paraId="636C2E5A">
            <w:pPr>
              <w:bidi w:val="0"/>
              <w:jc w:val="center"/>
              <w:rPr>
                <w:sz w:val="24"/>
                <w:szCs w:val="32"/>
              </w:rPr>
            </w:pPr>
          </w:p>
          <w:p w14:paraId="386A5474">
            <w:pPr>
              <w:bidi w:val="0"/>
              <w:jc w:val="center"/>
              <w:rPr>
                <w:sz w:val="24"/>
                <w:szCs w:val="32"/>
              </w:rPr>
            </w:pPr>
          </w:p>
          <w:p w14:paraId="275090DE">
            <w:pPr>
              <w:bidi w:val="0"/>
              <w:jc w:val="center"/>
              <w:rPr>
                <w:sz w:val="24"/>
                <w:szCs w:val="32"/>
              </w:rPr>
            </w:pPr>
          </w:p>
          <w:p w14:paraId="49FA9063">
            <w:pPr>
              <w:bidi w:val="0"/>
              <w:jc w:val="center"/>
              <w:rPr>
                <w:sz w:val="24"/>
                <w:szCs w:val="32"/>
              </w:rPr>
            </w:pPr>
          </w:p>
          <w:p w14:paraId="52874FBB">
            <w:pPr>
              <w:bidi w:val="0"/>
              <w:jc w:val="center"/>
              <w:rPr>
                <w:sz w:val="24"/>
                <w:szCs w:val="32"/>
              </w:rPr>
            </w:pPr>
          </w:p>
          <w:p w14:paraId="2A3149F1">
            <w:pPr>
              <w:bidi w:val="0"/>
              <w:jc w:val="center"/>
              <w:rPr>
                <w:sz w:val="24"/>
                <w:szCs w:val="32"/>
              </w:rPr>
            </w:pPr>
          </w:p>
          <w:p w14:paraId="4F53B1D2">
            <w:pPr>
              <w:bidi w:val="0"/>
              <w:jc w:val="center"/>
              <w:rPr>
                <w:sz w:val="24"/>
                <w:szCs w:val="32"/>
              </w:rPr>
            </w:pPr>
          </w:p>
          <w:p w14:paraId="1D5F2978">
            <w:pPr>
              <w:bidi w:val="0"/>
              <w:jc w:val="center"/>
              <w:rPr>
                <w:sz w:val="24"/>
                <w:szCs w:val="32"/>
              </w:rPr>
            </w:pPr>
          </w:p>
          <w:p w14:paraId="1C22C46F">
            <w:pPr>
              <w:bidi w:val="0"/>
              <w:jc w:val="center"/>
              <w:rPr>
                <w:sz w:val="24"/>
                <w:szCs w:val="32"/>
              </w:rPr>
            </w:pPr>
            <w:r>
              <w:rPr>
                <w:sz w:val="24"/>
                <w:szCs w:val="32"/>
              </w:rPr>
              <w:t>吊斗车</w:t>
            </w:r>
          </w:p>
        </w:tc>
        <w:tc>
          <w:tcPr>
            <w:tcW w:w="672" w:type="pct"/>
            <w:vAlign w:val="top"/>
          </w:tcPr>
          <w:p w14:paraId="0538F6AF">
            <w:pPr>
              <w:spacing w:line="254" w:lineRule="auto"/>
              <w:rPr>
                <w:rFonts w:ascii="Arial"/>
                <w:sz w:val="21"/>
              </w:rPr>
            </w:pPr>
          </w:p>
          <w:p w14:paraId="62E4F243">
            <w:pPr>
              <w:spacing w:line="254" w:lineRule="auto"/>
              <w:rPr>
                <w:rFonts w:ascii="Arial"/>
                <w:sz w:val="21"/>
              </w:rPr>
            </w:pPr>
          </w:p>
          <w:p w14:paraId="3108B264">
            <w:pPr>
              <w:spacing w:line="254" w:lineRule="auto"/>
              <w:rPr>
                <w:rFonts w:ascii="Arial"/>
                <w:sz w:val="21"/>
              </w:rPr>
            </w:pPr>
          </w:p>
          <w:p w14:paraId="7EEBD8E5">
            <w:pPr>
              <w:spacing w:line="255" w:lineRule="auto"/>
              <w:rPr>
                <w:rFonts w:ascii="Arial"/>
                <w:sz w:val="21"/>
              </w:rPr>
            </w:pPr>
          </w:p>
          <w:p w14:paraId="0C679D1E">
            <w:pPr>
              <w:spacing w:line="255" w:lineRule="auto"/>
              <w:rPr>
                <w:rFonts w:ascii="Arial"/>
                <w:sz w:val="21"/>
              </w:rPr>
            </w:pPr>
          </w:p>
          <w:p w14:paraId="0F97D3B8">
            <w:pPr>
              <w:spacing w:line="255" w:lineRule="auto"/>
              <w:rPr>
                <w:rFonts w:ascii="Arial"/>
                <w:sz w:val="21"/>
              </w:rPr>
            </w:pPr>
          </w:p>
          <w:p w14:paraId="5DB8799F">
            <w:pPr>
              <w:spacing w:line="255" w:lineRule="auto"/>
              <w:rPr>
                <w:rFonts w:ascii="Arial"/>
                <w:sz w:val="21"/>
              </w:rPr>
            </w:pPr>
          </w:p>
          <w:p w14:paraId="49602F94">
            <w:pPr>
              <w:spacing w:line="255" w:lineRule="auto"/>
              <w:rPr>
                <w:rFonts w:ascii="Arial"/>
                <w:sz w:val="21"/>
              </w:rPr>
            </w:pPr>
          </w:p>
          <w:p w14:paraId="2E31E529">
            <w:pPr>
              <w:pStyle w:val="110"/>
              <w:spacing w:before="78"/>
              <w:ind w:left="553"/>
            </w:pPr>
            <w:r>
              <w:t>9</w:t>
            </w:r>
          </w:p>
        </w:tc>
        <w:tc>
          <w:tcPr>
            <w:tcW w:w="672" w:type="pct"/>
            <w:vAlign w:val="top"/>
          </w:tcPr>
          <w:p w14:paraId="54A29E7C">
            <w:pPr>
              <w:spacing w:line="254" w:lineRule="auto"/>
              <w:rPr>
                <w:rFonts w:ascii="Arial"/>
                <w:sz w:val="21"/>
              </w:rPr>
            </w:pPr>
          </w:p>
          <w:p w14:paraId="3BAD04F9">
            <w:pPr>
              <w:spacing w:line="254" w:lineRule="auto"/>
              <w:rPr>
                <w:rFonts w:ascii="Arial"/>
                <w:sz w:val="21"/>
              </w:rPr>
            </w:pPr>
          </w:p>
          <w:p w14:paraId="38C60E28">
            <w:pPr>
              <w:spacing w:line="255" w:lineRule="auto"/>
              <w:rPr>
                <w:rFonts w:ascii="Arial"/>
                <w:sz w:val="21"/>
              </w:rPr>
            </w:pPr>
          </w:p>
          <w:p w14:paraId="52C03A8F">
            <w:pPr>
              <w:spacing w:line="255" w:lineRule="auto"/>
              <w:rPr>
                <w:rFonts w:ascii="Arial"/>
                <w:sz w:val="21"/>
              </w:rPr>
            </w:pPr>
          </w:p>
          <w:p w14:paraId="18DB757C">
            <w:pPr>
              <w:spacing w:line="255" w:lineRule="auto"/>
              <w:rPr>
                <w:rFonts w:ascii="Arial"/>
                <w:sz w:val="21"/>
              </w:rPr>
            </w:pPr>
          </w:p>
          <w:p w14:paraId="5EDE0362">
            <w:pPr>
              <w:spacing w:line="255" w:lineRule="auto"/>
              <w:rPr>
                <w:rFonts w:ascii="Arial"/>
                <w:sz w:val="21"/>
              </w:rPr>
            </w:pPr>
          </w:p>
          <w:p w14:paraId="3BD83ED3">
            <w:pPr>
              <w:spacing w:line="255" w:lineRule="auto"/>
              <w:rPr>
                <w:rFonts w:ascii="Arial"/>
                <w:sz w:val="21"/>
              </w:rPr>
            </w:pPr>
          </w:p>
          <w:p w14:paraId="7812D2A6">
            <w:pPr>
              <w:spacing w:line="255" w:lineRule="auto"/>
              <w:rPr>
                <w:rFonts w:ascii="Arial"/>
                <w:sz w:val="21"/>
              </w:rPr>
            </w:pPr>
          </w:p>
          <w:p w14:paraId="2065A44D">
            <w:pPr>
              <w:pStyle w:val="110"/>
              <w:spacing w:before="78" w:line="219" w:lineRule="auto"/>
              <w:ind w:left="509"/>
            </w:pPr>
            <w:r>
              <w:t>辆</w:t>
            </w:r>
          </w:p>
        </w:tc>
        <w:tc>
          <w:tcPr>
            <w:tcW w:w="2550" w:type="pct"/>
            <w:vAlign w:val="top"/>
          </w:tcPr>
          <w:p w14:paraId="0DB54CDF">
            <w:pPr>
              <w:pStyle w:val="110"/>
              <w:spacing w:before="131" w:line="384" w:lineRule="auto"/>
              <w:ind w:left="117" w:right="106" w:firstLine="16"/>
            </w:pPr>
            <w:r>
              <w:rPr>
                <w:spacing w:val="-4"/>
              </w:rPr>
              <w:t>陕</w:t>
            </w:r>
            <w:r>
              <w:rPr>
                <w:spacing w:val="-59"/>
              </w:rPr>
              <w:t xml:space="preserve"> </w:t>
            </w:r>
            <w:r>
              <w:rPr>
                <w:spacing w:val="-4"/>
              </w:rPr>
              <w:t>AL2297 洁神牌</w:t>
            </w:r>
            <w:r>
              <w:rPr>
                <w:spacing w:val="-52"/>
              </w:rPr>
              <w:t xml:space="preserve"> </w:t>
            </w:r>
            <w:r>
              <w:rPr>
                <w:spacing w:val="-4"/>
              </w:rPr>
              <w:t>QJS509IZBS、陕</w:t>
            </w:r>
            <w:r>
              <w:rPr>
                <w:spacing w:val="-58"/>
              </w:rPr>
              <w:t xml:space="preserve"> </w:t>
            </w:r>
            <w:r>
              <w:rPr>
                <w:spacing w:val="-4"/>
              </w:rPr>
              <w:t>A</w:t>
            </w:r>
            <w:r>
              <w:rPr>
                <w:spacing w:val="-5"/>
              </w:rPr>
              <w:t>R5225</w:t>
            </w:r>
            <w:r>
              <w:rPr>
                <w:spacing w:val="-1"/>
              </w:rPr>
              <w:t>炎帝牌</w:t>
            </w:r>
            <w:r>
              <w:rPr>
                <w:spacing w:val="-48"/>
              </w:rPr>
              <w:t xml:space="preserve"> </w:t>
            </w:r>
            <w:r>
              <w:rPr>
                <w:spacing w:val="-1"/>
              </w:rPr>
              <w:t>SZD5164ZBSE、陕</w:t>
            </w:r>
            <w:r>
              <w:rPr>
                <w:spacing w:val="-58"/>
              </w:rPr>
              <w:t xml:space="preserve"> </w:t>
            </w:r>
            <w:r>
              <w:rPr>
                <w:spacing w:val="-1"/>
              </w:rPr>
              <w:t>AR5338 炎帝牌SZD5164ZBSE、陕</w:t>
            </w:r>
            <w:r>
              <w:rPr>
                <w:spacing w:val="-48"/>
              </w:rPr>
              <w:t xml:space="preserve"> </w:t>
            </w:r>
            <w:r>
              <w:rPr>
                <w:spacing w:val="-1"/>
              </w:rPr>
              <w:t>AXV6573 炎帝牌</w:t>
            </w:r>
          </w:p>
          <w:p w14:paraId="536BADFE">
            <w:pPr>
              <w:pStyle w:val="110"/>
              <w:spacing w:line="219" w:lineRule="auto"/>
              <w:ind w:left="117"/>
            </w:pPr>
            <w:r>
              <w:rPr>
                <w:spacing w:val="-1"/>
              </w:rPr>
              <w:t>SZD5168ZBSES、陕</w:t>
            </w:r>
            <w:r>
              <w:rPr>
                <w:spacing w:val="-47"/>
              </w:rPr>
              <w:t xml:space="preserve"> </w:t>
            </w:r>
            <w:r>
              <w:rPr>
                <w:spacing w:val="-1"/>
              </w:rPr>
              <w:t>AXV9671 炎帝牌</w:t>
            </w:r>
          </w:p>
          <w:p w14:paraId="66B0B54F">
            <w:pPr>
              <w:pStyle w:val="110"/>
              <w:spacing w:before="214" w:line="219" w:lineRule="auto"/>
              <w:ind w:left="117"/>
            </w:pPr>
            <w:r>
              <w:rPr>
                <w:spacing w:val="-1"/>
              </w:rPr>
              <w:t>SZD5168ZBSES、陕</w:t>
            </w:r>
            <w:r>
              <w:rPr>
                <w:spacing w:val="-47"/>
              </w:rPr>
              <w:t xml:space="preserve"> </w:t>
            </w:r>
            <w:r>
              <w:rPr>
                <w:spacing w:val="-1"/>
              </w:rPr>
              <w:t>AXV7937 炎帝牌</w:t>
            </w:r>
          </w:p>
          <w:p w14:paraId="46916C79">
            <w:pPr>
              <w:pStyle w:val="110"/>
              <w:spacing w:before="214" w:line="219" w:lineRule="auto"/>
              <w:ind w:left="117"/>
            </w:pPr>
            <w:r>
              <w:rPr>
                <w:spacing w:val="-1"/>
              </w:rPr>
              <w:t>SZD5168ZBSES、陕</w:t>
            </w:r>
            <w:r>
              <w:rPr>
                <w:spacing w:val="-48"/>
              </w:rPr>
              <w:t xml:space="preserve"> </w:t>
            </w:r>
            <w:r>
              <w:rPr>
                <w:spacing w:val="-1"/>
              </w:rPr>
              <w:t>AR2410 洁神牌</w:t>
            </w:r>
          </w:p>
          <w:p w14:paraId="7C4356AD">
            <w:pPr>
              <w:pStyle w:val="110"/>
              <w:spacing w:before="214" w:line="218" w:lineRule="auto"/>
              <w:ind w:left="114"/>
            </w:pPr>
            <w:r>
              <w:rPr>
                <w:spacing w:val="-1"/>
              </w:rPr>
              <w:t>QJS509IZBS 备用、陕</w:t>
            </w:r>
            <w:r>
              <w:rPr>
                <w:spacing w:val="-43"/>
              </w:rPr>
              <w:t xml:space="preserve"> </w:t>
            </w:r>
            <w:r>
              <w:rPr>
                <w:spacing w:val="-1"/>
              </w:rPr>
              <w:t>AXV8127 炎帝牌</w:t>
            </w:r>
          </w:p>
          <w:p w14:paraId="42881943">
            <w:pPr>
              <w:pStyle w:val="110"/>
              <w:spacing w:before="216" w:line="219" w:lineRule="auto"/>
              <w:ind w:left="117"/>
            </w:pPr>
            <w:r>
              <w:rPr>
                <w:spacing w:val="-1"/>
              </w:rPr>
              <w:t>SZD5168ZBSES 备用、陕</w:t>
            </w:r>
            <w:r>
              <w:rPr>
                <w:spacing w:val="-44"/>
              </w:rPr>
              <w:t xml:space="preserve"> </w:t>
            </w:r>
            <w:r>
              <w:rPr>
                <w:spacing w:val="-1"/>
              </w:rPr>
              <w:t>AXV5237 炎帝牌</w:t>
            </w:r>
          </w:p>
          <w:p w14:paraId="25229AD1">
            <w:pPr>
              <w:pStyle w:val="110"/>
              <w:spacing w:before="216" w:line="221" w:lineRule="auto"/>
              <w:ind w:left="117"/>
            </w:pPr>
            <w:r>
              <w:rPr>
                <w:spacing w:val="-1"/>
              </w:rPr>
              <w:t>SZD5168ZBSES 备用</w:t>
            </w:r>
          </w:p>
        </w:tc>
      </w:tr>
      <w:tr w14:paraId="78309B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trPr>
        <w:tc>
          <w:tcPr>
            <w:tcW w:w="1104" w:type="pct"/>
            <w:vAlign w:val="top"/>
          </w:tcPr>
          <w:p w14:paraId="1A037CC0">
            <w:pPr>
              <w:bidi w:val="0"/>
              <w:jc w:val="center"/>
              <w:rPr>
                <w:sz w:val="24"/>
                <w:szCs w:val="32"/>
              </w:rPr>
            </w:pPr>
          </w:p>
          <w:p w14:paraId="0B3E04CD">
            <w:pPr>
              <w:bidi w:val="0"/>
              <w:jc w:val="center"/>
              <w:rPr>
                <w:sz w:val="24"/>
                <w:szCs w:val="32"/>
              </w:rPr>
            </w:pPr>
            <w:r>
              <w:rPr>
                <w:sz w:val="24"/>
                <w:szCs w:val="32"/>
              </w:rPr>
              <w:t>上塬车</w:t>
            </w:r>
          </w:p>
        </w:tc>
        <w:tc>
          <w:tcPr>
            <w:tcW w:w="672" w:type="pct"/>
            <w:vAlign w:val="top"/>
          </w:tcPr>
          <w:p w14:paraId="6FD32D80">
            <w:pPr>
              <w:spacing w:line="304" w:lineRule="auto"/>
              <w:rPr>
                <w:rFonts w:ascii="Arial"/>
                <w:sz w:val="21"/>
              </w:rPr>
            </w:pPr>
          </w:p>
          <w:p w14:paraId="439BB4B0">
            <w:pPr>
              <w:pStyle w:val="110"/>
              <w:spacing w:before="78" w:line="241" w:lineRule="auto"/>
              <w:ind w:left="555"/>
            </w:pPr>
            <w:r>
              <w:t>2</w:t>
            </w:r>
          </w:p>
        </w:tc>
        <w:tc>
          <w:tcPr>
            <w:tcW w:w="672" w:type="pct"/>
            <w:vAlign w:val="top"/>
          </w:tcPr>
          <w:p w14:paraId="54C61261">
            <w:pPr>
              <w:spacing w:line="304" w:lineRule="auto"/>
              <w:rPr>
                <w:rFonts w:ascii="Arial"/>
                <w:sz w:val="21"/>
              </w:rPr>
            </w:pPr>
          </w:p>
          <w:p w14:paraId="543FF4CD">
            <w:pPr>
              <w:pStyle w:val="110"/>
              <w:spacing w:before="78" w:line="219" w:lineRule="auto"/>
              <w:ind w:left="509"/>
            </w:pPr>
            <w:r>
              <w:t>辆</w:t>
            </w:r>
          </w:p>
        </w:tc>
        <w:tc>
          <w:tcPr>
            <w:tcW w:w="2550" w:type="pct"/>
            <w:vAlign w:val="top"/>
          </w:tcPr>
          <w:p w14:paraId="44B79BD2">
            <w:pPr>
              <w:pStyle w:val="110"/>
              <w:spacing w:before="135" w:line="330" w:lineRule="auto"/>
              <w:ind w:left="109" w:right="564" w:firstLine="25"/>
            </w:pPr>
            <w:r>
              <w:rPr>
                <w:spacing w:val="-2"/>
              </w:rPr>
              <w:t>陕</w:t>
            </w:r>
            <w:r>
              <w:rPr>
                <w:spacing w:val="-49"/>
              </w:rPr>
              <w:t xml:space="preserve"> </w:t>
            </w:r>
            <w:r>
              <w:rPr>
                <w:spacing w:val="-2"/>
              </w:rPr>
              <w:t>AR7179 银宝牌</w:t>
            </w:r>
            <w:r>
              <w:rPr>
                <w:spacing w:val="-50"/>
              </w:rPr>
              <w:t xml:space="preserve"> </w:t>
            </w:r>
            <w:r>
              <w:rPr>
                <w:spacing w:val="-2"/>
              </w:rPr>
              <w:t>SYB5251ZXXE5、陕</w:t>
            </w:r>
            <w:r>
              <w:rPr>
                <w:spacing w:val="-1"/>
              </w:rPr>
              <w:t>AR7376 银宝牌</w:t>
            </w:r>
            <w:r>
              <w:rPr>
                <w:spacing w:val="-41"/>
              </w:rPr>
              <w:t xml:space="preserve"> </w:t>
            </w:r>
            <w:r>
              <w:rPr>
                <w:spacing w:val="-1"/>
              </w:rPr>
              <w:t>SYB5251ZXXE5</w:t>
            </w:r>
          </w:p>
        </w:tc>
      </w:tr>
      <w:tr w14:paraId="0865C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104" w:type="pct"/>
            <w:vAlign w:val="top"/>
          </w:tcPr>
          <w:p w14:paraId="43910809">
            <w:pPr>
              <w:bidi w:val="0"/>
              <w:jc w:val="center"/>
              <w:rPr>
                <w:sz w:val="24"/>
                <w:szCs w:val="32"/>
              </w:rPr>
            </w:pPr>
            <w:r>
              <w:rPr>
                <w:sz w:val="24"/>
                <w:szCs w:val="32"/>
              </w:rPr>
              <w:t>压缩车</w:t>
            </w:r>
          </w:p>
        </w:tc>
        <w:tc>
          <w:tcPr>
            <w:tcW w:w="672" w:type="pct"/>
            <w:vAlign w:val="top"/>
          </w:tcPr>
          <w:p w14:paraId="08D8A008">
            <w:pPr>
              <w:pStyle w:val="110"/>
              <w:spacing w:before="168" w:line="241" w:lineRule="auto"/>
              <w:ind w:left="570"/>
            </w:pPr>
            <w:r>
              <w:t>1</w:t>
            </w:r>
          </w:p>
        </w:tc>
        <w:tc>
          <w:tcPr>
            <w:tcW w:w="672" w:type="pct"/>
            <w:vAlign w:val="top"/>
          </w:tcPr>
          <w:p w14:paraId="36AE7612">
            <w:pPr>
              <w:pStyle w:val="110"/>
              <w:spacing w:before="168" w:line="219" w:lineRule="auto"/>
              <w:ind w:left="509"/>
            </w:pPr>
            <w:r>
              <w:t>辆</w:t>
            </w:r>
          </w:p>
        </w:tc>
        <w:tc>
          <w:tcPr>
            <w:tcW w:w="2550" w:type="pct"/>
            <w:vAlign w:val="top"/>
          </w:tcPr>
          <w:p w14:paraId="31F087D8">
            <w:pPr>
              <w:pStyle w:val="110"/>
              <w:spacing w:before="135" w:line="219" w:lineRule="auto"/>
              <w:ind w:left="134"/>
            </w:pPr>
            <w:r>
              <w:rPr>
                <w:spacing w:val="-2"/>
              </w:rPr>
              <w:t>陕</w:t>
            </w:r>
            <w:r>
              <w:rPr>
                <w:spacing w:val="-48"/>
              </w:rPr>
              <w:t xml:space="preserve"> </w:t>
            </w:r>
            <w:r>
              <w:rPr>
                <w:spacing w:val="-2"/>
              </w:rPr>
              <w:t>AR5357 楚胜牌</w:t>
            </w:r>
            <w:r>
              <w:rPr>
                <w:spacing w:val="-53"/>
              </w:rPr>
              <w:t xml:space="preserve"> </w:t>
            </w:r>
            <w:r>
              <w:rPr>
                <w:spacing w:val="-2"/>
              </w:rPr>
              <w:t>CSC525QZYSD11</w:t>
            </w:r>
          </w:p>
        </w:tc>
      </w:tr>
      <w:tr w14:paraId="69844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8" w:hRule="atLeast"/>
        </w:trPr>
        <w:tc>
          <w:tcPr>
            <w:tcW w:w="1104" w:type="pct"/>
            <w:vAlign w:val="top"/>
          </w:tcPr>
          <w:p w14:paraId="217DBFEA">
            <w:pPr>
              <w:bidi w:val="0"/>
              <w:jc w:val="center"/>
              <w:rPr>
                <w:sz w:val="24"/>
                <w:szCs w:val="32"/>
              </w:rPr>
            </w:pPr>
          </w:p>
          <w:p w14:paraId="1B7248D1">
            <w:pPr>
              <w:bidi w:val="0"/>
              <w:jc w:val="center"/>
              <w:rPr>
                <w:sz w:val="24"/>
                <w:szCs w:val="32"/>
              </w:rPr>
            </w:pPr>
            <w:r>
              <w:rPr>
                <w:sz w:val="24"/>
                <w:szCs w:val="32"/>
              </w:rPr>
              <w:t>清扫车</w:t>
            </w:r>
          </w:p>
        </w:tc>
        <w:tc>
          <w:tcPr>
            <w:tcW w:w="672" w:type="pct"/>
            <w:vAlign w:val="top"/>
          </w:tcPr>
          <w:p w14:paraId="48213755">
            <w:pPr>
              <w:spacing w:line="304" w:lineRule="auto"/>
              <w:rPr>
                <w:rFonts w:ascii="Arial"/>
                <w:sz w:val="21"/>
              </w:rPr>
            </w:pPr>
          </w:p>
          <w:p w14:paraId="63B357E0">
            <w:pPr>
              <w:pStyle w:val="110"/>
              <w:spacing w:before="78" w:line="241" w:lineRule="auto"/>
              <w:ind w:left="555"/>
            </w:pPr>
            <w:r>
              <w:t>2</w:t>
            </w:r>
          </w:p>
        </w:tc>
        <w:tc>
          <w:tcPr>
            <w:tcW w:w="672" w:type="pct"/>
            <w:vAlign w:val="top"/>
          </w:tcPr>
          <w:p w14:paraId="7AFF3BA9">
            <w:pPr>
              <w:spacing w:line="304" w:lineRule="auto"/>
              <w:rPr>
                <w:rFonts w:ascii="Arial"/>
                <w:sz w:val="21"/>
              </w:rPr>
            </w:pPr>
          </w:p>
          <w:p w14:paraId="4E3E6465">
            <w:pPr>
              <w:pStyle w:val="110"/>
              <w:spacing w:before="78" w:line="219" w:lineRule="auto"/>
              <w:ind w:left="509"/>
            </w:pPr>
            <w:r>
              <w:t>辆</w:t>
            </w:r>
          </w:p>
        </w:tc>
        <w:tc>
          <w:tcPr>
            <w:tcW w:w="2550" w:type="pct"/>
            <w:vAlign w:val="top"/>
          </w:tcPr>
          <w:p w14:paraId="46BEA9A3">
            <w:pPr>
              <w:pStyle w:val="110"/>
              <w:spacing w:before="137" w:line="331" w:lineRule="auto"/>
              <w:ind w:left="109" w:right="324" w:firstLine="25"/>
            </w:pPr>
            <w:r>
              <w:rPr>
                <w:spacing w:val="-3"/>
              </w:rPr>
              <w:t>陕</w:t>
            </w:r>
            <w:r>
              <w:rPr>
                <w:spacing w:val="-51"/>
              </w:rPr>
              <w:t xml:space="preserve"> </w:t>
            </w:r>
            <w:r>
              <w:rPr>
                <w:spacing w:val="-3"/>
              </w:rPr>
              <w:t>AT8860</w:t>
            </w:r>
            <w:r>
              <w:rPr>
                <w:spacing w:val="32"/>
              </w:rPr>
              <w:t xml:space="preserve"> </w:t>
            </w:r>
            <w:r>
              <w:rPr>
                <w:spacing w:val="-3"/>
              </w:rPr>
              <w:t>中联牌</w:t>
            </w:r>
            <w:r>
              <w:rPr>
                <w:spacing w:val="-52"/>
              </w:rPr>
              <w:t xml:space="preserve"> </w:t>
            </w:r>
            <w:r>
              <w:rPr>
                <w:spacing w:val="-3"/>
              </w:rPr>
              <w:t>ZLJ5160TXSDFE5、陕</w:t>
            </w:r>
            <w:r>
              <w:rPr>
                <w:spacing w:val="-2"/>
              </w:rPr>
              <w:t>AT6250</w:t>
            </w:r>
            <w:r>
              <w:rPr>
                <w:spacing w:val="13"/>
              </w:rPr>
              <w:t xml:space="preserve"> </w:t>
            </w:r>
            <w:r>
              <w:rPr>
                <w:spacing w:val="-2"/>
              </w:rPr>
              <w:t>备用</w:t>
            </w:r>
          </w:p>
        </w:tc>
      </w:tr>
      <w:tr w14:paraId="0ABEE9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3" w:hRule="atLeast"/>
        </w:trPr>
        <w:tc>
          <w:tcPr>
            <w:tcW w:w="1104" w:type="pct"/>
            <w:vAlign w:val="top"/>
          </w:tcPr>
          <w:p w14:paraId="00200E91">
            <w:pPr>
              <w:bidi w:val="0"/>
              <w:jc w:val="center"/>
              <w:rPr>
                <w:sz w:val="24"/>
                <w:szCs w:val="32"/>
              </w:rPr>
            </w:pPr>
          </w:p>
          <w:p w14:paraId="587F92DF">
            <w:pPr>
              <w:bidi w:val="0"/>
              <w:jc w:val="center"/>
              <w:rPr>
                <w:sz w:val="24"/>
                <w:szCs w:val="32"/>
              </w:rPr>
            </w:pPr>
          </w:p>
          <w:p w14:paraId="66AAE4F7">
            <w:pPr>
              <w:bidi w:val="0"/>
              <w:jc w:val="center"/>
              <w:rPr>
                <w:sz w:val="24"/>
                <w:szCs w:val="32"/>
              </w:rPr>
            </w:pPr>
            <w:r>
              <w:rPr>
                <w:sz w:val="24"/>
                <w:szCs w:val="32"/>
              </w:rPr>
              <w:t>洒水车</w:t>
            </w:r>
          </w:p>
        </w:tc>
        <w:tc>
          <w:tcPr>
            <w:tcW w:w="672" w:type="pct"/>
            <w:vAlign w:val="top"/>
          </w:tcPr>
          <w:p w14:paraId="778A7BB4">
            <w:pPr>
              <w:spacing w:line="274" w:lineRule="auto"/>
              <w:rPr>
                <w:rFonts w:ascii="Arial"/>
                <w:sz w:val="21"/>
              </w:rPr>
            </w:pPr>
          </w:p>
          <w:p w14:paraId="22BAE494">
            <w:pPr>
              <w:spacing w:line="275" w:lineRule="auto"/>
              <w:rPr>
                <w:rFonts w:ascii="Arial"/>
                <w:sz w:val="21"/>
              </w:rPr>
            </w:pPr>
          </w:p>
          <w:p w14:paraId="480B2AC0">
            <w:pPr>
              <w:pStyle w:val="110"/>
              <w:spacing w:before="78"/>
              <w:ind w:left="557"/>
            </w:pPr>
            <w:r>
              <w:t>3</w:t>
            </w:r>
          </w:p>
        </w:tc>
        <w:tc>
          <w:tcPr>
            <w:tcW w:w="672" w:type="pct"/>
            <w:vAlign w:val="top"/>
          </w:tcPr>
          <w:p w14:paraId="403C7295">
            <w:pPr>
              <w:spacing w:line="275" w:lineRule="auto"/>
              <w:rPr>
                <w:rFonts w:ascii="Arial"/>
                <w:sz w:val="21"/>
              </w:rPr>
            </w:pPr>
          </w:p>
          <w:p w14:paraId="4FB1A42F">
            <w:pPr>
              <w:spacing w:line="275" w:lineRule="auto"/>
              <w:rPr>
                <w:rFonts w:ascii="Arial"/>
                <w:sz w:val="21"/>
              </w:rPr>
            </w:pPr>
          </w:p>
          <w:p w14:paraId="0880A969">
            <w:pPr>
              <w:pStyle w:val="110"/>
              <w:spacing w:before="78" w:line="219" w:lineRule="auto"/>
              <w:ind w:left="509"/>
            </w:pPr>
            <w:r>
              <w:t>辆</w:t>
            </w:r>
          </w:p>
        </w:tc>
        <w:tc>
          <w:tcPr>
            <w:tcW w:w="2550" w:type="pct"/>
            <w:vAlign w:val="top"/>
          </w:tcPr>
          <w:p w14:paraId="50C37A9F">
            <w:pPr>
              <w:pStyle w:val="110"/>
              <w:spacing w:before="131" w:line="218" w:lineRule="auto"/>
              <w:ind w:left="134"/>
            </w:pPr>
            <w:r>
              <w:rPr>
                <w:spacing w:val="-2"/>
              </w:rPr>
              <w:t>陕</w:t>
            </w:r>
            <w:r>
              <w:rPr>
                <w:spacing w:val="-50"/>
              </w:rPr>
              <w:t xml:space="preserve"> </w:t>
            </w:r>
            <w:r>
              <w:rPr>
                <w:spacing w:val="-2"/>
              </w:rPr>
              <w:t>AU9267</w:t>
            </w:r>
            <w:r>
              <w:rPr>
                <w:spacing w:val="32"/>
              </w:rPr>
              <w:t xml:space="preserve"> </w:t>
            </w:r>
            <w:r>
              <w:rPr>
                <w:spacing w:val="-2"/>
              </w:rPr>
              <w:t>中联牌</w:t>
            </w:r>
            <w:r>
              <w:rPr>
                <w:spacing w:val="-51"/>
              </w:rPr>
              <w:t xml:space="preserve"> </w:t>
            </w:r>
            <w:r>
              <w:rPr>
                <w:spacing w:val="-2"/>
              </w:rPr>
              <w:t>ZLJ5183GQXDFE5、陕</w:t>
            </w:r>
          </w:p>
          <w:p w14:paraId="5B45BCB5">
            <w:pPr>
              <w:pStyle w:val="110"/>
              <w:spacing w:before="214" w:line="332" w:lineRule="auto"/>
              <w:ind w:left="115" w:right="106" w:hanging="6"/>
            </w:pPr>
            <w:r>
              <w:rPr>
                <w:spacing w:val="-1"/>
              </w:rPr>
              <w:t>AH7669 福龙马牌</w:t>
            </w:r>
            <w:r>
              <w:rPr>
                <w:spacing w:val="-55"/>
              </w:rPr>
              <w:t xml:space="preserve"> </w:t>
            </w:r>
            <w:r>
              <w:rPr>
                <w:spacing w:val="-1"/>
              </w:rPr>
              <w:t>FLM5161655、陕</w:t>
            </w:r>
            <w:r>
              <w:rPr>
                <w:spacing w:val="-58"/>
              </w:rPr>
              <w:t xml:space="preserve"> </w:t>
            </w:r>
            <w:r>
              <w:rPr>
                <w:spacing w:val="-1"/>
              </w:rPr>
              <w:t>AW9</w:t>
            </w:r>
            <w:r>
              <w:rPr>
                <w:spacing w:val="-2"/>
              </w:rPr>
              <w:t>751</w:t>
            </w:r>
            <w:r>
              <w:rPr>
                <w:spacing w:val="-1"/>
              </w:rPr>
              <w:t>福龙马牌</w:t>
            </w:r>
            <w:r>
              <w:rPr>
                <w:spacing w:val="-53"/>
              </w:rPr>
              <w:t xml:space="preserve"> </w:t>
            </w:r>
            <w:r>
              <w:rPr>
                <w:spacing w:val="-1"/>
              </w:rPr>
              <w:t>FLM5180GQXD5S</w:t>
            </w:r>
          </w:p>
        </w:tc>
      </w:tr>
      <w:tr w14:paraId="0264A0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04" w:type="pct"/>
            <w:vAlign w:val="top"/>
          </w:tcPr>
          <w:p w14:paraId="34B4249F">
            <w:pPr>
              <w:bidi w:val="0"/>
              <w:jc w:val="center"/>
              <w:rPr>
                <w:sz w:val="24"/>
                <w:szCs w:val="32"/>
              </w:rPr>
            </w:pPr>
            <w:r>
              <w:rPr>
                <w:sz w:val="24"/>
                <w:szCs w:val="32"/>
              </w:rPr>
              <w:t>空调</w:t>
            </w:r>
          </w:p>
        </w:tc>
        <w:tc>
          <w:tcPr>
            <w:tcW w:w="672" w:type="pct"/>
            <w:vAlign w:val="top"/>
          </w:tcPr>
          <w:p w14:paraId="10B63F42">
            <w:pPr>
              <w:pStyle w:val="110"/>
              <w:spacing w:before="164"/>
              <w:ind w:left="557"/>
            </w:pPr>
            <w:r>
              <w:t>3</w:t>
            </w:r>
          </w:p>
        </w:tc>
        <w:tc>
          <w:tcPr>
            <w:tcW w:w="672" w:type="pct"/>
            <w:vAlign w:val="top"/>
          </w:tcPr>
          <w:p w14:paraId="692AAB87">
            <w:pPr>
              <w:pStyle w:val="110"/>
              <w:spacing w:before="165" w:line="219" w:lineRule="auto"/>
              <w:ind w:left="510"/>
            </w:pPr>
            <w:r>
              <w:t>个</w:t>
            </w:r>
          </w:p>
        </w:tc>
        <w:tc>
          <w:tcPr>
            <w:tcW w:w="2550" w:type="pct"/>
            <w:vAlign w:val="top"/>
          </w:tcPr>
          <w:p w14:paraId="2CB984C0">
            <w:pPr>
              <w:rPr>
                <w:rFonts w:ascii="Arial"/>
                <w:sz w:val="21"/>
              </w:rPr>
            </w:pPr>
          </w:p>
        </w:tc>
      </w:tr>
      <w:tr w14:paraId="42041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1104" w:type="pct"/>
            <w:vAlign w:val="top"/>
          </w:tcPr>
          <w:p w14:paraId="1D424640">
            <w:pPr>
              <w:bidi w:val="0"/>
              <w:jc w:val="center"/>
              <w:rPr>
                <w:sz w:val="24"/>
                <w:szCs w:val="32"/>
              </w:rPr>
            </w:pPr>
            <w:r>
              <w:rPr>
                <w:sz w:val="24"/>
                <w:szCs w:val="32"/>
              </w:rPr>
              <w:t>办公桌</w:t>
            </w:r>
          </w:p>
        </w:tc>
        <w:tc>
          <w:tcPr>
            <w:tcW w:w="672" w:type="pct"/>
            <w:vAlign w:val="top"/>
          </w:tcPr>
          <w:p w14:paraId="2CA94F5A">
            <w:pPr>
              <w:pStyle w:val="110"/>
              <w:spacing w:before="164" w:line="241" w:lineRule="auto"/>
              <w:ind w:left="551"/>
            </w:pPr>
            <w:r>
              <w:t>4</w:t>
            </w:r>
          </w:p>
        </w:tc>
        <w:tc>
          <w:tcPr>
            <w:tcW w:w="672" w:type="pct"/>
            <w:vAlign w:val="top"/>
          </w:tcPr>
          <w:p w14:paraId="3A677B7C">
            <w:pPr>
              <w:pStyle w:val="110"/>
              <w:spacing w:before="165" w:line="219" w:lineRule="auto"/>
              <w:ind w:left="510"/>
            </w:pPr>
            <w:r>
              <w:t>个</w:t>
            </w:r>
          </w:p>
        </w:tc>
        <w:tc>
          <w:tcPr>
            <w:tcW w:w="2550" w:type="pct"/>
            <w:vAlign w:val="top"/>
          </w:tcPr>
          <w:p w14:paraId="1E2C7094">
            <w:pPr>
              <w:rPr>
                <w:rFonts w:ascii="Arial"/>
                <w:sz w:val="21"/>
              </w:rPr>
            </w:pPr>
          </w:p>
        </w:tc>
      </w:tr>
      <w:tr w14:paraId="4320B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1104" w:type="pct"/>
            <w:vAlign w:val="top"/>
          </w:tcPr>
          <w:p w14:paraId="55B60D64">
            <w:pPr>
              <w:bidi w:val="0"/>
              <w:jc w:val="center"/>
              <w:rPr>
                <w:sz w:val="24"/>
                <w:szCs w:val="32"/>
              </w:rPr>
            </w:pPr>
            <w:r>
              <w:rPr>
                <w:sz w:val="24"/>
                <w:szCs w:val="32"/>
              </w:rPr>
              <w:t>办公椅</w:t>
            </w:r>
          </w:p>
        </w:tc>
        <w:tc>
          <w:tcPr>
            <w:tcW w:w="672" w:type="pct"/>
            <w:vAlign w:val="top"/>
          </w:tcPr>
          <w:p w14:paraId="33F49EBC">
            <w:pPr>
              <w:pStyle w:val="110"/>
              <w:spacing w:before="165"/>
              <w:ind w:left="554"/>
            </w:pPr>
            <w:r>
              <w:t>6</w:t>
            </w:r>
          </w:p>
        </w:tc>
        <w:tc>
          <w:tcPr>
            <w:tcW w:w="672" w:type="pct"/>
            <w:vAlign w:val="top"/>
          </w:tcPr>
          <w:p w14:paraId="361C6D8D">
            <w:pPr>
              <w:pStyle w:val="110"/>
              <w:spacing w:before="166" w:line="219" w:lineRule="auto"/>
              <w:ind w:left="510"/>
            </w:pPr>
            <w:r>
              <w:t>个</w:t>
            </w:r>
          </w:p>
        </w:tc>
        <w:tc>
          <w:tcPr>
            <w:tcW w:w="2550" w:type="pct"/>
            <w:vAlign w:val="top"/>
          </w:tcPr>
          <w:p w14:paraId="106C0BAA">
            <w:pPr>
              <w:rPr>
                <w:rFonts w:ascii="Arial"/>
                <w:sz w:val="21"/>
              </w:rPr>
            </w:pPr>
          </w:p>
        </w:tc>
      </w:tr>
      <w:tr w14:paraId="660A3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04" w:type="pct"/>
            <w:vAlign w:val="top"/>
          </w:tcPr>
          <w:p w14:paraId="033BB35F">
            <w:pPr>
              <w:bidi w:val="0"/>
              <w:jc w:val="center"/>
              <w:rPr>
                <w:sz w:val="24"/>
                <w:szCs w:val="32"/>
              </w:rPr>
            </w:pPr>
            <w:r>
              <w:rPr>
                <w:sz w:val="24"/>
                <w:szCs w:val="32"/>
              </w:rPr>
              <w:t>铁连椅</w:t>
            </w:r>
          </w:p>
        </w:tc>
        <w:tc>
          <w:tcPr>
            <w:tcW w:w="672" w:type="pct"/>
            <w:vAlign w:val="top"/>
          </w:tcPr>
          <w:p w14:paraId="0312657B">
            <w:pPr>
              <w:pStyle w:val="110"/>
              <w:spacing w:before="164" w:line="241" w:lineRule="auto"/>
              <w:ind w:left="555"/>
            </w:pPr>
            <w:r>
              <w:t>2</w:t>
            </w:r>
          </w:p>
        </w:tc>
        <w:tc>
          <w:tcPr>
            <w:tcW w:w="672" w:type="pct"/>
            <w:vAlign w:val="top"/>
          </w:tcPr>
          <w:p w14:paraId="6D9AA576">
            <w:pPr>
              <w:pStyle w:val="110"/>
              <w:spacing w:before="165" w:line="219" w:lineRule="auto"/>
              <w:ind w:left="510"/>
            </w:pPr>
            <w:r>
              <w:t>个</w:t>
            </w:r>
          </w:p>
        </w:tc>
        <w:tc>
          <w:tcPr>
            <w:tcW w:w="2550" w:type="pct"/>
            <w:vAlign w:val="top"/>
          </w:tcPr>
          <w:p w14:paraId="36FB639C">
            <w:pPr>
              <w:rPr>
                <w:rFonts w:ascii="Arial"/>
                <w:sz w:val="21"/>
              </w:rPr>
            </w:pPr>
          </w:p>
        </w:tc>
      </w:tr>
      <w:tr w14:paraId="69D11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0C3BF69A">
            <w:pPr>
              <w:bidi w:val="0"/>
              <w:jc w:val="center"/>
              <w:rPr>
                <w:sz w:val="24"/>
                <w:szCs w:val="32"/>
              </w:rPr>
            </w:pPr>
            <w:r>
              <w:rPr>
                <w:sz w:val="24"/>
                <w:szCs w:val="32"/>
              </w:rPr>
              <w:t>木凉椅</w:t>
            </w:r>
          </w:p>
        </w:tc>
        <w:tc>
          <w:tcPr>
            <w:tcW w:w="672" w:type="pct"/>
            <w:vAlign w:val="top"/>
          </w:tcPr>
          <w:p w14:paraId="61A65740">
            <w:pPr>
              <w:pStyle w:val="110"/>
              <w:spacing w:before="166"/>
              <w:ind w:left="557"/>
            </w:pPr>
            <w:r>
              <w:t>3</w:t>
            </w:r>
          </w:p>
        </w:tc>
        <w:tc>
          <w:tcPr>
            <w:tcW w:w="672" w:type="pct"/>
            <w:vAlign w:val="top"/>
          </w:tcPr>
          <w:p w14:paraId="2252F95C">
            <w:pPr>
              <w:pStyle w:val="110"/>
              <w:spacing w:before="167" w:line="219" w:lineRule="auto"/>
              <w:ind w:left="510"/>
            </w:pPr>
            <w:r>
              <w:t>个</w:t>
            </w:r>
          </w:p>
        </w:tc>
        <w:tc>
          <w:tcPr>
            <w:tcW w:w="2550" w:type="pct"/>
            <w:vAlign w:val="top"/>
          </w:tcPr>
          <w:p w14:paraId="5A4D4D7D">
            <w:pPr>
              <w:pStyle w:val="110"/>
              <w:spacing w:before="133" w:line="220" w:lineRule="auto"/>
              <w:ind w:left="134"/>
            </w:pPr>
            <w:r>
              <w:rPr>
                <w:spacing w:val="-13"/>
              </w:rPr>
              <w:t>1</w:t>
            </w:r>
            <w:r>
              <w:rPr>
                <w:spacing w:val="-48"/>
              </w:rPr>
              <w:t xml:space="preserve"> </w:t>
            </w:r>
            <w:r>
              <w:rPr>
                <w:spacing w:val="-13"/>
              </w:rPr>
              <w:t>大</w:t>
            </w:r>
            <w:r>
              <w:rPr>
                <w:spacing w:val="-48"/>
              </w:rPr>
              <w:t xml:space="preserve"> </w:t>
            </w:r>
            <w:r>
              <w:rPr>
                <w:spacing w:val="-13"/>
              </w:rPr>
              <w:t>2</w:t>
            </w:r>
            <w:r>
              <w:rPr>
                <w:spacing w:val="-45"/>
              </w:rPr>
              <w:t xml:space="preserve"> </w:t>
            </w:r>
            <w:r>
              <w:rPr>
                <w:spacing w:val="-13"/>
              </w:rPr>
              <w:t>小</w:t>
            </w:r>
          </w:p>
        </w:tc>
      </w:tr>
      <w:tr w14:paraId="5225D0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04" w:type="pct"/>
            <w:vAlign w:val="top"/>
          </w:tcPr>
          <w:p w14:paraId="65D742A8">
            <w:pPr>
              <w:bidi w:val="0"/>
              <w:jc w:val="center"/>
              <w:rPr>
                <w:sz w:val="24"/>
                <w:szCs w:val="32"/>
              </w:rPr>
            </w:pPr>
            <w:r>
              <w:rPr>
                <w:sz w:val="24"/>
                <w:szCs w:val="32"/>
              </w:rPr>
              <w:t>玻璃茶几</w:t>
            </w:r>
          </w:p>
        </w:tc>
        <w:tc>
          <w:tcPr>
            <w:tcW w:w="672" w:type="pct"/>
            <w:vAlign w:val="top"/>
          </w:tcPr>
          <w:p w14:paraId="709BF45F">
            <w:pPr>
              <w:pStyle w:val="110"/>
              <w:spacing w:before="166" w:line="241" w:lineRule="auto"/>
              <w:ind w:left="570"/>
            </w:pPr>
            <w:r>
              <w:t>1</w:t>
            </w:r>
          </w:p>
        </w:tc>
        <w:tc>
          <w:tcPr>
            <w:tcW w:w="672" w:type="pct"/>
            <w:vAlign w:val="top"/>
          </w:tcPr>
          <w:p w14:paraId="5726E10B">
            <w:pPr>
              <w:pStyle w:val="110"/>
              <w:spacing w:before="166" w:line="219" w:lineRule="auto"/>
              <w:ind w:left="510"/>
            </w:pPr>
            <w:r>
              <w:t>个</w:t>
            </w:r>
          </w:p>
        </w:tc>
        <w:tc>
          <w:tcPr>
            <w:tcW w:w="2550" w:type="pct"/>
            <w:vAlign w:val="top"/>
          </w:tcPr>
          <w:p w14:paraId="1DC96589">
            <w:pPr>
              <w:rPr>
                <w:rFonts w:ascii="Arial"/>
                <w:sz w:val="21"/>
              </w:rPr>
            </w:pPr>
          </w:p>
        </w:tc>
      </w:tr>
      <w:tr w14:paraId="42791A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096A6B72">
            <w:pPr>
              <w:bidi w:val="0"/>
              <w:jc w:val="center"/>
              <w:rPr>
                <w:sz w:val="24"/>
                <w:szCs w:val="32"/>
              </w:rPr>
            </w:pPr>
            <w:r>
              <w:rPr>
                <w:sz w:val="24"/>
                <w:szCs w:val="32"/>
              </w:rPr>
              <w:t>双人床</w:t>
            </w:r>
          </w:p>
        </w:tc>
        <w:tc>
          <w:tcPr>
            <w:tcW w:w="672" w:type="pct"/>
            <w:vAlign w:val="top"/>
          </w:tcPr>
          <w:p w14:paraId="37DF6792">
            <w:pPr>
              <w:pStyle w:val="110"/>
              <w:spacing w:before="168" w:line="241" w:lineRule="auto"/>
              <w:ind w:left="570"/>
            </w:pPr>
            <w:r>
              <w:t>1</w:t>
            </w:r>
          </w:p>
        </w:tc>
        <w:tc>
          <w:tcPr>
            <w:tcW w:w="672" w:type="pct"/>
            <w:vAlign w:val="top"/>
          </w:tcPr>
          <w:p w14:paraId="573F0737">
            <w:pPr>
              <w:pStyle w:val="110"/>
              <w:spacing w:before="169" w:line="219" w:lineRule="auto"/>
              <w:ind w:left="510"/>
            </w:pPr>
            <w:r>
              <w:t>个</w:t>
            </w:r>
          </w:p>
        </w:tc>
        <w:tc>
          <w:tcPr>
            <w:tcW w:w="2550" w:type="pct"/>
            <w:vAlign w:val="top"/>
          </w:tcPr>
          <w:p w14:paraId="3FA7DD24">
            <w:pPr>
              <w:rPr>
                <w:rFonts w:ascii="Arial"/>
                <w:sz w:val="21"/>
              </w:rPr>
            </w:pPr>
          </w:p>
        </w:tc>
      </w:tr>
      <w:tr w14:paraId="58DAD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375488B8">
            <w:pPr>
              <w:bidi w:val="0"/>
              <w:jc w:val="center"/>
              <w:rPr>
                <w:sz w:val="24"/>
                <w:szCs w:val="32"/>
              </w:rPr>
            </w:pPr>
            <w:r>
              <w:rPr>
                <w:sz w:val="24"/>
                <w:szCs w:val="32"/>
              </w:rPr>
              <w:t>架子床</w:t>
            </w:r>
          </w:p>
        </w:tc>
        <w:tc>
          <w:tcPr>
            <w:tcW w:w="672" w:type="pct"/>
            <w:vAlign w:val="top"/>
          </w:tcPr>
          <w:p w14:paraId="03937DE1">
            <w:pPr>
              <w:pStyle w:val="110"/>
              <w:spacing w:before="167" w:line="241" w:lineRule="auto"/>
              <w:ind w:left="551"/>
            </w:pPr>
            <w:r>
              <w:t>4</w:t>
            </w:r>
          </w:p>
        </w:tc>
        <w:tc>
          <w:tcPr>
            <w:tcW w:w="672" w:type="pct"/>
            <w:vAlign w:val="top"/>
          </w:tcPr>
          <w:p w14:paraId="5F92E012">
            <w:pPr>
              <w:pStyle w:val="110"/>
              <w:spacing w:before="167" w:line="220" w:lineRule="auto"/>
              <w:ind w:left="511"/>
            </w:pPr>
            <w:r>
              <w:t>套</w:t>
            </w:r>
          </w:p>
        </w:tc>
        <w:tc>
          <w:tcPr>
            <w:tcW w:w="2550" w:type="pct"/>
            <w:vAlign w:val="top"/>
          </w:tcPr>
          <w:p w14:paraId="6DA3D39C">
            <w:pPr>
              <w:rPr>
                <w:rFonts w:ascii="Arial"/>
                <w:sz w:val="21"/>
              </w:rPr>
            </w:pPr>
          </w:p>
        </w:tc>
      </w:tr>
      <w:tr w14:paraId="1C212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0B07A475">
            <w:pPr>
              <w:bidi w:val="0"/>
              <w:jc w:val="center"/>
              <w:rPr>
                <w:sz w:val="24"/>
                <w:szCs w:val="32"/>
              </w:rPr>
            </w:pPr>
            <w:r>
              <w:rPr>
                <w:sz w:val="24"/>
                <w:szCs w:val="32"/>
              </w:rPr>
              <w:t>电视机</w:t>
            </w:r>
          </w:p>
        </w:tc>
        <w:tc>
          <w:tcPr>
            <w:tcW w:w="672" w:type="pct"/>
            <w:vAlign w:val="top"/>
          </w:tcPr>
          <w:p w14:paraId="18F739B0">
            <w:pPr>
              <w:pStyle w:val="110"/>
              <w:spacing w:before="166" w:line="241" w:lineRule="auto"/>
              <w:ind w:left="570"/>
            </w:pPr>
            <w:r>
              <w:t>1</w:t>
            </w:r>
          </w:p>
        </w:tc>
        <w:tc>
          <w:tcPr>
            <w:tcW w:w="672" w:type="pct"/>
            <w:vAlign w:val="top"/>
          </w:tcPr>
          <w:p w14:paraId="3BF3B9F7">
            <w:pPr>
              <w:pStyle w:val="110"/>
              <w:spacing w:before="167" w:line="221" w:lineRule="auto"/>
              <w:ind w:left="529"/>
            </w:pPr>
            <w:r>
              <w:t>台</w:t>
            </w:r>
          </w:p>
        </w:tc>
        <w:tc>
          <w:tcPr>
            <w:tcW w:w="2550" w:type="pct"/>
            <w:vAlign w:val="top"/>
          </w:tcPr>
          <w:p w14:paraId="0A84CCA1">
            <w:pPr>
              <w:rPr>
                <w:rFonts w:ascii="Arial"/>
                <w:sz w:val="21"/>
              </w:rPr>
            </w:pPr>
          </w:p>
        </w:tc>
      </w:tr>
      <w:tr w14:paraId="4FF1D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42ECFAD8">
            <w:pPr>
              <w:bidi w:val="0"/>
              <w:jc w:val="center"/>
              <w:rPr>
                <w:sz w:val="24"/>
                <w:szCs w:val="32"/>
              </w:rPr>
            </w:pPr>
            <w:r>
              <w:rPr>
                <w:sz w:val="24"/>
                <w:szCs w:val="32"/>
              </w:rPr>
              <w:t>泥浆泵</w:t>
            </w:r>
          </w:p>
        </w:tc>
        <w:tc>
          <w:tcPr>
            <w:tcW w:w="672" w:type="pct"/>
            <w:vAlign w:val="top"/>
          </w:tcPr>
          <w:p w14:paraId="0226600E">
            <w:pPr>
              <w:pStyle w:val="110"/>
              <w:spacing w:before="168" w:line="241" w:lineRule="auto"/>
              <w:ind w:left="570"/>
            </w:pPr>
            <w:r>
              <w:t>1</w:t>
            </w:r>
          </w:p>
        </w:tc>
        <w:tc>
          <w:tcPr>
            <w:tcW w:w="672" w:type="pct"/>
            <w:vAlign w:val="top"/>
          </w:tcPr>
          <w:p w14:paraId="29EB442C">
            <w:pPr>
              <w:pStyle w:val="110"/>
              <w:spacing w:before="168" w:line="219" w:lineRule="auto"/>
              <w:ind w:left="510"/>
            </w:pPr>
            <w:r>
              <w:t>个</w:t>
            </w:r>
          </w:p>
        </w:tc>
        <w:tc>
          <w:tcPr>
            <w:tcW w:w="2550" w:type="pct"/>
            <w:vAlign w:val="top"/>
          </w:tcPr>
          <w:p w14:paraId="29B71A8C">
            <w:pPr>
              <w:rPr>
                <w:rFonts w:ascii="Arial"/>
                <w:sz w:val="21"/>
              </w:rPr>
            </w:pPr>
          </w:p>
        </w:tc>
      </w:tr>
      <w:tr w14:paraId="0972EA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104" w:type="pct"/>
            <w:vAlign w:val="top"/>
          </w:tcPr>
          <w:p w14:paraId="4B8C97EC">
            <w:pPr>
              <w:bidi w:val="0"/>
              <w:jc w:val="center"/>
              <w:rPr>
                <w:sz w:val="24"/>
                <w:szCs w:val="32"/>
              </w:rPr>
            </w:pPr>
            <w:r>
              <w:rPr>
                <w:sz w:val="24"/>
                <w:szCs w:val="32"/>
              </w:rPr>
              <w:t>洗车机</w:t>
            </w:r>
          </w:p>
        </w:tc>
        <w:tc>
          <w:tcPr>
            <w:tcW w:w="672" w:type="pct"/>
            <w:vAlign w:val="top"/>
          </w:tcPr>
          <w:p w14:paraId="462FFE81">
            <w:pPr>
              <w:pStyle w:val="110"/>
              <w:spacing w:before="167" w:line="241" w:lineRule="auto"/>
              <w:ind w:left="570"/>
            </w:pPr>
            <w:r>
              <w:t>1</w:t>
            </w:r>
          </w:p>
        </w:tc>
        <w:tc>
          <w:tcPr>
            <w:tcW w:w="672" w:type="pct"/>
            <w:vAlign w:val="top"/>
          </w:tcPr>
          <w:p w14:paraId="14756428">
            <w:pPr>
              <w:pStyle w:val="110"/>
              <w:spacing w:before="167" w:line="221" w:lineRule="auto"/>
              <w:ind w:left="529"/>
            </w:pPr>
            <w:r>
              <w:t>台</w:t>
            </w:r>
          </w:p>
        </w:tc>
        <w:tc>
          <w:tcPr>
            <w:tcW w:w="2550" w:type="pct"/>
            <w:vAlign w:val="top"/>
          </w:tcPr>
          <w:p w14:paraId="0302E1E8">
            <w:pPr>
              <w:rPr>
                <w:rFonts w:ascii="Arial"/>
                <w:sz w:val="21"/>
              </w:rPr>
            </w:pPr>
          </w:p>
        </w:tc>
      </w:tr>
    </w:tbl>
    <w:p w14:paraId="30F7A24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五、工作目标</w:t>
      </w:r>
    </w:p>
    <w:p w14:paraId="5E46F23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1.环境保洁 </w:t>
      </w:r>
    </w:p>
    <w:p w14:paraId="269FC5D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①积极配合新筑街道城市综合管理办公室做好各主干道沿线、各行政村、集贸市场、驻地单位垃圾斗及垃圾点的垃圾清运。 </w:t>
      </w:r>
    </w:p>
    <w:p w14:paraId="36FE5B4F">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②按照规定将垃圾点及垃圾斗的生活垃圾，统一收集于压缩站，压缩后及时运至指定垃圾场。因未在指定垃圾场倾倒，而引发的意外事件由乙方全部承担责任，与甲方无关，并甲方有随时终止合同的权利。 </w:t>
      </w:r>
    </w:p>
    <w:p w14:paraId="5DFF007F">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2.压缩站保洁 </w:t>
      </w:r>
    </w:p>
    <w:p w14:paraId="0693EE4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①每月定期清洗维护垃圾压缩机，同时每周三次对垃圾清运车辆进行清洗、保洁，并做好记录，每月底交办公室。 </w:t>
      </w:r>
    </w:p>
    <w:p w14:paraId="5BBCA690">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②做好垃圾压缩站大院内的环境卫生。 </w:t>
      </w:r>
    </w:p>
    <w:p w14:paraId="63488047">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③定期喷洒药物，做好“爱卫”工作，要求有影像文字资料。 </w:t>
      </w:r>
    </w:p>
    <w:p w14:paraId="65B9AF13">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bCs/>
          <w:sz w:val="28"/>
          <w:szCs w:val="28"/>
          <w:highlight w:val="green"/>
          <w:lang w:val="en-US" w:eastAsia="zh-CN"/>
        </w:rPr>
      </w:pPr>
      <w:r>
        <w:rPr>
          <w:rFonts w:hint="eastAsia" w:ascii="宋体" w:hAnsi="宋体" w:eastAsia="宋体" w:cs="宋体"/>
          <w:color w:val="000000"/>
          <w:kern w:val="0"/>
          <w:sz w:val="24"/>
          <w:szCs w:val="24"/>
          <w:lang w:val="en-US" w:eastAsia="zh-CN" w:bidi="ar"/>
        </w:rPr>
        <w:t>④做好垃圾清运车辆运输途中的垃圾斗覆盖工作。</w:t>
      </w:r>
    </w:p>
    <w:p w14:paraId="7A7945C0">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bidi="ar-SA"/>
        </w:rPr>
        <w:t>六、</w:t>
      </w:r>
      <w:r>
        <w:rPr>
          <w:rFonts w:hint="eastAsia" w:ascii="宋体" w:hAnsi="宋体" w:eastAsia="宋体" w:cs="宋体"/>
          <w:b/>
          <w:bCs/>
          <w:sz w:val="24"/>
          <w:szCs w:val="24"/>
          <w:highlight w:val="none"/>
          <w:lang w:val="en-US" w:eastAsia="zh-CN"/>
        </w:rPr>
        <w:t>考核细则</w:t>
      </w:r>
    </w:p>
    <w:p w14:paraId="2AC1BA3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1.垃圾清运作业</w:t>
      </w:r>
    </w:p>
    <w:p w14:paraId="1146EF72">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lang w:val="en-US" w:eastAsia="zh-CN" w:bidi="ar"/>
        </w:rPr>
        <w:t>本项考核以“零通报”为目标。经核实，若当月出现由区级及以上相关职能部门对垃圾清运工作进行的通报批评，</w:t>
      </w:r>
      <w:r>
        <w:rPr>
          <w:rFonts w:hint="eastAsia" w:ascii="宋体" w:hAnsi="宋体" w:eastAsia="宋体" w:cs="宋体"/>
          <w:color w:val="000000"/>
          <w:kern w:val="0"/>
          <w:sz w:val="24"/>
          <w:szCs w:val="24"/>
          <w:highlight w:val="none"/>
          <w:lang w:val="en-US" w:eastAsia="zh-CN" w:bidi="ar"/>
        </w:rPr>
        <w:t>将依据《细则》规定，对当月服务费用进行相应金额的扣减。</w:t>
      </w:r>
    </w:p>
    <w:p w14:paraId="630D86A7">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2.扬尘管控</w:t>
      </w:r>
    </w:p>
    <w:p w14:paraId="2E93E07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本项考核以“无污染”为目标。经核实，若当月因道路扬尘排名靠后或被区级及以上部门通报批评，或若因出租车走航监测报警被相关部门通报，将依据《细则》规定，对当月服务费用进行相应金额的扣减。</w:t>
      </w:r>
    </w:p>
    <w:p w14:paraId="3CFFE4A7">
      <w:pPr>
        <w:spacing w:before="275" w:line="219" w:lineRule="auto"/>
        <w:jc w:val="center"/>
        <w:rPr>
          <w:rFonts w:ascii="宋体" w:hAnsi="宋体" w:eastAsia="宋体" w:cs="宋体"/>
          <w:sz w:val="28"/>
          <w:szCs w:val="28"/>
          <w:highlight w:val="none"/>
        </w:rPr>
      </w:pPr>
      <w:r>
        <w:rPr>
          <w:rFonts w:ascii="宋体" w:hAnsi="宋体" w:eastAsia="宋体" w:cs="宋体"/>
          <w:b/>
          <w:bCs/>
          <w:spacing w:val="-5"/>
          <w:sz w:val="28"/>
          <w:szCs w:val="28"/>
          <w:highlight w:val="none"/>
        </w:rPr>
        <w:t>新筑垃圾压缩站</w:t>
      </w:r>
      <w:r>
        <w:rPr>
          <w:rFonts w:ascii="宋体" w:hAnsi="宋体" w:eastAsia="宋体" w:cs="宋体"/>
          <w:spacing w:val="144"/>
          <w:sz w:val="28"/>
          <w:szCs w:val="28"/>
          <w:highlight w:val="none"/>
          <w:u w:val="single" w:color="auto"/>
        </w:rPr>
        <w:t xml:space="preserve"> </w:t>
      </w:r>
      <w:r>
        <w:rPr>
          <w:rFonts w:ascii="宋体" w:hAnsi="宋体" w:eastAsia="宋体" w:cs="宋体"/>
          <w:spacing w:val="-122"/>
          <w:sz w:val="28"/>
          <w:szCs w:val="28"/>
          <w:highlight w:val="none"/>
        </w:rPr>
        <w:t xml:space="preserve"> </w:t>
      </w:r>
      <w:r>
        <w:rPr>
          <w:rFonts w:ascii="宋体" w:hAnsi="宋体" w:eastAsia="宋体" w:cs="宋体"/>
          <w:b/>
          <w:bCs/>
          <w:spacing w:val="-5"/>
          <w:sz w:val="28"/>
          <w:szCs w:val="28"/>
          <w:highlight w:val="none"/>
        </w:rPr>
        <w:t>月考核细则</w:t>
      </w:r>
    </w:p>
    <w:p w14:paraId="3F69C728">
      <w:pPr>
        <w:spacing w:before="188" w:line="219" w:lineRule="auto"/>
        <w:ind w:left="610"/>
        <w:rPr>
          <w:rFonts w:ascii="宋体" w:hAnsi="宋体" w:eastAsia="宋体" w:cs="宋体"/>
          <w:sz w:val="24"/>
          <w:szCs w:val="24"/>
        </w:rPr>
      </w:pPr>
      <w:r>
        <w:rPr>
          <w:rFonts w:ascii="宋体" w:hAnsi="宋体" w:eastAsia="宋体" w:cs="宋体"/>
          <w:spacing w:val="-5"/>
          <w:sz w:val="24"/>
          <w:szCs w:val="24"/>
        </w:rPr>
        <w:t xml:space="preserve">负责人：                                            日期：   </w:t>
      </w:r>
      <w:r>
        <w:rPr>
          <w:rFonts w:ascii="宋体" w:hAnsi="宋体" w:eastAsia="宋体" w:cs="宋体"/>
          <w:spacing w:val="-6"/>
          <w:sz w:val="24"/>
          <w:szCs w:val="24"/>
        </w:rPr>
        <w:t>年   月    日</w:t>
      </w:r>
    </w:p>
    <w:p w14:paraId="06AAE950">
      <w:pPr>
        <w:spacing w:line="32" w:lineRule="auto"/>
        <w:rPr>
          <w:rFonts w:ascii="Arial"/>
          <w:sz w:val="2"/>
        </w:rPr>
      </w:pPr>
    </w:p>
    <w:tbl>
      <w:tblPr>
        <w:tblStyle w:val="109"/>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68"/>
        <w:gridCol w:w="7189"/>
        <w:gridCol w:w="1677"/>
      </w:tblGrid>
      <w:tr w14:paraId="1843B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trPr>
        <w:tc>
          <w:tcPr>
            <w:tcW w:w="446" w:type="pct"/>
            <w:vAlign w:val="top"/>
          </w:tcPr>
          <w:p w14:paraId="4809624E">
            <w:pPr>
              <w:pStyle w:val="110"/>
              <w:spacing w:before="50" w:line="219" w:lineRule="auto"/>
              <w:ind w:left="195"/>
            </w:pPr>
            <w:r>
              <w:rPr>
                <w:spacing w:val="-5"/>
              </w:rPr>
              <w:t>考核</w:t>
            </w:r>
          </w:p>
          <w:p w14:paraId="49D44775">
            <w:pPr>
              <w:pStyle w:val="110"/>
              <w:spacing w:before="48" w:line="216" w:lineRule="auto"/>
              <w:ind w:left="199"/>
            </w:pPr>
            <w:r>
              <w:rPr>
                <w:spacing w:val="-7"/>
              </w:rPr>
              <w:t>项目</w:t>
            </w:r>
          </w:p>
        </w:tc>
        <w:tc>
          <w:tcPr>
            <w:tcW w:w="3691" w:type="pct"/>
            <w:vAlign w:val="top"/>
          </w:tcPr>
          <w:p w14:paraId="612CB65E">
            <w:pPr>
              <w:pStyle w:val="110"/>
              <w:spacing w:before="216" w:line="219" w:lineRule="auto"/>
              <w:ind w:left="3061"/>
            </w:pPr>
            <w:r>
              <w:rPr>
                <w:spacing w:val="-3"/>
              </w:rPr>
              <w:t>考核细则</w:t>
            </w:r>
          </w:p>
        </w:tc>
        <w:tc>
          <w:tcPr>
            <w:tcW w:w="861" w:type="pct"/>
            <w:vAlign w:val="top"/>
          </w:tcPr>
          <w:p w14:paraId="1CA78A62">
            <w:pPr>
              <w:pStyle w:val="110"/>
              <w:spacing w:before="216" w:line="219" w:lineRule="auto"/>
              <w:ind w:left="351"/>
            </w:pPr>
            <w:r>
              <w:rPr>
                <w:spacing w:val="-3"/>
              </w:rPr>
              <w:t>考核结果</w:t>
            </w:r>
          </w:p>
        </w:tc>
      </w:tr>
      <w:tr w14:paraId="632C2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restart"/>
            <w:tcBorders>
              <w:bottom w:val="nil"/>
            </w:tcBorders>
            <w:vAlign w:val="top"/>
          </w:tcPr>
          <w:p w14:paraId="16A108EC">
            <w:pPr>
              <w:spacing w:line="242" w:lineRule="auto"/>
              <w:rPr>
                <w:rFonts w:ascii="Arial"/>
                <w:sz w:val="21"/>
              </w:rPr>
            </w:pPr>
          </w:p>
          <w:p w14:paraId="2A9516E0">
            <w:pPr>
              <w:spacing w:line="242" w:lineRule="auto"/>
              <w:rPr>
                <w:rFonts w:ascii="Arial"/>
                <w:sz w:val="21"/>
              </w:rPr>
            </w:pPr>
          </w:p>
          <w:p w14:paraId="7A27BD20">
            <w:pPr>
              <w:spacing w:line="242" w:lineRule="auto"/>
              <w:rPr>
                <w:rFonts w:ascii="Arial"/>
                <w:sz w:val="21"/>
              </w:rPr>
            </w:pPr>
          </w:p>
          <w:p w14:paraId="448AB710">
            <w:pPr>
              <w:spacing w:line="242" w:lineRule="auto"/>
              <w:rPr>
                <w:rFonts w:ascii="Arial"/>
                <w:sz w:val="21"/>
              </w:rPr>
            </w:pPr>
          </w:p>
          <w:p w14:paraId="17B769C6">
            <w:pPr>
              <w:spacing w:line="243" w:lineRule="auto"/>
              <w:rPr>
                <w:rFonts w:ascii="Arial"/>
                <w:sz w:val="21"/>
              </w:rPr>
            </w:pPr>
          </w:p>
          <w:p w14:paraId="01299AB4">
            <w:pPr>
              <w:spacing w:line="243" w:lineRule="auto"/>
              <w:rPr>
                <w:rFonts w:ascii="Arial"/>
                <w:sz w:val="21"/>
              </w:rPr>
            </w:pPr>
          </w:p>
          <w:p w14:paraId="3469FB87">
            <w:pPr>
              <w:spacing w:line="243" w:lineRule="auto"/>
              <w:rPr>
                <w:rFonts w:ascii="Arial"/>
                <w:sz w:val="21"/>
              </w:rPr>
            </w:pPr>
          </w:p>
          <w:p w14:paraId="17099C65">
            <w:pPr>
              <w:pStyle w:val="110"/>
              <w:spacing w:before="78" w:line="258" w:lineRule="auto"/>
              <w:ind w:left="195" w:right="185" w:firstLine="1"/>
              <w:jc w:val="both"/>
            </w:pPr>
            <w:r>
              <w:rPr>
                <w:spacing w:val="-6"/>
              </w:rPr>
              <w:t>垃圾</w:t>
            </w:r>
            <w:r>
              <w:rPr>
                <w:spacing w:val="-5"/>
              </w:rPr>
              <w:t>清运作业</w:t>
            </w:r>
          </w:p>
        </w:tc>
        <w:tc>
          <w:tcPr>
            <w:tcW w:w="3691" w:type="pct"/>
            <w:vAlign w:val="top"/>
          </w:tcPr>
          <w:p w14:paraId="43365B8F">
            <w:pPr>
              <w:pStyle w:val="110"/>
              <w:spacing w:before="192" w:line="219" w:lineRule="auto"/>
              <w:ind w:left="129"/>
            </w:pPr>
            <w:r>
              <w:rPr>
                <w:spacing w:val="-2"/>
              </w:rPr>
              <w:t>1.当日辖区垃圾收集点是否全部清运完成</w:t>
            </w:r>
          </w:p>
        </w:tc>
        <w:tc>
          <w:tcPr>
            <w:tcW w:w="861" w:type="pct"/>
            <w:vAlign w:val="top"/>
          </w:tcPr>
          <w:p w14:paraId="04165CCB">
            <w:pPr>
              <w:pStyle w:val="110"/>
              <w:spacing w:before="193"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6BBAE9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328E1840">
            <w:pPr>
              <w:rPr>
                <w:rFonts w:ascii="Arial"/>
                <w:sz w:val="21"/>
              </w:rPr>
            </w:pPr>
          </w:p>
        </w:tc>
        <w:tc>
          <w:tcPr>
            <w:tcW w:w="3691" w:type="pct"/>
            <w:vAlign w:val="top"/>
          </w:tcPr>
          <w:p w14:paraId="58BF804C">
            <w:pPr>
              <w:pStyle w:val="110"/>
              <w:spacing w:before="193" w:line="220" w:lineRule="auto"/>
              <w:ind w:left="115"/>
            </w:pPr>
            <w:r>
              <w:rPr>
                <w:spacing w:val="-1"/>
              </w:rPr>
              <w:t>2.垃圾转运途中垃圾箱（斗）是否覆盖</w:t>
            </w:r>
          </w:p>
        </w:tc>
        <w:tc>
          <w:tcPr>
            <w:tcW w:w="861" w:type="pct"/>
            <w:vAlign w:val="top"/>
          </w:tcPr>
          <w:p w14:paraId="349BEAA1">
            <w:pPr>
              <w:pStyle w:val="110"/>
              <w:spacing w:before="193"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72A69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670CE446">
            <w:pPr>
              <w:rPr>
                <w:rFonts w:ascii="Arial"/>
                <w:sz w:val="21"/>
              </w:rPr>
            </w:pPr>
          </w:p>
        </w:tc>
        <w:tc>
          <w:tcPr>
            <w:tcW w:w="3691" w:type="pct"/>
            <w:vAlign w:val="top"/>
          </w:tcPr>
          <w:p w14:paraId="7B073E7B">
            <w:pPr>
              <w:pStyle w:val="110"/>
              <w:spacing w:before="194" w:line="220" w:lineRule="auto"/>
              <w:ind w:left="116"/>
            </w:pPr>
            <w:r>
              <w:rPr>
                <w:spacing w:val="-1"/>
              </w:rPr>
              <w:t>3.垃圾转运途中是否出现抛洒、滴漏</w:t>
            </w:r>
          </w:p>
        </w:tc>
        <w:tc>
          <w:tcPr>
            <w:tcW w:w="861" w:type="pct"/>
            <w:vAlign w:val="top"/>
          </w:tcPr>
          <w:p w14:paraId="4C6F7F4C">
            <w:pPr>
              <w:pStyle w:val="110"/>
              <w:spacing w:before="193"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7FFE8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6F258E96">
            <w:pPr>
              <w:rPr>
                <w:rFonts w:ascii="Arial"/>
                <w:sz w:val="21"/>
              </w:rPr>
            </w:pPr>
          </w:p>
        </w:tc>
        <w:tc>
          <w:tcPr>
            <w:tcW w:w="3691" w:type="pct"/>
            <w:vAlign w:val="top"/>
          </w:tcPr>
          <w:p w14:paraId="00C30ABE">
            <w:pPr>
              <w:pStyle w:val="110"/>
              <w:spacing w:before="195" w:line="219" w:lineRule="auto"/>
              <w:ind w:left="111"/>
            </w:pPr>
            <w:r>
              <w:rPr>
                <w:spacing w:val="-1"/>
              </w:rPr>
              <w:t>4.垃圾转运人员是否服从街办人员临时调配</w:t>
            </w:r>
          </w:p>
        </w:tc>
        <w:tc>
          <w:tcPr>
            <w:tcW w:w="861" w:type="pct"/>
            <w:vAlign w:val="top"/>
          </w:tcPr>
          <w:p w14:paraId="241A8C90">
            <w:pPr>
              <w:pStyle w:val="110"/>
              <w:spacing w:before="194"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694DD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24916BA5">
            <w:pPr>
              <w:rPr>
                <w:rFonts w:ascii="Arial"/>
                <w:sz w:val="21"/>
              </w:rPr>
            </w:pPr>
          </w:p>
        </w:tc>
        <w:tc>
          <w:tcPr>
            <w:tcW w:w="3691" w:type="pct"/>
            <w:vAlign w:val="top"/>
          </w:tcPr>
          <w:p w14:paraId="16DFD8F3">
            <w:pPr>
              <w:pStyle w:val="110"/>
              <w:spacing w:before="193" w:line="219" w:lineRule="auto"/>
              <w:ind w:left="116"/>
            </w:pPr>
            <w:r>
              <w:rPr>
                <w:spacing w:val="-1"/>
              </w:rPr>
              <w:t>5.垃圾转运人员作业期间是否穿着反光安全服</w:t>
            </w:r>
          </w:p>
        </w:tc>
        <w:tc>
          <w:tcPr>
            <w:tcW w:w="861" w:type="pct"/>
            <w:vAlign w:val="top"/>
          </w:tcPr>
          <w:p w14:paraId="2E0D1A2A">
            <w:pPr>
              <w:pStyle w:val="110"/>
              <w:spacing w:before="192"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4838E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446" w:type="pct"/>
            <w:vMerge w:val="continue"/>
            <w:tcBorders>
              <w:top w:val="nil"/>
              <w:bottom w:val="nil"/>
            </w:tcBorders>
            <w:vAlign w:val="top"/>
          </w:tcPr>
          <w:p w14:paraId="2FAA9DA4">
            <w:pPr>
              <w:rPr>
                <w:rFonts w:ascii="Arial"/>
                <w:sz w:val="21"/>
              </w:rPr>
            </w:pPr>
          </w:p>
        </w:tc>
        <w:tc>
          <w:tcPr>
            <w:tcW w:w="3691" w:type="pct"/>
            <w:vAlign w:val="top"/>
          </w:tcPr>
          <w:p w14:paraId="48774C56">
            <w:pPr>
              <w:pStyle w:val="110"/>
              <w:spacing w:before="46" w:line="236" w:lineRule="auto"/>
              <w:ind w:left="118" w:right="105" w:hanging="4"/>
            </w:pPr>
            <w:r>
              <w:t>6.本月是否出现街办/区级及以上通报（</w:t>
            </w:r>
            <w:r>
              <w:rPr>
                <w:spacing w:val="-1"/>
              </w:rPr>
              <w:t>若有，街办</w:t>
            </w:r>
            <w:r>
              <w:rPr>
                <w:spacing w:val="-1"/>
                <w:u w:val="single" w:color="auto"/>
              </w:rPr>
              <w:t xml:space="preserve">   </w:t>
            </w:r>
            <w:r>
              <w:rPr>
                <w:spacing w:val="-104"/>
              </w:rPr>
              <w:t xml:space="preserve"> </w:t>
            </w:r>
            <w:r>
              <w:rPr>
                <w:spacing w:val="-1"/>
              </w:rPr>
              <w:t>次，区级</w:t>
            </w:r>
            <w:r>
              <w:rPr>
                <w:spacing w:val="-1"/>
                <w:u w:val="single" w:color="auto"/>
              </w:rPr>
              <w:t xml:space="preserve"> </w:t>
            </w:r>
            <w:r>
              <w:rPr>
                <w:spacing w:val="-5"/>
              </w:rPr>
              <w:t>次，市级</w:t>
            </w:r>
            <w:r>
              <w:rPr>
                <w:spacing w:val="-5"/>
                <w:u w:val="single" w:color="auto"/>
              </w:rPr>
              <w:t xml:space="preserve">   </w:t>
            </w:r>
            <w:r>
              <w:rPr>
                <w:spacing w:val="-78"/>
              </w:rPr>
              <w:t xml:space="preserve"> </w:t>
            </w:r>
            <w:r>
              <w:rPr>
                <w:spacing w:val="-5"/>
              </w:rPr>
              <w:t>，省级</w:t>
            </w:r>
            <w:r>
              <w:rPr>
                <w:spacing w:val="-5"/>
                <w:u w:val="single" w:color="auto"/>
              </w:rPr>
              <w:t xml:space="preserve">   </w:t>
            </w:r>
            <w:r>
              <w:rPr>
                <w:spacing w:val="-104"/>
              </w:rPr>
              <w:t xml:space="preserve"> </w:t>
            </w:r>
            <w:r>
              <w:rPr>
                <w:spacing w:val="-5"/>
              </w:rPr>
              <w:t>次）</w:t>
            </w:r>
          </w:p>
        </w:tc>
        <w:tc>
          <w:tcPr>
            <w:tcW w:w="861" w:type="pct"/>
            <w:vAlign w:val="top"/>
          </w:tcPr>
          <w:p w14:paraId="680AE14C">
            <w:pPr>
              <w:pStyle w:val="110"/>
              <w:spacing w:before="211"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1E711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446" w:type="pct"/>
            <w:vMerge w:val="continue"/>
            <w:tcBorders>
              <w:top w:val="nil"/>
            </w:tcBorders>
            <w:vAlign w:val="top"/>
          </w:tcPr>
          <w:p w14:paraId="734FD36C">
            <w:pPr>
              <w:rPr>
                <w:rFonts w:ascii="Arial"/>
                <w:sz w:val="21"/>
              </w:rPr>
            </w:pPr>
          </w:p>
        </w:tc>
        <w:tc>
          <w:tcPr>
            <w:tcW w:w="3691" w:type="pct"/>
            <w:vAlign w:val="top"/>
          </w:tcPr>
          <w:p w14:paraId="7F6F4101">
            <w:pPr>
              <w:pStyle w:val="110"/>
              <w:spacing w:before="188" w:line="219" w:lineRule="auto"/>
              <w:ind w:left="117"/>
            </w:pPr>
            <w:r>
              <w:rPr>
                <w:spacing w:val="-1"/>
              </w:rPr>
              <w:t>7.对于保洁队长上报的垃圾点位是否及时清理</w:t>
            </w:r>
          </w:p>
        </w:tc>
        <w:tc>
          <w:tcPr>
            <w:tcW w:w="861" w:type="pct"/>
            <w:vAlign w:val="top"/>
          </w:tcPr>
          <w:p w14:paraId="4572D718">
            <w:pPr>
              <w:pStyle w:val="110"/>
              <w:spacing w:before="187"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193AF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restart"/>
            <w:tcBorders>
              <w:bottom w:val="nil"/>
            </w:tcBorders>
            <w:vAlign w:val="top"/>
          </w:tcPr>
          <w:p w14:paraId="21F19B1F">
            <w:pPr>
              <w:spacing w:line="255" w:lineRule="auto"/>
              <w:rPr>
                <w:rFonts w:ascii="Arial"/>
                <w:sz w:val="21"/>
              </w:rPr>
            </w:pPr>
          </w:p>
          <w:p w14:paraId="42F78AAD">
            <w:pPr>
              <w:spacing w:line="255" w:lineRule="auto"/>
              <w:rPr>
                <w:rFonts w:ascii="Arial"/>
                <w:sz w:val="21"/>
              </w:rPr>
            </w:pPr>
          </w:p>
          <w:p w14:paraId="77900290">
            <w:pPr>
              <w:spacing w:line="255" w:lineRule="auto"/>
              <w:rPr>
                <w:rFonts w:ascii="Arial"/>
                <w:sz w:val="21"/>
              </w:rPr>
            </w:pPr>
          </w:p>
          <w:p w14:paraId="496C07D6">
            <w:pPr>
              <w:spacing w:line="255" w:lineRule="auto"/>
              <w:rPr>
                <w:rFonts w:ascii="Arial"/>
                <w:sz w:val="21"/>
              </w:rPr>
            </w:pPr>
          </w:p>
          <w:p w14:paraId="29C9DF1C">
            <w:pPr>
              <w:spacing w:line="255" w:lineRule="auto"/>
              <w:rPr>
                <w:rFonts w:ascii="Arial"/>
                <w:sz w:val="21"/>
              </w:rPr>
            </w:pPr>
          </w:p>
          <w:p w14:paraId="46171509">
            <w:pPr>
              <w:spacing w:line="255" w:lineRule="auto"/>
              <w:rPr>
                <w:rFonts w:ascii="Arial"/>
                <w:sz w:val="21"/>
              </w:rPr>
            </w:pPr>
          </w:p>
          <w:p w14:paraId="5907F166">
            <w:pPr>
              <w:spacing w:line="256" w:lineRule="auto"/>
              <w:rPr>
                <w:rFonts w:ascii="Arial"/>
                <w:sz w:val="21"/>
              </w:rPr>
            </w:pPr>
          </w:p>
          <w:p w14:paraId="39448BAF">
            <w:pPr>
              <w:spacing w:line="256" w:lineRule="auto"/>
              <w:rPr>
                <w:rFonts w:ascii="Arial"/>
                <w:sz w:val="21"/>
              </w:rPr>
            </w:pPr>
          </w:p>
          <w:p w14:paraId="3D60B4A5">
            <w:pPr>
              <w:pStyle w:val="110"/>
              <w:spacing w:before="78" w:line="258" w:lineRule="auto"/>
              <w:ind w:left="195" w:right="185" w:hanging="1"/>
              <w:jc w:val="both"/>
            </w:pPr>
            <w:r>
              <w:rPr>
                <w:spacing w:val="-5"/>
              </w:rPr>
              <w:t>扬尘</w:t>
            </w:r>
            <w:r>
              <w:rPr>
                <w:spacing w:val="-6"/>
              </w:rPr>
              <w:t>管控作业</w:t>
            </w:r>
          </w:p>
        </w:tc>
        <w:tc>
          <w:tcPr>
            <w:tcW w:w="3691" w:type="pct"/>
            <w:vAlign w:val="top"/>
          </w:tcPr>
          <w:p w14:paraId="7C06D627">
            <w:pPr>
              <w:pStyle w:val="110"/>
              <w:spacing w:before="195" w:line="219" w:lineRule="auto"/>
              <w:ind w:left="129"/>
            </w:pPr>
            <w:r>
              <w:rPr>
                <w:spacing w:val="-2"/>
              </w:rPr>
              <w:t>1.是否按照既定路线进行洒水作业</w:t>
            </w:r>
          </w:p>
        </w:tc>
        <w:tc>
          <w:tcPr>
            <w:tcW w:w="861" w:type="pct"/>
            <w:vAlign w:val="top"/>
          </w:tcPr>
          <w:p w14:paraId="57C024CC">
            <w:pPr>
              <w:pStyle w:val="110"/>
              <w:spacing w:before="195"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7D5D5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446" w:type="pct"/>
            <w:vMerge w:val="continue"/>
            <w:tcBorders>
              <w:top w:val="nil"/>
              <w:bottom w:val="nil"/>
            </w:tcBorders>
            <w:vAlign w:val="top"/>
          </w:tcPr>
          <w:p w14:paraId="6BCDA635">
            <w:pPr>
              <w:rPr>
                <w:rFonts w:ascii="Arial"/>
                <w:sz w:val="21"/>
              </w:rPr>
            </w:pPr>
          </w:p>
        </w:tc>
        <w:tc>
          <w:tcPr>
            <w:tcW w:w="3691" w:type="pct"/>
            <w:vAlign w:val="top"/>
          </w:tcPr>
          <w:p w14:paraId="76B2A874">
            <w:pPr>
              <w:pStyle w:val="110"/>
              <w:spacing w:before="196" w:line="219" w:lineRule="auto"/>
              <w:ind w:left="115"/>
            </w:pPr>
            <w:r>
              <w:rPr>
                <w:spacing w:val="-1"/>
              </w:rPr>
              <w:t>2.洒水作业中是否注意避让行人</w:t>
            </w:r>
          </w:p>
        </w:tc>
        <w:tc>
          <w:tcPr>
            <w:tcW w:w="861" w:type="pct"/>
            <w:vAlign w:val="top"/>
          </w:tcPr>
          <w:p w14:paraId="7630F024">
            <w:pPr>
              <w:pStyle w:val="110"/>
              <w:spacing w:before="195"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47C54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4386754C">
            <w:pPr>
              <w:rPr>
                <w:rFonts w:ascii="Arial"/>
                <w:sz w:val="21"/>
              </w:rPr>
            </w:pPr>
          </w:p>
        </w:tc>
        <w:tc>
          <w:tcPr>
            <w:tcW w:w="3691" w:type="pct"/>
            <w:vAlign w:val="top"/>
          </w:tcPr>
          <w:p w14:paraId="0DA93705">
            <w:pPr>
              <w:pStyle w:val="110"/>
              <w:spacing w:before="195" w:line="219" w:lineRule="auto"/>
              <w:ind w:left="116"/>
            </w:pPr>
            <w:r>
              <w:rPr>
                <w:spacing w:val="-2"/>
              </w:rPr>
              <w:t>5.</w:t>
            </w:r>
            <w:r>
              <w:rPr>
                <w:spacing w:val="-28"/>
              </w:rPr>
              <w:t xml:space="preserve"> </w:t>
            </w:r>
            <w:r>
              <w:rPr>
                <w:spacing w:val="-2"/>
              </w:rPr>
              <w:t>洒水作业中是否存在偷洒、漏洒行为</w:t>
            </w:r>
          </w:p>
        </w:tc>
        <w:tc>
          <w:tcPr>
            <w:tcW w:w="861" w:type="pct"/>
            <w:vAlign w:val="top"/>
          </w:tcPr>
          <w:p w14:paraId="12B9EFFF">
            <w:pPr>
              <w:pStyle w:val="110"/>
              <w:spacing w:before="194"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6D09A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446" w:type="pct"/>
            <w:vMerge w:val="continue"/>
            <w:tcBorders>
              <w:top w:val="nil"/>
              <w:bottom w:val="nil"/>
            </w:tcBorders>
            <w:vAlign w:val="top"/>
          </w:tcPr>
          <w:p w14:paraId="52D2CC2F">
            <w:pPr>
              <w:rPr>
                <w:rFonts w:ascii="Arial"/>
                <w:sz w:val="21"/>
              </w:rPr>
            </w:pPr>
          </w:p>
        </w:tc>
        <w:tc>
          <w:tcPr>
            <w:tcW w:w="3691" w:type="pct"/>
            <w:vAlign w:val="top"/>
          </w:tcPr>
          <w:p w14:paraId="5871F856">
            <w:pPr>
              <w:pStyle w:val="110"/>
              <w:spacing w:before="195" w:line="219" w:lineRule="auto"/>
              <w:ind w:left="114"/>
            </w:pPr>
            <w:r>
              <w:rPr>
                <w:spacing w:val="-2"/>
              </w:rPr>
              <w:t>6.</w:t>
            </w:r>
            <w:r>
              <w:rPr>
                <w:spacing w:val="-21"/>
              </w:rPr>
              <w:t xml:space="preserve"> </w:t>
            </w:r>
            <w:r>
              <w:rPr>
                <w:spacing w:val="-2"/>
              </w:rPr>
              <w:t>洒水作业人员是否服从街办人员临时调配</w:t>
            </w:r>
          </w:p>
        </w:tc>
        <w:tc>
          <w:tcPr>
            <w:tcW w:w="861" w:type="pct"/>
            <w:vAlign w:val="top"/>
          </w:tcPr>
          <w:p w14:paraId="43FCAF9A">
            <w:pPr>
              <w:pStyle w:val="110"/>
              <w:spacing w:before="194"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11635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6155130C">
            <w:pPr>
              <w:rPr>
                <w:rFonts w:ascii="Arial"/>
                <w:sz w:val="21"/>
              </w:rPr>
            </w:pPr>
          </w:p>
        </w:tc>
        <w:tc>
          <w:tcPr>
            <w:tcW w:w="3691" w:type="pct"/>
            <w:vAlign w:val="top"/>
          </w:tcPr>
          <w:p w14:paraId="7DA438AF">
            <w:pPr>
              <w:pStyle w:val="110"/>
              <w:spacing w:before="197" w:line="219" w:lineRule="auto"/>
              <w:ind w:left="116"/>
            </w:pPr>
            <w:r>
              <w:rPr>
                <w:spacing w:val="-2"/>
              </w:rPr>
              <w:t>5.洒水车辆与清扫车辆是否安排</w:t>
            </w:r>
            <w:r>
              <w:rPr>
                <w:spacing w:val="-44"/>
              </w:rPr>
              <w:t xml:space="preserve"> </w:t>
            </w:r>
            <w:r>
              <w:rPr>
                <w:spacing w:val="-2"/>
              </w:rPr>
              <w:t>24</w:t>
            </w:r>
            <w:r>
              <w:rPr>
                <w:spacing w:val="-44"/>
              </w:rPr>
              <w:t xml:space="preserve"> </w:t>
            </w:r>
            <w:r>
              <w:rPr>
                <w:spacing w:val="-2"/>
              </w:rPr>
              <w:t>小时值班轮岗制</w:t>
            </w:r>
          </w:p>
        </w:tc>
        <w:tc>
          <w:tcPr>
            <w:tcW w:w="861" w:type="pct"/>
            <w:vAlign w:val="top"/>
          </w:tcPr>
          <w:p w14:paraId="30D9841A">
            <w:pPr>
              <w:pStyle w:val="110"/>
              <w:spacing w:before="196"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6B89F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155E6BBC">
            <w:pPr>
              <w:rPr>
                <w:rFonts w:ascii="Arial"/>
                <w:sz w:val="21"/>
              </w:rPr>
            </w:pPr>
          </w:p>
        </w:tc>
        <w:tc>
          <w:tcPr>
            <w:tcW w:w="3691" w:type="pct"/>
            <w:vAlign w:val="top"/>
          </w:tcPr>
          <w:p w14:paraId="7FBF3339">
            <w:pPr>
              <w:pStyle w:val="110"/>
              <w:spacing w:before="197" w:line="219" w:lineRule="auto"/>
              <w:ind w:left="114"/>
            </w:pPr>
            <w:r>
              <w:rPr>
                <w:spacing w:val="-1"/>
              </w:rPr>
              <w:t>6.夜间洒水降尘作业是否正常开展</w:t>
            </w:r>
          </w:p>
        </w:tc>
        <w:tc>
          <w:tcPr>
            <w:tcW w:w="861" w:type="pct"/>
            <w:vAlign w:val="top"/>
          </w:tcPr>
          <w:p w14:paraId="6F4FB3EE">
            <w:pPr>
              <w:pStyle w:val="110"/>
              <w:spacing w:before="196"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0DB3A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446" w:type="pct"/>
            <w:vMerge w:val="continue"/>
            <w:tcBorders>
              <w:top w:val="nil"/>
              <w:bottom w:val="nil"/>
            </w:tcBorders>
            <w:vAlign w:val="top"/>
          </w:tcPr>
          <w:p w14:paraId="0A53FAFF">
            <w:pPr>
              <w:rPr>
                <w:rFonts w:ascii="Arial"/>
                <w:sz w:val="21"/>
              </w:rPr>
            </w:pPr>
          </w:p>
        </w:tc>
        <w:tc>
          <w:tcPr>
            <w:tcW w:w="3691" w:type="pct"/>
            <w:vAlign w:val="top"/>
          </w:tcPr>
          <w:p w14:paraId="1C8066A4">
            <w:pPr>
              <w:pStyle w:val="110"/>
              <w:spacing w:before="49" w:line="235" w:lineRule="auto"/>
              <w:ind w:left="117" w:right="105"/>
            </w:pPr>
            <w:r>
              <w:t>7.本月道路扬尘类是否出现街办/区级及以上通报（若有，街办</w:t>
            </w:r>
            <w:r>
              <w:rPr>
                <w:u w:val="single" w:color="auto"/>
              </w:rPr>
              <w:t xml:space="preserve">  </w:t>
            </w:r>
            <w:r>
              <w:rPr>
                <w:spacing w:val="-4"/>
              </w:rPr>
              <w:t>次，区级</w:t>
            </w:r>
            <w:r>
              <w:rPr>
                <w:spacing w:val="-4"/>
                <w:u w:val="single" w:color="auto"/>
              </w:rPr>
              <w:t xml:space="preserve">   </w:t>
            </w:r>
            <w:r>
              <w:rPr>
                <w:spacing w:val="-94"/>
              </w:rPr>
              <w:t xml:space="preserve"> </w:t>
            </w:r>
            <w:r>
              <w:rPr>
                <w:spacing w:val="-4"/>
              </w:rPr>
              <w:t>次，市级</w:t>
            </w:r>
            <w:r>
              <w:rPr>
                <w:spacing w:val="-4"/>
                <w:u w:val="single" w:color="auto"/>
              </w:rPr>
              <w:t xml:space="preserve">   </w:t>
            </w:r>
            <w:r>
              <w:rPr>
                <w:spacing w:val="-91"/>
              </w:rPr>
              <w:t xml:space="preserve"> </w:t>
            </w:r>
            <w:r>
              <w:rPr>
                <w:spacing w:val="-4"/>
              </w:rPr>
              <w:t>，省级</w:t>
            </w:r>
            <w:r>
              <w:rPr>
                <w:spacing w:val="-4"/>
                <w:u w:val="single" w:color="auto"/>
              </w:rPr>
              <w:t xml:space="preserve">   </w:t>
            </w:r>
            <w:r>
              <w:rPr>
                <w:spacing w:val="-104"/>
              </w:rPr>
              <w:t xml:space="preserve"> </w:t>
            </w:r>
            <w:r>
              <w:rPr>
                <w:spacing w:val="-4"/>
              </w:rPr>
              <w:t>次）</w:t>
            </w:r>
          </w:p>
        </w:tc>
        <w:tc>
          <w:tcPr>
            <w:tcW w:w="861" w:type="pct"/>
            <w:vAlign w:val="top"/>
          </w:tcPr>
          <w:p w14:paraId="3FC3EF96">
            <w:pPr>
              <w:pStyle w:val="110"/>
              <w:spacing w:before="216"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6C2C0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trPr>
        <w:tc>
          <w:tcPr>
            <w:tcW w:w="446" w:type="pct"/>
            <w:vMerge w:val="continue"/>
            <w:tcBorders>
              <w:top w:val="nil"/>
            </w:tcBorders>
            <w:vAlign w:val="top"/>
          </w:tcPr>
          <w:p w14:paraId="7F89F191">
            <w:pPr>
              <w:rPr>
                <w:rFonts w:ascii="Arial"/>
                <w:sz w:val="21"/>
              </w:rPr>
            </w:pPr>
          </w:p>
        </w:tc>
        <w:tc>
          <w:tcPr>
            <w:tcW w:w="3691" w:type="pct"/>
            <w:vAlign w:val="top"/>
          </w:tcPr>
          <w:p w14:paraId="6D11EB68">
            <w:pPr>
              <w:pStyle w:val="110"/>
              <w:spacing w:before="51" w:line="236" w:lineRule="auto"/>
              <w:ind w:left="112" w:right="179"/>
            </w:pPr>
            <w:r>
              <w:rPr>
                <w:spacing w:val="-3"/>
              </w:rPr>
              <w:t>8.本月出租车走航类是否出现四级以上通报（若有，四级</w:t>
            </w:r>
            <w:r>
              <w:rPr>
                <w:spacing w:val="-3"/>
                <w:u w:val="single" w:color="auto"/>
              </w:rPr>
              <w:t xml:space="preserve">   </w:t>
            </w:r>
            <w:r>
              <w:rPr>
                <w:spacing w:val="-97"/>
              </w:rPr>
              <w:t xml:space="preserve"> </w:t>
            </w:r>
            <w:r>
              <w:rPr>
                <w:spacing w:val="-3"/>
              </w:rPr>
              <w:t>次，</w:t>
            </w:r>
            <w:r>
              <w:rPr>
                <w:spacing w:val="-4"/>
              </w:rPr>
              <w:t>三级</w:t>
            </w:r>
            <w:r>
              <w:rPr>
                <w:spacing w:val="-4"/>
                <w:u w:val="single" w:color="auto"/>
              </w:rPr>
              <w:t xml:space="preserve">   </w:t>
            </w:r>
            <w:r>
              <w:rPr>
                <w:spacing w:val="-96"/>
              </w:rPr>
              <w:t xml:space="preserve"> </w:t>
            </w:r>
            <w:r>
              <w:rPr>
                <w:spacing w:val="-4"/>
              </w:rPr>
              <w:t>次，二级</w:t>
            </w:r>
            <w:r>
              <w:rPr>
                <w:spacing w:val="-4"/>
                <w:u w:val="single" w:color="auto"/>
              </w:rPr>
              <w:t xml:space="preserve">   </w:t>
            </w:r>
            <w:r>
              <w:rPr>
                <w:spacing w:val="-91"/>
              </w:rPr>
              <w:t xml:space="preserve"> </w:t>
            </w:r>
            <w:r>
              <w:rPr>
                <w:spacing w:val="-4"/>
              </w:rPr>
              <w:t>，</w:t>
            </w:r>
            <w:r>
              <w:rPr>
                <w:rFonts w:hint="eastAsia"/>
                <w:spacing w:val="-4"/>
                <w:lang w:val="en-US" w:eastAsia="zh-CN"/>
              </w:rPr>
              <w:t>一级</w:t>
            </w:r>
            <w:r>
              <w:rPr>
                <w:spacing w:val="-4"/>
                <w:u w:val="single" w:color="auto"/>
              </w:rPr>
              <w:t xml:space="preserve">   </w:t>
            </w:r>
            <w:r>
              <w:rPr>
                <w:spacing w:val="-104"/>
              </w:rPr>
              <w:t xml:space="preserve"> </w:t>
            </w:r>
            <w:r>
              <w:rPr>
                <w:spacing w:val="-4"/>
              </w:rPr>
              <w:t>次）</w:t>
            </w:r>
          </w:p>
        </w:tc>
        <w:tc>
          <w:tcPr>
            <w:tcW w:w="861" w:type="pct"/>
            <w:vAlign w:val="top"/>
          </w:tcPr>
          <w:p w14:paraId="05AD95E4">
            <w:pPr>
              <w:pStyle w:val="110"/>
              <w:spacing w:before="215"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bl>
    <w:p w14:paraId="4A42EA1B">
      <w:pPr>
        <w:keepNext w:val="0"/>
        <w:keepLines w:val="0"/>
        <w:pageBreakBefore w:val="0"/>
        <w:widowControl/>
        <w:kinsoku/>
        <w:wordWrap/>
        <w:overflowPunct/>
        <w:topLinePunct w:val="0"/>
        <w:autoSpaceDE/>
        <w:autoSpaceDN/>
        <w:bidi w:val="0"/>
        <w:adjustRightInd/>
        <w:snapToGrid/>
        <w:spacing w:line="360" w:lineRule="auto"/>
        <w:ind w:right="0" w:firstLine="512" w:firstLineChars="200"/>
        <w:textAlignment w:val="auto"/>
        <w:rPr>
          <w:rFonts w:ascii="宋体" w:hAnsi="宋体" w:eastAsia="宋体" w:cs="宋体"/>
          <w:sz w:val="24"/>
          <w:szCs w:val="24"/>
        </w:rPr>
      </w:pPr>
      <w:r>
        <w:rPr>
          <w:rFonts w:ascii="宋体" w:hAnsi="宋体" w:eastAsia="宋体" w:cs="宋体"/>
          <w:spacing w:val="8"/>
          <w:sz w:val="24"/>
          <w:szCs w:val="24"/>
        </w:rPr>
        <w:t>注</w:t>
      </w:r>
      <w:r>
        <w:rPr>
          <w:rFonts w:ascii="宋体" w:hAnsi="宋体" w:eastAsia="宋体" w:cs="宋体"/>
          <w:spacing w:val="-21"/>
          <w:sz w:val="24"/>
          <w:szCs w:val="24"/>
        </w:rPr>
        <w:t>：</w:t>
      </w:r>
      <w:r>
        <w:rPr>
          <w:rFonts w:ascii="宋体" w:hAnsi="宋体" w:eastAsia="宋体" w:cs="宋体"/>
          <w:spacing w:val="-7"/>
          <w:sz w:val="24"/>
          <w:szCs w:val="24"/>
        </w:rPr>
        <w:t xml:space="preserve"> </w:t>
      </w:r>
      <w:r>
        <w:rPr>
          <w:rFonts w:ascii="宋体" w:hAnsi="宋体" w:eastAsia="宋体" w:cs="宋体"/>
          <w:spacing w:val="-21"/>
          <w:sz w:val="24"/>
          <w:szCs w:val="24"/>
        </w:rPr>
        <w:t>（</w:t>
      </w:r>
      <w:r>
        <w:rPr>
          <w:rFonts w:ascii="宋体" w:hAnsi="宋体" w:eastAsia="宋体" w:cs="宋体"/>
          <w:spacing w:val="8"/>
          <w:sz w:val="24"/>
          <w:szCs w:val="24"/>
        </w:rPr>
        <w:t>1）当月考核中，若垃圾清运作业出现通报，对照通报级别，出现街办级通报罚</w:t>
      </w:r>
      <w:r>
        <w:rPr>
          <w:rFonts w:ascii="宋体" w:hAnsi="宋体" w:eastAsia="宋体" w:cs="宋体"/>
          <w:spacing w:val="-22"/>
          <w:sz w:val="24"/>
          <w:szCs w:val="24"/>
        </w:rPr>
        <w:t xml:space="preserve"> </w:t>
      </w:r>
      <w:r>
        <w:rPr>
          <w:rFonts w:ascii="宋体" w:hAnsi="宋体" w:eastAsia="宋体" w:cs="宋体"/>
          <w:spacing w:val="8"/>
          <w:sz w:val="24"/>
          <w:szCs w:val="24"/>
        </w:rPr>
        <w:t>1000</w:t>
      </w:r>
      <w:r>
        <w:rPr>
          <w:rFonts w:ascii="宋体" w:hAnsi="宋体" w:eastAsia="宋体" w:cs="宋体"/>
          <w:spacing w:val="-38"/>
          <w:sz w:val="24"/>
          <w:szCs w:val="24"/>
        </w:rPr>
        <w:t xml:space="preserve"> </w:t>
      </w:r>
      <w:r>
        <w:rPr>
          <w:rFonts w:ascii="宋体" w:hAnsi="宋体" w:eastAsia="宋体" w:cs="宋体"/>
          <w:spacing w:val="8"/>
          <w:sz w:val="24"/>
          <w:szCs w:val="24"/>
        </w:rPr>
        <w:t>元/次，出</w:t>
      </w:r>
      <w:r>
        <w:rPr>
          <w:rFonts w:ascii="宋体" w:hAnsi="宋体" w:eastAsia="宋体" w:cs="宋体"/>
          <w:spacing w:val="6"/>
          <w:sz w:val="24"/>
          <w:szCs w:val="24"/>
        </w:rPr>
        <w:t>现区级通报罚</w:t>
      </w:r>
      <w:r>
        <w:rPr>
          <w:rFonts w:ascii="宋体" w:hAnsi="宋体" w:eastAsia="宋体" w:cs="宋体"/>
          <w:spacing w:val="-15"/>
          <w:sz w:val="24"/>
          <w:szCs w:val="24"/>
        </w:rPr>
        <w:t xml:space="preserve"> </w:t>
      </w:r>
      <w:r>
        <w:rPr>
          <w:rFonts w:ascii="宋体" w:hAnsi="宋体" w:eastAsia="宋体" w:cs="宋体"/>
          <w:spacing w:val="6"/>
          <w:sz w:val="24"/>
          <w:szCs w:val="24"/>
        </w:rPr>
        <w:t>1500</w:t>
      </w:r>
      <w:r>
        <w:rPr>
          <w:rFonts w:ascii="宋体" w:hAnsi="宋体" w:eastAsia="宋体" w:cs="宋体"/>
          <w:spacing w:val="-39"/>
          <w:sz w:val="24"/>
          <w:szCs w:val="24"/>
        </w:rPr>
        <w:t xml:space="preserve"> </w:t>
      </w:r>
      <w:r>
        <w:rPr>
          <w:rFonts w:ascii="宋体" w:hAnsi="宋体" w:eastAsia="宋体" w:cs="宋体"/>
          <w:spacing w:val="6"/>
          <w:sz w:val="24"/>
          <w:szCs w:val="24"/>
        </w:rPr>
        <w:t>元/次，出现市级通报罚</w:t>
      </w:r>
      <w:r>
        <w:rPr>
          <w:rFonts w:ascii="宋体" w:hAnsi="宋体" w:eastAsia="宋体" w:cs="宋体"/>
          <w:spacing w:val="-34"/>
          <w:sz w:val="24"/>
          <w:szCs w:val="24"/>
        </w:rPr>
        <w:t xml:space="preserve"> </w:t>
      </w:r>
      <w:r>
        <w:rPr>
          <w:rFonts w:ascii="宋体" w:hAnsi="宋体" w:eastAsia="宋体" w:cs="宋体"/>
          <w:spacing w:val="6"/>
          <w:sz w:val="24"/>
          <w:szCs w:val="24"/>
        </w:rPr>
        <w:t>2000</w:t>
      </w:r>
      <w:r>
        <w:rPr>
          <w:rFonts w:ascii="宋体" w:hAnsi="宋体" w:eastAsia="宋体" w:cs="宋体"/>
          <w:spacing w:val="-36"/>
          <w:sz w:val="24"/>
          <w:szCs w:val="24"/>
        </w:rPr>
        <w:t xml:space="preserve"> </w:t>
      </w:r>
      <w:r>
        <w:rPr>
          <w:rFonts w:ascii="宋体" w:hAnsi="宋体" w:eastAsia="宋体" w:cs="宋体"/>
          <w:spacing w:val="6"/>
          <w:sz w:val="24"/>
          <w:szCs w:val="24"/>
        </w:rPr>
        <w:t>元/次，出现省级及以上通报罚</w:t>
      </w:r>
      <w:r>
        <w:rPr>
          <w:rFonts w:ascii="宋体" w:hAnsi="宋体" w:eastAsia="宋体" w:cs="宋体"/>
          <w:spacing w:val="-33"/>
          <w:sz w:val="24"/>
          <w:szCs w:val="24"/>
        </w:rPr>
        <w:t xml:space="preserve"> </w:t>
      </w:r>
      <w:r>
        <w:rPr>
          <w:rFonts w:ascii="宋体" w:hAnsi="宋体" w:eastAsia="宋体" w:cs="宋体"/>
          <w:spacing w:val="6"/>
          <w:sz w:val="24"/>
          <w:szCs w:val="24"/>
        </w:rPr>
        <w:t>3000</w:t>
      </w:r>
      <w:r>
        <w:rPr>
          <w:rFonts w:ascii="宋体" w:hAnsi="宋体" w:eastAsia="宋体" w:cs="宋体"/>
          <w:spacing w:val="-36"/>
          <w:sz w:val="24"/>
          <w:szCs w:val="24"/>
        </w:rPr>
        <w:t xml:space="preserve"> </w:t>
      </w:r>
      <w:r>
        <w:rPr>
          <w:rFonts w:ascii="宋体" w:hAnsi="宋体" w:eastAsia="宋体" w:cs="宋体"/>
          <w:spacing w:val="6"/>
          <w:sz w:val="24"/>
          <w:szCs w:val="24"/>
        </w:rPr>
        <w:t>元/次。</w:t>
      </w:r>
    </w:p>
    <w:p w14:paraId="797C8341">
      <w:pPr>
        <w:keepNext w:val="0"/>
        <w:keepLines w:val="0"/>
        <w:pageBreakBefore w:val="0"/>
        <w:widowControl/>
        <w:kinsoku/>
        <w:wordWrap/>
        <w:overflowPunct/>
        <w:topLinePunct w:val="0"/>
        <w:autoSpaceDE/>
        <w:autoSpaceDN/>
        <w:bidi w:val="0"/>
        <w:adjustRightInd/>
        <w:snapToGrid/>
        <w:spacing w:line="360" w:lineRule="auto"/>
        <w:ind w:right="0" w:firstLine="520" w:firstLineChars="200"/>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ascii="宋体" w:hAnsi="宋体" w:eastAsia="宋体" w:cs="宋体"/>
          <w:spacing w:val="10"/>
          <w:sz w:val="24"/>
          <w:szCs w:val="24"/>
        </w:rPr>
        <w:t>（2）当月考核中，扬尘管控作业出现通报，若为道路扬尘类，对照通报级别，出现街办级通报罚</w:t>
      </w:r>
      <w:r>
        <w:rPr>
          <w:rFonts w:ascii="宋体" w:hAnsi="宋体" w:eastAsia="宋体" w:cs="宋体"/>
          <w:spacing w:val="-18"/>
          <w:sz w:val="24"/>
          <w:szCs w:val="24"/>
        </w:rPr>
        <w:t xml:space="preserve"> </w:t>
      </w:r>
      <w:r>
        <w:rPr>
          <w:rFonts w:ascii="宋体" w:hAnsi="宋体" w:eastAsia="宋体" w:cs="宋体"/>
          <w:spacing w:val="10"/>
          <w:sz w:val="24"/>
          <w:szCs w:val="24"/>
        </w:rPr>
        <w:t>500</w:t>
      </w:r>
      <w:r>
        <w:rPr>
          <w:rFonts w:ascii="宋体" w:hAnsi="宋体" w:eastAsia="宋体" w:cs="宋体"/>
          <w:spacing w:val="8"/>
          <w:sz w:val="24"/>
          <w:szCs w:val="24"/>
        </w:rPr>
        <w:t>元/次，出现区级通报罚</w:t>
      </w:r>
      <w:r>
        <w:rPr>
          <w:rFonts w:ascii="宋体" w:hAnsi="宋体" w:eastAsia="宋体" w:cs="宋体"/>
          <w:spacing w:val="-9"/>
          <w:sz w:val="24"/>
          <w:szCs w:val="24"/>
        </w:rPr>
        <w:t xml:space="preserve"> </w:t>
      </w:r>
      <w:r>
        <w:rPr>
          <w:rFonts w:ascii="宋体" w:hAnsi="宋体" w:eastAsia="宋体" w:cs="宋体"/>
          <w:spacing w:val="8"/>
          <w:sz w:val="24"/>
          <w:szCs w:val="24"/>
        </w:rPr>
        <w:t>1000</w:t>
      </w:r>
      <w:r>
        <w:rPr>
          <w:rFonts w:ascii="宋体" w:hAnsi="宋体" w:eastAsia="宋体" w:cs="宋体"/>
          <w:spacing w:val="-36"/>
          <w:sz w:val="24"/>
          <w:szCs w:val="24"/>
        </w:rPr>
        <w:t xml:space="preserve"> </w:t>
      </w:r>
      <w:r>
        <w:rPr>
          <w:rFonts w:ascii="宋体" w:hAnsi="宋体" w:eastAsia="宋体" w:cs="宋体"/>
          <w:spacing w:val="8"/>
          <w:sz w:val="24"/>
          <w:szCs w:val="24"/>
        </w:rPr>
        <w:t>元/次，出现市级通报罚</w:t>
      </w:r>
      <w:r>
        <w:rPr>
          <w:rFonts w:ascii="宋体" w:hAnsi="宋体" w:eastAsia="宋体" w:cs="宋体"/>
          <w:spacing w:val="-19"/>
          <w:sz w:val="24"/>
          <w:szCs w:val="24"/>
        </w:rPr>
        <w:t xml:space="preserve"> </w:t>
      </w:r>
      <w:r>
        <w:rPr>
          <w:rFonts w:ascii="宋体" w:hAnsi="宋体" w:eastAsia="宋体" w:cs="宋体"/>
          <w:spacing w:val="8"/>
          <w:sz w:val="24"/>
          <w:szCs w:val="24"/>
        </w:rPr>
        <w:t>1500</w:t>
      </w:r>
      <w:r>
        <w:rPr>
          <w:rFonts w:ascii="宋体" w:hAnsi="宋体" w:eastAsia="宋体" w:cs="宋体"/>
          <w:spacing w:val="-36"/>
          <w:sz w:val="24"/>
          <w:szCs w:val="24"/>
        </w:rPr>
        <w:t xml:space="preserve"> </w:t>
      </w:r>
      <w:r>
        <w:rPr>
          <w:rFonts w:ascii="宋体" w:hAnsi="宋体" w:eastAsia="宋体" w:cs="宋体"/>
          <w:spacing w:val="8"/>
          <w:sz w:val="24"/>
          <w:szCs w:val="24"/>
        </w:rPr>
        <w:t>元/次，出现省级及以上通报罚</w:t>
      </w:r>
      <w:r>
        <w:rPr>
          <w:rFonts w:ascii="宋体" w:hAnsi="宋体" w:eastAsia="宋体" w:cs="宋体"/>
          <w:spacing w:val="-22"/>
          <w:sz w:val="24"/>
          <w:szCs w:val="24"/>
        </w:rPr>
        <w:t xml:space="preserve"> </w:t>
      </w:r>
      <w:r>
        <w:rPr>
          <w:rFonts w:ascii="宋体" w:hAnsi="宋体" w:eastAsia="宋体" w:cs="宋体"/>
          <w:spacing w:val="8"/>
          <w:sz w:val="24"/>
          <w:szCs w:val="24"/>
        </w:rPr>
        <w:t>10000</w:t>
      </w:r>
      <w:r>
        <w:rPr>
          <w:rFonts w:ascii="宋体" w:hAnsi="宋体" w:eastAsia="宋体" w:cs="宋体"/>
          <w:spacing w:val="-34"/>
          <w:sz w:val="24"/>
          <w:szCs w:val="24"/>
        </w:rPr>
        <w:t xml:space="preserve"> </w:t>
      </w:r>
      <w:r>
        <w:rPr>
          <w:rFonts w:ascii="宋体" w:hAnsi="宋体" w:eastAsia="宋体" w:cs="宋体"/>
          <w:spacing w:val="8"/>
          <w:sz w:val="24"/>
          <w:szCs w:val="24"/>
        </w:rPr>
        <w:t>元/次；若为出租车走航类，对照通报级别，出现一级通报罚</w:t>
      </w:r>
      <w:r>
        <w:rPr>
          <w:rFonts w:ascii="宋体" w:hAnsi="宋体" w:eastAsia="宋体" w:cs="宋体"/>
          <w:spacing w:val="-33"/>
          <w:sz w:val="24"/>
          <w:szCs w:val="24"/>
        </w:rPr>
        <w:t xml:space="preserve"> </w:t>
      </w:r>
      <w:r>
        <w:rPr>
          <w:rFonts w:ascii="宋体" w:hAnsi="宋体" w:eastAsia="宋体" w:cs="宋体"/>
          <w:spacing w:val="8"/>
          <w:sz w:val="24"/>
          <w:szCs w:val="24"/>
        </w:rPr>
        <w:t>5</w:t>
      </w:r>
      <w:r>
        <w:rPr>
          <w:rFonts w:ascii="宋体" w:hAnsi="宋体" w:eastAsia="宋体" w:cs="宋体"/>
          <w:spacing w:val="7"/>
          <w:sz w:val="24"/>
          <w:szCs w:val="24"/>
        </w:rPr>
        <w:t>000</w:t>
      </w:r>
      <w:r>
        <w:rPr>
          <w:rFonts w:ascii="宋体" w:hAnsi="宋体" w:eastAsia="宋体" w:cs="宋体"/>
          <w:spacing w:val="-36"/>
          <w:sz w:val="24"/>
          <w:szCs w:val="24"/>
        </w:rPr>
        <w:t xml:space="preserve"> </w:t>
      </w:r>
      <w:r>
        <w:rPr>
          <w:rFonts w:ascii="宋体" w:hAnsi="宋体" w:eastAsia="宋体" w:cs="宋体"/>
          <w:spacing w:val="7"/>
          <w:sz w:val="24"/>
          <w:szCs w:val="24"/>
        </w:rPr>
        <w:t>元/次，出现二级通报罚</w:t>
      </w:r>
      <w:r>
        <w:rPr>
          <w:rFonts w:ascii="宋体" w:hAnsi="宋体" w:eastAsia="宋体" w:cs="宋体"/>
          <w:spacing w:val="-37"/>
          <w:sz w:val="24"/>
          <w:szCs w:val="24"/>
        </w:rPr>
        <w:t xml:space="preserve"> </w:t>
      </w:r>
      <w:r>
        <w:rPr>
          <w:rFonts w:ascii="宋体" w:hAnsi="宋体" w:eastAsia="宋体" w:cs="宋体"/>
          <w:spacing w:val="7"/>
          <w:sz w:val="24"/>
          <w:szCs w:val="24"/>
        </w:rPr>
        <w:t>2000</w:t>
      </w:r>
      <w:r>
        <w:rPr>
          <w:rFonts w:ascii="宋体" w:hAnsi="宋体" w:eastAsia="宋体" w:cs="宋体"/>
          <w:spacing w:val="-38"/>
          <w:sz w:val="24"/>
          <w:szCs w:val="24"/>
        </w:rPr>
        <w:t xml:space="preserve"> </w:t>
      </w:r>
      <w:r>
        <w:rPr>
          <w:rFonts w:ascii="宋体" w:hAnsi="宋体" w:eastAsia="宋体" w:cs="宋体"/>
          <w:spacing w:val="7"/>
          <w:sz w:val="24"/>
          <w:szCs w:val="24"/>
        </w:rPr>
        <w:t>元/次。</w:t>
      </w:r>
    </w:p>
    <w:p w14:paraId="773A0CB1">
      <w:pPr>
        <w:rPr>
          <w:rFonts w:hint="eastAsia" w:ascii="宋体" w:hAnsi="宋体" w:eastAsia="宋体" w:cs="宋体"/>
          <w:b/>
          <w:bCs/>
          <w:color w:val="000000" w:themeColor="text1"/>
          <w:sz w:val="24"/>
          <w:szCs w:val="24"/>
          <w:lang w:eastAsia="zh-CN"/>
          <w14:textFill>
            <w14:solidFill>
              <w14:schemeClr w14:val="tx1"/>
            </w14:solidFill>
          </w14:textFill>
        </w:rPr>
      </w:pPr>
    </w:p>
    <w:p w14:paraId="0BE6A4A5">
      <w:pPr>
        <w:rPr>
          <w:rFonts w:hint="eastAsia" w:ascii="宋体" w:hAnsi="宋体" w:eastAsia="宋体" w:cs="宋体"/>
          <w:b/>
          <w:bCs/>
          <w:color w:val="000000" w:themeColor="text1"/>
          <w:sz w:val="24"/>
          <w:szCs w:val="24"/>
          <w:lang w:eastAsia="zh-CN"/>
          <w14:textFill>
            <w14:solidFill>
              <w14:schemeClr w14:val="tx1"/>
            </w14:solidFill>
          </w14:textFill>
        </w:rPr>
      </w:pPr>
    </w:p>
    <w:p w14:paraId="17C273B2">
      <w:pPr>
        <w:rPr>
          <w:rFonts w:hint="eastAsia" w:ascii="宋体" w:hAnsi="宋体" w:eastAsia="宋体" w:cs="宋体"/>
          <w:b/>
          <w:bCs/>
          <w:color w:val="000000" w:themeColor="text1"/>
          <w:sz w:val="24"/>
          <w:szCs w:val="24"/>
          <w:lang w:eastAsia="zh-CN"/>
          <w14:textFill>
            <w14:solidFill>
              <w14:schemeClr w14:val="tx1"/>
            </w14:solidFill>
          </w14:textFill>
        </w:rPr>
      </w:pPr>
    </w:p>
    <w:p w14:paraId="1D427DF1">
      <w:pPr>
        <w:rPr>
          <w:rFonts w:hint="eastAsia" w:ascii="宋体" w:hAnsi="宋体" w:eastAsia="宋体" w:cs="宋体"/>
          <w:b/>
          <w:bCs/>
          <w:color w:val="000000" w:themeColor="text1"/>
          <w:sz w:val="24"/>
          <w:szCs w:val="24"/>
          <w:lang w:eastAsia="zh-CN"/>
          <w14:textFill>
            <w14:solidFill>
              <w14:schemeClr w14:val="tx1"/>
            </w14:solidFill>
          </w14:textFill>
        </w:rPr>
      </w:pPr>
    </w:p>
    <w:p w14:paraId="4B67099A">
      <w:pPr>
        <w:rPr>
          <w:rFonts w:hint="eastAsia" w:ascii="宋体" w:hAnsi="宋体" w:eastAsia="宋体" w:cs="宋体"/>
          <w:b/>
          <w:bCs/>
          <w:color w:val="000000" w:themeColor="text1"/>
          <w:sz w:val="24"/>
          <w:szCs w:val="24"/>
          <w:lang w:eastAsia="zh-CN"/>
          <w14:textFill>
            <w14:solidFill>
              <w14:schemeClr w14:val="tx1"/>
            </w14:solidFill>
          </w14:textFill>
        </w:rPr>
      </w:pPr>
    </w:p>
    <w:p w14:paraId="54260675">
      <w:pPr>
        <w:rPr>
          <w:rFonts w:hint="eastAsia" w:ascii="宋体" w:hAnsi="宋体" w:eastAsia="宋体" w:cs="宋体"/>
          <w:b/>
          <w:bCs/>
          <w:color w:val="000000" w:themeColor="text1"/>
          <w:sz w:val="24"/>
          <w:szCs w:val="24"/>
          <w:lang w:eastAsia="zh-CN"/>
          <w14:textFill>
            <w14:solidFill>
              <w14:schemeClr w14:val="tx1"/>
            </w14:solidFill>
          </w14:textFill>
        </w:rPr>
      </w:pPr>
    </w:p>
    <w:p w14:paraId="2D18B9B8">
      <w:pPr>
        <w:rPr>
          <w:rFonts w:hint="eastAsia" w:ascii="宋体" w:hAnsi="宋体" w:eastAsia="宋体" w:cs="宋体"/>
          <w:b/>
          <w:bCs/>
          <w:color w:val="000000" w:themeColor="text1"/>
          <w:sz w:val="24"/>
          <w:szCs w:val="24"/>
          <w:lang w:eastAsia="zh-CN"/>
          <w14:textFill>
            <w14:solidFill>
              <w14:schemeClr w14:val="tx1"/>
            </w14:solidFill>
          </w14:textFill>
        </w:rPr>
      </w:pPr>
    </w:p>
    <w:p w14:paraId="270B4F25">
      <w:pPr>
        <w:rPr>
          <w:rFonts w:hint="eastAsia" w:ascii="宋体" w:hAnsi="宋体" w:eastAsia="宋体" w:cs="宋体"/>
          <w:b/>
          <w:bCs/>
          <w:color w:val="000000" w:themeColor="text1"/>
          <w:sz w:val="24"/>
          <w:szCs w:val="24"/>
          <w:lang w:eastAsia="zh-CN"/>
          <w14:textFill>
            <w14:solidFill>
              <w14:schemeClr w14:val="tx1"/>
            </w14:solidFill>
          </w14:textFill>
        </w:rPr>
      </w:pPr>
    </w:p>
    <w:p w14:paraId="58FB06BE">
      <w:pPr>
        <w:rPr>
          <w:rFonts w:hint="eastAsia" w:ascii="宋体" w:hAnsi="宋体" w:eastAsia="宋体" w:cs="宋体"/>
          <w:b/>
          <w:bCs/>
          <w:color w:val="000000" w:themeColor="text1"/>
          <w:sz w:val="24"/>
          <w:szCs w:val="24"/>
          <w:lang w:eastAsia="zh-CN"/>
          <w14:textFill>
            <w14:solidFill>
              <w14:schemeClr w14:val="tx1"/>
            </w14:solidFill>
          </w14:textFill>
        </w:rPr>
      </w:pPr>
    </w:p>
    <w:p w14:paraId="3799F7F3">
      <w:pPr>
        <w:rPr>
          <w:rFonts w:hint="eastAsia" w:ascii="宋体" w:hAnsi="宋体" w:eastAsia="宋体" w:cs="宋体"/>
          <w:b/>
          <w:bCs/>
          <w:color w:val="000000" w:themeColor="text1"/>
          <w:sz w:val="24"/>
          <w:szCs w:val="24"/>
          <w:lang w:eastAsia="zh-CN"/>
          <w14:textFill>
            <w14:solidFill>
              <w14:schemeClr w14:val="tx1"/>
            </w14:solidFill>
          </w14:textFill>
        </w:rPr>
      </w:pPr>
    </w:p>
    <w:p w14:paraId="6CA461E0">
      <w:pPr>
        <w:rPr>
          <w:rFonts w:hint="eastAsia" w:ascii="宋体" w:hAnsi="宋体" w:eastAsia="宋体" w:cs="宋体"/>
          <w:b/>
          <w:bCs/>
          <w:color w:val="000000" w:themeColor="text1"/>
          <w:sz w:val="24"/>
          <w:szCs w:val="24"/>
          <w:lang w:eastAsia="zh-CN"/>
          <w14:textFill>
            <w14:solidFill>
              <w14:schemeClr w14:val="tx1"/>
            </w14:solidFill>
          </w14:textFill>
        </w:rPr>
      </w:pPr>
    </w:p>
    <w:p w14:paraId="1E274ED8">
      <w:pPr>
        <w:rPr>
          <w:rFonts w:hint="eastAsia" w:ascii="宋体" w:hAnsi="宋体" w:eastAsia="宋体" w:cs="宋体"/>
          <w:b/>
          <w:bCs/>
          <w:color w:val="000000" w:themeColor="text1"/>
          <w:sz w:val="24"/>
          <w:szCs w:val="24"/>
          <w:lang w:eastAsia="zh-CN"/>
          <w14:textFill>
            <w14:solidFill>
              <w14:schemeClr w14:val="tx1"/>
            </w14:solidFill>
          </w14:textFill>
        </w:rPr>
      </w:pPr>
    </w:p>
    <w:p w14:paraId="568C9E70">
      <w:pPr>
        <w:rPr>
          <w:rFonts w:hint="eastAsia" w:ascii="宋体" w:hAnsi="宋体" w:eastAsia="宋体" w:cs="宋体"/>
          <w:b/>
          <w:bCs/>
          <w:color w:val="000000" w:themeColor="text1"/>
          <w:sz w:val="24"/>
          <w:szCs w:val="24"/>
          <w:lang w:eastAsia="zh-CN"/>
          <w14:textFill>
            <w14:solidFill>
              <w14:schemeClr w14:val="tx1"/>
            </w14:solidFill>
          </w14:textFill>
        </w:rPr>
      </w:pPr>
    </w:p>
    <w:p w14:paraId="2AA69818">
      <w:pPr>
        <w:rPr>
          <w:rFonts w:hint="eastAsia" w:ascii="宋体" w:hAnsi="宋体" w:eastAsia="宋体" w:cs="宋体"/>
          <w:b/>
          <w:bCs/>
          <w:color w:val="000000" w:themeColor="text1"/>
          <w:sz w:val="24"/>
          <w:szCs w:val="24"/>
          <w:lang w:eastAsia="zh-CN"/>
          <w14:textFill>
            <w14:solidFill>
              <w14:schemeClr w14:val="tx1"/>
            </w14:solidFill>
          </w14:textFill>
        </w:rPr>
      </w:pPr>
    </w:p>
    <w:bookmarkEnd w:id="17"/>
    <w:p w14:paraId="696265C7">
      <w:pPr>
        <w:pStyle w:val="2"/>
        <w:rPr>
          <w:rFonts w:hint="eastAsia" w:ascii="宋体" w:hAnsi="宋体" w:eastAsia="宋体" w:cs="宋体"/>
          <w:b/>
          <w:bCs/>
          <w:sz w:val="32"/>
          <w:szCs w:val="32"/>
          <w:highlight w:val="none"/>
        </w:rPr>
      </w:pPr>
      <w:bookmarkStart w:id="18" w:name="_Toc5471"/>
      <w:bookmarkStart w:id="19" w:name="_Toc5152"/>
      <w:bookmarkStart w:id="20" w:name="_Toc100219616"/>
      <w:bookmarkStart w:id="21" w:name="_Toc7322"/>
      <w:r>
        <w:rPr>
          <w:rFonts w:hint="eastAsia" w:ascii="宋体" w:hAnsi="宋体" w:eastAsia="宋体" w:cs="宋体"/>
          <w:b/>
          <w:bCs/>
          <w:sz w:val="32"/>
          <w:szCs w:val="32"/>
          <w:highlight w:val="none"/>
        </w:rPr>
        <w:t xml:space="preserve">第四章  </w:t>
      </w:r>
      <w:bookmarkEnd w:id="18"/>
      <w:r>
        <w:rPr>
          <w:rFonts w:hint="eastAsia" w:ascii="宋体" w:hAnsi="宋体" w:eastAsia="宋体" w:cs="宋体"/>
          <w:b/>
          <w:bCs/>
          <w:sz w:val="32"/>
          <w:szCs w:val="32"/>
          <w:highlight w:val="none"/>
        </w:rPr>
        <w:t>商务及合同文本</w:t>
      </w:r>
      <w:bookmarkEnd w:id="19"/>
    </w:p>
    <w:p w14:paraId="3B7F799A">
      <w:pPr>
        <w:keepNext w:val="0"/>
        <w:keepLines w:val="0"/>
        <w:pageBreakBefore w:val="0"/>
        <w:widowControl/>
        <w:kinsoku/>
        <w:wordWrap/>
        <w:overflowPunct/>
        <w:topLinePunct w:val="0"/>
        <w:autoSpaceDE/>
        <w:autoSpaceDN/>
        <w:bidi w:val="0"/>
        <w:adjustRightInd/>
        <w:snapToGrid/>
        <w:spacing w:after="0" w:line="360" w:lineRule="auto"/>
        <w:ind w:left="0" w:right="0" w:firstLine="560" w:firstLineChars="200"/>
        <w:jc w:val="center"/>
        <w:textAlignment w:val="auto"/>
        <w:rPr>
          <w:rFonts w:hint="eastAsia" w:ascii="宋体" w:hAnsi="宋体" w:eastAsia="宋体" w:cs="宋体"/>
          <w:b/>
          <w:bCs/>
          <w:color w:val="000000"/>
          <w:spacing w:val="0"/>
          <w:sz w:val="28"/>
          <w:szCs w:val="28"/>
          <w:highlight w:val="none"/>
          <w:lang w:eastAsia="zh-CN"/>
        </w:rPr>
      </w:pPr>
      <w:r>
        <w:rPr>
          <w:rFonts w:hint="eastAsia" w:ascii="宋体" w:hAnsi="宋体" w:eastAsia="宋体" w:cs="宋体"/>
          <w:b/>
          <w:bCs/>
          <w:color w:val="000000"/>
          <w:spacing w:val="0"/>
          <w:sz w:val="28"/>
          <w:szCs w:val="28"/>
          <w:highlight w:val="none"/>
          <w:lang w:eastAsia="zh-CN"/>
        </w:rPr>
        <w:t>一、商务要求</w:t>
      </w:r>
    </w:p>
    <w:p w14:paraId="246E1F11">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（一）服务期：两年（合同一年一签，若中标单位上一年服务不能满足采购人要求，采购人可拒绝续签）。</w:t>
      </w:r>
    </w:p>
    <w:p w14:paraId="0001EB12">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（二）服务地点：采购人指定的地点</w:t>
      </w:r>
    </w:p>
    <w:p w14:paraId="3443B96F">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（三）质量要求：符合国家及行业有关现行规范、标准的要求</w:t>
      </w:r>
    </w:p>
    <w:p w14:paraId="13C20860">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（四）合同价款：合同为固定单价</w:t>
      </w:r>
    </w:p>
    <w:p w14:paraId="6A34AD0B">
      <w:pPr>
        <w:keepNext w:val="0"/>
        <w:keepLines w:val="0"/>
        <w:pageBreakBefore w:val="0"/>
        <w:widowControl/>
        <w:kinsoku/>
        <w:wordWrap/>
        <w:overflowPunct/>
        <w:topLinePunct w:val="0"/>
        <w:autoSpaceDE w:val="0"/>
        <w:autoSpaceDN w:val="0"/>
        <w:bidi w:val="0"/>
        <w:adjustRightInd w:val="0"/>
        <w:snapToGrid w:val="0"/>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sz w:val="24"/>
          <w:szCs w:val="24"/>
          <w:highlight w:val="none"/>
          <w:lang w:val="en-US" w:eastAsia="zh-CN"/>
        </w:rPr>
        <w:t>本合同为固定单价合同，报价包括但</w:t>
      </w:r>
      <w:r>
        <w:rPr>
          <w:rFonts w:hint="eastAsia" w:ascii="宋体" w:hAnsi="宋体" w:eastAsia="宋体" w:cs="宋体"/>
          <w:color w:val="auto"/>
          <w:sz w:val="24"/>
          <w:highlight w:val="none"/>
          <w:lang w:val="en-US" w:eastAsia="zh-CN"/>
        </w:rPr>
        <w:t xml:space="preserve">不限于管理费、人工费、水电费、消毒费、设备及车辆维修费、车辆油费、保养费、保险费、审验费和税金、招标代理服务费等其他一切相关费用。 </w:t>
      </w:r>
    </w:p>
    <w:p w14:paraId="1A06074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（五）付款方式及付款依据</w:t>
      </w:r>
    </w:p>
    <w:p w14:paraId="6CB1D2D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right="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1.预付款支付条款：无</w:t>
      </w:r>
    </w:p>
    <w:p w14:paraId="06EED2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right="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2.剩余款项支付条款：</w:t>
      </w:r>
    </w:p>
    <w:p w14:paraId="395720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right="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（1）按月支付，服务费用自服务期限第二个月起每月15日前支付；</w:t>
      </w:r>
    </w:p>
    <w:p w14:paraId="057ACFB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right="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（2）供应商服务质量每月根据考核细则进行考核，根据每月考核情况计算该月扣款金额；</w:t>
      </w:r>
    </w:p>
    <w:p w14:paraId="081EE9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360" w:lineRule="auto"/>
        <w:ind w:left="0" w:right="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即：每月实际应付金额=每月合同支付金额-考核扣除金额。</w:t>
      </w:r>
    </w:p>
    <w:p w14:paraId="7565844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注：供应商应向采购人出具符合国家财税规定的增值税发票，否则采购人有权延迟履行付款义务。如因供应商缘故（如开具增值税发票延误等）导致采购人无法按时付款，采购人不承担违约责任。如遇突发事件，付款日期则以实际付款日期为准。</w:t>
      </w:r>
    </w:p>
    <w:p w14:paraId="5D3E6187">
      <w:pPr>
        <w:keepNext w:val="0"/>
        <w:keepLines w:val="0"/>
        <w:pageBreakBefore w:val="0"/>
        <w:widowControl/>
        <w:kinsoku/>
        <w:wordWrap/>
        <w:overflowPunct/>
        <w:topLinePunct w:val="0"/>
        <w:autoSpaceDE/>
        <w:autoSpaceDN/>
        <w:bidi w:val="0"/>
        <w:adjustRightInd/>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br w:type="page"/>
      </w:r>
    </w:p>
    <w:p w14:paraId="57C03FD6">
      <w:pPr>
        <w:pStyle w:val="17"/>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highlight w:val="none"/>
        </w:rPr>
      </w:pPr>
    </w:p>
    <w:p w14:paraId="78A6DE8D">
      <w:pPr>
        <w:pStyle w:val="17"/>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highlight w:val="none"/>
        </w:rPr>
      </w:pPr>
    </w:p>
    <w:p w14:paraId="309BD929">
      <w:pPr>
        <w:rPr>
          <w:rFonts w:hint="eastAsia"/>
        </w:rPr>
      </w:pPr>
    </w:p>
    <w:p w14:paraId="2F9B83A4">
      <w:pPr>
        <w:pStyle w:val="1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hAnsi="宋体" w:eastAsia="宋体" w:cs="宋体"/>
          <w:b/>
          <w:bCs/>
          <w:color w:val="auto"/>
          <w:sz w:val="52"/>
          <w:szCs w:val="52"/>
          <w:highlight w:val="none"/>
          <w:lang w:val="en-US" w:eastAsia="zh-CN"/>
        </w:rPr>
      </w:pPr>
      <w:r>
        <w:rPr>
          <w:rFonts w:hint="eastAsia" w:hAnsi="宋体" w:eastAsia="宋体" w:cs="宋体"/>
          <w:b/>
          <w:bCs/>
          <w:color w:val="auto"/>
          <w:sz w:val="52"/>
          <w:szCs w:val="52"/>
          <w:highlight w:val="none"/>
          <w:lang w:val="en-US" w:eastAsia="zh-CN"/>
        </w:rPr>
        <w:t>新筑垃圾压缩站2026-2027年度</w:t>
      </w:r>
    </w:p>
    <w:p w14:paraId="18D18960">
      <w:pPr>
        <w:pStyle w:val="1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52"/>
          <w:szCs w:val="52"/>
          <w:highlight w:val="none"/>
        </w:rPr>
      </w:pPr>
      <w:r>
        <w:rPr>
          <w:rFonts w:hint="eastAsia" w:hAnsi="宋体" w:eastAsia="宋体" w:cs="宋体"/>
          <w:b/>
          <w:bCs/>
          <w:color w:val="auto"/>
          <w:sz w:val="52"/>
          <w:szCs w:val="52"/>
          <w:highlight w:val="none"/>
          <w:lang w:val="en-US" w:eastAsia="zh-CN"/>
        </w:rPr>
        <w:t>运维服务项目</w:t>
      </w:r>
    </w:p>
    <w:p w14:paraId="6EE38528">
      <w:pPr>
        <w:pStyle w:val="17"/>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Cs w:val="24"/>
          <w:highlight w:val="none"/>
        </w:rPr>
      </w:pPr>
    </w:p>
    <w:p w14:paraId="1B71B777">
      <w:pPr>
        <w:pStyle w:val="17"/>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Cs w:val="24"/>
          <w:highlight w:val="none"/>
        </w:rPr>
      </w:pPr>
    </w:p>
    <w:p w14:paraId="35F4ADAF">
      <w:pPr>
        <w:pStyle w:val="17"/>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Cs w:val="24"/>
          <w:highlight w:val="none"/>
        </w:rPr>
      </w:pPr>
    </w:p>
    <w:p w14:paraId="113046EF">
      <w:pPr>
        <w:pStyle w:val="17"/>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Cs w:val="24"/>
          <w:highlight w:val="none"/>
        </w:rPr>
      </w:pPr>
    </w:p>
    <w:p w14:paraId="54174665">
      <w:pPr>
        <w:pStyle w:val="17"/>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Cs w:val="24"/>
          <w:highlight w:val="none"/>
        </w:rPr>
      </w:pPr>
    </w:p>
    <w:p w14:paraId="154C59CD">
      <w:pPr>
        <w:pStyle w:val="17"/>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Cs w:val="24"/>
          <w:highlight w:val="none"/>
        </w:rPr>
      </w:pPr>
    </w:p>
    <w:p w14:paraId="58327D1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合同</w:t>
      </w:r>
      <w:r>
        <w:rPr>
          <w:rFonts w:hint="eastAsia" w:ascii="宋体" w:hAnsi="宋体" w:eastAsia="宋体" w:cs="宋体"/>
          <w:b/>
          <w:bCs/>
          <w:color w:val="auto"/>
          <w:sz w:val="36"/>
          <w:szCs w:val="36"/>
          <w:highlight w:val="none"/>
          <w:lang w:eastAsia="zh-CN"/>
        </w:rPr>
        <w:t>参考格式</w:t>
      </w:r>
    </w:p>
    <w:p w14:paraId="769B0131">
      <w:pPr>
        <w:pStyle w:val="17"/>
        <w:spacing w:line="360" w:lineRule="auto"/>
        <w:ind w:firstLine="480" w:firstLineChars="200"/>
        <w:rPr>
          <w:rFonts w:hint="eastAsia" w:ascii="宋体" w:hAnsi="宋体" w:eastAsia="宋体" w:cs="宋体"/>
          <w:color w:val="auto"/>
          <w:szCs w:val="24"/>
          <w:highlight w:val="none"/>
        </w:rPr>
      </w:pPr>
    </w:p>
    <w:p w14:paraId="77906378">
      <w:pPr>
        <w:pStyle w:val="17"/>
        <w:spacing w:line="360" w:lineRule="auto"/>
        <w:ind w:firstLine="480" w:firstLineChars="200"/>
        <w:rPr>
          <w:rFonts w:hint="eastAsia" w:ascii="宋体" w:hAnsi="宋体" w:eastAsia="宋体" w:cs="宋体"/>
          <w:color w:val="auto"/>
          <w:szCs w:val="24"/>
          <w:highlight w:val="none"/>
        </w:rPr>
      </w:pPr>
    </w:p>
    <w:p w14:paraId="7C4588D9">
      <w:pPr>
        <w:pStyle w:val="17"/>
        <w:spacing w:line="360" w:lineRule="auto"/>
        <w:rPr>
          <w:rFonts w:hint="eastAsia" w:ascii="宋体" w:hAnsi="宋体" w:eastAsia="宋体" w:cs="宋体"/>
          <w:color w:val="auto"/>
          <w:szCs w:val="24"/>
          <w:highlight w:val="none"/>
        </w:rPr>
      </w:pPr>
    </w:p>
    <w:p w14:paraId="31C77939">
      <w:pPr>
        <w:rPr>
          <w:rFonts w:hint="eastAsia"/>
        </w:rPr>
      </w:pPr>
    </w:p>
    <w:p w14:paraId="017C2769">
      <w:pPr>
        <w:pStyle w:val="17"/>
        <w:spacing w:line="360" w:lineRule="auto"/>
        <w:ind w:firstLine="480" w:firstLineChars="20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合同编号：____________________</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p>
    <w:p w14:paraId="1CAAF259">
      <w:pPr>
        <w:pStyle w:val="17"/>
        <w:spacing w:line="360" w:lineRule="auto"/>
        <w:jc w:val="both"/>
        <w:rPr>
          <w:rFonts w:hint="eastAsia" w:ascii="宋体" w:hAnsi="宋体" w:eastAsia="宋体" w:cs="宋体"/>
          <w:color w:val="auto"/>
          <w:szCs w:val="24"/>
          <w:highlight w:val="none"/>
        </w:rPr>
      </w:pPr>
    </w:p>
    <w:p w14:paraId="5AE1B6F3">
      <w:pPr>
        <w:pStyle w:val="17"/>
        <w:spacing w:line="360" w:lineRule="auto"/>
        <w:ind w:firstLine="480" w:firstLineChars="20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甲　　方：____________________(采购人名称)</w:t>
      </w:r>
    </w:p>
    <w:p w14:paraId="0F20B936">
      <w:pPr>
        <w:pStyle w:val="17"/>
        <w:spacing w:line="360" w:lineRule="auto"/>
        <w:jc w:val="both"/>
        <w:rPr>
          <w:rFonts w:hint="eastAsia" w:ascii="宋体" w:hAnsi="宋体" w:eastAsia="宋体" w:cs="宋体"/>
          <w:color w:val="auto"/>
          <w:szCs w:val="24"/>
          <w:highlight w:val="none"/>
        </w:rPr>
      </w:pPr>
    </w:p>
    <w:p w14:paraId="634752D6">
      <w:pPr>
        <w:pStyle w:val="17"/>
        <w:spacing w:line="360" w:lineRule="auto"/>
        <w:ind w:firstLine="480" w:firstLineChars="20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乙　　方：____________________(供应商名称)</w:t>
      </w:r>
    </w:p>
    <w:p w14:paraId="0FF70E72">
      <w:pPr>
        <w:keepNext w:val="0"/>
        <w:keepLines w:val="0"/>
        <w:pageBreakBefore w:val="0"/>
        <w:kinsoku/>
        <w:wordWrap/>
        <w:overflowPunct/>
        <w:topLinePunct w:val="0"/>
        <w:autoSpaceDE/>
        <w:autoSpaceDN/>
        <w:bidi w:val="0"/>
        <w:adjustRightInd/>
        <w:spacing w:line="312" w:lineRule="auto"/>
        <w:jc w:val="center"/>
        <w:rPr>
          <w:rFonts w:hint="eastAsia" w:ascii="宋体" w:hAnsi="宋体" w:eastAsia="宋体" w:cs="宋体"/>
          <w:b/>
          <w:bCs/>
          <w:color w:val="auto"/>
          <w:sz w:val="28"/>
          <w:szCs w:val="28"/>
          <w:highlight w:val="none"/>
        </w:rPr>
      </w:pPr>
      <w:r>
        <w:rPr>
          <w:rFonts w:hint="eastAsia" w:ascii="宋体" w:hAnsi="宋体" w:eastAsia="宋体" w:cs="宋体"/>
          <w:color w:val="auto"/>
          <w:szCs w:val="24"/>
          <w:highlight w:val="none"/>
        </w:rPr>
        <w:br w:type="page"/>
      </w:r>
      <w:r>
        <w:rPr>
          <w:rFonts w:hint="eastAsia" w:ascii="宋体" w:hAnsi="宋体" w:eastAsia="宋体" w:cs="宋体"/>
          <w:b/>
          <w:bCs/>
          <w:color w:val="auto"/>
          <w:sz w:val="28"/>
          <w:szCs w:val="28"/>
          <w:highlight w:val="none"/>
        </w:rPr>
        <w:t>合同草案条款</w:t>
      </w:r>
    </w:p>
    <w:p w14:paraId="6550316D">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一、总    则</w:t>
      </w:r>
    </w:p>
    <w:p w14:paraId="67F39E6D">
      <w:pPr>
        <w:keepNext w:val="0"/>
        <w:keepLines w:val="0"/>
        <w:pageBreakBefore w:val="0"/>
        <w:kinsoku/>
        <w:wordWrap/>
        <w:overflowPunct/>
        <w:topLinePunct w:val="0"/>
        <w:autoSpaceDE/>
        <w:autoSpaceDN/>
        <w:bidi w:val="0"/>
        <w:adjustRightInd w:val="0"/>
        <w:snapToGrid w:val="0"/>
        <w:spacing w:line="336"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甲方（采购人）：       </w:t>
      </w:r>
    </w:p>
    <w:p w14:paraId="36654C75">
      <w:pPr>
        <w:keepNext w:val="0"/>
        <w:keepLines w:val="0"/>
        <w:pageBreakBefore w:val="0"/>
        <w:kinsoku/>
        <w:wordWrap/>
        <w:overflowPunct/>
        <w:topLinePunct w:val="0"/>
        <w:autoSpaceDE/>
        <w:autoSpaceDN/>
        <w:bidi w:val="0"/>
        <w:adjustRightInd w:val="0"/>
        <w:snapToGrid w:val="0"/>
        <w:spacing w:line="336"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乙方（</w:t>
      </w:r>
      <w:r>
        <w:rPr>
          <w:rFonts w:hint="eastAsia" w:ascii="宋体" w:hAnsi="宋体" w:eastAsia="宋体" w:cs="宋体"/>
          <w:b/>
          <w:bCs/>
          <w:color w:val="auto"/>
          <w:szCs w:val="24"/>
          <w:highlight w:val="none"/>
        </w:rPr>
        <w:t>供应商</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 xml:space="preserve">       </w:t>
      </w:r>
    </w:p>
    <w:p w14:paraId="71045855">
      <w:pPr>
        <w:keepNext w:val="0"/>
        <w:keepLines w:val="0"/>
        <w:pageBreakBefore w:val="0"/>
        <w:kinsoku/>
        <w:wordWrap/>
        <w:overflowPunct/>
        <w:topLinePunct w:val="0"/>
        <w:bidi w:val="0"/>
        <w:adjustRightInd w:val="0"/>
        <w:snapToGrid w:val="0"/>
        <w:spacing w:line="336" w:lineRule="auto"/>
        <w:ind w:firstLine="480"/>
        <w:rPr>
          <w:rFonts w:hint="eastAsia" w:ascii="宋体" w:hAnsi="宋体" w:eastAsia="宋体" w:cs="宋体"/>
          <w:color w:val="auto"/>
          <w:sz w:val="24"/>
          <w:highlight w:val="none"/>
        </w:rPr>
      </w:pPr>
      <w:r>
        <w:rPr>
          <w:rFonts w:hint="eastAsia" w:ascii="宋体" w:hAnsi="宋体" w:eastAsia="宋体" w:cs="宋体"/>
          <w:kern w:val="0"/>
          <w:sz w:val="24"/>
          <w:szCs w:val="24"/>
        </w:rPr>
        <w:t>依照《中华人民共和国民法典》及其他有关法律、法规，遵循平等、自愿、公平和诚信的原则，双方就本项目范围与相关服务事项协商一致，订立本合同。</w:t>
      </w:r>
    </w:p>
    <w:p w14:paraId="11CBD6EB">
      <w:pPr>
        <w:keepNext w:val="0"/>
        <w:keepLines w:val="0"/>
        <w:pageBreakBefore w:val="0"/>
        <w:widowControl/>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b/>
          <w:color w:val="auto"/>
          <w:sz w:val="24"/>
          <w:highlight w:val="none"/>
          <w:lang w:val="en-US" w:eastAsia="zh-CN"/>
        </w:rPr>
      </w:pPr>
      <w:r>
        <w:rPr>
          <w:rFonts w:hint="eastAsia" w:ascii="宋体" w:hAnsi="宋体" w:eastAsia="宋体" w:cs="宋体"/>
          <w:b/>
          <w:bCs/>
          <w:color w:val="000000"/>
          <w:kern w:val="0"/>
          <w:sz w:val="24"/>
          <w:szCs w:val="24"/>
          <w:lang w:val="en-US" w:eastAsia="zh-CN" w:bidi="ar"/>
        </w:rPr>
        <w:t xml:space="preserve">第一条 项目概况 </w:t>
      </w:r>
    </w:p>
    <w:p w14:paraId="49AA4ADD">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highlight w:val="none"/>
          <w:u w:val="single"/>
          <w:lang w:val="en-US"/>
        </w:rPr>
      </w:pPr>
      <w:r>
        <w:rPr>
          <w:rFonts w:hint="eastAsia" w:ascii="宋体" w:hAnsi="宋体" w:eastAsia="宋体" w:cs="宋体"/>
          <w:color w:val="000000"/>
          <w:kern w:val="0"/>
          <w:sz w:val="24"/>
          <w:szCs w:val="24"/>
          <w:highlight w:val="none"/>
          <w:lang w:val="en-US" w:eastAsia="zh-CN" w:bidi="ar"/>
        </w:rPr>
        <w:t>1.项目名称：</w:t>
      </w:r>
      <w:r>
        <w:rPr>
          <w:rFonts w:hint="eastAsia" w:ascii="宋体" w:hAnsi="宋体" w:eastAsia="宋体" w:cs="宋体"/>
          <w:color w:val="000000"/>
          <w:kern w:val="0"/>
          <w:sz w:val="24"/>
          <w:szCs w:val="24"/>
          <w:highlight w:val="none"/>
          <w:u w:val="single"/>
          <w:lang w:val="en-US" w:eastAsia="zh-CN" w:bidi="ar"/>
        </w:rPr>
        <w:t xml:space="preserve">                                 </w:t>
      </w:r>
    </w:p>
    <w:p w14:paraId="59917129">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highlight w:val="none"/>
          <w:u w:val="single"/>
          <w:lang w:val="en-US"/>
        </w:rPr>
      </w:pPr>
      <w:r>
        <w:rPr>
          <w:rFonts w:hint="eastAsia" w:ascii="宋体" w:hAnsi="宋体" w:eastAsia="宋体" w:cs="宋体"/>
          <w:color w:val="000000"/>
          <w:kern w:val="0"/>
          <w:sz w:val="24"/>
          <w:szCs w:val="24"/>
          <w:highlight w:val="none"/>
          <w:lang w:val="en-US" w:eastAsia="zh-CN" w:bidi="ar"/>
        </w:rPr>
        <w:t>2.项目地点：</w:t>
      </w:r>
      <w:r>
        <w:rPr>
          <w:rFonts w:hint="eastAsia" w:ascii="宋体" w:hAnsi="宋体" w:eastAsia="宋体" w:cs="宋体"/>
          <w:color w:val="000000"/>
          <w:kern w:val="0"/>
          <w:sz w:val="24"/>
          <w:szCs w:val="24"/>
          <w:highlight w:val="none"/>
          <w:u w:val="single"/>
          <w:lang w:val="en-US" w:eastAsia="zh-CN" w:bidi="ar"/>
        </w:rPr>
        <w:t xml:space="preserve">                                 </w:t>
      </w:r>
    </w:p>
    <w:p w14:paraId="59C0E74D">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3.服务期：自合同签订之日起两年，每一年为一个阶段，按阶段签订合同。 </w:t>
      </w:r>
    </w:p>
    <w:p w14:paraId="4A67ABF7">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本次为第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阶段（第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年）合同，自</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日起至</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日止。 </w:t>
      </w:r>
    </w:p>
    <w:p w14:paraId="0C89986B">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b/>
          <w:color w:val="auto"/>
          <w:sz w:val="24"/>
          <w:highlight w:val="none"/>
          <w:lang w:val="en-US" w:eastAsia="zh-CN"/>
        </w:rPr>
      </w:pPr>
      <w:r>
        <w:rPr>
          <w:rFonts w:hint="eastAsia" w:ascii="宋体" w:hAnsi="宋体" w:eastAsia="宋体" w:cs="宋体"/>
          <w:color w:val="000000"/>
          <w:kern w:val="0"/>
          <w:sz w:val="24"/>
          <w:szCs w:val="24"/>
          <w:highlight w:val="none"/>
          <w:lang w:val="en-US" w:eastAsia="zh-CN" w:bidi="ar"/>
        </w:rPr>
        <w:t>上一阶段合同期满后，双方均无异议，协商后续签下一阶段合同，续签时合同其他内容不予改变。若乙方上一阶段的服务不能满足甲方要求，甲方可拒绝同乙方续签。</w:t>
      </w:r>
    </w:p>
    <w:p w14:paraId="4C549FFF">
      <w:pPr>
        <w:keepNext w:val="0"/>
        <w:keepLines w:val="0"/>
        <w:pageBreakBefore w:val="0"/>
        <w:widowControl/>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第二条 </w:t>
      </w:r>
      <w:r>
        <w:rPr>
          <w:rFonts w:hint="eastAsia" w:ascii="宋体" w:hAnsi="宋体" w:eastAsia="宋体" w:cs="宋体"/>
          <w:b/>
          <w:color w:val="auto"/>
          <w:sz w:val="24"/>
          <w:highlight w:val="none"/>
        </w:rPr>
        <w:t>合同组成</w:t>
      </w:r>
    </w:p>
    <w:p w14:paraId="723AF2F1">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下述文件是构成本合同不可分割的部分</w:t>
      </w:r>
      <w:r>
        <w:rPr>
          <w:rFonts w:hint="eastAsia" w:ascii="宋体" w:hAnsi="宋体" w:eastAsia="宋体" w:cs="宋体"/>
          <w:color w:val="auto"/>
          <w:sz w:val="24"/>
          <w:highlight w:val="none"/>
        </w:rPr>
        <w:t>:</w:t>
      </w:r>
    </w:p>
    <w:p w14:paraId="3626188A">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本合同条款及其所有附件。</w:t>
      </w:r>
    </w:p>
    <w:p w14:paraId="06FA2F52">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甲方的</w:t>
      </w:r>
      <w:r>
        <w:rPr>
          <w:rFonts w:hint="eastAsia" w:ascii="宋体" w:hAnsi="宋体" w:eastAsia="宋体" w:cs="宋体"/>
          <w:color w:val="auto"/>
          <w:sz w:val="24"/>
          <w:highlight w:val="none"/>
          <w:lang w:val="en-US" w:eastAsia="zh-CN"/>
        </w:rPr>
        <w:t>招标文件</w:t>
      </w:r>
      <w:r>
        <w:rPr>
          <w:rFonts w:hint="eastAsia" w:ascii="宋体" w:hAnsi="宋体" w:eastAsia="宋体" w:cs="宋体"/>
          <w:color w:val="auto"/>
          <w:sz w:val="24"/>
          <w:highlight w:val="none"/>
          <w:lang w:val="zh-CN"/>
        </w:rPr>
        <w:t>及澄清文件。</w:t>
      </w:r>
    </w:p>
    <w:p w14:paraId="7492F5E3">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CN"/>
        </w:rPr>
        <w:t>乙方的</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val="zh-CN"/>
        </w:rPr>
        <w:t>文件及质疑解答文件。</w:t>
      </w:r>
    </w:p>
    <w:p w14:paraId="40641D55">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lang w:val="zh-CN"/>
        </w:rPr>
        <w:t>通知书。</w:t>
      </w:r>
    </w:p>
    <w:p w14:paraId="0A2B541C">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zh-CN"/>
        </w:rPr>
        <w:t>法定代表人授权书。</w:t>
      </w:r>
    </w:p>
    <w:p w14:paraId="4A67F6EF">
      <w:pPr>
        <w:keepNext w:val="0"/>
        <w:keepLines w:val="0"/>
        <w:pageBreakBefore w:val="0"/>
        <w:kinsoku/>
        <w:wordWrap/>
        <w:overflowPunct/>
        <w:topLinePunct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（6）双方与合同有关的往来信函、传真经双方法定代表人或其授权代表签字并加盖单位公章确认后视为本合同的组成部分。</w:t>
      </w:r>
    </w:p>
    <w:p w14:paraId="7F20A83A">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（7）经双方法定代表人或其授权代表签字并加盖单位公章确认的补充协议。</w:t>
      </w:r>
    </w:p>
    <w:p w14:paraId="112AFD0E">
      <w:pPr>
        <w:keepNext w:val="0"/>
        <w:keepLines w:val="0"/>
        <w:pageBreakBefore w:val="0"/>
        <w:widowControl w:val="0"/>
        <w:kinsoku/>
        <w:wordWrap/>
        <w:overflowPunct/>
        <w:topLinePunct w:val="0"/>
        <w:autoSpaceDE/>
        <w:autoSpaceDN/>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如果乙方的</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val="zh-CN"/>
        </w:rPr>
        <w:t>文件及质疑解答文件内容违背或低于甲方</w:t>
      </w:r>
      <w:r>
        <w:rPr>
          <w:rFonts w:hint="eastAsia" w:ascii="宋体" w:hAnsi="宋体" w:eastAsia="宋体" w:cs="宋体"/>
          <w:color w:val="auto"/>
          <w:sz w:val="24"/>
          <w:highlight w:val="none"/>
          <w:lang w:val="en-US" w:eastAsia="zh-CN"/>
        </w:rPr>
        <w:t>招标文件</w:t>
      </w:r>
      <w:r>
        <w:rPr>
          <w:rFonts w:hint="eastAsia" w:ascii="宋体" w:hAnsi="宋体" w:eastAsia="宋体" w:cs="宋体"/>
          <w:color w:val="auto"/>
          <w:sz w:val="24"/>
          <w:highlight w:val="none"/>
          <w:lang w:val="zh-CN"/>
        </w:rPr>
        <w:t>要求或任何可能导致影响当次采购目的的情形，均应当被视为乙方自动放弃</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val="zh-CN"/>
        </w:rPr>
        <w:t>文件及质疑解答文件中相应部分而同意以</w:t>
      </w:r>
      <w:r>
        <w:rPr>
          <w:rFonts w:hint="eastAsia" w:ascii="宋体" w:hAnsi="宋体" w:eastAsia="宋体" w:cs="宋体"/>
          <w:color w:val="auto"/>
          <w:sz w:val="24"/>
          <w:highlight w:val="none"/>
          <w:lang w:val="en-US" w:eastAsia="zh-CN"/>
        </w:rPr>
        <w:t>招标文件</w:t>
      </w:r>
      <w:r>
        <w:rPr>
          <w:rFonts w:hint="eastAsia" w:ascii="宋体" w:hAnsi="宋体" w:eastAsia="宋体" w:cs="宋体"/>
          <w:color w:val="auto"/>
          <w:sz w:val="24"/>
          <w:highlight w:val="none"/>
          <w:lang w:val="zh-CN"/>
        </w:rPr>
        <w:t>相应内容为准。如果乙方的</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val="zh-CN"/>
        </w:rPr>
        <w:t>文件及质疑解答文件内容高于甲方</w:t>
      </w:r>
      <w:r>
        <w:rPr>
          <w:rFonts w:hint="eastAsia" w:ascii="宋体" w:hAnsi="宋体" w:eastAsia="宋体" w:cs="宋体"/>
          <w:color w:val="auto"/>
          <w:sz w:val="24"/>
          <w:highlight w:val="none"/>
          <w:lang w:val="en-US" w:eastAsia="zh-CN"/>
        </w:rPr>
        <w:t>招标文件</w:t>
      </w:r>
      <w:r>
        <w:rPr>
          <w:rFonts w:hint="eastAsia" w:ascii="宋体" w:hAnsi="宋体" w:eastAsia="宋体" w:cs="宋体"/>
          <w:color w:val="auto"/>
          <w:sz w:val="24"/>
          <w:highlight w:val="none"/>
          <w:lang w:val="zh-CN"/>
        </w:rPr>
        <w:t>要求，则以乙方的</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val="zh-CN"/>
        </w:rPr>
        <w:t>文件及质疑解答文件内容为准。如果合同条款与合同附件有矛盾之处，以合同条款内容为准。</w:t>
      </w:r>
      <w:r>
        <w:rPr>
          <w:rFonts w:hint="eastAsia" w:ascii="宋体" w:hAnsi="宋体" w:eastAsia="宋体" w:cs="宋体"/>
          <w:color w:val="auto"/>
          <w:sz w:val="24"/>
          <w:highlight w:val="none"/>
        </w:rPr>
        <w:t>如果合同附件之间有矛盾之处，以有利于甲方的附件内容为准。</w:t>
      </w:r>
    </w:p>
    <w:p w14:paraId="57A3EDE4">
      <w:pPr>
        <w:keepNext w:val="0"/>
        <w:keepLines w:val="0"/>
        <w:pageBreakBefore w:val="0"/>
        <w:kinsoku/>
        <w:wordWrap/>
        <w:overflowPunct/>
        <w:topLinePunct w:val="0"/>
        <w:autoSpaceDE/>
        <w:autoSpaceDN/>
        <w:bidi w:val="0"/>
        <w:adjustRightInd w:val="0"/>
        <w:snapToGrid w:val="0"/>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上述合同文件应能够相互解释、相互说明。如合同文件之间出现不一致，除本合同另有约定外，第（1）款至（6）款的排列顺序就是合同文件的优先解释顺序。对于第（7）款中双方达成的补充协议与原合同（包括（1）-（6）款中所列的所有文件）存在不一致，以签订日期在后的补充协议为准。</w:t>
      </w:r>
    </w:p>
    <w:p w14:paraId="0E7FAA95">
      <w:pPr>
        <w:keepNext w:val="0"/>
        <w:keepLines w:val="0"/>
        <w:pageBreakBefore w:val="0"/>
        <w:widowControl/>
        <w:suppressLineNumbers w:val="0"/>
        <w:kinsoku/>
        <w:wordWrap/>
        <w:overflowPunct/>
        <w:topLinePunct w:val="0"/>
        <w:bidi w:val="0"/>
        <w:adjustRightInd w:val="0"/>
        <w:snapToGrid w:val="0"/>
        <w:spacing w:line="336" w:lineRule="auto"/>
        <w:ind w:firstLine="480" w:firstLineChars="200"/>
        <w:jc w:val="left"/>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第三条 合同金额 </w:t>
      </w:r>
    </w:p>
    <w:p w14:paraId="13DBAFD8">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1.合同形式：</w:t>
      </w:r>
      <w:r>
        <w:rPr>
          <w:rFonts w:hint="eastAsia" w:ascii="宋体" w:hAnsi="宋体" w:eastAsia="宋体" w:cs="宋体"/>
          <w:color w:val="auto"/>
          <w:sz w:val="24"/>
          <w:highlight w:val="none"/>
          <w:u w:val="none"/>
          <w:lang w:val="en-US" w:eastAsia="zh-CN"/>
        </w:rPr>
        <w:t xml:space="preserve">固定单价合同 </w:t>
      </w:r>
    </w:p>
    <w:p w14:paraId="50D774FD">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合同单价为本次服务要求内容且验收合格的所有费用,包括但不限于管理费、人工费、水电费、消毒费、设备及车辆维修费、车辆油费、保养费、保险费、审验费和税金、招标代理服务费等其他一切相关费用。 </w:t>
      </w:r>
    </w:p>
    <w:p w14:paraId="67586ABC">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合同暂定总价（大写）：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（小写）：¥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元； </w:t>
      </w:r>
    </w:p>
    <w:p w14:paraId="318EBB37">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固定综合单价（大写）：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（小写）：¥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元/月。 </w:t>
      </w:r>
    </w:p>
    <w:p w14:paraId="7265C037">
      <w:pPr>
        <w:keepNext w:val="0"/>
        <w:keepLines w:val="0"/>
        <w:pageBreakBefore w:val="0"/>
        <w:kinsoku/>
        <w:wordWrap/>
        <w:overflowPunct/>
        <w:topLinePunct w:val="0"/>
        <w:autoSpaceDE w:val="0"/>
        <w:autoSpaceDN w:val="0"/>
        <w:bidi w:val="0"/>
        <w:adjustRightInd w:val="0"/>
        <w:snapToGrid w:val="0"/>
        <w:spacing w:line="336"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其中：</w:t>
      </w:r>
    </w:p>
    <w:p w14:paraId="15839A2A">
      <w:pPr>
        <w:keepNext w:val="0"/>
        <w:keepLines w:val="0"/>
        <w:pageBreakBefore w:val="0"/>
        <w:widowControl/>
        <w:suppressLineNumbers w:val="0"/>
        <w:kinsoku/>
        <w:wordWrap/>
        <w:overflowPunct/>
        <w:topLinePunct w:val="0"/>
        <w:bidi w:val="0"/>
        <w:adjustRightInd w:val="0"/>
        <w:snapToGrid w:val="0"/>
        <w:spacing w:line="336"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color w:val="000000"/>
          <w:kern w:val="0"/>
          <w:sz w:val="24"/>
          <w:szCs w:val="24"/>
          <w:lang w:val="en-US" w:eastAsia="zh-CN" w:bidi="ar"/>
        </w:rPr>
        <w:t>第一阶段（第一年）暂定合同价（大写）：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（小写）：¥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元；</w:t>
      </w:r>
    </w:p>
    <w:p w14:paraId="6C271692">
      <w:pPr>
        <w:keepNext w:val="0"/>
        <w:keepLines w:val="0"/>
        <w:pageBreakBefore w:val="0"/>
        <w:widowControl/>
        <w:suppressLineNumbers w:val="0"/>
        <w:kinsoku/>
        <w:wordWrap/>
        <w:overflowPunct/>
        <w:topLinePunct w:val="0"/>
        <w:bidi w:val="0"/>
        <w:adjustRightInd w:val="0"/>
        <w:snapToGrid w:val="0"/>
        <w:spacing w:line="336" w:lineRule="auto"/>
        <w:ind w:firstLine="480" w:firstLineChars="20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第二阶段（第二年）暂定合同价（大写）：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（小写）：¥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元；</w:t>
      </w:r>
    </w:p>
    <w:p w14:paraId="6164D50B">
      <w:pPr>
        <w:keepNext w:val="0"/>
        <w:keepLines w:val="0"/>
        <w:pageBreakBefore w:val="0"/>
        <w:widowControl/>
        <w:suppressLineNumbers w:val="0"/>
        <w:kinsoku/>
        <w:wordWrap/>
        <w:overflowPunct/>
        <w:topLinePunct w:val="0"/>
        <w:bidi w:val="0"/>
        <w:adjustRightInd w:val="0"/>
        <w:snapToGrid w:val="0"/>
        <w:spacing w:line="336" w:lineRule="auto"/>
        <w:ind w:firstLine="480" w:firstLineChars="20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合同金额即中标价。合同价格为含税价，乙方提供产品所发生的一切费用（包括增值 </w:t>
      </w:r>
    </w:p>
    <w:p w14:paraId="5A791B6B">
      <w:pPr>
        <w:keepNext w:val="0"/>
        <w:keepLines w:val="0"/>
        <w:pageBreakBefore w:val="0"/>
        <w:widowControl/>
        <w:suppressLineNumbers w:val="0"/>
        <w:kinsoku/>
        <w:wordWrap/>
        <w:overflowPunct/>
        <w:topLinePunct w:val="0"/>
        <w:bidi w:val="0"/>
        <w:adjustRightInd w:val="0"/>
        <w:snapToGrid w:val="0"/>
        <w:spacing w:line="336" w:lineRule="auto"/>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税等相关税费）等都已包含于合同价款中。</w:t>
      </w:r>
    </w:p>
    <w:p w14:paraId="53ECF6E5">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rPr>
          <w:rFonts w:hint="eastAsia" w:ascii="宋体" w:hAnsi="宋体" w:eastAsia="宋体" w:cs="宋体"/>
          <w:highlight w:val="none"/>
        </w:rPr>
      </w:pPr>
      <w:r>
        <w:rPr>
          <w:rFonts w:hint="eastAsia" w:ascii="宋体" w:hAnsi="宋体" w:eastAsia="宋体" w:cs="宋体"/>
          <w:b/>
          <w:bCs/>
          <w:color w:val="000000"/>
          <w:kern w:val="0"/>
          <w:sz w:val="24"/>
          <w:szCs w:val="24"/>
          <w:highlight w:val="none"/>
          <w:lang w:val="en-US" w:eastAsia="zh-CN" w:bidi="ar"/>
        </w:rPr>
        <w:t>第四条 结算方式</w:t>
      </w:r>
    </w:p>
    <w:p w14:paraId="447098C6">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1.结算方式： </w:t>
      </w:r>
    </w:p>
    <w:p w14:paraId="6D4594C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36" w:lineRule="auto"/>
        <w:ind w:left="0" w:right="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（1）预付款支付条款：无</w:t>
      </w:r>
    </w:p>
    <w:p w14:paraId="2B0BEBD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36" w:lineRule="auto"/>
        <w:ind w:left="0" w:right="0" w:firstLine="480" w:firstLineChars="2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（2）剩余款项支付条款：</w:t>
      </w:r>
    </w:p>
    <w:p w14:paraId="08D361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36" w:lineRule="auto"/>
        <w:ind w:left="0" w:right="0" w:firstLine="720" w:firstLineChars="3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1）按月支付，服务费用自服务期限第二个月起每月15日前支付；</w:t>
      </w:r>
    </w:p>
    <w:p w14:paraId="00AF191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36" w:lineRule="auto"/>
        <w:ind w:left="0" w:right="0" w:firstLine="720" w:firstLineChars="3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2）供应商服务质量每月根据考核细则进行考核，根据每月考核情况计算该月扣款金额；</w:t>
      </w:r>
    </w:p>
    <w:p w14:paraId="78C7932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36" w:lineRule="auto"/>
        <w:ind w:left="0" w:right="0" w:firstLine="720" w:firstLineChars="300"/>
        <w:jc w:val="left"/>
        <w:textAlignment w:val="baseline"/>
        <w:outlineLvl w:val="9"/>
        <w:rPr>
          <w:rFonts w:hint="eastAsia" w:ascii="宋体" w:hAnsi="宋体" w:eastAsia="宋体" w:cs="宋体"/>
          <w:i w:val="0"/>
          <w:iCs w:val="0"/>
          <w:caps w:val="0"/>
          <w:color w:val="auto"/>
          <w:spacing w:val="0"/>
          <w:kern w:val="0"/>
          <w:sz w:val="24"/>
          <w:szCs w:val="24"/>
          <w:highlight w:val="none"/>
          <w:u w:val="none"/>
          <w:lang w:val="en-US" w:eastAsia="zh-CN" w:bidi="ar-SA"/>
        </w:rPr>
      </w:pPr>
      <w:r>
        <w:rPr>
          <w:rFonts w:hint="eastAsia" w:ascii="宋体" w:hAnsi="宋体" w:eastAsia="宋体" w:cs="宋体"/>
          <w:i w:val="0"/>
          <w:iCs w:val="0"/>
          <w:caps w:val="0"/>
          <w:color w:val="auto"/>
          <w:spacing w:val="0"/>
          <w:kern w:val="0"/>
          <w:sz w:val="24"/>
          <w:szCs w:val="24"/>
          <w:highlight w:val="none"/>
          <w:u w:val="none"/>
          <w:lang w:val="en-US" w:eastAsia="zh-CN" w:bidi="ar-SA"/>
        </w:rPr>
        <w:t>即：每月实际应付金额=每月合同支付金额-考核扣除金额。</w:t>
      </w:r>
    </w:p>
    <w:p w14:paraId="6BDC8FD2">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highlight w:val="none"/>
          <w:lang w:val="en-US" w:eastAsia="zh-CN" w:bidi="ar"/>
        </w:rPr>
        <w:t>2.付款依据：乙方</w:t>
      </w:r>
      <w:r>
        <w:rPr>
          <w:rFonts w:hint="eastAsia" w:ascii="宋体" w:hAnsi="宋体" w:eastAsia="宋体" w:cs="宋体"/>
          <w:i w:val="0"/>
          <w:iCs w:val="0"/>
          <w:caps w:val="0"/>
          <w:color w:val="auto"/>
          <w:spacing w:val="0"/>
          <w:kern w:val="0"/>
          <w:sz w:val="24"/>
          <w:szCs w:val="24"/>
          <w:highlight w:val="none"/>
          <w:u w:val="none"/>
          <w:lang w:val="en-US" w:eastAsia="zh-CN" w:bidi="ar-SA"/>
        </w:rPr>
        <w:t>应向甲方出具符合国家财税规定的增值税发票，否则甲方有权延迟履行付款义务。如因乙方缘故（如开具增值税发票延误等）导致甲方无法按时付款，甲方不承担违约责任。如遇突发事件，付款日期则以实际付款日期为准。</w:t>
      </w:r>
    </w:p>
    <w:p w14:paraId="6DC31FB8">
      <w:pPr>
        <w:keepNext w:val="0"/>
        <w:keepLines w:val="0"/>
        <w:pageBreakBefore w:val="0"/>
        <w:widowControl/>
        <w:suppressLineNumbers w:val="0"/>
        <w:kinsoku/>
        <w:wordWrap/>
        <w:overflowPunct/>
        <w:topLinePunct w:val="0"/>
        <w:bidi w:val="0"/>
        <w:adjustRightInd w:val="0"/>
        <w:snapToGrid w:val="0"/>
        <w:spacing w:line="336" w:lineRule="auto"/>
        <w:ind w:firstLine="480" w:firstLineChars="200"/>
        <w:jc w:val="left"/>
        <w:rPr>
          <w:rFonts w:hint="eastAsia" w:ascii="宋体" w:hAnsi="宋体" w:eastAsia="宋体" w:cs="宋体"/>
        </w:rPr>
      </w:pPr>
      <w:r>
        <w:rPr>
          <w:rFonts w:hint="eastAsia" w:ascii="宋体" w:hAnsi="宋体" w:eastAsia="宋体" w:cs="宋体"/>
          <w:b/>
          <w:bCs/>
          <w:color w:val="000000"/>
          <w:kern w:val="0"/>
          <w:sz w:val="24"/>
          <w:szCs w:val="24"/>
          <w:lang w:val="en-US" w:eastAsia="zh-CN" w:bidi="ar"/>
        </w:rPr>
        <w:t>第五条 甲方委托乙方就以下各项内容进行管理</w:t>
      </w:r>
    </w:p>
    <w:p w14:paraId="4D89BAA6">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（1）房屋</w:t>
      </w:r>
    </w:p>
    <w:p w14:paraId="46271484">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（2）垃圾压缩设备；</w:t>
      </w:r>
    </w:p>
    <w:p w14:paraId="1F188695">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（3）车辆；</w:t>
      </w:r>
    </w:p>
    <w:p w14:paraId="0F09C322">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（4）其他辅助设施。</w:t>
      </w:r>
    </w:p>
    <w:p w14:paraId="534C1049">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所有车辆、机械的相关事项：自行完成站内所有车辆各项手续的办理及费用。车辆及设备保养维修等费用、车辆正常检审验费用和车辆全额保险费用。</w:t>
      </w:r>
    </w:p>
    <w:p w14:paraId="599FAA74">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人员费用：负责压缩站内所有司机、安全员、操作员等人员的工资、保险费用；</w:t>
      </w:r>
    </w:p>
    <w:p w14:paraId="6AAC8E21">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其他：垃圾压缩站托管包含的管理费、压缩站内设备维修费、水电费、消毒费、配电室维护管理等。</w:t>
      </w:r>
    </w:p>
    <w:p w14:paraId="5765A135">
      <w:pPr>
        <w:keepNext w:val="0"/>
        <w:keepLines w:val="0"/>
        <w:pageBreakBefore w:val="0"/>
        <w:widowControl/>
        <w:suppressLineNumbers w:val="0"/>
        <w:kinsoku/>
        <w:wordWrap/>
        <w:overflowPunct/>
        <w:topLinePunct w:val="0"/>
        <w:bidi w:val="0"/>
        <w:adjustRightInd w:val="0"/>
        <w:snapToGrid w:val="0"/>
        <w:spacing w:line="336" w:lineRule="auto"/>
        <w:ind w:firstLine="480" w:firstLineChars="200"/>
        <w:jc w:val="left"/>
        <w:rPr>
          <w:rFonts w:hint="eastAsia" w:ascii="宋体" w:hAnsi="宋体" w:eastAsia="宋体" w:cs="宋体"/>
        </w:rPr>
      </w:pPr>
      <w:r>
        <w:rPr>
          <w:rFonts w:hint="eastAsia" w:ascii="宋体" w:hAnsi="宋体" w:eastAsia="宋体" w:cs="宋体"/>
          <w:b/>
          <w:bCs/>
          <w:color w:val="000000"/>
          <w:kern w:val="0"/>
          <w:sz w:val="24"/>
          <w:szCs w:val="24"/>
          <w:lang w:val="en-US" w:eastAsia="zh-CN" w:bidi="ar"/>
        </w:rPr>
        <w:t>第六条 工作内容及要求</w:t>
      </w:r>
    </w:p>
    <w:p w14:paraId="614BDE0D">
      <w:pPr>
        <w:keepNext w:val="0"/>
        <w:keepLines w:val="0"/>
        <w:pageBreakBefore w:val="0"/>
        <w:numPr>
          <w:ilvl w:val="0"/>
          <w:numId w:val="0"/>
        </w:numPr>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1.工作要求：</w:t>
      </w:r>
    </w:p>
    <w:p w14:paraId="6E8DFD53">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（1）优先保证主干道、随满随清工作原则，及时将各处垃圾斗和垃圾点内垃圾清运回压缩站；</w:t>
      </w:r>
    </w:p>
    <w:p w14:paraId="1DD2EF3F">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（2）压缩站内垃圾压缩工作应与清运工作同步进行，保证未处理垃圾不在压缩站堆积；</w:t>
      </w:r>
    </w:p>
    <w:p w14:paraId="4887B1B2">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（3）压缩后的垃圾及时安排车辆运至采购人指定垃圾消纳场。</w:t>
      </w:r>
    </w:p>
    <w:p w14:paraId="09CF60D8">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2.具体工作过程 </w:t>
      </w:r>
    </w:p>
    <w:p w14:paraId="4030C773">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（1）垃圾清运工作。每天早上8:00前完成主干道沿线垃圾斗收集清运工作，其他各村垃圾斗按照斗内垃圾情况及时清运，严格做到随满随清。辖区内现</w:t>
      </w:r>
      <w:r>
        <w:rPr>
          <w:rFonts w:hint="eastAsia" w:ascii="宋体" w:hAnsi="宋体" w:eastAsia="宋体" w:cs="宋体"/>
          <w:sz w:val="24"/>
          <w:szCs w:val="24"/>
          <w:highlight w:val="none"/>
          <w:lang w:val="en-US" w:eastAsia="zh-CN"/>
        </w:rPr>
        <w:t>有68个垃圾斗和56个垃圾点</w:t>
      </w:r>
      <w:r>
        <w:rPr>
          <w:rFonts w:hint="eastAsia" w:ascii="宋体" w:hAnsi="宋体" w:eastAsia="宋体" w:cs="宋体"/>
          <w:sz w:val="24"/>
          <w:szCs w:val="24"/>
          <w:lang w:val="en-US" w:eastAsia="zh-CN"/>
        </w:rPr>
        <w:t>，确保每天的清运任务当天完成。</w:t>
      </w:r>
    </w:p>
    <w:p w14:paraId="028FC820">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垃圾压缩工作。垃圾清运回压缩站立即安排垃圾压缩工作。该环节应按照国家相关规定和工作内容要求配备具有相应资质的设备操作员和设备上料员。（操作员2名、上料员3名）。操作员和上料员必须严格按照规范进行作业，在操作员和上料员相互配合进行现场作业时，必须有1名操作员和1名上料员在旁边做好各自环节的安全监督检查工作。</w:t>
      </w:r>
    </w:p>
    <w:p w14:paraId="5E6F31B4">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（3）压缩垃圾运送工作。将压缩后的垃圾及时装至运送车内，装满之后及时安排运送至垃圾消纳场进行倾倒。</w:t>
      </w:r>
    </w:p>
    <w:p w14:paraId="04A7F055">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（4）垃圾倾倒工作。压缩后的垃圾必须倾倒在采购人指定的垃圾消纳场，采购人每月提供一定数量的垃圾消纳票，供应商凭票进入消纳场进行倾倒。</w:t>
      </w:r>
    </w:p>
    <w:p w14:paraId="54D828E7">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辅助性工作。供应商应按照国家相关规定和工作内容要求配备具有相应资质辅助性工作的人员11人，专业人员必须持证上岗。其中：垃圾清运车辆和压缩垃圾运送车需各配1名安全员，1辆自压车需配安全员及自压装置辅助工共3名人员。</w:t>
      </w:r>
    </w:p>
    <w:p w14:paraId="204D066B">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后勤保障工作。为保证压缩站的正常运行，供应商应配备具有相应资质的后勤保障人员。保养员兼电工负责压缩设备的日常保养、配电室及电路维护，电工必须具有国家相关规定的相应资质，持证上岗，门卫负责场地安全事项，厨师负责压缩站工作人员的饮食，会计负责账务处理。</w:t>
      </w:r>
    </w:p>
    <w:p w14:paraId="468E64A1">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保洁消毒工作。压缩站不在单独配备保洁员，站内环境卫生工作由供应商负责监督落实。司机在完成清运工作后必须将自己驾驶车辆冲洗干净后方能停车入库；操作员和上料员完成作业后必须将压缩设备和设备用房清理干净后方能离开；厨师要注重厨房的卫生保证饮食安全；门卫负责其他公共区域的保洁工作。应定期对压缩站进行全面的消毒工作。</w:t>
      </w:r>
    </w:p>
    <w:p w14:paraId="68F2C19E">
      <w:pPr>
        <w:keepNext w:val="0"/>
        <w:keepLines w:val="0"/>
        <w:pageBreakBefore w:val="0"/>
        <w:kinsoku/>
        <w:wordWrap/>
        <w:overflowPunct/>
        <w:topLinePunct w:val="0"/>
        <w:autoSpaceDE/>
        <w:autoSpaceDN/>
        <w:bidi w:val="0"/>
        <w:adjustRightInd w:val="0"/>
        <w:snapToGrid w:val="0"/>
        <w:spacing w:line="336"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（8）安全培训工作。对人员安全进行管理，定期组织安全培训工作，对服务项目各环节的操作流程进行培训，增强员工安全意识。</w:t>
      </w:r>
    </w:p>
    <w:p w14:paraId="420E135A">
      <w:pPr>
        <w:keepNext w:val="0"/>
        <w:keepLines w:val="0"/>
        <w:pageBreakBefore w:val="0"/>
        <w:widowControl/>
        <w:suppressLineNumbers w:val="0"/>
        <w:kinsoku/>
        <w:wordWrap/>
        <w:overflowPunct/>
        <w:topLinePunct w:val="0"/>
        <w:bidi w:val="0"/>
        <w:adjustRightInd w:val="0"/>
        <w:snapToGrid w:val="0"/>
        <w:spacing w:line="336" w:lineRule="auto"/>
        <w:ind w:firstLine="480" w:firstLineChars="200"/>
        <w:jc w:val="left"/>
        <w:rPr>
          <w:rFonts w:hint="eastAsia" w:ascii="宋体" w:hAnsi="宋体" w:eastAsia="宋体" w:cs="宋体"/>
          <w:highlight w:val="none"/>
        </w:rPr>
      </w:pPr>
      <w:r>
        <w:rPr>
          <w:rFonts w:hint="eastAsia" w:ascii="宋体" w:hAnsi="宋体" w:eastAsia="宋体" w:cs="宋体"/>
          <w:b/>
          <w:bCs/>
          <w:color w:val="000000"/>
          <w:kern w:val="0"/>
          <w:sz w:val="24"/>
          <w:szCs w:val="24"/>
          <w:highlight w:val="none"/>
          <w:lang w:val="en-US" w:eastAsia="zh-CN" w:bidi="ar"/>
        </w:rPr>
        <w:t xml:space="preserve">第七条 合同双方的责任及义务 </w:t>
      </w:r>
    </w:p>
    <w:p w14:paraId="42FE6CB6">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b/>
          <w:bCs/>
          <w:highlight w:val="none"/>
        </w:rPr>
      </w:pPr>
      <w:r>
        <w:rPr>
          <w:rFonts w:hint="eastAsia" w:ascii="宋体" w:hAnsi="宋体" w:eastAsia="宋体" w:cs="宋体"/>
          <w:b/>
          <w:bCs/>
          <w:color w:val="000000"/>
          <w:kern w:val="0"/>
          <w:sz w:val="24"/>
          <w:szCs w:val="24"/>
          <w:highlight w:val="none"/>
          <w:lang w:val="en-US" w:eastAsia="zh-CN" w:bidi="ar"/>
        </w:rPr>
        <w:t xml:space="preserve">1.甲方权利 </w:t>
      </w:r>
    </w:p>
    <w:p w14:paraId="69EBB3B6">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（1）定期检查车辆的运转情况，监督车辆加油情况，每月检查登记车辆里程，审核车辆油耗情况，督促车辆按期进行保养。 </w:t>
      </w:r>
    </w:p>
    <w:p w14:paraId="637F78A0">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highlight w:val="none"/>
          <w:lang w:val="en-US" w:eastAsia="zh-CN" w:bidi="ar"/>
        </w:rPr>
        <w:t>（2）定期检查设备的运行情况，督促乙方加</w:t>
      </w:r>
      <w:r>
        <w:rPr>
          <w:rFonts w:hint="eastAsia" w:ascii="宋体" w:hAnsi="宋体" w:eastAsia="宋体" w:cs="宋体"/>
          <w:color w:val="000000"/>
          <w:kern w:val="0"/>
          <w:sz w:val="24"/>
          <w:szCs w:val="24"/>
          <w:lang w:val="en-US" w:eastAsia="zh-CN" w:bidi="ar"/>
        </w:rPr>
        <w:t xml:space="preserve">强压缩设备日常保养工作，制定设备维修申报流程，加强维修过程监管。 </w:t>
      </w:r>
    </w:p>
    <w:p w14:paraId="632D1402">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（3）甲方委托乙方管理的所有工作过程，由甲方安排专人进行监督检查。工作职责及权利如下： </w:t>
      </w:r>
    </w:p>
    <w:p w14:paraId="2AA46375">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①垃圾清运环节。监督乙方垃圾清运任务的每日完成情况，监督乙方是否从事甲方授权范围外的经营性工作；按照利于群众使用、便于车辆收集的原则，协调乙方合理调配垃圾斗的摆放位置；协调处理清运过程中产生的意外情况。 </w:t>
      </w:r>
    </w:p>
    <w:p w14:paraId="5DAD06A7">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②垃圾压缩环节。不定时抽查垃圾压缩工作，监督人员在岗、设备运行、规范操作及环境卫生等情况。 </w:t>
      </w:r>
    </w:p>
    <w:p w14:paraId="6B89841B">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③压缩垃圾运送环节。监督车辆严格按照安全文明驾驶的要求按规定路线将垃圾运送至指定地点进行倾倒。 </w:t>
      </w:r>
    </w:p>
    <w:p w14:paraId="47D4EA1E">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④垃圾倾倒环节。监督检查垃圾消纳票的使用情况。 </w:t>
      </w:r>
    </w:p>
    <w:p w14:paraId="20AD5C15">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⑤其他环节。监督乙方其它工作相关环节的工作尽职情况。 </w:t>
      </w:r>
    </w:p>
    <w:p w14:paraId="1ADC9F94">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（4）甲方定期对压缩站内的安全生产情况进行检查评估，督促乙方落实好安全生产工作； </w:t>
      </w:r>
    </w:p>
    <w:p w14:paraId="0F5510EE">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（5）甲方定期对压缩站固定资产、机械设备运行、车辆运营等情况进行检查。 </w:t>
      </w:r>
    </w:p>
    <w:p w14:paraId="26613E45">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（6）对乙方不合格员工提出更换要求。 </w:t>
      </w:r>
    </w:p>
    <w:p w14:paraId="270788E6">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b/>
          <w:bCs/>
        </w:rPr>
      </w:pPr>
      <w:r>
        <w:rPr>
          <w:rFonts w:hint="eastAsia" w:ascii="宋体" w:hAnsi="宋体" w:eastAsia="宋体" w:cs="宋体"/>
          <w:b/>
          <w:bCs/>
          <w:color w:val="000000"/>
          <w:kern w:val="0"/>
          <w:sz w:val="24"/>
          <w:szCs w:val="24"/>
          <w:lang w:val="en-US" w:eastAsia="zh-CN" w:bidi="ar"/>
        </w:rPr>
        <w:t xml:space="preserve">2.甲方义务 </w:t>
      </w:r>
    </w:p>
    <w:p w14:paraId="6C561485">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（1）按合同约定向乙方支付合同价款。 </w:t>
      </w:r>
    </w:p>
    <w:p w14:paraId="11E79037">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（2）提供垃圾压缩设备、车辆及其他辅助设施。</w:t>
      </w:r>
    </w:p>
    <w:p w14:paraId="58C0E1E3">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（3）对乙方服务质量监督检查，发现质量问题及时要求乙方整改，直至达到质量标准。 </w:t>
      </w:r>
    </w:p>
    <w:p w14:paraId="13F8D683">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（4）积极采纳乙方在服务管理方面的合理化建议。 </w:t>
      </w:r>
    </w:p>
    <w:p w14:paraId="06953029">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b/>
          <w:bCs/>
        </w:rPr>
      </w:pPr>
      <w:r>
        <w:rPr>
          <w:rFonts w:hint="eastAsia" w:ascii="宋体" w:hAnsi="宋体" w:eastAsia="宋体" w:cs="宋体"/>
          <w:b/>
          <w:bCs/>
          <w:color w:val="000000"/>
          <w:kern w:val="0"/>
          <w:sz w:val="24"/>
          <w:szCs w:val="24"/>
          <w:lang w:val="en-US" w:eastAsia="zh-CN" w:bidi="ar"/>
        </w:rPr>
        <w:t xml:space="preserve">3.乙方权利 </w:t>
      </w:r>
    </w:p>
    <w:p w14:paraId="56F16701">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（1）按照合同约定收取合同价款。 </w:t>
      </w:r>
    </w:p>
    <w:p w14:paraId="0B4045A5">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（2）乙方有权向甲方反映管理运行中的问题，并提出建议。 </w:t>
      </w:r>
    </w:p>
    <w:p w14:paraId="13A27622">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（3）乙方对设备运行中工作人员进行管理、考核、发放工资、办理保险，并有权根据工作情况经甲方审核后更换工作人员。 </w:t>
      </w:r>
    </w:p>
    <w:p w14:paraId="4555C571">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b/>
          <w:bCs/>
        </w:rPr>
      </w:pPr>
      <w:r>
        <w:rPr>
          <w:rFonts w:hint="eastAsia" w:ascii="宋体" w:hAnsi="宋体" w:eastAsia="宋体" w:cs="宋体"/>
          <w:b/>
          <w:bCs/>
          <w:color w:val="000000"/>
          <w:kern w:val="0"/>
          <w:sz w:val="24"/>
          <w:szCs w:val="24"/>
          <w:lang w:val="en-US" w:eastAsia="zh-CN" w:bidi="ar"/>
        </w:rPr>
        <w:t xml:space="preserve">4.乙方义务 </w:t>
      </w:r>
    </w:p>
    <w:p w14:paraId="7674C8DC">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（1）根据垃圾清运及道路保洁工作的需求以及甲方的要求配备相应数量的工作人员，并向甲方提供垃圾清运及道路保洁工作中设备、人员、任务的分配及分工情况，由甲方进行审定，并按照审定结果到岗工作。 </w:t>
      </w:r>
    </w:p>
    <w:p w14:paraId="0FB0A116">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乙方派出一名主管负责人和一名临时负责人，负责日常服务工作检查和服务管理工作及紧急情况的处理。 </w:t>
      </w:r>
    </w:p>
    <w:p w14:paraId="0172A2F6">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主管负责人：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，身份证号：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 </w:t>
      </w:r>
    </w:p>
    <w:p w14:paraId="096507D9">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临时负责人：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，身份证号：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2ADBAE04">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（2）按照本合同约定的工作要求实施垃圾清运和道路保洁工作，遵守甲方现有及以后制定的各项规定或规章制度，并无条件接受甲方的整改要求，确保辖区环境卫生整洁。 </w:t>
      </w:r>
    </w:p>
    <w:p w14:paraId="20E5B2BE">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（3）乙方应根据法律、法规及约定，以行业的标准，勤勉尽职地从事压缩站管理工作，合法正常运营，并保证垃圾统一收集后运至甲方指定垃圾消纳场。 </w:t>
      </w:r>
    </w:p>
    <w:p w14:paraId="75632C20">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（4）乙方在压缩站车辆、设备需维修、保养时，需及时上报甲方并承担相关费用，乙方须购买所有车辆的交强险和相关商业险。 </w:t>
      </w:r>
    </w:p>
    <w:p w14:paraId="432E798B">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（5）乙方要正确使用并爱护所委托管理的资产，及时向甲方汇报检修、保养、办理相关保险及年审情况，合同期满时，要保证资产完好。 </w:t>
      </w:r>
    </w:p>
    <w:p w14:paraId="00E708AE">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（6）乙方按照日产日清的原则，对辖区倾倒的建筑垃圾进行及时清运，并运至指定垃圾消纳场。 </w:t>
      </w:r>
    </w:p>
    <w:p w14:paraId="6AFBF789">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（7）乙方每月将清运建筑垃圾的地点进行登记造册，建立台账，上报街办，并附相关清运照片。 </w:t>
      </w:r>
    </w:p>
    <w:p w14:paraId="2BBDCF58">
      <w:pPr>
        <w:keepNext w:val="0"/>
        <w:keepLines w:val="0"/>
        <w:pageBreakBefore w:val="0"/>
        <w:widowControl/>
        <w:suppressLineNumbers w:val="0"/>
        <w:kinsoku/>
        <w:wordWrap/>
        <w:overflowPunct/>
        <w:topLinePunct w:val="0"/>
        <w:bidi w:val="0"/>
        <w:adjustRightInd w:val="0"/>
        <w:snapToGrid w:val="0"/>
        <w:spacing w:line="336" w:lineRule="auto"/>
        <w:ind w:firstLine="480" w:firstLineChars="200"/>
        <w:jc w:val="left"/>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（8）乙方按照甲方的工作任务及目标要求，做好设备运营的人员配备，由甲方审核备案后方可上岗。乙方严格按照甲方审定的工作人员配备，确保到岗工作。 </w:t>
      </w:r>
    </w:p>
    <w:p w14:paraId="1AA06819">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（9）乙方应向甲方提供清运工作中设备、人员、任务的分配及分工情况，并按要求到岗工作，甲方有权对工作情况随时进行检查。 </w:t>
      </w:r>
    </w:p>
    <w:p w14:paraId="4F7D9D5E">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（10）乙方用工应签订劳动合同，并办理各种用工手续，如因用工不当，给甲方造成损失，由乙方承担。 </w:t>
      </w:r>
    </w:p>
    <w:p w14:paraId="3BD003D8">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（11）压缩站设备运行，车辆运行过程中以及压缩站平时管理过程中发生安全责任事故，一切后果均由乙方自行承担，与甲方无关。 </w:t>
      </w:r>
    </w:p>
    <w:p w14:paraId="53C3B931">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（12）乙方应严格按照本合同约定、服务方案及甲方要求提供服务，无条件按照甲方要求整改。 </w:t>
      </w:r>
    </w:p>
    <w:p w14:paraId="31B420F4">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color w:val="000000"/>
          <w:kern w:val="0"/>
          <w:sz w:val="24"/>
          <w:szCs w:val="24"/>
          <w:lang w:val="en-US" w:eastAsia="zh-CN" w:bidi="ar"/>
        </w:rPr>
        <w:t>（13）乙方员工在工作期间不得随意离开工作岗位，若乙方主管负责人不在作业现场，乙方临时负责人应接受</w:t>
      </w:r>
      <w:r>
        <w:rPr>
          <w:rFonts w:hint="eastAsia" w:ascii="宋体" w:hAnsi="宋体" w:eastAsia="宋体" w:cs="宋体"/>
          <w:color w:val="000000"/>
          <w:kern w:val="0"/>
          <w:sz w:val="24"/>
          <w:szCs w:val="24"/>
          <w:highlight w:val="none"/>
          <w:lang w:val="en-US" w:eastAsia="zh-CN" w:bidi="ar"/>
        </w:rPr>
        <w:t>甲方主管负责人。</w:t>
      </w:r>
    </w:p>
    <w:p w14:paraId="44A59945">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b/>
          <w:bCs/>
          <w:color w:val="000000"/>
          <w:kern w:val="0"/>
          <w:sz w:val="24"/>
          <w:szCs w:val="24"/>
          <w:highlight w:val="none"/>
          <w:lang w:val="en-US" w:eastAsia="zh-CN" w:bidi="ar"/>
        </w:rPr>
        <w:t xml:space="preserve">第八条 资产管理工作 </w:t>
      </w:r>
    </w:p>
    <w:p w14:paraId="56B2A39A">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1.垃圾压缩站合同签订后，甲方将压缩站内全部资产交付乙方经营，双方办理移交手续，乙方即有了资产的经营权和使用权，但无资产所有权。（附固定资产移交单） </w:t>
      </w:r>
    </w:p>
    <w:p w14:paraId="437FEEEF">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2.服务期满，乙方应按移交清单，全数交还给甲方。若有丢失和损坏，由乙方赔偿。 </w:t>
      </w:r>
    </w:p>
    <w:p w14:paraId="0CEFCB39">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第九条 工作目标</w:t>
      </w:r>
    </w:p>
    <w:p w14:paraId="1E461557">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1.环境保洁 </w:t>
      </w:r>
    </w:p>
    <w:p w14:paraId="6860A408">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①积极配合新筑街道城市综合管理办公室做好各主干道沿线、各行政村、集贸市场、驻地单位垃圾斗及垃圾点的垃圾清运。 </w:t>
      </w:r>
    </w:p>
    <w:p w14:paraId="6EFA98A1">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②按照规定将垃圾点及垃圾斗的生活垃圾，统一收集于压缩站，压缩后及时运至指定垃圾场。因未在指定垃圾场倾倒，而引发的意外事件由乙方全部承担责任，与甲方无关，并甲方有随时终止合同的权利。 </w:t>
      </w:r>
    </w:p>
    <w:p w14:paraId="0DDA749D">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2.压缩站保洁 </w:t>
      </w:r>
    </w:p>
    <w:p w14:paraId="567D4E6D">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①每月定期清洗维护垃圾压缩机，同时每周三次对垃圾清运车辆进行清洗、保洁，并做好记录，每月底交办公室。 </w:t>
      </w:r>
    </w:p>
    <w:p w14:paraId="3754B159">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②做好垃圾压缩站大院内的环境卫生。 </w:t>
      </w:r>
    </w:p>
    <w:p w14:paraId="305044F3">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③定期喷洒药物，做好“爱卫”工作，要求有影像文字资料。 </w:t>
      </w:r>
    </w:p>
    <w:p w14:paraId="4DB8EC21">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④做好垃圾清运车辆运输途中的垃圾斗覆盖工作。</w:t>
      </w:r>
    </w:p>
    <w:p w14:paraId="6BFA374A">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第十条 合同变更与终止 </w:t>
      </w:r>
    </w:p>
    <w:p w14:paraId="2C893C8E">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1.合同期间任何一方不得随意终止合同。 </w:t>
      </w:r>
    </w:p>
    <w:p w14:paraId="20A0F7EE">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2.本合同规定的履行期限届满，合同自动终止。 </w:t>
      </w:r>
    </w:p>
    <w:p w14:paraId="306FDEEF">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3.因双方机构撤并、职能调整等原因，确需终止合同的，双方可协商终止合同。 </w:t>
      </w:r>
    </w:p>
    <w:p w14:paraId="6538E168">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4.乙方应自觉遵守甲方工作纪律、规章制度，服从甲方管理。因乙方原因给甲方造成严重后果的，甲方可以单方面解除合同。 </w:t>
      </w:r>
    </w:p>
    <w:p w14:paraId="1F000689">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第十一条 违约责任 </w:t>
      </w:r>
    </w:p>
    <w:p w14:paraId="14B1B9F7">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1.甲乙双方任何一方因未按合同约定执行而发生的一切后果及损失违约方承担责任。 </w:t>
      </w:r>
    </w:p>
    <w:p w14:paraId="67E4C0FF">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2.双方应认真履行职责义务，因特殊情况需要变更应提前通知对方，协商解决，否则要承担违约责任。 </w:t>
      </w:r>
    </w:p>
    <w:p w14:paraId="2BE3A3C9">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3.若乙方垃圾清运或道路保洁不及时、不彻底，甲方有权委托第三方进行垃圾清运和道路保洁，由此产生的费用由乙方承担。 </w:t>
      </w:r>
    </w:p>
    <w:p w14:paraId="05EAF36C">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第十二条 不可抗力 </w:t>
      </w:r>
    </w:p>
    <w:p w14:paraId="7BD6566A">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 </w:t>
      </w:r>
    </w:p>
    <w:p w14:paraId="6D2F1098">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第十三条 争议解决 </w:t>
      </w:r>
    </w:p>
    <w:p w14:paraId="030D1E70">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双方本着友好合作的态度,对合同履行过程中发生的纠纷应及时协商解决，协商不成的，向甲方所在地有管辖权的人民法院诉讼解决。 </w:t>
      </w:r>
    </w:p>
    <w:p w14:paraId="281A03C3">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第十四条 其它事项 </w:t>
      </w:r>
    </w:p>
    <w:p w14:paraId="1EDB9E8A">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因物价上涨，相关从业人员工资普遍提高等因素而引发的乙方承包事宜，难以维持时， 甲、乙双方均以补充协议为准；如有其它需增加内容，根据甲乙双方协商解决。 </w:t>
      </w:r>
    </w:p>
    <w:p w14:paraId="3D36952B">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第十五条 监督和管理 </w:t>
      </w:r>
    </w:p>
    <w:p w14:paraId="1F292937">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 xml:space="preserve">1.政府采购合同履行中，甲方需追加与合同标的相同服务的，在不改变合同其他条款的前提下，可以与乙方协商签订补充合同，但所有补充合同的采购金额不得超过原合同采购金额的百分之十。 </w:t>
      </w:r>
    </w:p>
    <w:p w14:paraId="2323A5AF">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2.甲乙双方均应自觉配合有关监督管理部门对合同履行情况的监督检查，如实反映情况，提供有关资料；否则，将对有关单位、当事人按照有关规定予以处罚。</w:t>
      </w:r>
    </w:p>
    <w:p w14:paraId="2582114F">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第十六条 合同订立 </w:t>
      </w:r>
    </w:p>
    <w:p w14:paraId="11893196">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1.订立时间：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日。 </w:t>
      </w:r>
    </w:p>
    <w:p w14:paraId="471049DF">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2.订立地点：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2C937FF9">
      <w:pPr>
        <w:keepNext w:val="0"/>
        <w:keepLines w:val="0"/>
        <w:pageBreakBefore w:val="0"/>
        <w:widowControl/>
        <w:suppressLineNumbers w:val="0"/>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rPr>
      </w:pPr>
      <w:r>
        <w:rPr>
          <w:rFonts w:hint="eastAsia" w:ascii="宋体" w:hAnsi="宋体" w:eastAsia="宋体" w:cs="宋体"/>
          <w:color w:val="000000"/>
          <w:kern w:val="0"/>
          <w:sz w:val="24"/>
          <w:szCs w:val="24"/>
          <w:lang w:val="en-US" w:eastAsia="zh-CN" w:bidi="ar"/>
        </w:rPr>
        <w:t>3.本合同一式肆份,甲乙双方各执贰份。各方签字盖章后生效。</w:t>
      </w:r>
    </w:p>
    <w:tbl>
      <w:tblPr>
        <w:tblStyle w:val="29"/>
        <w:tblpPr w:leftFromText="180" w:rightFromText="180" w:vertAnchor="text" w:horzAnchor="page" w:tblpX="1937" w:tblpY="99"/>
        <w:tblOverlap w:val="never"/>
        <w:tblW w:w="8403" w:type="dxa"/>
        <w:tblInd w:w="0" w:type="dxa"/>
        <w:tblLayout w:type="fixed"/>
        <w:tblCellMar>
          <w:top w:w="0" w:type="dxa"/>
          <w:left w:w="108" w:type="dxa"/>
          <w:bottom w:w="0" w:type="dxa"/>
          <w:right w:w="108" w:type="dxa"/>
        </w:tblCellMar>
      </w:tblPr>
      <w:tblGrid>
        <w:gridCol w:w="4201"/>
        <w:gridCol w:w="4202"/>
      </w:tblGrid>
      <w:tr w14:paraId="250090FF">
        <w:tblPrEx>
          <w:tblCellMar>
            <w:top w:w="0" w:type="dxa"/>
            <w:left w:w="108" w:type="dxa"/>
            <w:bottom w:w="0" w:type="dxa"/>
            <w:right w:w="108" w:type="dxa"/>
          </w:tblCellMar>
        </w:tblPrEx>
        <w:trPr>
          <w:trHeight w:val="454" w:hRule="atLeast"/>
        </w:trPr>
        <w:tc>
          <w:tcPr>
            <w:tcW w:w="4201" w:type="dxa"/>
            <w:vAlign w:val="center"/>
          </w:tcPr>
          <w:p w14:paraId="7FDBBEC5">
            <w:pPr>
              <w:spacing w:line="240" w:lineRule="auto"/>
              <w:ind w:firstLine="480" w:firstLineChars="200"/>
              <w:rPr>
                <w:rFonts w:ascii="宋体"/>
                <w:sz w:val="24"/>
              </w:rPr>
            </w:pPr>
            <w:r>
              <w:rPr>
                <w:rFonts w:hint="eastAsia" w:ascii="宋体" w:hAnsi="宋体" w:cs="宋体"/>
                <w:sz w:val="24"/>
              </w:rPr>
              <w:t>甲</w:t>
            </w:r>
            <w:r>
              <w:rPr>
                <w:rFonts w:ascii="宋体" w:hAnsi="宋体" w:cs="宋体"/>
                <w:sz w:val="24"/>
              </w:rPr>
              <w:t xml:space="preserve">  </w:t>
            </w:r>
            <w:r>
              <w:rPr>
                <w:rFonts w:hint="eastAsia" w:ascii="宋体" w:hAnsi="宋体" w:cs="宋体"/>
                <w:sz w:val="24"/>
              </w:rPr>
              <w:t>方</w:t>
            </w:r>
          </w:p>
        </w:tc>
        <w:tc>
          <w:tcPr>
            <w:tcW w:w="4202" w:type="dxa"/>
            <w:vAlign w:val="center"/>
          </w:tcPr>
          <w:p w14:paraId="49B6541D">
            <w:pPr>
              <w:spacing w:line="240" w:lineRule="auto"/>
              <w:ind w:firstLine="480" w:firstLineChars="200"/>
              <w:rPr>
                <w:rFonts w:ascii="宋体"/>
                <w:sz w:val="24"/>
              </w:rPr>
            </w:pPr>
            <w:r>
              <w:rPr>
                <w:rFonts w:hint="eastAsia" w:ascii="宋体" w:hAnsi="宋体" w:cs="宋体"/>
                <w:sz w:val="24"/>
              </w:rPr>
              <w:t>乙</w:t>
            </w:r>
            <w:r>
              <w:rPr>
                <w:rFonts w:ascii="宋体" w:hAnsi="宋体" w:cs="宋体"/>
                <w:sz w:val="24"/>
              </w:rPr>
              <w:t xml:space="preserve">  </w:t>
            </w:r>
            <w:r>
              <w:rPr>
                <w:rFonts w:hint="eastAsia" w:ascii="宋体" w:hAnsi="宋体" w:cs="宋体"/>
                <w:sz w:val="24"/>
              </w:rPr>
              <w:t>方</w:t>
            </w:r>
          </w:p>
        </w:tc>
      </w:tr>
      <w:tr w14:paraId="0165710F">
        <w:tblPrEx>
          <w:tblCellMar>
            <w:top w:w="0" w:type="dxa"/>
            <w:left w:w="108" w:type="dxa"/>
            <w:bottom w:w="0" w:type="dxa"/>
            <w:right w:w="108" w:type="dxa"/>
          </w:tblCellMar>
        </w:tblPrEx>
        <w:trPr>
          <w:trHeight w:val="454" w:hRule="atLeast"/>
        </w:trPr>
        <w:tc>
          <w:tcPr>
            <w:tcW w:w="4201" w:type="dxa"/>
            <w:vAlign w:val="center"/>
          </w:tcPr>
          <w:p w14:paraId="09DA2A10">
            <w:pPr>
              <w:spacing w:line="240" w:lineRule="auto"/>
              <w:ind w:firstLine="480" w:firstLineChars="200"/>
              <w:rPr>
                <w:rFonts w:ascii="宋体"/>
                <w:sz w:val="24"/>
              </w:rPr>
            </w:pPr>
            <w:r>
              <w:rPr>
                <w:rFonts w:hint="eastAsia" w:ascii="宋体" w:hAnsi="宋体" w:cs="宋体"/>
                <w:sz w:val="24"/>
              </w:rPr>
              <w:t>（盖章）</w:t>
            </w:r>
          </w:p>
        </w:tc>
        <w:tc>
          <w:tcPr>
            <w:tcW w:w="4202" w:type="dxa"/>
            <w:vAlign w:val="center"/>
          </w:tcPr>
          <w:p w14:paraId="24FE76BE">
            <w:pPr>
              <w:spacing w:line="240" w:lineRule="auto"/>
              <w:ind w:firstLine="480" w:firstLineChars="200"/>
              <w:rPr>
                <w:rFonts w:ascii="宋体"/>
                <w:sz w:val="24"/>
              </w:rPr>
            </w:pPr>
            <w:r>
              <w:rPr>
                <w:rFonts w:hint="eastAsia" w:ascii="宋体" w:hAnsi="宋体" w:cs="宋体"/>
                <w:sz w:val="24"/>
              </w:rPr>
              <w:t>（盖章）</w:t>
            </w:r>
          </w:p>
        </w:tc>
      </w:tr>
      <w:tr w14:paraId="29119B7D">
        <w:tblPrEx>
          <w:tblCellMar>
            <w:top w:w="0" w:type="dxa"/>
            <w:left w:w="108" w:type="dxa"/>
            <w:bottom w:w="0" w:type="dxa"/>
            <w:right w:w="108" w:type="dxa"/>
          </w:tblCellMar>
        </w:tblPrEx>
        <w:trPr>
          <w:trHeight w:val="454" w:hRule="atLeast"/>
        </w:trPr>
        <w:tc>
          <w:tcPr>
            <w:tcW w:w="4201" w:type="dxa"/>
            <w:vAlign w:val="center"/>
          </w:tcPr>
          <w:p w14:paraId="7DD2AFAC">
            <w:pPr>
              <w:spacing w:line="240" w:lineRule="auto"/>
              <w:ind w:firstLine="480" w:firstLineChars="200"/>
              <w:rPr>
                <w:rFonts w:ascii="宋体" w:hAnsi="宋体" w:cs="宋体"/>
                <w:sz w:val="24"/>
              </w:rPr>
            </w:pPr>
            <w:r>
              <w:rPr>
                <w:rFonts w:hint="eastAsia" w:ascii="宋体" w:hAnsi="宋体" w:cs="宋体"/>
                <w:sz w:val="24"/>
              </w:rPr>
              <w:t>地址：</w:t>
            </w:r>
            <w:r>
              <w:rPr>
                <w:rFonts w:ascii="宋体" w:hAnsi="宋体" w:cs="宋体"/>
                <w:sz w:val="24"/>
              </w:rPr>
              <w:t xml:space="preserve"> </w:t>
            </w:r>
          </w:p>
        </w:tc>
        <w:tc>
          <w:tcPr>
            <w:tcW w:w="4202" w:type="dxa"/>
            <w:vAlign w:val="center"/>
          </w:tcPr>
          <w:p w14:paraId="0AD1B634">
            <w:pPr>
              <w:spacing w:line="240" w:lineRule="auto"/>
              <w:ind w:firstLine="480" w:firstLineChars="200"/>
              <w:rPr>
                <w:rFonts w:ascii="宋体"/>
                <w:sz w:val="24"/>
              </w:rPr>
            </w:pPr>
            <w:r>
              <w:rPr>
                <w:rFonts w:hint="eastAsia" w:ascii="宋体" w:hAnsi="宋体" w:cs="宋体"/>
                <w:sz w:val="24"/>
              </w:rPr>
              <w:t>地址：</w:t>
            </w:r>
          </w:p>
        </w:tc>
      </w:tr>
      <w:tr w14:paraId="7439D4C5">
        <w:tblPrEx>
          <w:tblCellMar>
            <w:top w:w="0" w:type="dxa"/>
            <w:left w:w="108" w:type="dxa"/>
            <w:bottom w:w="0" w:type="dxa"/>
            <w:right w:w="108" w:type="dxa"/>
          </w:tblCellMar>
        </w:tblPrEx>
        <w:trPr>
          <w:trHeight w:val="454" w:hRule="atLeast"/>
        </w:trPr>
        <w:tc>
          <w:tcPr>
            <w:tcW w:w="4201" w:type="dxa"/>
            <w:vAlign w:val="center"/>
          </w:tcPr>
          <w:p w14:paraId="782CCFD1">
            <w:pPr>
              <w:spacing w:line="240" w:lineRule="auto"/>
              <w:ind w:firstLine="480" w:firstLineChars="200"/>
              <w:rPr>
                <w:rFonts w:ascii="宋体"/>
                <w:sz w:val="24"/>
              </w:rPr>
            </w:pPr>
            <w:r>
              <w:rPr>
                <w:rFonts w:hint="eastAsia" w:ascii="宋体" w:hAnsi="宋体" w:cs="宋体"/>
                <w:sz w:val="24"/>
              </w:rPr>
              <w:t>邮编：</w:t>
            </w:r>
          </w:p>
        </w:tc>
        <w:tc>
          <w:tcPr>
            <w:tcW w:w="4202" w:type="dxa"/>
            <w:vAlign w:val="center"/>
          </w:tcPr>
          <w:p w14:paraId="27C2820B">
            <w:pPr>
              <w:spacing w:line="240" w:lineRule="auto"/>
              <w:ind w:firstLine="480" w:firstLineChars="200"/>
              <w:rPr>
                <w:rFonts w:ascii="宋体"/>
                <w:sz w:val="24"/>
              </w:rPr>
            </w:pPr>
            <w:r>
              <w:rPr>
                <w:rFonts w:hint="eastAsia" w:ascii="宋体" w:hAnsi="宋体" w:cs="宋体"/>
                <w:sz w:val="24"/>
              </w:rPr>
              <w:t>邮编：</w:t>
            </w:r>
          </w:p>
        </w:tc>
      </w:tr>
      <w:tr w14:paraId="3F7D9885">
        <w:tblPrEx>
          <w:tblCellMar>
            <w:top w:w="0" w:type="dxa"/>
            <w:left w:w="108" w:type="dxa"/>
            <w:bottom w:w="0" w:type="dxa"/>
            <w:right w:w="108" w:type="dxa"/>
          </w:tblCellMar>
        </w:tblPrEx>
        <w:trPr>
          <w:trHeight w:val="454" w:hRule="atLeast"/>
        </w:trPr>
        <w:tc>
          <w:tcPr>
            <w:tcW w:w="4201" w:type="dxa"/>
            <w:vAlign w:val="center"/>
          </w:tcPr>
          <w:p w14:paraId="1B589CE2">
            <w:pPr>
              <w:spacing w:line="240" w:lineRule="auto"/>
              <w:ind w:firstLine="480" w:firstLineChars="200"/>
              <w:rPr>
                <w:rFonts w:ascii="宋体" w:hAnsi="宋体" w:cs="宋体"/>
                <w:sz w:val="24"/>
              </w:rPr>
            </w:pPr>
            <w:r>
              <w:rPr>
                <w:rFonts w:hint="eastAsia" w:ascii="宋体" w:hAnsi="宋体" w:cs="宋体"/>
                <w:sz w:val="24"/>
              </w:rPr>
              <w:t>法定代表人：</w:t>
            </w:r>
            <w:r>
              <w:rPr>
                <w:rFonts w:ascii="宋体" w:hAnsi="宋体" w:cs="宋体"/>
                <w:sz w:val="24"/>
              </w:rPr>
              <w:t xml:space="preserve"> </w:t>
            </w:r>
          </w:p>
        </w:tc>
        <w:tc>
          <w:tcPr>
            <w:tcW w:w="4202" w:type="dxa"/>
            <w:vAlign w:val="center"/>
          </w:tcPr>
          <w:p w14:paraId="0668D13F">
            <w:pPr>
              <w:spacing w:line="240" w:lineRule="auto"/>
              <w:ind w:firstLine="480" w:firstLineChars="200"/>
              <w:rPr>
                <w:rFonts w:ascii="宋体"/>
                <w:sz w:val="24"/>
              </w:rPr>
            </w:pPr>
            <w:r>
              <w:rPr>
                <w:rFonts w:hint="eastAsia" w:ascii="宋体" w:hAnsi="宋体" w:cs="宋体"/>
                <w:sz w:val="24"/>
              </w:rPr>
              <w:t>法定代表人：</w:t>
            </w:r>
          </w:p>
        </w:tc>
      </w:tr>
      <w:tr w14:paraId="05DAB700">
        <w:tblPrEx>
          <w:tblCellMar>
            <w:top w:w="0" w:type="dxa"/>
            <w:left w:w="108" w:type="dxa"/>
            <w:bottom w:w="0" w:type="dxa"/>
            <w:right w:w="108" w:type="dxa"/>
          </w:tblCellMar>
        </w:tblPrEx>
        <w:trPr>
          <w:trHeight w:val="454" w:hRule="atLeast"/>
        </w:trPr>
        <w:tc>
          <w:tcPr>
            <w:tcW w:w="4201" w:type="dxa"/>
            <w:vAlign w:val="center"/>
          </w:tcPr>
          <w:p w14:paraId="046B2FF4">
            <w:pPr>
              <w:spacing w:line="240" w:lineRule="auto"/>
              <w:ind w:firstLine="480" w:firstLineChars="200"/>
              <w:rPr>
                <w:rFonts w:ascii="宋体"/>
                <w:sz w:val="24"/>
              </w:rPr>
            </w:pPr>
            <w:r>
              <w:rPr>
                <w:rFonts w:hint="eastAsia" w:ascii="宋体" w:hAnsi="宋体" w:cs="宋体"/>
                <w:sz w:val="24"/>
              </w:rPr>
              <w:t>委托代理人：</w:t>
            </w:r>
          </w:p>
        </w:tc>
        <w:tc>
          <w:tcPr>
            <w:tcW w:w="4202" w:type="dxa"/>
            <w:vAlign w:val="center"/>
          </w:tcPr>
          <w:p w14:paraId="61BCB452">
            <w:pPr>
              <w:spacing w:line="240" w:lineRule="auto"/>
              <w:ind w:firstLine="480" w:firstLineChars="200"/>
              <w:rPr>
                <w:rFonts w:ascii="宋体"/>
                <w:sz w:val="24"/>
              </w:rPr>
            </w:pPr>
            <w:r>
              <w:rPr>
                <w:rFonts w:hint="eastAsia" w:ascii="宋体" w:hAnsi="宋体" w:cs="宋体"/>
                <w:sz w:val="24"/>
              </w:rPr>
              <w:t>委托代理人：</w:t>
            </w:r>
          </w:p>
        </w:tc>
      </w:tr>
      <w:tr w14:paraId="1F06418B">
        <w:tblPrEx>
          <w:tblCellMar>
            <w:top w:w="0" w:type="dxa"/>
            <w:left w:w="108" w:type="dxa"/>
            <w:bottom w:w="0" w:type="dxa"/>
            <w:right w:w="108" w:type="dxa"/>
          </w:tblCellMar>
        </w:tblPrEx>
        <w:trPr>
          <w:trHeight w:val="454" w:hRule="atLeast"/>
        </w:trPr>
        <w:tc>
          <w:tcPr>
            <w:tcW w:w="4201" w:type="dxa"/>
            <w:vAlign w:val="center"/>
          </w:tcPr>
          <w:p w14:paraId="4C2DB44B">
            <w:pPr>
              <w:spacing w:line="240" w:lineRule="auto"/>
              <w:ind w:firstLine="480" w:firstLineChars="200"/>
              <w:rPr>
                <w:rFonts w:ascii="宋体"/>
                <w:sz w:val="24"/>
              </w:rPr>
            </w:pPr>
            <w:r>
              <w:rPr>
                <w:rFonts w:hint="eastAsia" w:ascii="宋体" w:hAnsi="宋体" w:cs="宋体"/>
                <w:sz w:val="24"/>
              </w:rPr>
              <w:t>电话：</w:t>
            </w:r>
          </w:p>
        </w:tc>
        <w:tc>
          <w:tcPr>
            <w:tcW w:w="4202" w:type="dxa"/>
            <w:vAlign w:val="center"/>
          </w:tcPr>
          <w:p w14:paraId="6B5D5A3F">
            <w:pPr>
              <w:spacing w:line="240" w:lineRule="auto"/>
              <w:ind w:firstLine="480" w:firstLineChars="200"/>
              <w:rPr>
                <w:rFonts w:ascii="宋体"/>
                <w:sz w:val="24"/>
              </w:rPr>
            </w:pPr>
            <w:r>
              <w:rPr>
                <w:rFonts w:hint="eastAsia" w:ascii="宋体" w:hAnsi="宋体" w:cs="宋体"/>
                <w:sz w:val="24"/>
              </w:rPr>
              <w:t>电话：</w:t>
            </w:r>
          </w:p>
        </w:tc>
      </w:tr>
      <w:tr w14:paraId="6BFEEB99">
        <w:tblPrEx>
          <w:tblCellMar>
            <w:top w:w="0" w:type="dxa"/>
            <w:left w:w="108" w:type="dxa"/>
            <w:bottom w:w="0" w:type="dxa"/>
            <w:right w:w="108" w:type="dxa"/>
          </w:tblCellMar>
        </w:tblPrEx>
        <w:trPr>
          <w:trHeight w:val="454" w:hRule="atLeast"/>
        </w:trPr>
        <w:tc>
          <w:tcPr>
            <w:tcW w:w="4201" w:type="dxa"/>
            <w:vAlign w:val="center"/>
          </w:tcPr>
          <w:p w14:paraId="69A83C84">
            <w:pPr>
              <w:spacing w:line="240" w:lineRule="auto"/>
              <w:ind w:firstLine="480" w:firstLineChars="200"/>
              <w:rPr>
                <w:rFonts w:ascii="宋体"/>
                <w:sz w:val="24"/>
              </w:rPr>
            </w:pPr>
            <w:r>
              <w:rPr>
                <w:rFonts w:hint="eastAsia" w:ascii="宋体" w:hAnsi="宋体" w:cs="宋体"/>
                <w:sz w:val="24"/>
              </w:rPr>
              <w:t>传真：</w:t>
            </w:r>
          </w:p>
        </w:tc>
        <w:tc>
          <w:tcPr>
            <w:tcW w:w="4202" w:type="dxa"/>
            <w:vAlign w:val="center"/>
          </w:tcPr>
          <w:p w14:paraId="05113E82">
            <w:pPr>
              <w:spacing w:line="240" w:lineRule="auto"/>
              <w:ind w:firstLine="480" w:firstLineChars="200"/>
              <w:rPr>
                <w:rFonts w:ascii="宋体"/>
                <w:sz w:val="24"/>
              </w:rPr>
            </w:pPr>
            <w:r>
              <w:rPr>
                <w:rFonts w:hint="eastAsia" w:ascii="宋体" w:hAnsi="宋体" w:cs="宋体"/>
                <w:sz w:val="24"/>
              </w:rPr>
              <w:t>传真：</w:t>
            </w:r>
          </w:p>
        </w:tc>
      </w:tr>
      <w:tr w14:paraId="0BC700DD">
        <w:tblPrEx>
          <w:tblCellMar>
            <w:top w:w="0" w:type="dxa"/>
            <w:left w:w="108" w:type="dxa"/>
            <w:bottom w:w="0" w:type="dxa"/>
            <w:right w:w="108" w:type="dxa"/>
          </w:tblCellMar>
        </w:tblPrEx>
        <w:trPr>
          <w:trHeight w:val="454" w:hRule="atLeast"/>
        </w:trPr>
        <w:tc>
          <w:tcPr>
            <w:tcW w:w="4201" w:type="dxa"/>
            <w:vAlign w:val="center"/>
          </w:tcPr>
          <w:p w14:paraId="4FDD1347">
            <w:pPr>
              <w:spacing w:line="240" w:lineRule="auto"/>
              <w:ind w:firstLine="480" w:firstLineChars="200"/>
              <w:rPr>
                <w:rFonts w:ascii="宋体"/>
                <w:sz w:val="24"/>
              </w:rPr>
            </w:pPr>
            <w:r>
              <w:rPr>
                <w:rFonts w:hint="eastAsia" w:ascii="宋体" w:hAnsi="宋体" w:cs="宋体"/>
                <w:sz w:val="24"/>
              </w:rPr>
              <w:t>开户银行：</w:t>
            </w:r>
          </w:p>
        </w:tc>
        <w:tc>
          <w:tcPr>
            <w:tcW w:w="4202" w:type="dxa"/>
            <w:vAlign w:val="center"/>
          </w:tcPr>
          <w:p w14:paraId="511B502E">
            <w:pPr>
              <w:spacing w:line="240" w:lineRule="auto"/>
              <w:ind w:firstLine="480" w:firstLineChars="200"/>
              <w:rPr>
                <w:rFonts w:ascii="宋体"/>
                <w:sz w:val="24"/>
              </w:rPr>
            </w:pPr>
            <w:r>
              <w:rPr>
                <w:rFonts w:hint="eastAsia" w:ascii="宋体" w:hAnsi="宋体" w:cs="宋体"/>
                <w:sz w:val="24"/>
              </w:rPr>
              <w:t>开户银行：</w:t>
            </w:r>
          </w:p>
        </w:tc>
      </w:tr>
      <w:tr w14:paraId="2BB15605">
        <w:tblPrEx>
          <w:tblCellMar>
            <w:top w:w="0" w:type="dxa"/>
            <w:left w:w="108" w:type="dxa"/>
            <w:bottom w:w="0" w:type="dxa"/>
            <w:right w:w="108" w:type="dxa"/>
          </w:tblCellMar>
        </w:tblPrEx>
        <w:trPr>
          <w:trHeight w:val="454" w:hRule="atLeast"/>
        </w:trPr>
        <w:tc>
          <w:tcPr>
            <w:tcW w:w="4201" w:type="dxa"/>
            <w:vAlign w:val="center"/>
          </w:tcPr>
          <w:p w14:paraId="4FCA366F">
            <w:pPr>
              <w:spacing w:line="240" w:lineRule="auto"/>
              <w:ind w:firstLine="480" w:firstLineChars="200"/>
              <w:rPr>
                <w:rFonts w:ascii="宋体"/>
                <w:sz w:val="24"/>
              </w:rPr>
            </w:pPr>
            <w:r>
              <w:rPr>
                <w:rFonts w:hint="eastAsia" w:ascii="宋体" w:hAnsi="宋体" w:cs="宋体"/>
                <w:sz w:val="24"/>
              </w:rPr>
              <w:t>日期：</w:t>
            </w:r>
          </w:p>
        </w:tc>
        <w:tc>
          <w:tcPr>
            <w:tcW w:w="4202" w:type="dxa"/>
            <w:vAlign w:val="center"/>
          </w:tcPr>
          <w:p w14:paraId="6134C91A">
            <w:pPr>
              <w:spacing w:line="240" w:lineRule="auto"/>
              <w:ind w:firstLine="480" w:firstLineChars="200"/>
              <w:rPr>
                <w:rFonts w:ascii="宋体"/>
                <w:sz w:val="24"/>
              </w:rPr>
            </w:pPr>
            <w:r>
              <w:rPr>
                <w:rFonts w:hint="eastAsia" w:ascii="宋体" w:hAnsi="宋体" w:cs="宋体"/>
                <w:sz w:val="24"/>
              </w:rPr>
              <w:t>日期：</w:t>
            </w:r>
          </w:p>
        </w:tc>
      </w:tr>
    </w:tbl>
    <w:p w14:paraId="65DF95C1">
      <w:pPr>
        <w:pStyle w:val="16"/>
        <w:rPr>
          <w:rFonts w:ascii="Lucida Sans Unicode" w:hAnsi="Lucida Sans Unicode" w:eastAsia="Lucida Sans Unicode" w:cs="Lucida Sans Unicode"/>
          <w:sz w:val="19"/>
          <w:szCs w:val="19"/>
        </w:rPr>
      </w:pPr>
    </w:p>
    <w:p w14:paraId="19F6DF51"/>
    <w:p w14:paraId="7ED95B76">
      <w:pPr>
        <w:rPr>
          <w:rFonts w:ascii="Lucida Sans Unicode" w:hAnsi="Lucida Sans Unicode" w:eastAsia="Lucida Sans Unicode" w:cs="Lucida Sans Unicode"/>
          <w:sz w:val="19"/>
          <w:szCs w:val="19"/>
        </w:rPr>
      </w:pPr>
    </w:p>
    <w:p w14:paraId="28DB726D">
      <w:pPr>
        <w:rPr>
          <w:rFonts w:ascii="Lucida Sans Unicode" w:hAnsi="Lucida Sans Unicode" w:eastAsia="Lucida Sans Unicode" w:cs="Lucida Sans Unicode"/>
          <w:sz w:val="19"/>
          <w:szCs w:val="19"/>
        </w:rPr>
      </w:pPr>
    </w:p>
    <w:p w14:paraId="1D8D8457">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bCs/>
          <w:color w:val="auto"/>
          <w:sz w:val="28"/>
          <w:szCs w:val="28"/>
          <w:highlight w:val="none"/>
        </w:rPr>
      </w:pPr>
    </w:p>
    <w:p w14:paraId="75DBF3BB">
      <w:pPr>
        <w:keepNext w:val="0"/>
        <w:keepLines w:val="0"/>
        <w:pageBreakBefore w:val="0"/>
        <w:widowControl w:val="0"/>
        <w:kinsoku/>
        <w:wordWrap/>
        <w:overflowPunct/>
        <w:topLinePunct w:val="0"/>
        <w:autoSpaceDE/>
        <w:autoSpaceDN/>
        <w:bidi w:val="0"/>
        <w:adjustRightInd/>
        <w:snapToGrid/>
        <w:spacing w:line="312" w:lineRule="auto"/>
        <w:ind w:firstLine="560" w:firstLineChars="200"/>
        <w:textAlignment w:val="auto"/>
        <w:rPr>
          <w:rFonts w:hint="eastAsia" w:ascii="宋体" w:hAnsi="宋体" w:eastAsia="宋体" w:cs="宋体"/>
          <w:b/>
          <w:bCs/>
          <w:color w:val="auto"/>
          <w:sz w:val="28"/>
          <w:szCs w:val="28"/>
          <w:highlight w:val="none"/>
        </w:rPr>
      </w:pPr>
    </w:p>
    <w:p w14:paraId="08520CA9">
      <w:pPr>
        <w:rPr>
          <w:rFonts w:hint="eastAsia" w:ascii="宋体" w:hAnsi="宋体" w:eastAsia="宋体" w:cs="宋体"/>
        </w:rPr>
      </w:pPr>
      <w:r>
        <w:rPr>
          <w:rFonts w:hint="eastAsia" w:ascii="宋体" w:hAnsi="宋体" w:eastAsia="宋体" w:cs="宋体"/>
        </w:rPr>
        <w:br w:type="page"/>
      </w:r>
    </w:p>
    <w:p w14:paraId="01BD883E">
      <w:pPr>
        <w:rPr>
          <w:rFonts w:hint="eastAsia" w:ascii="宋体" w:hAnsi="宋体" w:eastAsia="宋体" w:cs="宋体"/>
          <w:b/>
          <w:bCs/>
          <w:highlight w:val="none"/>
          <w:lang w:val="en-US" w:eastAsia="zh-CN"/>
        </w:rPr>
      </w:pPr>
      <w:r>
        <w:rPr>
          <w:rFonts w:hint="eastAsia" w:ascii="宋体" w:hAnsi="宋体" w:eastAsia="宋体" w:cs="宋体"/>
          <w:b/>
          <w:bCs/>
          <w:lang w:val="en-US" w:eastAsia="zh-CN"/>
        </w:rPr>
        <w:t>附件1：</w:t>
      </w:r>
    </w:p>
    <w:p w14:paraId="3D2584FE">
      <w:pPr>
        <w:keepNext w:val="0"/>
        <w:keepLines w:val="0"/>
        <w:widowControl/>
        <w:suppressLineNumbers w:val="0"/>
        <w:jc w:val="center"/>
        <w:rPr>
          <w:b/>
          <w:bCs/>
          <w:sz w:val="28"/>
          <w:szCs w:val="28"/>
          <w:highlight w:val="none"/>
        </w:rPr>
      </w:pPr>
      <w:r>
        <w:rPr>
          <w:rFonts w:hint="eastAsia" w:ascii="宋体" w:hAnsi="宋体" w:eastAsia="宋体" w:cs="宋体"/>
          <w:b/>
          <w:bCs/>
          <w:color w:val="000000"/>
          <w:kern w:val="0"/>
          <w:sz w:val="28"/>
          <w:szCs w:val="28"/>
          <w:highlight w:val="none"/>
          <w:lang w:val="en-US" w:eastAsia="zh-CN" w:bidi="ar"/>
        </w:rPr>
        <w:t>新筑垃圾压缩站固定资产移交单</w:t>
      </w:r>
    </w:p>
    <w:tbl>
      <w:tblPr>
        <w:tblStyle w:val="109"/>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153"/>
        <w:gridCol w:w="1311"/>
        <w:gridCol w:w="1311"/>
        <w:gridCol w:w="4975"/>
      </w:tblGrid>
      <w:tr w14:paraId="70556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104" w:type="pct"/>
            <w:vAlign w:val="top"/>
          </w:tcPr>
          <w:p w14:paraId="6CAB28C8">
            <w:pPr>
              <w:pStyle w:val="110"/>
              <w:spacing w:before="166" w:line="221" w:lineRule="auto"/>
              <w:jc w:val="center"/>
              <w:rPr>
                <w:highlight w:val="none"/>
              </w:rPr>
            </w:pPr>
            <w:r>
              <w:rPr>
                <w:b/>
                <w:bCs/>
                <w:spacing w:val="-16"/>
                <w:highlight w:val="none"/>
              </w:rPr>
              <w:t>物</w:t>
            </w:r>
            <w:r>
              <w:rPr>
                <w:spacing w:val="31"/>
                <w:highlight w:val="none"/>
              </w:rPr>
              <w:t xml:space="preserve"> </w:t>
            </w:r>
            <w:r>
              <w:rPr>
                <w:b/>
                <w:bCs/>
                <w:spacing w:val="-16"/>
                <w:highlight w:val="none"/>
              </w:rPr>
              <w:t>品</w:t>
            </w:r>
            <w:r>
              <w:rPr>
                <w:spacing w:val="14"/>
                <w:highlight w:val="none"/>
              </w:rPr>
              <w:t xml:space="preserve"> </w:t>
            </w:r>
            <w:r>
              <w:rPr>
                <w:b/>
                <w:bCs/>
                <w:spacing w:val="-16"/>
                <w:highlight w:val="none"/>
              </w:rPr>
              <w:t>名</w:t>
            </w:r>
            <w:r>
              <w:rPr>
                <w:spacing w:val="11"/>
                <w:highlight w:val="none"/>
              </w:rPr>
              <w:t xml:space="preserve"> </w:t>
            </w:r>
            <w:r>
              <w:rPr>
                <w:b/>
                <w:bCs/>
                <w:spacing w:val="-16"/>
                <w:highlight w:val="none"/>
              </w:rPr>
              <w:t>称</w:t>
            </w:r>
          </w:p>
        </w:tc>
        <w:tc>
          <w:tcPr>
            <w:tcW w:w="672" w:type="pct"/>
            <w:vAlign w:val="top"/>
          </w:tcPr>
          <w:p w14:paraId="34B71132">
            <w:pPr>
              <w:pStyle w:val="110"/>
              <w:spacing w:before="167" w:line="219" w:lineRule="auto"/>
              <w:ind w:left="374"/>
              <w:rPr>
                <w:highlight w:val="none"/>
              </w:rPr>
            </w:pPr>
            <w:r>
              <w:rPr>
                <w:b/>
                <w:bCs/>
                <w:spacing w:val="-9"/>
                <w:highlight w:val="none"/>
              </w:rPr>
              <w:t>数量</w:t>
            </w:r>
          </w:p>
        </w:tc>
        <w:tc>
          <w:tcPr>
            <w:tcW w:w="672" w:type="pct"/>
            <w:vAlign w:val="top"/>
          </w:tcPr>
          <w:p w14:paraId="754F58CC">
            <w:pPr>
              <w:pStyle w:val="110"/>
              <w:spacing w:before="167" w:line="220" w:lineRule="auto"/>
              <w:ind w:left="392"/>
              <w:rPr>
                <w:highlight w:val="none"/>
              </w:rPr>
            </w:pPr>
            <w:r>
              <w:rPr>
                <w:b/>
                <w:bCs/>
                <w:spacing w:val="-9"/>
                <w:highlight w:val="none"/>
              </w:rPr>
              <w:t>单位</w:t>
            </w:r>
          </w:p>
        </w:tc>
        <w:tc>
          <w:tcPr>
            <w:tcW w:w="2550" w:type="pct"/>
            <w:vAlign w:val="top"/>
          </w:tcPr>
          <w:p w14:paraId="33DD139E">
            <w:pPr>
              <w:pStyle w:val="110"/>
              <w:spacing w:before="166" w:line="221" w:lineRule="auto"/>
              <w:ind w:left="1907"/>
              <w:rPr>
                <w:highlight w:val="none"/>
              </w:rPr>
            </w:pPr>
            <w:r>
              <w:rPr>
                <w:b/>
                <w:bCs/>
                <w:spacing w:val="-9"/>
                <w:highlight w:val="none"/>
              </w:rPr>
              <w:t>备</w:t>
            </w:r>
            <w:r>
              <w:rPr>
                <w:spacing w:val="5"/>
                <w:highlight w:val="none"/>
              </w:rPr>
              <w:t xml:space="preserve">  </w:t>
            </w:r>
            <w:r>
              <w:rPr>
                <w:b/>
                <w:bCs/>
                <w:spacing w:val="-9"/>
                <w:highlight w:val="none"/>
              </w:rPr>
              <w:t>注</w:t>
            </w:r>
          </w:p>
        </w:tc>
      </w:tr>
      <w:tr w14:paraId="0B32A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2A14ACAF">
            <w:pPr>
              <w:bidi w:val="0"/>
              <w:jc w:val="center"/>
              <w:rPr>
                <w:sz w:val="24"/>
                <w:szCs w:val="32"/>
                <w:highlight w:val="none"/>
              </w:rPr>
            </w:pPr>
            <w:r>
              <w:rPr>
                <w:sz w:val="24"/>
                <w:szCs w:val="32"/>
                <w:highlight w:val="none"/>
              </w:rPr>
              <w:t>压缩设备</w:t>
            </w:r>
          </w:p>
        </w:tc>
        <w:tc>
          <w:tcPr>
            <w:tcW w:w="672" w:type="pct"/>
            <w:vAlign w:val="top"/>
          </w:tcPr>
          <w:p w14:paraId="1FA0C5E3">
            <w:pPr>
              <w:pStyle w:val="110"/>
              <w:spacing w:before="164" w:line="241" w:lineRule="auto"/>
              <w:ind w:left="570"/>
              <w:rPr>
                <w:highlight w:val="none"/>
              </w:rPr>
            </w:pPr>
            <w:r>
              <w:rPr>
                <w:highlight w:val="none"/>
              </w:rPr>
              <w:t>1</w:t>
            </w:r>
          </w:p>
        </w:tc>
        <w:tc>
          <w:tcPr>
            <w:tcW w:w="672" w:type="pct"/>
            <w:vAlign w:val="top"/>
          </w:tcPr>
          <w:p w14:paraId="7EB09F6A">
            <w:pPr>
              <w:pStyle w:val="110"/>
              <w:spacing w:before="164" w:line="220" w:lineRule="auto"/>
              <w:ind w:left="511"/>
              <w:rPr>
                <w:highlight w:val="none"/>
              </w:rPr>
            </w:pPr>
            <w:r>
              <w:rPr>
                <w:highlight w:val="none"/>
              </w:rPr>
              <w:t>套</w:t>
            </w:r>
          </w:p>
        </w:tc>
        <w:tc>
          <w:tcPr>
            <w:tcW w:w="2550" w:type="pct"/>
            <w:vAlign w:val="top"/>
          </w:tcPr>
          <w:p w14:paraId="4DA6580A">
            <w:pPr>
              <w:rPr>
                <w:rFonts w:ascii="Arial"/>
                <w:sz w:val="21"/>
                <w:highlight w:val="none"/>
              </w:rPr>
            </w:pPr>
          </w:p>
        </w:tc>
      </w:tr>
      <w:tr w14:paraId="088E1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738D4D9D">
            <w:pPr>
              <w:bidi w:val="0"/>
              <w:jc w:val="center"/>
              <w:rPr>
                <w:sz w:val="24"/>
                <w:szCs w:val="32"/>
                <w:highlight w:val="none"/>
              </w:rPr>
            </w:pPr>
            <w:r>
              <w:rPr>
                <w:sz w:val="24"/>
                <w:szCs w:val="32"/>
                <w:highlight w:val="none"/>
              </w:rPr>
              <w:t>发电机</w:t>
            </w:r>
          </w:p>
        </w:tc>
        <w:tc>
          <w:tcPr>
            <w:tcW w:w="672" w:type="pct"/>
            <w:vAlign w:val="top"/>
          </w:tcPr>
          <w:p w14:paraId="7B041E70">
            <w:pPr>
              <w:pStyle w:val="110"/>
              <w:spacing w:before="163" w:line="241" w:lineRule="auto"/>
              <w:ind w:left="570"/>
              <w:rPr>
                <w:highlight w:val="none"/>
              </w:rPr>
            </w:pPr>
            <w:r>
              <w:rPr>
                <w:highlight w:val="none"/>
              </w:rPr>
              <w:t>1</w:t>
            </w:r>
          </w:p>
        </w:tc>
        <w:tc>
          <w:tcPr>
            <w:tcW w:w="672" w:type="pct"/>
            <w:vAlign w:val="top"/>
          </w:tcPr>
          <w:p w14:paraId="4B2F5254">
            <w:pPr>
              <w:pStyle w:val="110"/>
              <w:spacing w:before="164" w:line="221" w:lineRule="auto"/>
              <w:ind w:left="529"/>
              <w:rPr>
                <w:highlight w:val="none"/>
              </w:rPr>
            </w:pPr>
            <w:r>
              <w:rPr>
                <w:highlight w:val="none"/>
              </w:rPr>
              <w:t>台</w:t>
            </w:r>
          </w:p>
        </w:tc>
        <w:tc>
          <w:tcPr>
            <w:tcW w:w="2550" w:type="pct"/>
            <w:vAlign w:val="top"/>
          </w:tcPr>
          <w:p w14:paraId="61109EEB">
            <w:pPr>
              <w:rPr>
                <w:rFonts w:ascii="Arial"/>
                <w:sz w:val="21"/>
                <w:highlight w:val="none"/>
              </w:rPr>
            </w:pPr>
          </w:p>
        </w:tc>
      </w:tr>
      <w:tr w14:paraId="2244EE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745594A6">
            <w:pPr>
              <w:bidi w:val="0"/>
              <w:jc w:val="center"/>
              <w:rPr>
                <w:sz w:val="24"/>
                <w:szCs w:val="32"/>
                <w:highlight w:val="none"/>
              </w:rPr>
            </w:pPr>
            <w:r>
              <w:rPr>
                <w:sz w:val="24"/>
                <w:szCs w:val="32"/>
                <w:highlight w:val="none"/>
              </w:rPr>
              <w:t>除臭设备</w:t>
            </w:r>
          </w:p>
        </w:tc>
        <w:tc>
          <w:tcPr>
            <w:tcW w:w="672" w:type="pct"/>
            <w:vAlign w:val="top"/>
          </w:tcPr>
          <w:p w14:paraId="6B44B6D4">
            <w:pPr>
              <w:pStyle w:val="110"/>
              <w:spacing w:before="162" w:line="241" w:lineRule="auto"/>
              <w:ind w:left="570"/>
              <w:rPr>
                <w:highlight w:val="none"/>
              </w:rPr>
            </w:pPr>
            <w:r>
              <w:rPr>
                <w:highlight w:val="none"/>
              </w:rPr>
              <w:t>1</w:t>
            </w:r>
          </w:p>
        </w:tc>
        <w:tc>
          <w:tcPr>
            <w:tcW w:w="672" w:type="pct"/>
            <w:vAlign w:val="top"/>
          </w:tcPr>
          <w:p w14:paraId="65A41E86">
            <w:pPr>
              <w:pStyle w:val="110"/>
              <w:spacing w:before="162" w:line="220" w:lineRule="auto"/>
              <w:ind w:left="511"/>
              <w:rPr>
                <w:highlight w:val="none"/>
              </w:rPr>
            </w:pPr>
            <w:r>
              <w:rPr>
                <w:highlight w:val="none"/>
              </w:rPr>
              <w:t>套</w:t>
            </w:r>
          </w:p>
        </w:tc>
        <w:tc>
          <w:tcPr>
            <w:tcW w:w="2550" w:type="pct"/>
            <w:vAlign w:val="top"/>
          </w:tcPr>
          <w:p w14:paraId="7861C916">
            <w:pPr>
              <w:rPr>
                <w:rFonts w:ascii="Arial"/>
                <w:sz w:val="21"/>
                <w:highlight w:val="none"/>
              </w:rPr>
            </w:pPr>
          </w:p>
        </w:tc>
      </w:tr>
      <w:tr w14:paraId="5A836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6545B365">
            <w:pPr>
              <w:bidi w:val="0"/>
              <w:jc w:val="center"/>
              <w:rPr>
                <w:sz w:val="24"/>
                <w:szCs w:val="32"/>
                <w:highlight w:val="none"/>
              </w:rPr>
            </w:pPr>
            <w:r>
              <w:rPr>
                <w:sz w:val="24"/>
                <w:szCs w:val="32"/>
                <w:highlight w:val="none"/>
              </w:rPr>
              <w:t>监控设备</w:t>
            </w:r>
          </w:p>
        </w:tc>
        <w:tc>
          <w:tcPr>
            <w:tcW w:w="672" w:type="pct"/>
            <w:vAlign w:val="top"/>
          </w:tcPr>
          <w:p w14:paraId="128930AE">
            <w:pPr>
              <w:pStyle w:val="110"/>
              <w:spacing w:before="163" w:line="241" w:lineRule="auto"/>
              <w:ind w:left="570"/>
              <w:rPr>
                <w:highlight w:val="none"/>
              </w:rPr>
            </w:pPr>
            <w:r>
              <w:rPr>
                <w:highlight w:val="none"/>
              </w:rPr>
              <w:t>1</w:t>
            </w:r>
          </w:p>
        </w:tc>
        <w:tc>
          <w:tcPr>
            <w:tcW w:w="672" w:type="pct"/>
            <w:vAlign w:val="top"/>
          </w:tcPr>
          <w:p w14:paraId="56008D22">
            <w:pPr>
              <w:pStyle w:val="110"/>
              <w:spacing w:before="164" w:line="220" w:lineRule="auto"/>
              <w:ind w:left="511"/>
              <w:rPr>
                <w:highlight w:val="none"/>
              </w:rPr>
            </w:pPr>
            <w:r>
              <w:rPr>
                <w:highlight w:val="none"/>
              </w:rPr>
              <w:t>套</w:t>
            </w:r>
          </w:p>
        </w:tc>
        <w:tc>
          <w:tcPr>
            <w:tcW w:w="2550" w:type="pct"/>
            <w:vAlign w:val="top"/>
          </w:tcPr>
          <w:p w14:paraId="4152CDF4">
            <w:pPr>
              <w:rPr>
                <w:rFonts w:ascii="Arial"/>
                <w:sz w:val="21"/>
                <w:highlight w:val="none"/>
              </w:rPr>
            </w:pPr>
          </w:p>
        </w:tc>
      </w:tr>
      <w:tr w14:paraId="3629D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7" w:hRule="atLeast"/>
        </w:trPr>
        <w:tc>
          <w:tcPr>
            <w:tcW w:w="1104" w:type="pct"/>
            <w:vAlign w:val="top"/>
          </w:tcPr>
          <w:p w14:paraId="40DAE331">
            <w:pPr>
              <w:bidi w:val="0"/>
              <w:jc w:val="center"/>
              <w:rPr>
                <w:sz w:val="24"/>
                <w:szCs w:val="32"/>
                <w:highlight w:val="none"/>
              </w:rPr>
            </w:pPr>
          </w:p>
          <w:p w14:paraId="7DF58600">
            <w:pPr>
              <w:bidi w:val="0"/>
              <w:jc w:val="center"/>
              <w:rPr>
                <w:sz w:val="24"/>
                <w:szCs w:val="32"/>
                <w:highlight w:val="none"/>
              </w:rPr>
            </w:pPr>
          </w:p>
          <w:p w14:paraId="165AB77C">
            <w:pPr>
              <w:bidi w:val="0"/>
              <w:jc w:val="center"/>
              <w:rPr>
                <w:sz w:val="24"/>
                <w:szCs w:val="32"/>
                <w:highlight w:val="none"/>
              </w:rPr>
            </w:pPr>
          </w:p>
          <w:p w14:paraId="79AAAD0E">
            <w:pPr>
              <w:bidi w:val="0"/>
              <w:jc w:val="center"/>
              <w:rPr>
                <w:sz w:val="24"/>
                <w:szCs w:val="32"/>
                <w:highlight w:val="none"/>
              </w:rPr>
            </w:pPr>
          </w:p>
          <w:p w14:paraId="5B3B5945">
            <w:pPr>
              <w:bidi w:val="0"/>
              <w:jc w:val="center"/>
              <w:rPr>
                <w:sz w:val="24"/>
                <w:szCs w:val="32"/>
                <w:highlight w:val="none"/>
              </w:rPr>
            </w:pPr>
          </w:p>
          <w:p w14:paraId="1E6FDD0B">
            <w:pPr>
              <w:bidi w:val="0"/>
              <w:jc w:val="center"/>
              <w:rPr>
                <w:sz w:val="24"/>
                <w:szCs w:val="32"/>
                <w:highlight w:val="none"/>
              </w:rPr>
            </w:pPr>
          </w:p>
          <w:p w14:paraId="3D9662F1">
            <w:pPr>
              <w:bidi w:val="0"/>
              <w:jc w:val="center"/>
              <w:rPr>
                <w:sz w:val="24"/>
                <w:szCs w:val="32"/>
                <w:highlight w:val="none"/>
              </w:rPr>
            </w:pPr>
          </w:p>
          <w:p w14:paraId="76B8CDD8">
            <w:pPr>
              <w:bidi w:val="0"/>
              <w:jc w:val="center"/>
              <w:rPr>
                <w:sz w:val="24"/>
                <w:szCs w:val="32"/>
                <w:highlight w:val="none"/>
              </w:rPr>
            </w:pPr>
          </w:p>
          <w:p w14:paraId="17758F11">
            <w:pPr>
              <w:bidi w:val="0"/>
              <w:jc w:val="center"/>
              <w:rPr>
                <w:sz w:val="24"/>
                <w:szCs w:val="32"/>
                <w:highlight w:val="none"/>
              </w:rPr>
            </w:pPr>
            <w:r>
              <w:rPr>
                <w:sz w:val="24"/>
                <w:szCs w:val="32"/>
                <w:highlight w:val="none"/>
              </w:rPr>
              <w:t>吊斗车</w:t>
            </w:r>
          </w:p>
        </w:tc>
        <w:tc>
          <w:tcPr>
            <w:tcW w:w="672" w:type="pct"/>
            <w:vAlign w:val="top"/>
          </w:tcPr>
          <w:p w14:paraId="201891C1">
            <w:pPr>
              <w:spacing w:line="254" w:lineRule="auto"/>
              <w:rPr>
                <w:rFonts w:ascii="Arial"/>
                <w:sz w:val="21"/>
                <w:highlight w:val="none"/>
              </w:rPr>
            </w:pPr>
          </w:p>
          <w:p w14:paraId="0759545A">
            <w:pPr>
              <w:spacing w:line="254" w:lineRule="auto"/>
              <w:rPr>
                <w:rFonts w:ascii="Arial"/>
                <w:sz w:val="21"/>
                <w:highlight w:val="none"/>
              </w:rPr>
            </w:pPr>
          </w:p>
          <w:p w14:paraId="2E6EA3E4">
            <w:pPr>
              <w:spacing w:line="254" w:lineRule="auto"/>
              <w:rPr>
                <w:rFonts w:ascii="Arial"/>
                <w:sz w:val="21"/>
                <w:highlight w:val="none"/>
              </w:rPr>
            </w:pPr>
          </w:p>
          <w:p w14:paraId="5FBA1256">
            <w:pPr>
              <w:spacing w:line="255" w:lineRule="auto"/>
              <w:rPr>
                <w:rFonts w:ascii="Arial"/>
                <w:sz w:val="21"/>
                <w:highlight w:val="none"/>
              </w:rPr>
            </w:pPr>
          </w:p>
          <w:p w14:paraId="6BCE567B">
            <w:pPr>
              <w:spacing w:line="255" w:lineRule="auto"/>
              <w:rPr>
                <w:rFonts w:ascii="Arial"/>
                <w:sz w:val="21"/>
                <w:highlight w:val="none"/>
              </w:rPr>
            </w:pPr>
          </w:p>
          <w:p w14:paraId="6B60BCBB">
            <w:pPr>
              <w:spacing w:line="255" w:lineRule="auto"/>
              <w:rPr>
                <w:rFonts w:ascii="Arial"/>
                <w:sz w:val="21"/>
                <w:highlight w:val="none"/>
              </w:rPr>
            </w:pPr>
          </w:p>
          <w:p w14:paraId="469C26F9">
            <w:pPr>
              <w:spacing w:line="255" w:lineRule="auto"/>
              <w:rPr>
                <w:rFonts w:ascii="Arial"/>
                <w:sz w:val="21"/>
                <w:highlight w:val="none"/>
              </w:rPr>
            </w:pPr>
          </w:p>
          <w:p w14:paraId="482C27EA">
            <w:pPr>
              <w:spacing w:line="255" w:lineRule="auto"/>
              <w:rPr>
                <w:rFonts w:ascii="Arial"/>
                <w:sz w:val="21"/>
                <w:highlight w:val="none"/>
              </w:rPr>
            </w:pPr>
          </w:p>
          <w:p w14:paraId="66916797">
            <w:pPr>
              <w:pStyle w:val="110"/>
              <w:spacing w:before="78"/>
              <w:ind w:left="553"/>
              <w:rPr>
                <w:highlight w:val="none"/>
              </w:rPr>
            </w:pPr>
            <w:r>
              <w:rPr>
                <w:highlight w:val="none"/>
              </w:rPr>
              <w:t>9</w:t>
            </w:r>
          </w:p>
        </w:tc>
        <w:tc>
          <w:tcPr>
            <w:tcW w:w="672" w:type="pct"/>
            <w:vAlign w:val="top"/>
          </w:tcPr>
          <w:p w14:paraId="60E5E31E">
            <w:pPr>
              <w:spacing w:line="254" w:lineRule="auto"/>
              <w:rPr>
                <w:rFonts w:ascii="Arial"/>
                <w:sz w:val="21"/>
                <w:highlight w:val="none"/>
              </w:rPr>
            </w:pPr>
          </w:p>
          <w:p w14:paraId="436A748D">
            <w:pPr>
              <w:spacing w:line="254" w:lineRule="auto"/>
              <w:rPr>
                <w:rFonts w:ascii="Arial"/>
                <w:sz w:val="21"/>
                <w:highlight w:val="none"/>
              </w:rPr>
            </w:pPr>
          </w:p>
          <w:p w14:paraId="4316EB11">
            <w:pPr>
              <w:spacing w:line="255" w:lineRule="auto"/>
              <w:rPr>
                <w:rFonts w:ascii="Arial"/>
                <w:sz w:val="21"/>
                <w:highlight w:val="none"/>
              </w:rPr>
            </w:pPr>
          </w:p>
          <w:p w14:paraId="507E55E6">
            <w:pPr>
              <w:spacing w:line="255" w:lineRule="auto"/>
              <w:rPr>
                <w:rFonts w:ascii="Arial"/>
                <w:sz w:val="21"/>
                <w:highlight w:val="none"/>
              </w:rPr>
            </w:pPr>
          </w:p>
          <w:p w14:paraId="2B54BF22">
            <w:pPr>
              <w:spacing w:line="255" w:lineRule="auto"/>
              <w:rPr>
                <w:rFonts w:ascii="Arial"/>
                <w:sz w:val="21"/>
                <w:highlight w:val="none"/>
              </w:rPr>
            </w:pPr>
          </w:p>
          <w:p w14:paraId="0FF113BF">
            <w:pPr>
              <w:spacing w:line="255" w:lineRule="auto"/>
              <w:rPr>
                <w:rFonts w:ascii="Arial"/>
                <w:sz w:val="21"/>
                <w:highlight w:val="none"/>
              </w:rPr>
            </w:pPr>
          </w:p>
          <w:p w14:paraId="015D99AA">
            <w:pPr>
              <w:spacing w:line="255" w:lineRule="auto"/>
              <w:rPr>
                <w:rFonts w:ascii="Arial"/>
                <w:sz w:val="21"/>
                <w:highlight w:val="none"/>
              </w:rPr>
            </w:pPr>
          </w:p>
          <w:p w14:paraId="2E971CDD">
            <w:pPr>
              <w:spacing w:line="255" w:lineRule="auto"/>
              <w:rPr>
                <w:rFonts w:ascii="Arial"/>
                <w:sz w:val="21"/>
                <w:highlight w:val="none"/>
              </w:rPr>
            </w:pPr>
          </w:p>
          <w:p w14:paraId="1FC8E0A8">
            <w:pPr>
              <w:pStyle w:val="110"/>
              <w:spacing w:before="78" w:line="219" w:lineRule="auto"/>
              <w:ind w:left="509"/>
              <w:rPr>
                <w:highlight w:val="none"/>
              </w:rPr>
            </w:pPr>
            <w:r>
              <w:rPr>
                <w:highlight w:val="none"/>
              </w:rPr>
              <w:t>辆</w:t>
            </w:r>
          </w:p>
        </w:tc>
        <w:tc>
          <w:tcPr>
            <w:tcW w:w="2550" w:type="pct"/>
            <w:vAlign w:val="top"/>
          </w:tcPr>
          <w:p w14:paraId="475035B7">
            <w:pPr>
              <w:pStyle w:val="110"/>
              <w:spacing w:before="131" w:line="384" w:lineRule="auto"/>
              <w:ind w:left="117" w:right="106" w:firstLine="16"/>
              <w:rPr>
                <w:highlight w:val="none"/>
              </w:rPr>
            </w:pPr>
            <w:r>
              <w:rPr>
                <w:spacing w:val="-4"/>
                <w:highlight w:val="none"/>
              </w:rPr>
              <w:t>陕</w:t>
            </w:r>
            <w:r>
              <w:rPr>
                <w:spacing w:val="-59"/>
                <w:highlight w:val="none"/>
              </w:rPr>
              <w:t xml:space="preserve"> </w:t>
            </w:r>
            <w:r>
              <w:rPr>
                <w:spacing w:val="-4"/>
                <w:highlight w:val="none"/>
              </w:rPr>
              <w:t>AL2297 洁神牌</w:t>
            </w:r>
            <w:r>
              <w:rPr>
                <w:spacing w:val="-52"/>
                <w:highlight w:val="none"/>
              </w:rPr>
              <w:t xml:space="preserve"> </w:t>
            </w:r>
            <w:r>
              <w:rPr>
                <w:spacing w:val="-4"/>
                <w:highlight w:val="none"/>
              </w:rPr>
              <w:t>QJS509IZBS、陕</w:t>
            </w:r>
            <w:r>
              <w:rPr>
                <w:spacing w:val="-58"/>
                <w:highlight w:val="none"/>
              </w:rPr>
              <w:t xml:space="preserve"> </w:t>
            </w:r>
            <w:r>
              <w:rPr>
                <w:spacing w:val="-4"/>
                <w:highlight w:val="none"/>
              </w:rPr>
              <w:t>A</w:t>
            </w:r>
            <w:r>
              <w:rPr>
                <w:spacing w:val="-5"/>
                <w:highlight w:val="none"/>
              </w:rPr>
              <w:t>R5225</w:t>
            </w:r>
            <w:r>
              <w:rPr>
                <w:spacing w:val="-1"/>
                <w:highlight w:val="none"/>
              </w:rPr>
              <w:t>炎帝牌</w:t>
            </w:r>
            <w:r>
              <w:rPr>
                <w:spacing w:val="-48"/>
                <w:highlight w:val="none"/>
              </w:rPr>
              <w:t xml:space="preserve"> </w:t>
            </w:r>
            <w:r>
              <w:rPr>
                <w:spacing w:val="-1"/>
                <w:highlight w:val="none"/>
              </w:rPr>
              <w:t>SZD5164ZBSE、陕</w:t>
            </w:r>
            <w:r>
              <w:rPr>
                <w:spacing w:val="-58"/>
                <w:highlight w:val="none"/>
              </w:rPr>
              <w:t xml:space="preserve"> </w:t>
            </w:r>
            <w:r>
              <w:rPr>
                <w:spacing w:val="-1"/>
                <w:highlight w:val="none"/>
              </w:rPr>
              <w:t>AR5338 炎帝牌SZD5164ZBSE、陕</w:t>
            </w:r>
            <w:r>
              <w:rPr>
                <w:spacing w:val="-48"/>
                <w:highlight w:val="none"/>
              </w:rPr>
              <w:t xml:space="preserve"> </w:t>
            </w:r>
            <w:r>
              <w:rPr>
                <w:spacing w:val="-1"/>
                <w:highlight w:val="none"/>
              </w:rPr>
              <w:t>AXV6573 炎帝牌</w:t>
            </w:r>
          </w:p>
          <w:p w14:paraId="1B6D17AC">
            <w:pPr>
              <w:pStyle w:val="110"/>
              <w:spacing w:line="219" w:lineRule="auto"/>
              <w:ind w:left="117"/>
              <w:rPr>
                <w:highlight w:val="none"/>
              </w:rPr>
            </w:pPr>
            <w:r>
              <w:rPr>
                <w:spacing w:val="-1"/>
                <w:highlight w:val="none"/>
              </w:rPr>
              <w:t>SZD5168ZBSES、陕</w:t>
            </w:r>
            <w:r>
              <w:rPr>
                <w:spacing w:val="-47"/>
                <w:highlight w:val="none"/>
              </w:rPr>
              <w:t xml:space="preserve"> </w:t>
            </w:r>
            <w:r>
              <w:rPr>
                <w:spacing w:val="-1"/>
                <w:highlight w:val="none"/>
              </w:rPr>
              <w:t>AXV9671 炎帝牌</w:t>
            </w:r>
          </w:p>
          <w:p w14:paraId="29343B5D">
            <w:pPr>
              <w:pStyle w:val="110"/>
              <w:spacing w:before="214" w:line="219" w:lineRule="auto"/>
              <w:ind w:left="117"/>
              <w:rPr>
                <w:highlight w:val="none"/>
              </w:rPr>
            </w:pPr>
            <w:r>
              <w:rPr>
                <w:spacing w:val="-1"/>
                <w:highlight w:val="none"/>
              </w:rPr>
              <w:t>SZD5168ZBSES、陕</w:t>
            </w:r>
            <w:r>
              <w:rPr>
                <w:spacing w:val="-47"/>
                <w:highlight w:val="none"/>
              </w:rPr>
              <w:t xml:space="preserve"> </w:t>
            </w:r>
            <w:r>
              <w:rPr>
                <w:spacing w:val="-1"/>
                <w:highlight w:val="none"/>
              </w:rPr>
              <w:t>AXV7937 炎帝牌</w:t>
            </w:r>
          </w:p>
          <w:p w14:paraId="79811EFD">
            <w:pPr>
              <w:pStyle w:val="110"/>
              <w:spacing w:before="214" w:line="219" w:lineRule="auto"/>
              <w:ind w:left="117"/>
              <w:rPr>
                <w:highlight w:val="none"/>
              </w:rPr>
            </w:pPr>
            <w:r>
              <w:rPr>
                <w:spacing w:val="-1"/>
                <w:highlight w:val="none"/>
              </w:rPr>
              <w:t>SZD5168ZBSES、陕</w:t>
            </w:r>
            <w:r>
              <w:rPr>
                <w:spacing w:val="-48"/>
                <w:highlight w:val="none"/>
              </w:rPr>
              <w:t xml:space="preserve"> </w:t>
            </w:r>
            <w:r>
              <w:rPr>
                <w:spacing w:val="-1"/>
                <w:highlight w:val="none"/>
              </w:rPr>
              <w:t>AR2410 洁神牌</w:t>
            </w:r>
          </w:p>
          <w:p w14:paraId="50176BCB">
            <w:pPr>
              <w:pStyle w:val="110"/>
              <w:spacing w:before="214" w:line="218" w:lineRule="auto"/>
              <w:ind w:left="114"/>
              <w:rPr>
                <w:highlight w:val="none"/>
              </w:rPr>
            </w:pPr>
            <w:r>
              <w:rPr>
                <w:spacing w:val="-1"/>
                <w:highlight w:val="none"/>
              </w:rPr>
              <w:t>QJS509IZBS 备用、陕</w:t>
            </w:r>
            <w:r>
              <w:rPr>
                <w:spacing w:val="-43"/>
                <w:highlight w:val="none"/>
              </w:rPr>
              <w:t xml:space="preserve"> </w:t>
            </w:r>
            <w:r>
              <w:rPr>
                <w:spacing w:val="-1"/>
                <w:highlight w:val="none"/>
              </w:rPr>
              <w:t>AXV8127 炎帝牌</w:t>
            </w:r>
          </w:p>
          <w:p w14:paraId="738A7019">
            <w:pPr>
              <w:pStyle w:val="110"/>
              <w:spacing w:before="216" w:line="219" w:lineRule="auto"/>
              <w:ind w:left="117"/>
              <w:rPr>
                <w:highlight w:val="none"/>
              </w:rPr>
            </w:pPr>
            <w:r>
              <w:rPr>
                <w:spacing w:val="-1"/>
                <w:highlight w:val="none"/>
              </w:rPr>
              <w:t>SZD5168ZBSES 备用、陕</w:t>
            </w:r>
            <w:r>
              <w:rPr>
                <w:spacing w:val="-44"/>
                <w:highlight w:val="none"/>
              </w:rPr>
              <w:t xml:space="preserve"> </w:t>
            </w:r>
            <w:r>
              <w:rPr>
                <w:spacing w:val="-1"/>
                <w:highlight w:val="none"/>
              </w:rPr>
              <w:t>AXV5237 炎帝牌</w:t>
            </w:r>
          </w:p>
          <w:p w14:paraId="2ECCF134">
            <w:pPr>
              <w:pStyle w:val="110"/>
              <w:spacing w:before="216" w:line="221" w:lineRule="auto"/>
              <w:ind w:left="117"/>
              <w:rPr>
                <w:highlight w:val="none"/>
              </w:rPr>
            </w:pPr>
            <w:r>
              <w:rPr>
                <w:spacing w:val="-1"/>
                <w:highlight w:val="none"/>
              </w:rPr>
              <w:t>SZD5168ZBSES 备用</w:t>
            </w:r>
          </w:p>
        </w:tc>
      </w:tr>
      <w:tr w14:paraId="4FD3E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trPr>
        <w:tc>
          <w:tcPr>
            <w:tcW w:w="1104" w:type="pct"/>
            <w:vAlign w:val="top"/>
          </w:tcPr>
          <w:p w14:paraId="5FF6C6C6">
            <w:pPr>
              <w:bidi w:val="0"/>
              <w:jc w:val="center"/>
              <w:rPr>
                <w:sz w:val="24"/>
                <w:szCs w:val="32"/>
              </w:rPr>
            </w:pPr>
          </w:p>
          <w:p w14:paraId="7CA77AEA">
            <w:pPr>
              <w:bidi w:val="0"/>
              <w:jc w:val="center"/>
              <w:rPr>
                <w:sz w:val="24"/>
                <w:szCs w:val="32"/>
              </w:rPr>
            </w:pPr>
            <w:r>
              <w:rPr>
                <w:sz w:val="24"/>
                <w:szCs w:val="32"/>
              </w:rPr>
              <w:t>上塬车</w:t>
            </w:r>
          </w:p>
        </w:tc>
        <w:tc>
          <w:tcPr>
            <w:tcW w:w="672" w:type="pct"/>
            <w:vAlign w:val="top"/>
          </w:tcPr>
          <w:p w14:paraId="4181749A">
            <w:pPr>
              <w:spacing w:line="304" w:lineRule="auto"/>
              <w:rPr>
                <w:rFonts w:ascii="Arial"/>
                <w:sz w:val="21"/>
              </w:rPr>
            </w:pPr>
          </w:p>
          <w:p w14:paraId="383848CB">
            <w:pPr>
              <w:pStyle w:val="110"/>
              <w:spacing w:before="78" w:line="241" w:lineRule="auto"/>
              <w:ind w:left="555"/>
            </w:pPr>
            <w:r>
              <w:t>2</w:t>
            </w:r>
          </w:p>
        </w:tc>
        <w:tc>
          <w:tcPr>
            <w:tcW w:w="672" w:type="pct"/>
            <w:vAlign w:val="top"/>
          </w:tcPr>
          <w:p w14:paraId="1E49799C">
            <w:pPr>
              <w:spacing w:line="304" w:lineRule="auto"/>
              <w:rPr>
                <w:rFonts w:ascii="Arial"/>
                <w:sz w:val="21"/>
              </w:rPr>
            </w:pPr>
          </w:p>
          <w:p w14:paraId="09E0F234">
            <w:pPr>
              <w:pStyle w:val="110"/>
              <w:spacing w:before="78" w:line="219" w:lineRule="auto"/>
              <w:ind w:left="509"/>
            </w:pPr>
            <w:r>
              <w:t>辆</w:t>
            </w:r>
          </w:p>
        </w:tc>
        <w:tc>
          <w:tcPr>
            <w:tcW w:w="2550" w:type="pct"/>
            <w:vAlign w:val="top"/>
          </w:tcPr>
          <w:p w14:paraId="41277EC5">
            <w:pPr>
              <w:pStyle w:val="110"/>
              <w:spacing w:before="135" w:line="330" w:lineRule="auto"/>
              <w:ind w:left="109" w:right="564" w:firstLine="25"/>
            </w:pPr>
            <w:r>
              <w:rPr>
                <w:spacing w:val="-2"/>
              </w:rPr>
              <w:t>陕</w:t>
            </w:r>
            <w:r>
              <w:rPr>
                <w:spacing w:val="-49"/>
              </w:rPr>
              <w:t xml:space="preserve"> </w:t>
            </w:r>
            <w:r>
              <w:rPr>
                <w:spacing w:val="-2"/>
              </w:rPr>
              <w:t>AR7179 银宝牌</w:t>
            </w:r>
            <w:r>
              <w:rPr>
                <w:spacing w:val="-50"/>
              </w:rPr>
              <w:t xml:space="preserve"> </w:t>
            </w:r>
            <w:r>
              <w:rPr>
                <w:spacing w:val="-2"/>
              </w:rPr>
              <w:t>SYB5251ZXXE5、陕</w:t>
            </w:r>
            <w:r>
              <w:rPr>
                <w:spacing w:val="-1"/>
              </w:rPr>
              <w:t>AR7376 银宝牌</w:t>
            </w:r>
            <w:r>
              <w:rPr>
                <w:spacing w:val="-41"/>
              </w:rPr>
              <w:t xml:space="preserve"> </w:t>
            </w:r>
            <w:r>
              <w:rPr>
                <w:spacing w:val="-1"/>
              </w:rPr>
              <w:t>SYB5251ZXXE5</w:t>
            </w:r>
          </w:p>
        </w:tc>
      </w:tr>
      <w:tr w14:paraId="3F75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104" w:type="pct"/>
            <w:vAlign w:val="top"/>
          </w:tcPr>
          <w:p w14:paraId="3A980ECC">
            <w:pPr>
              <w:bidi w:val="0"/>
              <w:jc w:val="center"/>
              <w:rPr>
                <w:sz w:val="24"/>
                <w:szCs w:val="32"/>
              </w:rPr>
            </w:pPr>
            <w:r>
              <w:rPr>
                <w:sz w:val="24"/>
                <w:szCs w:val="32"/>
              </w:rPr>
              <w:t>压缩车</w:t>
            </w:r>
          </w:p>
        </w:tc>
        <w:tc>
          <w:tcPr>
            <w:tcW w:w="672" w:type="pct"/>
            <w:vAlign w:val="top"/>
          </w:tcPr>
          <w:p w14:paraId="17289AAD">
            <w:pPr>
              <w:pStyle w:val="110"/>
              <w:spacing w:before="168" w:line="241" w:lineRule="auto"/>
              <w:ind w:left="570"/>
            </w:pPr>
            <w:r>
              <w:t>1</w:t>
            </w:r>
          </w:p>
        </w:tc>
        <w:tc>
          <w:tcPr>
            <w:tcW w:w="672" w:type="pct"/>
            <w:vAlign w:val="top"/>
          </w:tcPr>
          <w:p w14:paraId="6D4BF109">
            <w:pPr>
              <w:pStyle w:val="110"/>
              <w:spacing w:before="168" w:line="219" w:lineRule="auto"/>
              <w:ind w:left="509"/>
            </w:pPr>
            <w:r>
              <w:t>辆</w:t>
            </w:r>
          </w:p>
        </w:tc>
        <w:tc>
          <w:tcPr>
            <w:tcW w:w="2550" w:type="pct"/>
            <w:vAlign w:val="top"/>
          </w:tcPr>
          <w:p w14:paraId="72607E17">
            <w:pPr>
              <w:pStyle w:val="110"/>
              <w:spacing w:before="135" w:line="219" w:lineRule="auto"/>
              <w:ind w:left="134"/>
            </w:pPr>
            <w:r>
              <w:rPr>
                <w:spacing w:val="-2"/>
              </w:rPr>
              <w:t>陕</w:t>
            </w:r>
            <w:r>
              <w:rPr>
                <w:spacing w:val="-48"/>
              </w:rPr>
              <w:t xml:space="preserve"> </w:t>
            </w:r>
            <w:r>
              <w:rPr>
                <w:spacing w:val="-2"/>
              </w:rPr>
              <w:t>AR5357 楚胜牌</w:t>
            </w:r>
            <w:r>
              <w:rPr>
                <w:spacing w:val="-53"/>
              </w:rPr>
              <w:t xml:space="preserve"> </w:t>
            </w:r>
            <w:r>
              <w:rPr>
                <w:spacing w:val="-2"/>
              </w:rPr>
              <w:t>CSC525QZYSD11</w:t>
            </w:r>
          </w:p>
        </w:tc>
      </w:tr>
      <w:tr w14:paraId="0E1D2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8" w:hRule="atLeast"/>
        </w:trPr>
        <w:tc>
          <w:tcPr>
            <w:tcW w:w="1104" w:type="pct"/>
            <w:vAlign w:val="top"/>
          </w:tcPr>
          <w:p w14:paraId="6FE9B5EA">
            <w:pPr>
              <w:bidi w:val="0"/>
              <w:jc w:val="center"/>
              <w:rPr>
                <w:sz w:val="24"/>
                <w:szCs w:val="32"/>
              </w:rPr>
            </w:pPr>
          </w:p>
          <w:p w14:paraId="7F61916F">
            <w:pPr>
              <w:bidi w:val="0"/>
              <w:jc w:val="center"/>
              <w:rPr>
                <w:sz w:val="24"/>
                <w:szCs w:val="32"/>
              </w:rPr>
            </w:pPr>
            <w:r>
              <w:rPr>
                <w:sz w:val="24"/>
                <w:szCs w:val="32"/>
              </w:rPr>
              <w:t>清扫车</w:t>
            </w:r>
          </w:p>
        </w:tc>
        <w:tc>
          <w:tcPr>
            <w:tcW w:w="672" w:type="pct"/>
            <w:vAlign w:val="top"/>
          </w:tcPr>
          <w:p w14:paraId="42CA6434">
            <w:pPr>
              <w:spacing w:line="304" w:lineRule="auto"/>
              <w:rPr>
                <w:rFonts w:ascii="Arial"/>
                <w:sz w:val="21"/>
              </w:rPr>
            </w:pPr>
          </w:p>
          <w:p w14:paraId="49E2A93D">
            <w:pPr>
              <w:pStyle w:val="110"/>
              <w:spacing w:before="78" w:line="241" w:lineRule="auto"/>
              <w:ind w:left="555"/>
            </w:pPr>
            <w:r>
              <w:t>2</w:t>
            </w:r>
          </w:p>
        </w:tc>
        <w:tc>
          <w:tcPr>
            <w:tcW w:w="672" w:type="pct"/>
            <w:vAlign w:val="top"/>
          </w:tcPr>
          <w:p w14:paraId="5D6ECCA9">
            <w:pPr>
              <w:spacing w:line="304" w:lineRule="auto"/>
              <w:rPr>
                <w:rFonts w:ascii="Arial"/>
                <w:sz w:val="21"/>
              </w:rPr>
            </w:pPr>
          </w:p>
          <w:p w14:paraId="398B15F3">
            <w:pPr>
              <w:pStyle w:val="110"/>
              <w:spacing w:before="78" w:line="219" w:lineRule="auto"/>
              <w:ind w:left="509"/>
            </w:pPr>
            <w:r>
              <w:t>辆</w:t>
            </w:r>
          </w:p>
        </w:tc>
        <w:tc>
          <w:tcPr>
            <w:tcW w:w="2550" w:type="pct"/>
            <w:vAlign w:val="top"/>
          </w:tcPr>
          <w:p w14:paraId="5F27B0DC">
            <w:pPr>
              <w:pStyle w:val="110"/>
              <w:spacing w:before="137" w:line="331" w:lineRule="auto"/>
              <w:ind w:left="109" w:right="324" w:firstLine="25"/>
            </w:pPr>
            <w:r>
              <w:rPr>
                <w:spacing w:val="-3"/>
              </w:rPr>
              <w:t>陕</w:t>
            </w:r>
            <w:r>
              <w:rPr>
                <w:spacing w:val="-51"/>
              </w:rPr>
              <w:t xml:space="preserve"> </w:t>
            </w:r>
            <w:r>
              <w:rPr>
                <w:spacing w:val="-3"/>
              </w:rPr>
              <w:t>AT8860</w:t>
            </w:r>
            <w:r>
              <w:rPr>
                <w:spacing w:val="32"/>
              </w:rPr>
              <w:t xml:space="preserve"> </w:t>
            </w:r>
            <w:r>
              <w:rPr>
                <w:spacing w:val="-3"/>
              </w:rPr>
              <w:t>中联牌</w:t>
            </w:r>
            <w:r>
              <w:rPr>
                <w:spacing w:val="-52"/>
              </w:rPr>
              <w:t xml:space="preserve"> </w:t>
            </w:r>
            <w:r>
              <w:rPr>
                <w:spacing w:val="-3"/>
              </w:rPr>
              <w:t>ZLJ5160TXSDFE5、陕</w:t>
            </w:r>
            <w:r>
              <w:rPr>
                <w:spacing w:val="-2"/>
              </w:rPr>
              <w:t>AT6250</w:t>
            </w:r>
            <w:r>
              <w:rPr>
                <w:spacing w:val="13"/>
              </w:rPr>
              <w:t xml:space="preserve"> </w:t>
            </w:r>
            <w:r>
              <w:rPr>
                <w:spacing w:val="-2"/>
              </w:rPr>
              <w:t>备用</w:t>
            </w:r>
          </w:p>
        </w:tc>
      </w:tr>
      <w:tr w14:paraId="49E63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3" w:hRule="atLeast"/>
        </w:trPr>
        <w:tc>
          <w:tcPr>
            <w:tcW w:w="1104" w:type="pct"/>
            <w:vAlign w:val="top"/>
          </w:tcPr>
          <w:p w14:paraId="30B2FF50">
            <w:pPr>
              <w:bidi w:val="0"/>
              <w:jc w:val="center"/>
              <w:rPr>
                <w:sz w:val="24"/>
                <w:szCs w:val="32"/>
              </w:rPr>
            </w:pPr>
          </w:p>
          <w:p w14:paraId="7E571C15">
            <w:pPr>
              <w:bidi w:val="0"/>
              <w:jc w:val="center"/>
              <w:rPr>
                <w:sz w:val="24"/>
                <w:szCs w:val="32"/>
              </w:rPr>
            </w:pPr>
          </w:p>
          <w:p w14:paraId="4C27F505">
            <w:pPr>
              <w:bidi w:val="0"/>
              <w:jc w:val="center"/>
              <w:rPr>
                <w:sz w:val="24"/>
                <w:szCs w:val="32"/>
              </w:rPr>
            </w:pPr>
            <w:r>
              <w:rPr>
                <w:sz w:val="24"/>
                <w:szCs w:val="32"/>
              </w:rPr>
              <w:t>洒水车</w:t>
            </w:r>
          </w:p>
        </w:tc>
        <w:tc>
          <w:tcPr>
            <w:tcW w:w="672" w:type="pct"/>
            <w:vAlign w:val="top"/>
          </w:tcPr>
          <w:p w14:paraId="01EC51E8">
            <w:pPr>
              <w:spacing w:line="274" w:lineRule="auto"/>
              <w:rPr>
                <w:rFonts w:ascii="Arial"/>
                <w:sz w:val="21"/>
              </w:rPr>
            </w:pPr>
          </w:p>
          <w:p w14:paraId="4597C3A4">
            <w:pPr>
              <w:spacing w:line="275" w:lineRule="auto"/>
              <w:rPr>
                <w:rFonts w:ascii="Arial"/>
                <w:sz w:val="21"/>
              </w:rPr>
            </w:pPr>
          </w:p>
          <w:p w14:paraId="209DF6D7">
            <w:pPr>
              <w:pStyle w:val="110"/>
              <w:spacing w:before="78"/>
              <w:ind w:left="557"/>
            </w:pPr>
            <w:r>
              <w:t>3</w:t>
            </w:r>
          </w:p>
        </w:tc>
        <w:tc>
          <w:tcPr>
            <w:tcW w:w="672" w:type="pct"/>
            <w:vAlign w:val="top"/>
          </w:tcPr>
          <w:p w14:paraId="5839FC60">
            <w:pPr>
              <w:spacing w:line="275" w:lineRule="auto"/>
              <w:rPr>
                <w:rFonts w:ascii="Arial"/>
                <w:sz w:val="21"/>
              </w:rPr>
            </w:pPr>
          </w:p>
          <w:p w14:paraId="0EC45D91">
            <w:pPr>
              <w:spacing w:line="275" w:lineRule="auto"/>
              <w:rPr>
                <w:rFonts w:ascii="Arial"/>
                <w:sz w:val="21"/>
              </w:rPr>
            </w:pPr>
          </w:p>
          <w:p w14:paraId="5D673492">
            <w:pPr>
              <w:pStyle w:val="110"/>
              <w:spacing w:before="78" w:line="219" w:lineRule="auto"/>
              <w:ind w:left="509"/>
            </w:pPr>
            <w:r>
              <w:t>辆</w:t>
            </w:r>
          </w:p>
        </w:tc>
        <w:tc>
          <w:tcPr>
            <w:tcW w:w="2550" w:type="pct"/>
            <w:vAlign w:val="top"/>
          </w:tcPr>
          <w:p w14:paraId="737E34A1">
            <w:pPr>
              <w:pStyle w:val="110"/>
              <w:spacing w:before="131" w:line="218" w:lineRule="auto"/>
              <w:ind w:left="134"/>
            </w:pPr>
            <w:r>
              <w:rPr>
                <w:spacing w:val="-2"/>
              </w:rPr>
              <w:t>陕</w:t>
            </w:r>
            <w:r>
              <w:rPr>
                <w:spacing w:val="-50"/>
              </w:rPr>
              <w:t xml:space="preserve"> </w:t>
            </w:r>
            <w:r>
              <w:rPr>
                <w:spacing w:val="-2"/>
              </w:rPr>
              <w:t>AU9267</w:t>
            </w:r>
            <w:r>
              <w:rPr>
                <w:spacing w:val="32"/>
              </w:rPr>
              <w:t xml:space="preserve"> </w:t>
            </w:r>
            <w:r>
              <w:rPr>
                <w:spacing w:val="-2"/>
              </w:rPr>
              <w:t>中联牌</w:t>
            </w:r>
            <w:r>
              <w:rPr>
                <w:spacing w:val="-51"/>
              </w:rPr>
              <w:t xml:space="preserve"> </w:t>
            </w:r>
            <w:r>
              <w:rPr>
                <w:spacing w:val="-2"/>
              </w:rPr>
              <w:t>ZLJ5183GQXDFE5、陕</w:t>
            </w:r>
          </w:p>
          <w:p w14:paraId="07C3AD85">
            <w:pPr>
              <w:pStyle w:val="110"/>
              <w:spacing w:before="214" w:line="332" w:lineRule="auto"/>
              <w:ind w:left="115" w:right="106" w:hanging="6"/>
            </w:pPr>
            <w:r>
              <w:rPr>
                <w:spacing w:val="-1"/>
              </w:rPr>
              <w:t>AH7669 福龙马牌</w:t>
            </w:r>
            <w:r>
              <w:rPr>
                <w:spacing w:val="-55"/>
              </w:rPr>
              <w:t xml:space="preserve"> </w:t>
            </w:r>
            <w:r>
              <w:rPr>
                <w:spacing w:val="-1"/>
              </w:rPr>
              <w:t>FLM5161655、陕</w:t>
            </w:r>
            <w:r>
              <w:rPr>
                <w:spacing w:val="-58"/>
              </w:rPr>
              <w:t xml:space="preserve"> </w:t>
            </w:r>
            <w:r>
              <w:rPr>
                <w:spacing w:val="-1"/>
              </w:rPr>
              <w:t>AW9</w:t>
            </w:r>
            <w:r>
              <w:rPr>
                <w:spacing w:val="-2"/>
              </w:rPr>
              <w:t>751</w:t>
            </w:r>
            <w:r>
              <w:rPr>
                <w:spacing w:val="-1"/>
              </w:rPr>
              <w:t>福龙马牌</w:t>
            </w:r>
            <w:r>
              <w:rPr>
                <w:spacing w:val="-53"/>
              </w:rPr>
              <w:t xml:space="preserve"> </w:t>
            </w:r>
            <w:r>
              <w:rPr>
                <w:spacing w:val="-1"/>
              </w:rPr>
              <w:t>FLM5180GQXD5S</w:t>
            </w:r>
          </w:p>
        </w:tc>
      </w:tr>
      <w:tr w14:paraId="3D47FC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04" w:type="pct"/>
            <w:vAlign w:val="top"/>
          </w:tcPr>
          <w:p w14:paraId="06143025">
            <w:pPr>
              <w:bidi w:val="0"/>
              <w:jc w:val="center"/>
              <w:rPr>
                <w:sz w:val="24"/>
                <w:szCs w:val="32"/>
              </w:rPr>
            </w:pPr>
            <w:r>
              <w:rPr>
                <w:sz w:val="24"/>
                <w:szCs w:val="32"/>
              </w:rPr>
              <w:t>空调</w:t>
            </w:r>
          </w:p>
        </w:tc>
        <w:tc>
          <w:tcPr>
            <w:tcW w:w="672" w:type="pct"/>
            <w:vAlign w:val="top"/>
          </w:tcPr>
          <w:p w14:paraId="29BA8418">
            <w:pPr>
              <w:pStyle w:val="110"/>
              <w:spacing w:before="164"/>
              <w:ind w:left="557"/>
            </w:pPr>
            <w:r>
              <w:t>3</w:t>
            </w:r>
          </w:p>
        </w:tc>
        <w:tc>
          <w:tcPr>
            <w:tcW w:w="672" w:type="pct"/>
            <w:vAlign w:val="top"/>
          </w:tcPr>
          <w:p w14:paraId="57F752CF">
            <w:pPr>
              <w:pStyle w:val="110"/>
              <w:spacing w:before="165" w:line="219" w:lineRule="auto"/>
              <w:ind w:left="510"/>
            </w:pPr>
            <w:r>
              <w:t>个</w:t>
            </w:r>
          </w:p>
        </w:tc>
        <w:tc>
          <w:tcPr>
            <w:tcW w:w="2550" w:type="pct"/>
            <w:vAlign w:val="top"/>
          </w:tcPr>
          <w:p w14:paraId="6033302D">
            <w:pPr>
              <w:rPr>
                <w:rFonts w:ascii="Arial"/>
                <w:sz w:val="21"/>
              </w:rPr>
            </w:pPr>
          </w:p>
        </w:tc>
      </w:tr>
      <w:tr w14:paraId="2C5349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45B63B50">
            <w:pPr>
              <w:bidi w:val="0"/>
              <w:jc w:val="center"/>
              <w:rPr>
                <w:sz w:val="24"/>
                <w:szCs w:val="32"/>
              </w:rPr>
            </w:pPr>
            <w:r>
              <w:rPr>
                <w:sz w:val="24"/>
                <w:szCs w:val="32"/>
              </w:rPr>
              <w:t>办公桌</w:t>
            </w:r>
          </w:p>
        </w:tc>
        <w:tc>
          <w:tcPr>
            <w:tcW w:w="672" w:type="pct"/>
            <w:vAlign w:val="top"/>
          </w:tcPr>
          <w:p w14:paraId="1EE6CAC2">
            <w:pPr>
              <w:pStyle w:val="110"/>
              <w:spacing w:before="164" w:line="241" w:lineRule="auto"/>
              <w:ind w:left="551"/>
            </w:pPr>
            <w:r>
              <w:t>4</w:t>
            </w:r>
          </w:p>
        </w:tc>
        <w:tc>
          <w:tcPr>
            <w:tcW w:w="672" w:type="pct"/>
            <w:vAlign w:val="top"/>
          </w:tcPr>
          <w:p w14:paraId="75780D8C">
            <w:pPr>
              <w:pStyle w:val="110"/>
              <w:spacing w:before="165" w:line="219" w:lineRule="auto"/>
              <w:ind w:left="510"/>
            </w:pPr>
            <w:r>
              <w:t>个</w:t>
            </w:r>
          </w:p>
        </w:tc>
        <w:tc>
          <w:tcPr>
            <w:tcW w:w="2550" w:type="pct"/>
            <w:vAlign w:val="top"/>
          </w:tcPr>
          <w:p w14:paraId="7D98E1F3">
            <w:pPr>
              <w:rPr>
                <w:rFonts w:ascii="Arial"/>
                <w:sz w:val="21"/>
              </w:rPr>
            </w:pPr>
          </w:p>
        </w:tc>
      </w:tr>
      <w:tr w14:paraId="0299A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30A79274">
            <w:pPr>
              <w:bidi w:val="0"/>
              <w:jc w:val="center"/>
              <w:rPr>
                <w:sz w:val="24"/>
                <w:szCs w:val="32"/>
              </w:rPr>
            </w:pPr>
            <w:r>
              <w:rPr>
                <w:sz w:val="24"/>
                <w:szCs w:val="32"/>
              </w:rPr>
              <w:t>办公椅</w:t>
            </w:r>
          </w:p>
        </w:tc>
        <w:tc>
          <w:tcPr>
            <w:tcW w:w="672" w:type="pct"/>
            <w:vAlign w:val="top"/>
          </w:tcPr>
          <w:p w14:paraId="4452FB1C">
            <w:pPr>
              <w:pStyle w:val="110"/>
              <w:spacing w:before="165"/>
              <w:ind w:left="554"/>
            </w:pPr>
            <w:r>
              <w:t>6</w:t>
            </w:r>
          </w:p>
        </w:tc>
        <w:tc>
          <w:tcPr>
            <w:tcW w:w="672" w:type="pct"/>
            <w:vAlign w:val="top"/>
          </w:tcPr>
          <w:p w14:paraId="560F38BC">
            <w:pPr>
              <w:pStyle w:val="110"/>
              <w:spacing w:before="166" w:line="219" w:lineRule="auto"/>
              <w:ind w:left="510"/>
            </w:pPr>
            <w:r>
              <w:t>个</w:t>
            </w:r>
          </w:p>
        </w:tc>
        <w:tc>
          <w:tcPr>
            <w:tcW w:w="2550" w:type="pct"/>
            <w:vAlign w:val="top"/>
          </w:tcPr>
          <w:p w14:paraId="2D3DBA3C">
            <w:pPr>
              <w:rPr>
                <w:rFonts w:ascii="Arial"/>
                <w:sz w:val="21"/>
              </w:rPr>
            </w:pPr>
          </w:p>
        </w:tc>
      </w:tr>
      <w:tr w14:paraId="64731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04" w:type="pct"/>
            <w:vAlign w:val="top"/>
          </w:tcPr>
          <w:p w14:paraId="6D8BB69E">
            <w:pPr>
              <w:bidi w:val="0"/>
              <w:jc w:val="center"/>
              <w:rPr>
                <w:sz w:val="24"/>
                <w:szCs w:val="32"/>
              </w:rPr>
            </w:pPr>
            <w:r>
              <w:rPr>
                <w:sz w:val="24"/>
                <w:szCs w:val="32"/>
              </w:rPr>
              <w:t>铁连椅</w:t>
            </w:r>
          </w:p>
        </w:tc>
        <w:tc>
          <w:tcPr>
            <w:tcW w:w="672" w:type="pct"/>
            <w:vAlign w:val="top"/>
          </w:tcPr>
          <w:p w14:paraId="2EF617D1">
            <w:pPr>
              <w:pStyle w:val="110"/>
              <w:spacing w:before="164" w:line="241" w:lineRule="auto"/>
              <w:ind w:left="555"/>
            </w:pPr>
            <w:r>
              <w:t>2</w:t>
            </w:r>
          </w:p>
        </w:tc>
        <w:tc>
          <w:tcPr>
            <w:tcW w:w="672" w:type="pct"/>
            <w:vAlign w:val="top"/>
          </w:tcPr>
          <w:p w14:paraId="17647979">
            <w:pPr>
              <w:pStyle w:val="110"/>
              <w:spacing w:before="165" w:line="219" w:lineRule="auto"/>
              <w:ind w:left="510"/>
            </w:pPr>
            <w:r>
              <w:t>个</w:t>
            </w:r>
          </w:p>
        </w:tc>
        <w:tc>
          <w:tcPr>
            <w:tcW w:w="2550" w:type="pct"/>
            <w:vAlign w:val="top"/>
          </w:tcPr>
          <w:p w14:paraId="75B073E7">
            <w:pPr>
              <w:rPr>
                <w:rFonts w:ascii="Arial"/>
                <w:sz w:val="21"/>
              </w:rPr>
            </w:pPr>
          </w:p>
        </w:tc>
      </w:tr>
      <w:tr w14:paraId="1A2B9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69B2388B">
            <w:pPr>
              <w:bidi w:val="0"/>
              <w:jc w:val="center"/>
              <w:rPr>
                <w:sz w:val="24"/>
                <w:szCs w:val="32"/>
              </w:rPr>
            </w:pPr>
            <w:r>
              <w:rPr>
                <w:sz w:val="24"/>
                <w:szCs w:val="32"/>
              </w:rPr>
              <w:t>木凉椅</w:t>
            </w:r>
          </w:p>
        </w:tc>
        <w:tc>
          <w:tcPr>
            <w:tcW w:w="672" w:type="pct"/>
            <w:vAlign w:val="top"/>
          </w:tcPr>
          <w:p w14:paraId="456B6643">
            <w:pPr>
              <w:pStyle w:val="110"/>
              <w:spacing w:before="166"/>
              <w:ind w:left="557"/>
            </w:pPr>
            <w:r>
              <w:t>3</w:t>
            </w:r>
          </w:p>
        </w:tc>
        <w:tc>
          <w:tcPr>
            <w:tcW w:w="672" w:type="pct"/>
            <w:vAlign w:val="top"/>
          </w:tcPr>
          <w:p w14:paraId="0FCF5F39">
            <w:pPr>
              <w:pStyle w:val="110"/>
              <w:spacing w:before="167" w:line="219" w:lineRule="auto"/>
              <w:ind w:left="510"/>
            </w:pPr>
            <w:r>
              <w:t>个</w:t>
            </w:r>
          </w:p>
        </w:tc>
        <w:tc>
          <w:tcPr>
            <w:tcW w:w="2550" w:type="pct"/>
            <w:vAlign w:val="top"/>
          </w:tcPr>
          <w:p w14:paraId="6C9B368D">
            <w:pPr>
              <w:pStyle w:val="110"/>
              <w:spacing w:before="133" w:line="220" w:lineRule="auto"/>
              <w:ind w:left="134"/>
            </w:pPr>
            <w:r>
              <w:rPr>
                <w:spacing w:val="-13"/>
              </w:rPr>
              <w:t>1</w:t>
            </w:r>
            <w:r>
              <w:rPr>
                <w:spacing w:val="-48"/>
              </w:rPr>
              <w:t xml:space="preserve"> </w:t>
            </w:r>
            <w:r>
              <w:rPr>
                <w:spacing w:val="-13"/>
              </w:rPr>
              <w:t>大</w:t>
            </w:r>
            <w:r>
              <w:rPr>
                <w:spacing w:val="-48"/>
              </w:rPr>
              <w:t xml:space="preserve"> </w:t>
            </w:r>
            <w:r>
              <w:rPr>
                <w:spacing w:val="-13"/>
              </w:rPr>
              <w:t>2</w:t>
            </w:r>
            <w:r>
              <w:rPr>
                <w:spacing w:val="-45"/>
              </w:rPr>
              <w:t xml:space="preserve"> </w:t>
            </w:r>
            <w:r>
              <w:rPr>
                <w:spacing w:val="-13"/>
              </w:rPr>
              <w:t>小</w:t>
            </w:r>
          </w:p>
        </w:tc>
      </w:tr>
      <w:tr w14:paraId="56F25F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04" w:type="pct"/>
            <w:vAlign w:val="top"/>
          </w:tcPr>
          <w:p w14:paraId="2EB11152">
            <w:pPr>
              <w:bidi w:val="0"/>
              <w:jc w:val="center"/>
              <w:rPr>
                <w:sz w:val="24"/>
                <w:szCs w:val="32"/>
              </w:rPr>
            </w:pPr>
            <w:r>
              <w:rPr>
                <w:sz w:val="24"/>
                <w:szCs w:val="32"/>
              </w:rPr>
              <w:t>玻璃茶几</w:t>
            </w:r>
          </w:p>
        </w:tc>
        <w:tc>
          <w:tcPr>
            <w:tcW w:w="672" w:type="pct"/>
            <w:vAlign w:val="top"/>
          </w:tcPr>
          <w:p w14:paraId="0F04C86F">
            <w:pPr>
              <w:pStyle w:val="110"/>
              <w:spacing w:before="166" w:line="241" w:lineRule="auto"/>
              <w:ind w:left="570"/>
            </w:pPr>
            <w:r>
              <w:t>1</w:t>
            </w:r>
          </w:p>
        </w:tc>
        <w:tc>
          <w:tcPr>
            <w:tcW w:w="672" w:type="pct"/>
            <w:vAlign w:val="top"/>
          </w:tcPr>
          <w:p w14:paraId="66560982">
            <w:pPr>
              <w:pStyle w:val="110"/>
              <w:spacing w:before="166" w:line="219" w:lineRule="auto"/>
              <w:ind w:left="510"/>
            </w:pPr>
            <w:r>
              <w:t>个</w:t>
            </w:r>
          </w:p>
        </w:tc>
        <w:tc>
          <w:tcPr>
            <w:tcW w:w="2550" w:type="pct"/>
            <w:vAlign w:val="top"/>
          </w:tcPr>
          <w:p w14:paraId="4C9A7102">
            <w:pPr>
              <w:rPr>
                <w:rFonts w:ascii="Arial"/>
                <w:sz w:val="21"/>
              </w:rPr>
            </w:pPr>
          </w:p>
        </w:tc>
      </w:tr>
      <w:tr w14:paraId="63C56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65E80B98">
            <w:pPr>
              <w:bidi w:val="0"/>
              <w:jc w:val="center"/>
              <w:rPr>
                <w:sz w:val="24"/>
                <w:szCs w:val="32"/>
              </w:rPr>
            </w:pPr>
            <w:r>
              <w:rPr>
                <w:sz w:val="24"/>
                <w:szCs w:val="32"/>
              </w:rPr>
              <w:t>双人床</w:t>
            </w:r>
          </w:p>
        </w:tc>
        <w:tc>
          <w:tcPr>
            <w:tcW w:w="672" w:type="pct"/>
            <w:vAlign w:val="top"/>
          </w:tcPr>
          <w:p w14:paraId="45882EBB">
            <w:pPr>
              <w:pStyle w:val="110"/>
              <w:spacing w:before="168" w:line="241" w:lineRule="auto"/>
              <w:ind w:left="570"/>
            </w:pPr>
            <w:r>
              <w:t>1</w:t>
            </w:r>
          </w:p>
        </w:tc>
        <w:tc>
          <w:tcPr>
            <w:tcW w:w="672" w:type="pct"/>
            <w:vAlign w:val="top"/>
          </w:tcPr>
          <w:p w14:paraId="24E73998">
            <w:pPr>
              <w:pStyle w:val="110"/>
              <w:spacing w:before="169" w:line="219" w:lineRule="auto"/>
              <w:ind w:left="510"/>
            </w:pPr>
            <w:r>
              <w:t>个</w:t>
            </w:r>
          </w:p>
        </w:tc>
        <w:tc>
          <w:tcPr>
            <w:tcW w:w="2550" w:type="pct"/>
            <w:vAlign w:val="top"/>
          </w:tcPr>
          <w:p w14:paraId="7B080672">
            <w:pPr>
              <w:rPr>
                <w:rFonts w:ascii="Arial"/>
                <w:sz w:val="21"/>
              </w:rPr>
            </w:pPr>
          </w:p>
        </w:tc>
      </w:tr>
      <w:tr w14:paraId="7F4FF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6428FC69">
            <w:pPr>
              <w:bidi w:val="0"/>
              <w:jc w:val="center"/>
              <w:rPr>
                <w:sz w:val="24"/>
                <w:szCs w:val="32"/>
              </w:rPr>
            </w:pPr>
            <w:r>
              <w:rPr>
                <w:sz w:val="24"/>
                <w:szCs w:val="32"/>
              </w:rPr>
              <w:t>架子床</w:t>
            </w:r>
          </w:p>
        </w:tc>
        <w:tc>
          <w:tcPr>
            <w:tcW w:w="672" w:type="pct"/>
            <w:vAlign w:val="top"/>
          </w:tcPr>
          <w:p w14:paraId="0132F6C9">
            <w:pPr>
              <w:pStyle w:val="110"/>
              <w:spacing w:before="167" w:line="241" w:lineRule="auto"/>
              <w:ind w:left="551"/>
            </w:pPr>
            <w:r>
              <w:t>4</w:t>
            </w:r>
          </w:p>
        </w:tc>
        <w:tc>
          <w:tcPr>
            <w:tcW w:w="672" w:type="pct"/>
            <w:vAlign w:val="top"/>
          </w:tcPr>
          <w:p w14:paraId="14D57824">
            <w:pPr>
              <w:pStyle w:val="110"/>
              <w:spacing w:before="167" w:line="220" w:lineRule="auto"/>
              <w:ind w:left="511"/>
            </w:pPr>
            <w:r>
              <w:t>套</w:t>
            </w:r>
          </w:p>
        </w:tc>
        <w:tc>
          <w:tcPr>
            <w:tcW w:w="2550" w:type="pct"/>
            <w:vAlign w:val="top"/>
          </w:tcPr>
          <w:p w14:paraId="6A759B9A">
            <w:pPr>
              <w:rPr>
                <w:rFonts w:ascii="Arial"/>
                <w:sz w:val="21"/>
              </w:rPr>
            </w:pPr>
          </w:p>
        </w:tc>
      </w:tr>
      <w:tr w14:paraId="443017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2B35A5B9">
            <w:pPr>
              <w:bidi w:val="0"/>
              <w:jc w:val="center"/>
              <w:rPr>
                <w:sz w:val="24"/>
                <w:szCs w:val="32"/>
              </w:rPr>
            </w:pPr>
            <w:r>
              <w:rPr>
                <w:sz w:val="24"/>
                <w:szCs w:val="32"/>
              </w:rPr>
              <w:t>电视机</w:t>
            </w:r>
          </w:p>
        </w:tc>
        <w:tc>
          <w:tcPr>
            <w:tcW w:w="672" w:type="pct"/>
            <w:vAlign w:val="top"/>
          </w:tcPr>
          <w:p w14:paraId="28EE18BD">
            <w:pPr>
              <w:pStyle w:val="110"/>
              <w:spacing w:before="166" w:line="241" w:lineRule="auto"/>
              <w:ind w:left="570"/>
            </w:pPr>
            <w:r>
              <w:t>1</w:t>
            </w:r>
          </w:p>
        </w:tc>
        <w:tc>
          <w:tcPr>
            <w:tcW w:w="672" w:type="pct"/>
            <w:vAlign w:val="top"/>
          </w:tcPr>
          <w:p w14:paraId="033D382C">
            <w:pPr>
              <w:pStyle w:val="110"/>
              <w:spacing w:before="167" w:line="221" w:lineRule="auto"/>
              <w:ind w:left="529"/>
            </w:pPr>
            <w:r>
              <w:t>台</w:t>
            </w:r>
          </w:p>
        </w:tc>
        <w:tc>
          <w:tcPr>
            <w:tcW w:w="2550" w:type="pct"/>
            <w:vAlign w:val="top"/>
          </w:tcPr>
          <w:p w14:paraId="185FDE18">
            <w:pPr>
              <w:rPr>
                <w:rFonts w:ascii="Arial"/>
                <w:sz w:val="21"/>
              </w:rPr>
            </w:pPr>
          </w:p>
        </w:tc>
      </w:tr>
      <w:tr w14:paraId="09DFC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04" w:type="pct"/>
            <w:vAlign w:val="top"/>
          </w:tcPr>
          <w:p w14:paraId="5427596F">
            <w:pPr>
              <w:bidi w:val="0"/>
              <w:jc w:val="center"/>
              <w:rPr>
                <w:sz w:val="24"/>
                <w:szCs w:val="32"/>
              </w:rPr>
            </w:pPr>
            <w:r>
              <w:rPr>
                <w:sz w:val="24"/>
                <w:szCs w:val="32"/>
              </w:rPr>
              <w:t>泥浆泵</w:t>
            </w:r>
          </w:p>
        </w:tc>
        <w:tc>
          <w:tcPr>
            <w:tcW w:w="672" w:type="pct"/>
            <w:vAlign w:val="top"/>
          </w:tcPr>
          <w:p w14:paraId="502E5E6E">
            <w:pPr>
              <w:pStyle w:val="110"/>
              <w:spacing w:before="168" w:line="241" w:lineRule="auto"/>
              <w:ind w:left="570"/>
            </w:pPr>
            <w:r>
              <w:t>1</w:t>
            </w:r>
          </w:p>
        </w:tc>
        <w:tc>
          <w:tcPr>
            <w:tcW w:w="672" w:type="pct"/>
            <w:vAlign w:val="top"/>
          </w:tcPr>
          <w:p w14:paraId="093116B9">
            <w:pPr>
              <w:pStyle w:val="110"/>
              <w:spacing w:before="168" w:line="219" w:lineRule="auto"/>
              <w:ind w:left="510"/>
            </w:pPr>
            <w:r>
              <w:t>个</w:t>
            </w:r>
          </w:p>
        </w:tc>
        <w:tc>
          <w:tcPr>
            <w:tcW w:w="2550" w:type="pct"/>
            <w:vAlign w:val="top"/>
          </w:tcPr>
          <w:p w14:paraId="145C9B27">
            <w:pPr>
              <w:rPr>
                <w:rFonts w:ascii="Arial"/>
                <w:sz w:val="21"/>
              </w:rPr>
            </w:pPr>
          </w:p>
        </w:tc>
      </w:tr>
      <w:tr w14:paraId="6892B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104" w:type="pct"/>
            <w:vAlign w:val="top"/>
          </w:tcPr>
          <w:p w14:paraId="5AFB877D">
            <w:pPr>
              <w:bidi w:val="0"/>
              <w:jc w:val="center"/>
              <w:rPr>
                <w:sz w:val="24"/>
                <w:szCs w:val="32"/>
              </w:rPr>
            </w:pPr>
            <w:r>
              <w:rPr>
                <w:sz w:val="24"/>
                <w:szCs w:val="32"/>
              </w:rPr>
              <w:t>洗车机</w:t>
            </w:r>
          </w:p>
        </w:tc>
        <w:tc>
          <w:tcPr>
            <w:tcW w:w="672" w:type="pct"/>
            <w:vAlign w:val="top"/>
          </w:tcPr>
          <w:p w14:paraId="21B65FBD">
            <w:pPr>
              <w:pStyle w:val="110"/>
              <w:spacing w:before="167" w:line="241" w:lineRule="auto"/>
              <w:ind w:left="570"/>
            </w:pPr>
            <w:r>
              <w:t>1</w:t>
            </w:r>
          </w:p>
        </w:tc>
        <w:tc>
          <w:tcPr>
            <w:tcW w:w="672" w:type="pct"/>
            <w:vAlign w:val="top"/>
          </w:tcPr>
          <w:p w14:paraId="2EC220A3">
            <w:pPr>
              <w:pStyle w:val="110"/>
              <w:spacing w:before="167" w:line="221" w:lineRule="auto"/>
              <w:ind w:left="529"/>
            </w:pPr>
            <w:r>
              <w:t>台</w:t>
            </w:r>
          </w:p>
        </w:tc>
        <w:tc>
          <w:tcPr>
            <w:tcW w:w="2550" w:type="pct"/>
            <w:vAlign w:val="top"/>
          </w:tcPr>
          <w:p w14:paraId="04F13481">
            <w:pPr>
              <w:rPr>
                <w:rFonts w:ascii="Arial"/>
                <w:sz w:val="21"/>
              </w:rPr>
            </w:pPr>
          </w:p>
        </w:tc>
      </w:tr>
    </w:tbl>
    <w:p w14:paraId="22C8B09A">
      <w:pPr>
        <w:rPr>
          <w:rFonts w:hint="default" w:ascii="宋体" w:hAnsi="宋体" w:eastAsia="宋体" w:cs="宋体"/>
          <w:lang w:val="en-US" w:eastAsia="zh-CN"/>
        </w:rPr>
      </w:pPr>
    </w:p>
    <w:p w14:paraId="1C3FB34D">
      <w:pPr>
        <w:rPr>
          <w:rFonts w:hint="default" w:ascii="宋体" w:hAnsi="宋体" w:eastAsia="宋体" w:cs="宋体"/>
          <w:lang w:val="en-US" w:eastAsia="zh-CN"/>
        </w:rPr>
      </w:pPr>
    </w:p>
    <w:p w14:paraId="7FA5C733">
      <w:pPr>
        <w:rPr>
          <w:rFonts w:hint="default" w:ascii="宋体" w:hAnsi="宋体" w:eastAsia="宋体" w:cs="宋体"/>
          <w:lang w:val="en-US" w:eastAsia="zh-CN"/>
        </w:rPr>
      </w:pPr>
    </w:p>
    <w:p w14:paraId="69C7B12E">
      <w:pPr>
        <w:rPr>
          <w:rFonts w:hint="default" w:ascii="宋体" w:hAnsi="宋体" w:eastAsia="宋体" w:cs="宋体"/>
          <w:lang w:val="en-US" w:eastAsia="zh-CN"/>
        </w:rPr>
      </w:pPr>
    </w:p>
    <w:p w14:paraId="2648032F">
      <w:pPr>
        <w:rPr>
          <w:rFonts w:hint="default" w:ascii="宋体" w:hAnsi="宋体" w:eastAsia="宋体" w:cs="宋体"/>
          <w:lang w:val="en-US" w:eastAsia="zh-CN"/>
        </w:rPr>
      </w:pPr>
    </w:p>
    <w:p w14:paraId="7F431398">
      <w:pPr>
        <w:rPr>
          <w:rFonts w:hint="default" w:ascii="宋体" w:hAnsi="宋体" w:eastAsia="宋体" w:cs="宋体"/>
          <w:lang w:val="en-US" w:eastAsia="zh-CN"/>
        </w:rPr>
      </w:pPr>
    </w:p>
    <w:p w14:paraId="463B0E39">
      <w:pPr>
        <w:rPr>
          <w:rFonts w:hint="default" w:ascii="宋体" w:hAnsi="宋体" w:eastAsia="宋体" w:cs="宋体"/>
          <w:lang w:val="en-US" w:eastAsia="zh-CN"/>
        </w:rPr>
      </w:pPr>
    </w:p>
    <w:p w14:paraId="35648D1A">
      <w:pPr>
        <w:rPr>
          <w:rFonts w:hint="default" w:ascii="宋体" w:hAnsi="宋体" w:eastAsia="宋体" w:cs="宋体"/>
          <w:lang w:val="en-US" w:eastAsia="zh-CN"/>
        </w:rPr>
      </w:pPr>
    </w:p>
    <w:p w14:paraId="50013A43">
      <w:pPr>
        <w:rPr>
          <w:rFonts w:hint="default" w:ascii="宋体" w:hAnsi="宋体" w:eastAsia="宋体" w:cs="宋体"/>
          <w:lang w:val="en-US" w:eastAsia="zh-CN"/>
        </w:rPr>
      </w:pPr>
    </w:p>
    <w:p w14:paraId="1F2EEC37">
      <w:pPr>
        <w:rPr>
          <w:rFonts w:hint="default" w:ascii="宋体" w:hAnsi="宋体" w:eastAsia="宋体" w:cs="宋体"/>
          <w:lang w:val="en-US" w:eastAsia="zh-CN"/>
        </w:rPr>
      </w:pPr>
    </w:p>
    <w:p w14:paraId="50B5ADEA">
      <w:pPr>
        <w:rPr>
          <w:rFonts w:hint="default" w:ascii="宋体" w:hAnsi="宋体" w:eastAsia="宋体" w:cs="宋体"/>
          <w:lang w:val="en-US" w:eastAsia="zh-CN"/>
        </w:rPr>
      </w:pPr>
    </w:p>
    <w:p w14:paraId="7C6348C0">
      <w:pPr>
        <w:rPr>
          <w:rFonts w:hint="default" w:ascii="宋体" w:hAnsi="宋体" w:eastAsia="宋体" w:cs="宋体"/>
          <w:lang w:val="en-US" w:eastAsia="zh-CN"/>
        </w:rPr>
      </w:pPr>
    </w:p>
    <w:p w14:paraId="3456F1CF">
      <w:pPr>
        <w:rPr>
          <w:rFonts w:hint="default" w:ascii="宋体" w:hAnsi="宋体" w:eastAsia="宋体" w:cs="宋体"/>
          <w:lang w:val="en-US" w:eastAsia="zh-CN"/>
        </w:rPr>
      </w:pPr>
    </w:p>
    <w:p w14:paraId="1CDEAD1A">
      <w:pPr>
        <w:rPr>
          <w:rFonts w:hint="default" w:ascii="宋体" w:hAnsi="宋体" w:eastAsia="宋体" w:cs="宋体"/>
          <w:b/>
          <w:bCs/>
          <w:highlight w:val="none"/>
          <w:lang w:val="en-US" w:eastAsia="zh-CN"/>
        </w:rPr>
      </w:pPr>
      <w:r>
        <w:rPr>
          <w:rFonts w:hint="eastAsia" w:ascii="宋体" w:hAnsi="宋体" w:eastAsia="宋体" w:cs="宋体"/>
          <w:b/>
          <w:bCs/>
          <w:highlight w:val="none"/>
          <w:lang w:val="en-US" w:eastAsia="zh-CN"/>
        </w:rPr>
        <w:t>附件2：</w:t>
      </w:r>
    </w:p>
    <w:p w14:paraId="78C2657F">
      <w:pPr>
        <w:spacing w:before="275" w:line="219" w:lineRule="auto"/>
        <w:ind w:left="2979"/>
        <w:rPr>
          <w:rFonts w:ascii="宋体" w:hAnsi="宋体" w:eastAsia="宋体" w:cs="宋体"/>
          <w:sz w:val="28"/>
          <w:szCs w:val="28"/>
          <w:highlight w:val="none"/>
        </w:rPr>
      </w:pPr>
      <w:r>
        <w:rPr>
          <w:rFonts w:ascii="宋体" w:hAnsi="宋体" w:eastAsia="宋体" w:cs="宋体"/>
          <w:b/>
          <w:bCs/>
          <w:spacing w:val="-5"/>
          <w:sz w:val="28"/>
          <w:szCs w:val="28"/>
          <w:highlight w:val="none"/>
        </w:rPr>
        <w:t>新筑垃圾压缩站</w:t>
      </w:r>
      <w:r>
        <w:rPr>
          <w:rFonts w:ascii="宋体" w:hAnsi="宋体" w:eastAsia="宋体" w:cs="宋体"/>
          <w:spacing w:val="144"/>
          <w:sz w:val="28"/>
          <w:szCs w:val="28"/>
          <w:highlight w:val="none"/>
          <w:u w:val="single" w:color="auto"/>
        </w:rPr>
        <w:t xml:space="preserve"> </w:t>
      </w:r>
      <w:r>
        <w:rPr>
          <w:rFonts w:ascii="宋体" w:hAnsi="宋体" w:eastAsia="宋体" w:cs="宋体"/>
          <w:spacing w:val="-122"/>
          <w:sz w:val="28"/>
          <w:szCs w:val="28"/>
          <w:highlight w:val="none"/>
        </w:rPr>
        <w:t xml:space="preserve"> </w:t>
      </w:r>
      <w:r>
        <w:rPr>
          <w:rFonts w:ascii="宋体" w:hAnsi="宋体" w:eastAsia="宋体" w:cs="宋体"/>
          <w:b/>
          <w:bCs/>
          <w:spacing w:val="-5"/>
          <w:sz w:val="28"/>
          <w:szCs w:val="28"/>
          <w:highlight w:val="none"/>
        </w:rPr>
        <w:t>月考核细则</w:t>
      </w:r>
    </w:p>
    <w:p w14:paraId="78F0A10B">
      <w:pPr>
        <w:spacing w:before="188" w:line="219" w:lineRule="auto"/>
        <w:ind w:left="610"/>
        <w:rPr>
          <w:rFonts w:ascii="宋体" w:hAnsi="宋体" w:eastAsia="宋体" w:cs="宋体"/>
          <w:sz w:val="24"/>
          <w:szCs w:val="24"/>
          <w:highlight w:val="none"/>
        </w:rPr>
      </w:pPr>
      <w:r>
        <w:rPr>
          <w:rFonts w:ascii="宋体" w:hAnsi="宋体" w:eastAsia="宋体" w:cs="宋体"/>
          <w:spacing w:val="-5"/>
          <w:sz w:val="24"/>
          <w:szCs w:val="24"/>
          <w:highlight w:val="none"/>
        </w:rPr>
        <w:t xml:space="preserve">负责人：                                            日期：   </w:t>
      </w:r>
      <w:r>
        <w:rPr>
          <w:rFonts w:ascii="宋体" w:hAnsi="宋体" w:eastAsia="宋体" w:cs="宋体"/>
          <w:spacing w:val="-6"/>
          <w:sz w:val="24"/>
          <w:szCs w:val="24"/>
          <w:highlight w:val="none"/>
        </w:rPr>
        <w:t>年   月    日</w:t>
      </w:r>
    </w:p>
    <w:p w14:paraId="339AD4BA">
      <w:pPr>
        <w:spacing w:line="32" w:lineRule="auto"/>
        <w:rPr>
          <w:rFonts w:ascii="Arial"/>
          <w:sz w:val="2"/>
        </w:rPr>
      </w:pPr>
    </w:p>
    <w:tbl>
      <w:tblPr>
        <w:tblStyle w:val="109"/>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68"/>
        <w:gridCol w:w="7189"/>
        <w:gridCol w:w="1677"/>
      </w:tblGrid>
      <w:tr w14:paraId="33C7E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trPr>
        <w:tc>
          <w:tcPr>
            <w:tcW w:w="446" w:type="pct"/>
            <w:vAlign w:val="top"/>
          </w:tcPr>
          <w:p w14:paraId="10F469D4">
            <w:pPr>
              <w:pStyle w:val="110"/>
              <w:spacing w:before="50" w:line="219" w:lineRule="auto"/>
              <w:ind w:left="195"/>
            </w:pPr>
            <w:r>
              <w:rPr>
                <w:spacing w:val="-5"/>
              </w:rPr>
              <w:t>考核</w:t>
            </w:r>
          </w:p>
          <w:p w14:paraId="17831010">
            <w:pPr>
              <w:pStyle w:val="110"/>
              <w:spacing w:before="48" w:line="216" w:lineRule="auto"/>
              <w:ind w:left="199"/>
            </w:pPr>
            <w:r>
              <w:rPr>
                <w:spacing w:val="-7"/>
              </w:rPr>
              <w:t>项目</w:t>
            </w:r>
          </w:p>
        </w:tc>
        <w:tc>
          <w:tcPr>
            <w:tcW w:w="3691" w:type="pct"/>
            <w:vAlign w:val="top"/>
          </w:tcPr>
          <w:p w14:paraId="7F03CEB4">
            <w:pPr>
              <w:pStyle w:val="110"/>
              <w:spacing w:before="216" w:line="219" w:lineRule="auto"/>
              <w:ind w:left="3061"/>
            </w:pPr>
            <w:r>
              <w:rPr>
                <w:spacing w:val="-3"/>
              </w:rPr>
              <w:t>考核细则</w:t>
            </w:r>
          </w:p>
        </w:tc>
        <w:tc>
          <w:tcPr>
            <w:tcW w:w="861" w:type="pct"/>
            <w:vAlign w:val="top"/>
          </w:tcPr>
          <w:p w14:paraId="0990466C">
            <w:pPr>
              <w:pStyle w:val="110"/>
              <w:spacing w:before="216" w:line="219" w:lineRule="auto"/>
              <w:ind w:left="351"/>
            </w:pPr>
            <w:r>
              <w:rPr>
                <w:spacing w:val="-3"/>
              </w:rPr>
              <w:t>考核结果</w:t>
            </w:r>
          </w:p>
        </w:tc>
      </w:tr>
      <w:tr w14:paraId="30277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restart"/>
            <w:tcBorders>
              <w:bottom w:val="nil"/>
            </w:tcBorders>
            <w:vAlign w:val="top"/>
          </w:tcPr>
          <w:p w14:paraId="559EC0AE">
            <w:pPr>
              <w:spacing w:line="242" w:lineRule="auto"/>
              <w:rPr>
                <w:rFonts w:ascii="Arial"/>
                <w:sz w:val="21"/>
              </w:rPr>
            </w:pPr>
          </w:p>
          <w:p w14:paraId="5966AAA7">
            <w:pPr>
              <w:spacing w:line="242" w:lineRule="auto"/>
              <w:rPr>
                <w:rFonts w:ascii="Arial"/>
                <w:sz w:val="21"/>
              </w:rPr>
            </w:pPr>
          </w:p>
          <w:p w14:paraId="710F115F">
            <w:pPr>
              <w:spacing w:line="242" w:lineRule="auto"/>
              <w:rPr>
                <w:rFonts w:ascii="Arial"/>
                <w:sz w:val="21"/>
              </w:rPr>
            </w:pPr>
          </w:p>
          <w:p w14:paraId="04EE5C67">
            <w:pPr>
              <w:spacing w:line="242" w:lineRule="auto"/>
              <w:rPr>
                <w:rFonts w:ascii="Arial"/>
                <w:sz w:val="21"/>
              </w:rPr>
            </w:pPr>
          </w:p>
          <w:p w14:paraId="603434B7">
            <w:pPr>
              <w:spacing w:line="243" w:lineRule="auto"/>
              <w:rPr>
                <w:rFonts w:ascii="Arial"/>
                <w:sz w:val="21"/>
              </w:rPr>
            </w:pPr>
          </w:p>
          <w:p w14:paraId="04048A7E">
            <w:pPr>
              <w:spacing w:line="243" w:lineRule="auto"/>
              <w:rPr>
                <w:rFonts w:ascii="Arial"/>
                <w:sz w:val="21"/>
              </w:rPr>
            </w:pPr>
          </w:p>
          <w:p w14:paraId="1A7546A3">
            <w:pPr>
              <w:spacing w:line="243" w:lineRule="auto"/>
              <w:rPr>
                <w:rFonts w:ascii="Arial"/>
                <w:sz w:val="21"/>
              </w:rPr>
            </w:pPr>
          </w:p>
          <w:p w14:paraId="160BDA5A">
            <w:pPr>
              <w:pStyle w:val="110"/>
              <w:spacing w:before="78" w:line="258" w:lineRule="auto"/>
              <w:ind w:left="195" w:right="185" w:firstLine="1"/>
              <w:jc w:val="both"/>
            </w:pPr>
            <w:r>
              <w:rPr>
                <w:spacing w:val="-6"/>
              </w:rPr>
              <w:t>垃圾</w:t>
            </w:r>
            <w:r>
              <w:rPr>
                <w:spacing w:val="-5"/>
              </w:rPr>
              <w:t>清运作业</w:t>
            </w:r>
          </w:p>
        </w:tc>
        <w:tc>
          <w:tcPr>
            <w:tcW w:w="3691" w:type="pct"/>
            <w:vAlign w:val="top"/>
          </w:tcPr>
          <w:p w14:paraId="7F10B04F">
            <w:pPr>
              <w:pStyle w:val="110"/>
              <w:spacing w:before="192" w:line="219" w:lineRule="auto"/>
              <w:ind w:left="129"/>
            </w:pPr>
            <w:r>
              <w:rPr>
                <w:spacing w:val="-2"/>
              </w:rPr>
              <w:t>1.当日辖区垃圾收集点是否全部清运完成</w:t>
            </w:r>
          </w:p>
        </w:tc>
        <w:tc>
          <w:tcPr>
            <w:tcW w:w="861" w:type="pct"/>
            <w:vAlign w:val="top"/>
          </w:tcPr>
          <w:p w14:paraId="5390142D">
            <w:pPr>
              <w:pStyle w:val="110"/>
              <w:spacing w:before="193"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6AF56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0419CAE8">
            <w:pPr>
              <w:rPr>
                <w:rFonts w:ascii="Arial"/>
                <w:sz w:val="21"/>
              </w:rPr>
            </w:pPr>
          </w:p>
        </w:tc>
        <w:tc>
          <w:tcPr>
            <w:tcW w:w="3691" w:type="pct"/>
            <w:vAlign w:val="top"/>
          </w:tcPr>
          <w:p w14:paraId="5E9FBDA7">
            <w:pPr>
              <w:pStyle w:val="110"/>
              <w:spacing w:before="193" w:line="220" w:lineRule="auto"/>
              <w:ind w:left="115"/>
            </w:pPr>
            <w:r>
              <w:rPr>
                <w:spacing w:val="-1"/>
              </w:rPr>
              <w:t>2.垃圾转运途中垃圾箱（斗）是否覆盖</w:t>
            </w:r>
          </w:p>
        </w:tc>
        <w:tc>
          <w:tcPr>
            <w:tcW w:w="861" w:type="pct"/>
            <w:vAlign w:val="top"/>
          </w:tcPr>
          <w:p w14:paraId="5BBCC769">
            <w:pPr>
              <w:pStyle w:val="110"/>
              <w:spacing w:before="193"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76A7C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4A1BE947">
            <w:pPr>
              <w:rPr>
                <w:rFonts w:ascii="Arial"/>
                <w:sz w:val="21"/>
              </w:rPr>
            </w:pPr>
          </w:p>
        </w:tc>
        <w:tc>
          <w:tcPr>
            <w:tcW w:w="3691" w:type="pct"/>
            <w:vAlign w:val="top"/>
          </w:tcPr>
          <w:p w14:paraId="7103910B">
            <w:pPr>
              <w:pStyle w:val="110"/>
              <w:spacing w:before="194" w:line="220" w:lineRule="auto"/>
              <w:ind w:left="116"/>
            </w:pPr>
            <w:r>
              <w:rPr>
                <w:spacing w:val="-1"/>
              </w:rPr>
              <w:t>3.垃圾转运途中是否出现抛洒、滴漏</w:t>
            </w:r>
          </w:p>
        </w:tc>
        <w:tc>
          <w:tcPr>
            <w:tcW w:w="861" w:type="pct"/>
            <w:vAlign w:val="top"/>
          </w:tcPr>
          <w:p w14:paraId="162E4888">
            <w:pPr>
              <w:pStyle w:val="110"/>
              <w:spacing w:before="193"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40C1DA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4D1C0B99">
            <w:pPr>
              <w:rPr>
                <w:rFonts w:ascii="Arial"/>
                <w:sz w:val="21"/>
              </w:rPr>
            </w:pPr>
          </w:p>
        </w:tc>
        <w:tc>
          <w:tcPr>
            <w:tcW w:w="3691" w:type="pct"/>
            <w:vAlign w:val="top"/>
          </w:tcPr>
          <w:p w14:paraId="1B8ED489">
            <w:pPr>
              <w:pStyle w:val="110"/>
              <w:spacing w:before="195" w:line="219" w:lineRule="auto"/>
              <w:ind w:left="111"/>
            </w:pPr>
            <w:r>
              <w:rPr>
                <w:spacing w:val="-1"/>
              </w:rPr>
              <w:t>4.垃圾转运人员是否服从街办人员临时调配</w:t>
            </w:r>
          </w:p>
        </w:tc>
        <w:tc>
          <w:tcPr>
            <w:tcW w:w="861" w:type="pct"/>
            <w:vAlign w:val="top"/>
          </w:tcPr>
          <w:p w14:paraId="4B9BB523">
            <w:pPr>
              <w:pStyle w:val="110"/>
              <w:spacing w:before="194"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2BC03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6600FA1A">
            <w:pPr>
              <w:rPr>
                <w:rFonts w:ascii="Arial"/>
                <w:sz w:val="21"/>
              </w:rPr>
            </w:pPr>
          </w:p>
        </w:tc>
        <w:tc>
          <w:tcPr>
            <w:tcW w:w="3691" w:type="pct"/>
            <w:vAlign w:val="top"/>
          </w:tcPr>
          <w:p w14:paraId="455C3657">
            <w:pPr>
              <w:pStyle w:val="110"/>
              <w:spacing w:before="193" w:line="219" w:lineRule="auto"/>
              <w:ind w:left="116"/>
            </w:pPr>
            <w:r>
              <w:rPr>
                <w:spacing w:val="-1"/>
              </w:rPr>
              <w:t>5.垃圾转运人员作业期间是否穿着反光安全服</w:t>
            </w:r>
          </w:p>
        </w:tc>
        <w:tc>
          <w:tcPr>
            <w:tcW w:w="861" w:type="pct"/>
            <w:vAlign w:val="top"/>
          </w:tcPr>
          <w:p w14:paraId="76122CAA">
            <w:pPr>
              <w:pStyle w:val="110"/>
              <w:spacing w:before="192"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1AA83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446" w:type="pct"/>
            <w:vMerge w:val="continue"/>
            <w:tcBorders>
              <w:top w:val="nil"/>
              <w:bottom w:val="nil"/>
            </w:tcBorders>
            <w:vAlign w:val="top"/>
          </w:tcPr>
          <w:p w14:paraId="0C1502D4">
            <w:pPr>
              <w:rPr>
                <w:rFonts w:ascii="Arial"/>
                <w:sz w:val="21"/>
              </w:rPr>
            </w:pPr>
          </w:p>
        </w:tc>
        <w:tc>
          <w:tcPr>
            <w:tcW w:w="3691" w:type="pct"/>
            <w:vAlign w:val="top"/>
          </w:tcPr>
          <w:p w14:paraId="50D02C44">
            <w:pPr>
              <w:pStyle w:val="110"/>
              <w:spacing w:before="46" w:line="236" w:lineRule="auto"/>
              <w:ind w:left="118" w:right="105" w:hanging="4"/>
            </w:pPr>
            <w:r>
              <w:t>6.本月是否出现街办/区级及以上通报（</w:t>
            </w:r>
            <w:r>
              <w:rPr>
                <w:spacing w:val="-1"/>
              </w:rPr>
              <w:t>若有，街办</w:t>
            </w:r>
            <w:r>
              <w:rPr>
                <w:spacing w:val="-1"/>
                <w:u w:val="single" w:color="auto"/>
              </w:rPr>
              <w:t xml:space="preserve">   </w:t>
            </w:r>
            <w:r>
              <w:rPr>
                <w:spacing w:val="-104"/>
              </w:rPr>
              <w:t xml:space="preserve"> </w:t>
            </w:r>
            <w:r>
              <w:rPr>
                <w:spacing w:val="-1"/>
              </w:rPr>
              <w:t>次，区级</w:t>
            </w:r>
            <w:r>
              <w:rPr>
                <w:spacing w:val="-1"/>
                <w:u w:val="single" w:color="auto"/>
              </w:rPr>
              <w:t xml:space="preserve"> </w:t>
            </w:r>
            <w:r>
              <w:rPr>
                <w:spacing w:val="-5"/>
              </w:rPr>
              <w:t>次，市级</w:t>
            </w:r>
            <w:r>
              <w:rPr>
                <w:spacing w:val="-5"/>
                <w:u w:val="single" w:color="auto"/>
              </w:rPr>
              <w:t xml:space="preserve">   </w:t>
            </w:r>
            <w:r>
              <w:rPr>
                <w:spacing w:val="-78"/>
              </w:rPr>
              <w:t xml:space="preserve"> </w:t>
            </w:r>
            <w:r>
              <w:rPr>
                <w:spacing w:val="-5"/>
              </w:rPr>
              <w:t>，省级</w:t>
            </w:r>
            <w:r>
              <w:rPr>
                <w:spacing w:val="-5"/>
                <w:u w:val="single" w:color="auto"/>
              </w:rPr>
              <w:t xml:space="preserve">   </w:t>
            </w:r>
            <w:r>
              <w:rPr>
                <w:spacing w:val="-104"/>
              </w:rPr>
              <w:t xml:space="preserve"> </w:t>
            </w:r>
            <w:r>
              <w:rPr>
                <w:spacing w:val="-5"/>
              </w:rPr>
              <w:t>次）</w:t>
            </w:r>
          </w:p>
        </w:tc>
        <w:tc>
          <w:tcPr>
            <w:tcW w:w="861" w:type="pct"/>
            <w:vAlign w:val="top"/>
          </w:tcPr>
          <w:p w14:paraId="273A85ED">
            <w:pPr>
              <w:pStyle w:val="110"/>
              <w:spacing w:before="211"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4C78E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446" w:type="pct"/>
            <w:vMerge w:val="continue"/>
            <w:tcBorders>
              <w:top w:val="nil"/>
            </w:tcBorders>
            <w:vAlign w:val="top"/>
          </w:tcPr>
          <w:p w14:paraId="7E73112F">
            <w:pPr>
              <w:rPr>
                <w:rFonts w:ascii="Arial"/>
                <w:sz w:val="21"/>
              </w:rPr>
            </w:pPr>
          </w:p>
        </w:tc>
        <w:tc>
          <w:tcPr>
            <w:tcW w:w="3691" w:type="pct"/>
            <w:vAlign w:val="top"/>
          </w:tcPr>
          <w:p w14:paraId="0A3705F8">
            <w:pPr>
              <w:pStyle w:val="110"/>
              <w:spacing w:before="188" w:line="219" w:lineRule="auto"/>
              <w:ind w:left="117"/>
            </w:pPr>
            <w:r>
              <w:rPr>
                <w:spacing w:val="-1"/>
              </w:rPr>
              <w:t>7.对于保洁队长上报的垃圾点位是否及时清理</w:t>
            </w:r>
          </w:p>
        </w:tc>
        <w:tc>
          <w:tcPr>
            <w:tcW w:w="861" w:type="pct"/>
            <w:vAlign w:val="top"/>
          </w:tcPr>
          <w:p w14:paraId="2BBCA62D">
            <w:pPr>
              <w:pStyle w:val="110"/>
              <w:spacing w:before="187"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09898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restart"/>
            <w:tcBorders>
              <w:bottom w:val="nil"/>
            </w:tcBorders>
            <w:vAlign w:val="top"/>
          </w:tcPr>
          <w:p w14:paraId="3C3D96FC">
            <w:pPr>
              <w:spacing w:line="255" w:lineRule="auto"/>
              <w:rPr>
                <w:rFonts w:ascii="Arial"/>
                <w:sz w:val="21"/>
              </w:rPr>
            </w:pPr>
          </w:p>
          <w:p w14:paraId="3690F1D3">
            <w:pPr>
              <w:spacing w:line="255" w:lineRule="auto"/>
              <w:rPr>
                <w:rFonts w:ascii="Arial"/>
                <w:sz w:val="21"/>
              </w:rPr>
            </w:pPr>
          </w:p>
          <w:p w14:paraId="47B825C9">
            <w:pPr>
              <w:spacing w:line="255" w:lineRule="auto"/>
              <w:rPr>
                <w:rFonts w:ascii="Arial"/>
                <w:sz w:val="21"/>
              </w:rPr>
            </w:pPr>
          </w:p>
          <w:p w14:paraId="36DF8E5C">
            <w:pPr>
              <w:spacing w:line="255" w:lineRule="auto"/>
              <w:rPr>
                <w:rFonts w:ascii="Arial"/>
                <w:sz w:val="21"/>
              </w:rPr>
            </w:pPr>
          </w:p>
          <w:p w14:paraId="1888BEF0">
            <w:pPr>
              <w:spacing w:line="255" w:lineRule="auto"/>
              <w:rPr>
                <w:rFonts w:ascii="Arial"/>
                <w:sz w:val="21"/>
              </w:rPr>
            </w:pPr>
          </w:p>
          <w:p w14:paraId="714D3B35">
            <w:pPr>
              <w:spacing w:line="255" w:lineRule="auto"/>
              <w:rPr>
                <w:rFonts w:ascii="Arial"/>
                <w:sz w:val="21"/>
              </w:rPr>
            </w:pPr>
          </w:p>
          <w:p w14:paraId="71635C33">
            <w:pPr>
              <w:spacing w:line="256" w:lineRule="auto"/>
              <w:rPr>
                <w:rFonts w:ascii="Arial"/>
                <w:sz w:val="21"/>
              </w:rPr>
            </w:pPr>
          </w:p>
          <w:p w14:paraId="27A6078F">
            <w:pPr>
              <w:spacing w:line="256" w:lineRule="auto"/>
              <w:rPr>
                <w:rFonts w:ascii="Arial"/>
                <w:sz w:val="21"/>
              </w:rPr>
            </w:pPr>
          </w:p>
          <w:p w14:paraId="5F9432E3">
            <w:pPr>
              <w:pStyle w:val="110"/>
              <w:spacing w:before="78" w:line="258" w:lineRule="auto"/>
              <w:ind w:left="195" w:right="185" w:hanging="1"/>
              <w:jc w:val="both"/>
            </w:pPr>
            <w:r>
              <w:rPr>
                <w:spacing w:val="-5"/>
              </w:rPr>
              <w:t>扬尘</w:t>
            </w:r>
            <w:r>
              <w:rPr>
                <w:spacing w:val="-6"/>
              </w:rPr>
              <w:t>管控作业</w:t>
            </w:r>
          </w:p>
        </w:tc>
        <w:tc>
          <w:tcPr>
            <w:tcW w:w="3691" w:type="pct"/>
            <w:vAlign w:val="top"/>
          </w:tcPr>
          <w:p w14:paraId="347F1520">
            <w:pPr>
              <w:pStyle w:val="110"/>
              <w:spacing w:before="195" w:line="219" w:lineRule="auto"/>
              <w:ind w:left="129"/>
            </w:pPr>
            <w:r>
              <w:rPr>
                <w:spacing w:val="-2"/>
              </w:rPr>
              <w:t>1.是否按照既定路线进行洒水作业</w:t>
            </w:r>
          </w:p>
        </w:tc>
        <w:tc>
          <w:tcPr>
            <w:tcW w:w="861" w:type="pct"/>
            <w:vAlign w:val="top"/>
          </w:tcPr>
          <w:p w14:paraId="79ED0246">
            <w:pPr>
              <w:pStyle w:val="110"/>
              <w:spacing w:before="195"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7F4B4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446" w:type="pct"/>
            <w:vMerge w:val="continue"/>
            <w:tcBorders>
              <w:top w:val="nil"/>
              <w:bottom w:val="nil"/>
            </w:tcBorders>
            <w:vAlign w:val="top"/>
          </w:tcPr>
          <w:p w14:paraId="01317B16">
            <w:pPr>
              <w:rPr>
                <w:rFonts w:ascii="Arial"/>
                <w:sz w:val="21"/>
              </w:rPr>
            </w:pPr>
          </w:p>
        </w:tc>
        <w:tc>
          <w:tcPr>
            <w:tcW w:w="3691" w:type="pct"/>
            <w:vAlign w:val="top"/>
          </w:tcPr>
          <w:p w14:paraId="0CECE263">
            <w:pPr>
              <w:pStyle w:val="110"/>
              <w:spacing w:before="196" w:line="219" w:lineRule="auto"/>
              <w:ind w:left="115"/>
            </w:pPr>
            <w:r>
              <w:rPr>
                <w:spacing w:val="-1"/>
              </w:rPr>
              <w:t>2.洒水作业中是否注意避让行人</w:t>
            </w:r>
          </w:p>
        </w:tc>
        <w:tc>
          <w:tcPr>
            <w:tcW w:w="861" w:type="pct"/>
            <w:vAlign w:val="top"/>
          </w:tcPr>
          <w:p w14:paraId="3F11C8ED">
            <w:pPr>
              <w:pStyle w:val="110"/>
              <w:spacing w:before="195"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38F5D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1D30CA19">
            <w:pPr>
              <w:rPr>
                <w:rFonts w:ascii="Arial"/>
                <w:sz w:val="21"/>
              </w:rPr>
            </w:pPr>
          </w:p>
        </w:tc>
        <w:tc>
          <w:tcPr>
            <w:tcW w:w="3691" w:type="pct"/>
            <w:vAlign w:val="top"/>
          </w:tcPr>
          <w:p w14:paraId="7080FD6C">
            <w:pPr>
              <w:pStyle w:val="110"/>
              <w:spacing w:before="195" w:line="219" w:lineRule="auto"/>
              <w:ind w:left="116"/>
            </w:pPr>
            <w:r>
              <w:rPr>
                <w:spacing w:val="-2"/>
              </w:rPr>
              <w:t>5.</w:t>
            </w:r>
            <w:r>
              <w:rPr>
                <w:spacing w:val="-28"/>
              </w:rPr>
              <w:t xml:space="preserve"> </w:t>
            </w:r>
            <w:r>
              <w:rPr>
                <w:spacing w:val="-2"/>
              </w:rPr>
              <w:t>洒水作业中是否存在偷洒、漏洒行为</w:t>
            </w:r>
          </w:p>
        </w:tc>
        <w:tc>
          <w:tcPr>
            <w:tcW w:w="861" w:type="pct"/>
            <w:vAlign w:val="top"/>
          </w:tcPr>
          <w:p w14:paraId="151E50C7">
            <w:pPr>
              <w:pStyle w:val="110"/>
              <w:spacing w:before="194"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73FF5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446" w:type="pct"/>
            <w:vMerge w:val="continue"/>
            <w:tcBorders>
              <w:top w:val="nil"/>
              <w:bottom w:val="nil"/>
            </w:tcBorders>
            <w:vAlign w:val="top"/>
          </w:tcPr>
          <w:p w14:paraId="1A79E03D">
            <w:pPr>
              <w:rPr>
                <w:rFonts w:ascii="Arial"/>
                <w:sz w:val="21"/>
              </w:rPr>
            </w:pPr>
          </w:p>
        </w:tc>
        <w:tc>
          <w:tcPr>
            <w:tcW w:w="3691" w:type="pct"/>
            <w:vAlign w:val="top"/>
          </w:tcPr>
          <w:p w14:paraId="70DF9096">
            <w:pPr>
              <w:pStyle w:val="110"/>
              <w:spacing w:before="195" w:line="219" w:lineRule="auto"/>
              <w:ind w:left="114"/>
            </w:pPr>
            <w:r>
              <w:rPr>
                <w:spacing w:val="-2"/>
              </w:rPr>
              <w:t>6.</w:t>
            </w:r>
            <w:r>
              <w:rPr>
                <w:spacing w:val="-21"/>
              </w:rPr>
              <w:t xml:space="preserve"> </w:t>
            </w:r>
            <w:r>
              <w:rPr>
                <w:spacing w:val="-2"/>
              </w:rPr>
              <w:t>洒水作业人员是否服从街办人员临时调配</w:t>
            </w:r>
          </w:p>
        </w:tc>
        <w:tc>
          <w:tcPr>
            <w:tcW w:w="861" w:type="pct"/>
            <w:vAlign w:val="top"/>
          </w:tcPr>
          <w:p w14:paraId="2E05112C">
            <w:pPr>
              <w:pStyle w:val="110"/>
              <w:spacing w:before="194"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44D2C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11A513DC">
            <w:pPr>
              <w:rPr>
                <w:rFonts w:ascii="Arial"/>
                <w:sz w:val="21"/>
              </w:rPr>
            </w:pPr>
          </w:p>
        </w:tc>
        <w:tc>
          <w:tcPr>
            <w:tcW w:w="3691" w:type="pct"/>
            <w:vAlign w:val="top"/>
          </w:tcPr>
          <w:p w14:paraId="51D75029">
            <w:pPr>
              <w:pStyle w:val="110"/>
              <w:spacing w:before="197" w:line="219" w:lineRule="auto"/>
              <w:ind w:left="116"/>
            </w:pPr>
            <w:r>
              <w:rPr>
                <w:spacing w:val="-2"/>
              </w:rPr>
              <w:t>5.洒水车辆与清扫车辆是否安排</w:t>
            </w:r>
            <w:r>
              <w:rPr>
                <w:spacing w:val="-44"/>
              </w:rPr>
              <w:t xml:space="preserve"> </w:t>
            </w:r>
            <w:r>
              <w:rPr>
                <w:spacing w:val="-2"/>
              </w:rPr>
              <w:t>24</w:t>
            </w:r>
            <w:r>
              <w:rPr>
                <w:spacing w:val="-44"/>
              </w:rPr>
              <w:t xml:space="preserve"> </w:t>
            </w:r>
            <w:r>
              <w:rPr>
                <w:spacing w:val="-2"/>
              </w:rPr>
              <w:t>小时值班轮岗制</w:t>
            </w:r>
          </w:p>
        </w:tc>
        <w:tc>
          <w:tcPr>
            <w:tcW w:w="861" w:type="pct"/>
            <w:vAlign w:val="top"/>
          </w:tcPr>
          <w:p w14:paraId="0EB42276">
            <w:pPr>
              <w:pStyle w:val="110"/>
              <w:spacing w:before="196"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18B24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46" w:type="pct"/>
            <w:vMerge w:val="continue"/>
            <w:tcBorders>
              <w:top w:val="nil"/>
              <w:bottom w:val="nil"/>
            </w:tcBorders>
            <w:vAlign w:val="top"/>
          </w:tcPr>
          <w:p w14:paraId="6BA964DD">
            <w:pPr>
              <w:rPr>
                <w:rFonts w:ascii="Arial"/>
                <w:sz w:val="21"/>
              </w:rPr>
            </w:pPr>
          </w:p>
        </w:tc>
        <w:tc>
          <w:tcPr>
            <w:tcW w:w="3691" w:type="pct"/>
            <w:vAlign w:val="top"/>
          </w:tcPr>
          <w:p w14:paraId="43C57DC7">
            <w:pPr>
              <w:pStyle w:val="110"/>
              <w:spacing w:before="197" w:line="219" w:lineRule="auto"/>
              <w:ind w:left="114"/>
            </w:pPr>
            <w:r>
              <w:rPr>
                <w:spacing w:val="-1"/>
              </w:rPr>
              <w:t>6.夜间洒水降尘作业是否正常开展</w:t>
            </w:r>
          </w:p>
        </w:tc>
        <w:tc>
          <w:tcPr>
            <w:tcW w:w="861" w:type="pct"/>
            <w:vAlign w:val="top"/>
          </w:tcPr>
          <w:p w14:paraId="7C56E779">
            <w:pPr>
              <w:pStyle w:val="110"/>
              <w:spacing w:before="196"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4852D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446" w:type="pct"/>
            <w:vMerge w:val="continue"/>
            <w:tcBorders>
              <w:top w:val="nil"/>
              <w:bottom w:val="nil"/>
            </w:tcBorders>
            <w:vAlign w:val="top"/>
          </w:tcPr>
          <w:p w14:paraId="78CB7939">
            <w:pPr>
              <w:rPr>
                <w:rFonts w:ascii="Arial"/>
                <w:sz w:val="21"/>
              </w:rPr>
            </w:pPr>
          </w:p>
        </w:tc>
        <w:tc>
          <w:tcPr>
            <w:tcW w:w="3691" w:type="pct"/>
            <w:vAlign w:val="top"/>
          </w:tcPr>
          <w:p w14:paraId="5EF2E7A2">
            <w:pPr>
              <w:pStyle w:val="110"/>
              <w:spacing w:before="49" w:line="235" w:lineRule="auto"/>
              <w:ind w:left="117" w:right="105"/>
            </w:pPr>
            <w:r>
              <w:t>7.本月道路扬尘类是否出现街办/区级及以上通报（若有，街办</w:t>
            </w:r>
            <w:r>
              <w:rPr>
                <w:u w:val="single" w:color="auto"/>
              </w:rPr>
              <w:t xml:space="preserve">  </w:t>
            </w:r>
            <w:r>
              <w:rPr>
                <w:spacing w:val="-4"/>
              </w:rPr>
              <w:t>次，区级</w:t>
            </w:r>
            <w:r>
              <w:rPr>
                <w:spacing w:val="-4"/>
                <w:u w:val="single" w:color="auto"/>
              </w:rPr>
              <w:t xml:space="preserve">   </w:t>
            </w:r>
            <w:r>
              <w:rPr>
                <w:spacing w:val="-94"/>
              </w:rPr>
              <w:t xml:space="preserve"> </w:t>
            </w:r>
            <w:r>
              <w:rPr>
                <w:spacing w:val="-4"/>
              </w:rPr>
              <w:t>次，市级</w:t>
            </w:r>
            <w:r>
              <w:rPr>
                <w:spacing w:val="-4"/>
                <w:u w:val="single" w:color="auto"/>
              </w:rPr>
              <w:t xml:space="preserve">   </w:t>
            </w:r>
            <w:r>
              <w:rPr>
                <w:spacing w:val="-91"/>
              </w:rPr>
              <w:t xml:space="preserve"> </w:t>
            </w:r>
            <w:r>
              <w:rPr>
                <w:spacing w:val="-4"/>
              </w:rPr>
              <w:t>，省级</w:t>
            </w:r>
            <w:r>
              <w:rPr>
                <w:spacing w:val="-4"/>
                <w:u w:val="single" w:color="auto"/>
              </w:rPr>
              <w:t xml:space="preserve">   </w:t>
            </w:r>
            <w:r>
              <w:rPr>
                <w:spacing w:val="-104"/>
              </w:rPr>
              <w:t xml:space="preserve"> </w:t>
            </w:r>
            <w:r>
              <w:rPr>
                <w:spacing w:val="-4"/>
              </w:rPr>
              <w:t>次）</w:t>
            </w:r>
          </w:p>
        </w:tc>
        <w:tc>
          <w:tcPr>
            <w:tcW w:w="861" w:type="pct"/>
            <w:vAlign w:val="top"/>
          </w:tcPr>
          <w:p w14:paraId="5AF004DC">
            <w:pPr>
              <w:pStyle w:val="110"/>
              <w:spacing w:before="216"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r w14:paraId="347C0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trPr>
        <w:tc>
          <w:tcPr>
            <w:tcW w:w="446" w:type="pct"/>
            <w:vMerge w:val="continue"/>
            <w:tcBorders>
              <w:top w:val="nil"/>
            </w:tcBorders>
            <w:vAlign w:val="top"/>
          </w:tcPr>
          <w:p w14:paraId="5C031DC9">
            <w:pPr>
              <w:rPr>
                <w:rFonts w:ascii="Arial"/>
                <w:sz w:val="21"/>
              </w:rPr>
            </w:pPr>
          </w:p>
        </w:tc>
        <w:tc>
          <w:tcPr>
            <w:tcW w:w="3691" w:type="pct"/>
            <w:vAlign w:val="top"/>
          </w:tcPr>
          <w:p w14:paraId="6FDCAFE1">
            <w:pPr>
              <w:pStyle w:val="110"/>
              <w:spacing w:before="51" w:line="236" w:lineRule="auto"/>
              <w:ind w:left="112" w:right="179"/>
            </w:pPr>
            <w:r>
              <w:rPr>
                <w:spacing w:val="-3"/>
              </w:rPr>
              <w:t>8.本月出租车走航类是否出现四级以上通报（若有，四级</w:t>
            </w:r>
            <w:r>
              <w:rPr>
                <w:spacing w:val="-3"/>
                <w:u w:val="single" w:color="auto"/>
              </w:rPr>
              <w:t xml:space="preserve">   </w:t>
            </w:r>
            <w:r>
              <w:rPr>
                <w:spacing w:val="-97"/>
              </w:rPr>
              <w:t xml:space="preserve"> </w:t>
            </w:r>
            <w:r>
              <w:rPr>
                <w:spacing w:val="-3"/>
              </w:rPr>
              <w:t>次，</w:t>
            </w:r>
            <w:r>
              <w:rPr>
                <w:spacing w:val="-4"/>
              </w:rPr>
              <w:t>三级</w:t>
            </w:r>
            <w:r>
              <w:rPr>
                <w:spacing w:val="-4"/>
                <w:u w:val="single" w:color="auto"/>
              </w:rPr>
              <w:t xml:space="preserve">   </w:t>
            </w:r>
            <w:r>
              <w:rPr>
                <w:spacing w:val="-96"/>
              </w:rPr>
              <w:t xml:space="preserve"> </w:t>
            </w:r>
            <w:r>
              <w:rPr>
                <w:spacing w:val="-4"/>
              </w:rPr>
              <w:t>次，二级</w:t>
            </w:r>
            <w:r>
              <w:rPr>
                <w:spacing w:val="-4"/>
                <w:u w:val="single" w:color="auto"/>
              </w:rPr>
              <w:t xml:space="preserve">   </w:t>
            </w:r>
            <w:r>
              <w:rPr>
                <w:spacing w:val="-91"/>
              </w:rPr>
              <w:t xml:space="preserve"> </w:t>
            </w:r>
            <w:r>
              <w:rPr>
                <w:spacing w:val="-4"/>
              </w:rPr>
              <w:t>，</w:t>
            </w:r>
            <w:r>
              <w:rPr>
                <w:rFonts w:hint="eastAsia"/>
                <w:spacing w:val="-4"/>
                <w:lang w:val="en-US" w:eastAsia="zh-CN"/>
              </w:rPr>
              <w:t>一级</w:t>
            </w:r>
            <w:r>
              <w:rPr>
                <w:spacing w:val="-4"/>
                <w:u w:val="single" w:color="auto"/>
              </w:rPr>
              <w:t xml:space="preserve">   </w:t>
            </w:r>
            <w:r>
              <w:rPr>
                <w:spacing w:val="-104"/>
              </w:rPr>
              <w:t xml:space="preserve"> </w:t>
            </w:r>
            <w:r>
              <w:rPr>
                <w:spacing w:val="-4"/>
              </w:rPr>
              <w:t>次）</w:t>
            </w:r>
          </w:p>
        </w:tc>
        <w:tc>
          <w:tcPr>
            <w:tcW w:w="861" w:type="pct"/>
            <w:vAlign w:val="top"/>
          </w:tcPr>
          <w:p w14:paraId="619B9F08">
            <w:pPr>
              <w:pStyle w:val="110"/>
              <w:spacing w:before="215" w:line="216" w:lineRule="auto"/>
              <w:ind w:left="227"/>
            </w:pPr>
            <w:r>
              <w:rPr>
                <w:rFonts w:ascii="MS PGothic" w:hAnsi="MS PGothic" w:eastAsia="MS PGothic" w:cs="MS PGothic"/>
                <w:spacing w:val="-1"/>
              </w:rPr>
              <w:t>◯</w:t>
            </w:r>
            <w:r>
              <w:rPr>
                <w:spacing w:val="-1"/>
              </w:rPr>
              <w:t xml:space="preserve">是  </w:t>
            </w:r>
            <w:r>
              <w:rPr>
                <w:rFonts w:ascii="MS PGothic" w:hAnsi="MS PGothic" w:eastAsia="MS PGothic" w:cs="MS PGothic"/>
                <w:spacing w:val="-1"/>
              </w:rPr>
              <w:t>◯</w:t>
            </w:r>
            <w:r>
              <w:rPr>
                <w:spacing w:val="-1"/>
              </w:rPr>
              <w:t>否</w:t>
            </w:r>
          </w:p>
        </w:tc>
      </w:tr>
    </w:tbl>
    <w:p w14:paraId="44584857">
      <w:pPr>
        <w:keepNext w:val="0"/>
        <w:keepLines w:val="0"/>
        <w:pageBreakBefore w:val="0"/>
        <w:widowControl/>
        <w:kinsoku/>
        <w:wordWrap/>
        <w:overflowPunct/>
        <w:topLinePunct w:val="0"/>
        <w:autoSpaceDE/>
        <w:autoSpaceDN/>
        <w:bidi w:val="0"/>
        <w:adjustRightInd/>
        <w:snapToGrid/>
        <w:spacing w:line="360" w:lineRule="auto"/>
        <w:ind w:right="0" w:firstLine="512" w:firstLineChars="200"/>
        <w:textAlignment w:val="auto"/>
        <w:rPr>
          <w:rFonts w:ascii="宋体" w:hAnsi="宋体" w:eastAsia="宋体" w:cs="宋体"/>
          <w:sz w:val="24"/>
          <w:szCs w:val="24"/>
        </w:rPr>
      </w:pPr>
      <w:r>
        <w:rPr>
          <w:rFonts w:ascii="宋体" w:hAnsi="宋体" w:eastAsia="宋体" w:cs="宋体"/>
          <w:spacing w:val="8"/>
          <w:sz w:val="24"/>
          <w:szCs w:val="24"/>
        </w:rPr>
        <w:t>注</w:t>
      </w:r>
      <w:r>
        <w:rPr>
          <w:rFonts w:ascii="宋体" w:hAnsi="宋体" w:eastAsia="宋体" w:cs="宋体"/>
          <w:spacing w:val="-21"/>
          <w:sz w:val="24"/>
          <w:szCs w:val="24"/>
        </w:rPr>
        <w:t>：</w:t>
      </w:r>
      <w:r>
        <w:rPr>
          <w:rFonts w:ascii="宋体" w:hAnsi="宋体" w:eastAsia="宋体" w:cs="宋体"/>
          <w:spacing w:val="-7"/>
          <w:sz w:val="24"/>
          <w:szCs w:val="24"/>
        </w:rPr>
        <w:t xml:space="preserve"> </w:t>
      </w:r>
      <w:r>
        <w:rPr>
          <w:rFonts w:ascii="宋体" w:hAnsi="宋体" w:eastAsia="宋体" w:cs="宋体"/>
          <w:spacing w:val="-21"/>
          <w:sz w:val="24"/>
          <w:szCs w:val="24"/>
        </w:rPr>
        <w:t>（</w:t>
      </w:r>
      <w:r>
        <w:rPr>
          <w:rFonts w:ascii="宋体" w:hAnsi="宋体" w:eastAsia="宋体" w:cs="宋体"/>
          <w:spacing w:val="8"/>
          <w:sz w:val="24"/>
          <w:szCs w:val="24"/>
        </w:rPr>
        <w:t>1）当月考核中，若垃圾清运作业出现通报，对照通报级别，出现街办级通报罚</w:t>
      </w:r>
      <w:r>
        <w:rPr>
          <w:rFonts w:ascii="宋体" w:hAnsi="宋体" w:eastAsia="宋体" w:cs="宋体"/>
          <w:spacing w:val="-22"/>
          <w:sz w:val="24"/>
          <w:szCs w:val="24"/>
        </w:rPr>
        <w:t xml:space="preserve"> </w:t>
      </w:r>
      <w:r>
        <w:rPr>
          <w:rFonts w:ascii="宋体" w:hAnsi="宋体" w:eastAsia="宋体" w:cs="宋体"/>
          <w:spacing w:val="8"/>
          <w:sz w:val="24"/>
          <w:szCs w:val="24"/>
        </w:rPr>
        <w:t>1000</w:t>
      </w:r>
      <w:r>
        <w:rPr>
          <w:rFonts w:ascii="宋体" w:hAnsi="宋体" w:eastAsia="宋体" w:cs="宋体"/>
          <w:spacing w:val="-38"/>
          <w:sz w:val="24"/>
          <w:szCs w:val="24"/>
        </w:rPr>
        <w:t xml:space="preserve"> </w:t>
      </w:r>
      <w:r>
        <w:rPr>
          <w:rFonts w:ascii="宋体" w:hAnsi="宋体" w:eastAsia="宋体" w:cs="宋体"/>
          <w:spacing w:val="8"/>
          <w:sz w:val="24"/>
          <w:szCs w:val="24"/>
        </w:rPr>
        <w:t>元/次，出</w:t>
      </w:r>
      <w:r>
        <w:rPr>
          <w:rFonts w:ascii="宋体" w:hAnsi="宋体" w:eastAsia="宋体" w:cs="宋体"/>
          <w:spacing w:val="6"/>
          <w:sz w:val="24"/>
          <w:szCs w:val="24"/>
        </w:rPr>
        <w:t>现区级通报罚</w:t>
      </w:r>
      <w:r>
        <w:rPr>
          <w:rFonts w:ascii="宋体" w:hAnsi="宋体" w:eastAsia="宋体" w:cs="宋体"/>
          <w:spacing w:val="-15"/>
          <w:sz w:val="24"/>
          <w:szCs w:val="24"/>
        </w:rPr>
        <w:t xml:space="preserve"> </w:t>
      </w:r>
      <w:r>
        <w:rPr>
          <w:rFonts w:ascii="宋体" w:hAnsi="宋体" w:eastAsia="宋体" w:cs="宋体"/>
          <w:spacing w:val="6"/>
          <w:sz w:val="24"/>
          <w:szCs w:val="24"/>
        </w:rPr>
        <w:t>1500</w:t>
      </w:r>
      <w:r>
        <w:rPr>
          <w:rFonts w:ascii="宋体" w:hAnsi="宋体" w:eastAsia="宋体" w:cs="宋体"/>
          <w:spacing w:val="-39"/>
          <w:sz w:val="24"/>
          <w:szCs w:val="24"/>
        </w:rPr>
        <w:t xml:space="preserve"> </w:t>
      </w:r>
      <w:r>
        <w:rPr>
          <w:rFonts w:ascii="宋体" w:hAnsi="宋体" w:eastAsia="宋体" w:cs="宋体"/>
          <w:spacing w:val="6"/>
          <w:sz w:val="24"/>
          <w:szCs w:val="24"/>
        </w:rPr>
        <w:t>元/次，出现市级通报罚</w:t>
      </w:r>
      <w:r>
        <w:rPr>
          <w:rFonts w:ascii="宋体" w:hAnsi="宋体" w:eastAsia="宋体" w:cs="宋体"/>
          <w:spacing w:val="-34"/>
          <w:sz w:val="24"/>
          <w:szCs w:val="24"/>
        </w:rPr>
        <w:t xml:space="preserve"> </w:t>
      </w:r>
      <w:r>
        <w:rPr>
          <w:rFonts w:ascii="宋体" w:hAnsi="宋体" w:eastAsia="宋体" w:cs="宋体"/>
          <w:spacing w:val="6"/>
          <w:sz w:val="24"/>
          <w:szCs w:val="24"/>
        </w:rPr>
        <w:t>2000</w:t>
      </w:r>
      <w:r>
        <w:rPr>
          <w:rFonts w:ascii="宋体" w:hAnsi="宋体" w:eastAsia="宋体" w:cs="宋体"/>
          <w:spacing w:val="-36"/>
          <w:sz w:val="24"/>
          <w:szCs w:val="24"/>
        </w:rPr>
        <w:t xml:space="preserve"> </w:t>
      </w:r>
      <w:r>
        <w:rPr>
          <w:rFonts w:ascii="宋体" w:hAnsi="宋体" w:eastAsia="宋体" w:cs="宋体"/>
          <w:spacing w:val="6"/>
          <w:sz w:val="24"/>
          <w:szCs w:val="24"/>
        </w:rPr>
        <w:t>元/次，出现省级及以上通报罚</w:t>
      </w:r>
      <w:r>
        <w:rPr>
          <w:rFonts w:ascii="宋体" w:hAnsi="宋体" w:eastAsia="宋体" w:cs="宋体"/>
          <w:spacing w:val="-33"/>
          <w:sz w:val="24"/>
          <w:szCs w:val="24"/>
        </w:rPr>
        <w:t xml:space="preserve"> </w:t>
      </w:r>
      <w:r>
        <w:rPr>
          <w:rFonts w:ascii="宋体" w:hAnsi="宋体" w:eastAsia="宋体" w:cs="宋体"/>
          <w:spacing w:val="6"/>
          <w:sz w:val="24"/>
          <w:szCs w:val="24"/>
        </w:rPr>
        <w:t>3000</w:t>
      </w:r>
      <w:r>
        <w:rPr>
          <w:rFonts w:ascii="宋体" w:hAnsi="宋体" w:eastAsia="宋体" w:cs="宋体"/>
          <w:spacing w:val="-36"/>
          <w:sz w:val="24"/>
          <w:szCs w:val="24"/>
        </w:rPr>
        <w:t xml:space="preserve"> </w:t>
      </w:r>
      <w:r>
        <w:rPr>
          <w:rFonts w:ascii="宋体" w:hAnsi="宋体" w:eastAsia="宋体" w:cs="宋体"/>
          <w:spacing w:val="6"/>
          <w:sz w:val="24"/>
          <w:szCs w:val="24"/>
        </w:rPr>
        <w:t>元/次。</w:t>
      </w:r>
    </w:p>
    <w:p w14:paraId="3D40E5FB">
      <w:pPr>
        <w:keepNext w:val="0"/>
        <w:keepLines w:val="0"/>
        <w:pageBreakBefore w:val="0"/>
        <w:widowControl/>
        <w:kinsoku/>
        <w:wordWrap/>
        <w:overflowPunct/>
        <w:topLinePunct w:val="0"/>
        <w:autoSpaceDE/>
        <w:autoSpaceDN/>
        <w:bidi w:val="0"/>
        <w:adjustRightInd/>
        <w:snapToGrid/>
        <w:spacing w:line="360" w:lineRule="auto"/>
        <w:ind w:right="0" w:firstLine="520" w:firstLineChars="200"/>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ascii="宋体" w:hAnsi="宋体" w:eastAsia="宋体" w:cs="宋体"/>
          <w:spacing w:val="10"/>
          <w:sz w:val="24"/>
          <w:szCs w:val="24"/>
        </w:rPr>
        <w:t>（2）当月考核中，扬尘管控作业出现通报，若为道路扬尘类，对照通报级别，出现街办级通报罚</w:t>
      </w:r>
      <w:r>
        <w:rPr>
          <w:rFonts w:ascii="宋体" w:hAnsi="宋体" w:eastAsia="宋体" w:cs="宋体"/>
          <w:spacing w:val="-18"/>
          <w:sz w:val="24"/>
          <w:szCs w:val="24"/>
        </w:rPr>
        <w:t xml:space="preserve"> </w:t>
      </w:r>
      <w:r>
        <w:rPr>
          <w:rFonts w:ascii="宋体" w:hAnsi="宋体" w:eastAsia="宋体" w:cs="宋体"/>
          <w:spacing w:val="10"/>
          <w:sz w:val="24"/>
          <w:szCs w:val="24"/>
        </w:rPr>
        <w:t>500</w:t>
      </w:r>
      <w:r>
        <w:rPr>
          <w:rFonts w:ascii="宋体" w:hAnsi="宋体" w:eastAsia="宋体" w:cs="宋体"/>
          <w:spacing w:val="8"/>
          <w:sz w:val="24"/>
          <w:szCs w:val="24"/>
        </w:rPr>
        <w:t>元/次，出现区级通报罚</w:t>
      </w:r>
      <w:r>
        <w:rPr>
          <w:rFonts w:ascii="宋体" w:hAnsi="宋体" w:eastAsia="宋体" w:cs="宋体"/>
          <w:spacing w:val="-9"/>
          <w:sz w:val="24"/>
          <w:szCs w:val="24"/>
        </w:rPr>
        <w:t xml:space="preserve"> </w:t>
      </w:r>
      <w:r>
        <w:rPr>
          <w:rFonts w:ascii="宋体" w:hAnsi="宋体" w:eastAsia="宋体" w:cs="宋体"/>
          <w:spacing w:val="8"/>
          <w:sz w:val="24"/>
          <w:szCs w:val="24"/>
        </w:rPr>
        <w:t>1000</w:t>
      </w:r>
      <w:r>
        <w:rPr>
          <w:rFonts w:ascii="宋体" w:hAnsi="宋体" w:eastAsia="宋体" w:cs="宋体"/>
          <w:spacing w:val="-36"/>
          <w:sz w:val="24"/>
          <w:szCs w:val="24"/>
        </w:rPr>
        <w:t xml:space="preserve"> </w:t>
      </w:r>
      <w:r>
        <w:rPr>
          <w:rFonts w:ascii="宋体" w:hAnsi="宋体" w:eastAsia="宋体" w:cs="宋体"/>
          <w:spacing w:val="8"/>
          <w:sz w:val="24"/>
          <w:szCs w:val="24"/>
        </w:rPr>
        <w:t>元/次，出现市级通报罚</w:t>
      </w:r>
      <w:r>
        <w:rPr>
          <w:rFonts w:ascii="宋体" w:hAnsi="宋体" w:eastAsia="宋体" w:cs="宋体"/>
          <w:spacing w:val="-19"/>
          <w:sz w:val="24"/>
          <w:szCs w:val="24"/>
        </w:rPr>
        <w:t xml:space="preserve"> </w:t>
      </w:r>
      <w:r>
        <w:rPr>
          <w:rFonts w:ascii="宋体" w:hAnsi="宋体" w:eastAsia="宋体" w:cs="宋体"/>
          <w:spacing w:val="8"/>
          <w:sz w:val="24"/>
          <w:szCs w:val="24"/>
        </w:rPr>
        <w:t>1500</w:t>
      </w:r>
      <w:r>
        <w:rPr>
          <w:rFonts w:ascii="宋体" w:hAnsi="宋体" w:eastAsia="宋体" w:cs="宋体"/>
          <w:spacing w:val="-36"/>
          <w:sz w:val="24"/>
          <w:szCs w:val="24"/>
        </w:rPr>
        <w:t xml:space="preserve"> </w:t>
      </w:r>
      <w:r>
        <w:rPr>
          <w:rFonts w:ascii="宋体" w:hAnsi="宋体" w:eastAsia="宋体" w:cs="宋体"/>
          <w:spacing w:val="8"/>
          <w:sz w:val="24"/>
          <w:szCs w:val="24"/>
        </w:rPr>
        <w:t>元/次，出现省级及以上通报罚</w:t>
      </w:r>
      <w:r>
        <w:rPr>
          <w:rFonts w:ascii="宋体" w:hAnsi="宋体" w:eastAsia="宋体" w:cs="宋体"/>
          <w:spacing w:val="-22"/>
          <w:sz w:val="24"/>
          <w:szCs w:val="24"/>
        </w:rPr>
        <w:t xml:space="preserve"> </w:t>
      </w:r>
      <w:r>
        <w:rPr>
          <w:rFonts w:ascii="宋体" w:hAnsi="宋体" w:eastAsia="宋体" w:cs="宋体"/>
          <w:spacing w:val="8"/>
          <w:sz w:val="24"/>
          <w:szCs w:val="24"/>
        </w:rPr>
        <w:t>10000</w:t>
      </w:r>
      <w:r>
        <w:rPr>
          <w:rFonts w:ascii="宋体" w:hAnsi="宋体" w:eastAsia="宋体" w:cs="宋体"/>
          <w:spacing w:val="-34"/>
          <w:sz w:val="24"/>
          <w:szCs w:val="24"/>
        </w:rPr>
        <w:t xml:space="preserve"> </w:t>
      </w:r>
      <w:r>
        <w:rPr>
          <w:rFonts w:ascii="宋体" w:hAnsi="宋体" w:eastAsia="宋体" w:cs="宋体"/>
          <w:spacing w:val="8"/>
          <w:sz w:val="24"/>
          <w:szCs w:val="24"/>
        </w:rPr>
        <w:t>元/次；若为出租车走航类，对照通报级别，出现一级通报罚</w:t>
      </w:r>
      <w:r>
        <w:rPr>
          <w:rFonts w:ascii="宋体" w:hAnsi="宋体" w:eastAsia="宋体" w:cs="宋体"/>
          <w:spacing w:val="-33"/>
          <w:sz w:val="24"/>
          <w:szCs w:val="24"/>
        </w:rPr>
        <w:t xml:space="preserve"> </w:t>
      </w:r>
      <w:r>
        <w:rPr>
          <w:rFonts w:ascii="宋体" w:hAnsi="宋体" w:eastAsia="宋体" w:cs="宋体"/>
          <w:spacing w:val="8"/>
          <w:sz w:val="24"/>
          <w:szCs w:val="24"/>
        </w:rPr>
        <w:t>5</w:t>
      </w:r>
      <w:r>
        <w:rPr>
          <w:rFonts w:ascii="宋体" w:hAnsi="宋体" w:eastAsia="宋体" w:cs="宋体"/>
          <w:spacing w:val="7"/>
          <w:sz w:val="24"/>
          <w:szCs w:val="24"/>
        </w:rPr>
        <w:t>000</w:t>
      </w:r>
      <w:r>
        <w:rPr>
          <w:rFonts w:ascii="宋体" w:hAnsi="宋体" w:eastAsia="宋体" w:cs="宋体"/>
          <w:spacing w:val="-36"/>
          <w:sz w:val="24"/>
          <w:szCs w:val="24"/>
        </w:rPr>
        <w:t xml:space="preserve"> </w:t>
      </w:r>
      <w:r>
        <w:rPr>
          <w:rFonts w:ascii="宋体" w:hAnsi="宋体" w:eastAsia="宋体" w:cs="宋体"/>
          <w:spacing w:val="7"/>
          <w:sz w:val="24"/>
          <w:szCs w:val="24"/>
        </w:rPr>
        <w:t>元/次，出现二级通报罚</w:t>
      </w:r>
      <w:r>
        <w:rPr>
          <w:rFonts w:ascii="宋体" w:hAnsi="宋体" w:eastAsia="宋体" w:cs="宋体"/>
          <w:spacing w:val="-37"/>
          <w:sz w:val="24"/>
          <w:szCs w:val="24"/>
        </w:rPr>
        <w:t xml:space="preserve"> </w:t>
      </w:r>
      <w:r>
        <w:rPr>
          <w:rFonts w:ascii="宋体" w:hAnsi="宋体" w:eastAsia="宋体" w:cs="宋体"/>
          <w:spacing w:val="7"/>
          <w:sz w:val="24"/>
          <w:szCs w:val="24"/>
        </w:rPr>
        <w:t>2000</w:t>
      </w:r>
      <w:r>
        <w:rPr>
          <w:rFonts w:ascii="宋体" w:hAnsi="宋体" w:eastAsia="宋体" w:cs="宋体"/>
          <w:spacing w:val="-38"/>
          <w:sz w:val="24"/>
          <w:szCs w:val="24"/>
        </w:rPr>
        <w:t xml:space="preserve"> </w:t>
      </w:r>
      <w:r>
        <w:rPr>
          <w:rFonts w:ascii="宋体" w:hAnsi="宋体" w:eastAsia="宋体" w:cs="宋体"/>
          <w:spacing w:val="7"/>
          <w:sz w:val="24"/>
          <w:szCs w:val="24"/>
        </w:rPr>
        <w:t>元/次。</w:t>
      </w:r>
    </w:p>
    <w:p w14:paraId="5422308B">
      <w:pPr>
        <w:rPr>
          <w:rFonts w:hint="default" w:ascii="宋体" w:hAnsi="宋体" w:eastAsia="宋体" w:cs="宋体"/>
          <w:lang w:val="en-US" w:eastAsia="zh-CN"/>
        </w:rPr>
      </w:pPr>
    </w:p>
    <w:p w14:paraId="3B51A91E">
      <w:pPr>
        <w:rPr>
          <w:rFonts w:hint="default" w:ascii="宋体" w:hAnsi="宋体" w:eastAsia="宋体" w:cs="宋体"/>
          <w:lang w:val="en-US" w:eastAsia="zh-CN"/>
        </w:rPr>
      </w:pPr>
    </w:p>
    <w:p w14:paraId="11356CB9">
      <w:pPr>
        <w:rPr>
          <w:rFonts w:hint="default" w:ascii="宋体" w:hAnsi="宋体" w:eastAsia="宋体" w:cs="宋体"/>
          <w:lang w:val="en-US" w:eastAsia="zh-CN"/>
        </w:rPr>
      </w:pPr>
    </w:p>
    <w:p w14:paraId="29C3D3AF">
      <w:pPr>
        <w:rPr>
          <w:rFonts w:hint="default" w:ascii="宋体" w:hAnsi="宋体" w:eastAsia="宋体" w:cs="宋体"/>
          <w:lang w:val="en-US" w:eastAsia="zh-CN"/>
        </w:rPr>
      </w:pPr>
    </w:p>
    <w:p w14:paraId="25DC8077">
      <w:pPr>
        <w:rPr>
          <w:rFonts w:hint="default" w:ascii="宋体" w:hAnsi="宋体" w:eastAsia="宋体" w:cs="宋体"/>
          <w:lang w:val="en-US" w:eastAsia="zh-CN"/>
        </w:rPr>
      </w:pPr>
    </w:p>
    <w:p w14:paraId="5F6406BD">
      <w:pPr>
        <w:rPr>
          <w:rFonts w:hint="default" w:ascii="宋体" w:hAnsi="宋体" w:eastAsia="宋体" w:cs="宋体"/>
          <w:lang w:val="en-US" w:eastAsia="zh-CN"/>
        </w:rPr>
      </w:pPr>
    </w:p>
    <w:p w14:paraId="0CF0F3EB">
      <w:pPr>
        <w:rPr>
          <w:rFonts w:hint="default" w:ascii="宋体" w:hAnsi="宋体" w:eastAsia="宋体" w:cs="宋体"/>
          <w:lang w:val="en-US" w:eastAsia="zh-CN"/>
        </w:rPr>
      </w:pPr>
    </w:p>
    <w:p w14:paraId="452F31E8">
      <w:pPr>
        <w:rPr>
          <w:rFonts w:hint="default" w:ascii="宋体" w:hAnsi="宋体" w:eastAsia="宋体" w:cs="宋体"/>
          <w:lang w:val="en-US" w:eastAsia="zh-CN"/>
        </w:rPr>
      </w:pPr>
    </w:p>
    <w:p w14:paraId="3CE0C19A">
      <w:pPr>
        <w:rPr>
          <w:rFonts w:hint="default" w:ascii="宋体" w:hAnsi="宋体" w:eastAsia="宋体" w:cs="宋体"/>
          <w:lang w:val="en-US" w:eastAsia="zh-CN"/>
        </w:rPr>
      </w:pPr>
    </w:p>
    <w:p w14:paraId="08751DD4">
      <w:pPr>
        <w:rPr>
          <w:rFonts w:hint="default" w:ascii="宋体" w:hAnsi="宋体" w:eastAsia="宋体" w:cs="宋体"/>
          <w:lang w:val="en-US" w:eastAsia="zh-CN"/>
        </w:rPr>
      </w:pPr>
    </w:p>
    <w:p w14:paraId="1AE69B4D">
      <w:pPr>
        <w:rPr>
          <w:rFonts w:hint="default" w:ascii="宋体" w:hAnsi="宋体" w:eastAsia="宋体" w:cs="宋体"/>
          <w:lang w:val="en-US" w:eastAsia="zh-CN"/>
        </w:rPr>
      </w:pPr>
    </w:p>
    <w:p w14:paraId="7E75B99C">
      <w:pPr>
        <w:rPr>
          <w:rFonts w:hint="default" w:ascii="宋体" w:hAnsi="宋体" w:eastAsia="宋体" w:cs="宋体"/>
          <w:lang w:val="en-US" w:eastAsia="zh-CN"/>
        </w:rPr>
      </w:pPr>
    </w:p>
    <w:p w14:paraId="62669BAD">
      <w:pPr>
        <w:rPr>
          <w:rFonts w:hint="default" w:ascii="宋体" w:hAnsi="宋体" w:eastAsia="宋体" w:cs="宋体"/>
          <w:lang w:val="en-US" w:eastAsia="zh-CN"/>
        </w:rPr>
      </w:pPr>
    </w:p>
    <w:p w14:paraId="70DD64C0">
      <w:pPr>
        <w:rPr>
          <w:rFonts w:hint="default" w:ascii="宋体" w:hAnsi="宋体" w:eastAsia="宋体" w:cs="宋体"/>
          <w:lang w:val="en-US" w:eastAsia="zh-CN"/>
        </w:rPr>
      </w:pPr>
    </w:p>
    <w:p w14:paraId="4D2C69BE">
      <w:pPr>
        <w:rPr>
          <w:rFonts w:hint="default" w:ascii="宋体" w:hAnsi="宋体" w:eastAsia="宋体" w:cs="宋体"/>
          <w:lang w:val="en-US" w:eastAsia="zh-CN"/>
        </w:rPr>
      </w:pPr>
    </w:p>
    <w:p w14:paraId="51A298F2">
      <w:pPr>
        <w:rPr>
          <w:rFonts w:hint="default" w:ascii="宋体" w:hAnsi="宋体" w:eastAsia="宋体" w:cs="宋体"/>
          <w:lang w:val="en-US" w:eastAsia="zh-CN"/>
        </w:rPr>
      </w:pPr>
    </w:p>
    <w:p w14:paraId="40C28443">
      <w:pPr>
        <w:rPr>
          <w:rFonts w:hint="default" w:ascii="宋体" w:hAnsi="宋体" w:eastAsia="宋体" w:cs="宋体"/>
          <w:lang w:val="en-US" w:eastAsia="zh-CN"/>
        </w:rPr>
      </w:pPr>
    </w:p>
    <w:p w14:paraId="6D04BAB5">
      <w:pPr>
        <w:rPr>
          <w:rFonts w:hint="default" w:ascii="宋体" w:hAnsi="宋体" w:eastAsia="宋体" w:cs="宋体"/>
          <w:lang w:val="en-US" w:eastAsia="zh-CN"/>
        </w:rPr>
      </w:pPr>
    </w:p>
    <w:p w14:paraId="385BF8C0">
      <w:pPr>
        <w:rPr>
          <w:rFonts w:hint="default" w:ascii="宋体" w:hAnsi="宋体" w:eastAsia="宋体" w:cs="宋体"/>
          <w:lang w:val="en-US" w:eastAsia="zh-CN"/>
        </w:rPr>
      </w:pPr>
    </w:p>
    <w:p w14:paraId="6105B204">
      <w:pPr>
        <w:rPr>
          <w:rFonts w:hint="default" w:ascii="宋体" w:hAnsi="宋体" w:eastAsia="宋体" w:cs="宋体"/>
          <w:lang w:val="en-US" w:eastAsia="zh-CN"/>
        </w:rPr>
      </w:pPr>
    </w:p>
    <w:p w14:paraId="21DCCFF0">
      <w:pPr>
        <w:rPr>
          <w:rFonts w:hint="default" w:ascii="宋体" w:hAnsi="宋体" w:eastAsia="宋体" w:cs="宋体"/>
          <w:lang w:val="en-US" w:eastAsia="zh-CN"/>
        </w:rPr>
      </w:pPr>
    </w:p>
    <w:p w14:paraId="72BECD88">
      <w:pPr>
        <w:pStyle w:val="16"/>
        <w:rPr>
          <w:rFonts w:hint="eastAsia" w:ascii="宋体" w:hAnsi="宋体" w:eastAsia="宋体" w:cs="宋体"/>
        </w:rPr>
      </w:pPr>
    </w:p>
    <w:p w14:paraId="3025CB14">
      <w:pPr>
        <w:pStyle w:val="2"/>
        <w:jc w:val="center"/>
        <w:rPr>
          <w:rFonts w:hint="eastAsia" w:ascii="宋体" w:hAnsi="宋体" w:eastAsia="宋体" w:cs="宋体"/>
          <w:b/>
          <w:bCs/>
          <w:sz w:val="32"/>
          <w:szCs w:val="32"/>
        </w:rPr>
      </w:pPr>
      <w:bookmarkStart w:id="22" w:name="_Toc24544"/>
      <w:r>
        <w:rPr>
          <w:rFonts w:hint="eastAsia" w:ascii="宋体" w:hAnsi="宋体" w:eastAsia="宋体" w:cs="宋体"/>
          <w:b/>
          <w:bCs/>
          <w:sz w:val="32"/>
          <w:szCs w:val="32"/>
        </w:rPr>
        <w:t>第五章  投标文件构成及格式</w:t>
      </w:r>
      <w:bookmarkEnd w:id="20"/>
      <w:bookmarkEnd w:id="21"/>
      <w:bookmarkEnd w:id="22"/>
    </w:p>
    <w:p w14:paraId="7F4917BA">
      <w:pPr>
        <w:spacing w:line="560" w:lineRule="exact"/>
        <w:ind w:firstLine="640" w:firstLineChars="200"/>
        <w:jc w:val="both"/>
        <w:rPr>
          <w:rFonts w:hint="eastAsia" w:ascii="宋体" w:hAnsi="宋体" w:eastAsia="宋体" w:cs="宋体"/>
          <w:sz w:val="32"/>
          <w:szCs w:val="32"/>
        </w:rPr>
      </w:pPr>
    </w:p>
    <w:p w14:paraId="776F76C1">
      <w:pPr>
        <w:spacing w:line="560" w:lineRule="exact"/>
        <w:ind w:firstLine="640" w:firstLineChars="200"/>
        <w:jc w:val="both"/>
        <w:rPr>
          <w:rFonts w:hint="eastAsia" w:ascii="宋体" w:hAnsi="宋体" w:eastAsia="宋体" w:cs="宋体"/>
          <w:sz w:val="32"/>
          <w:szCs w:val="32"/>
        </w:rPr>
      </w:pPr>
    </w:p>
    <w:p w14:paraId="4C987A3B">
      <w:pPr>
        <w:bidi w:val="0"/>
        <w:rPr>
          <w:rFonts w:hint="eastAsia"/>
        </w:rPr>
      </w:pPr>
    </w:p>
    <w:p w14:paraId="74B6C6B4">
      <w:pPr>
        <w:keepNext w:val="0"/>
        <w:keepLines w:val="0"/>
        <w:pageBreakBefore w:val="0"/>
        <w:widowControl/>
        <w:kinsoku w:val="0"/>
        <w:wordWrap/>
        <w:overflowPunct/>
        <w:topLinePunct w:val="0"/>
        <w:autoSpaceDE w:val="0"/>
        <w:autoSpaceDN w:val="0"/>
        <w:bidi w:val="0"/>
        <w:adjustRightInd/>
        <w:snapToGrid/>
        <w:spacing w:line="360" w:lineRule="auto"/>
        <w:ind w:left="0"/>
        <w:jc w:val="center"/>
        <w:textAlignment w:val="baseline"/>
        <w:outlineLvl w:val="9"/>
        <w:rPr>
          <w:rFonts w:hint="eastAsia" w:ascii="宋体" w:hAnsi="宋体" w:eastAsia="宋体" w:cs="宋体"/>
          <w:b/>
          <w:bCs/>
          <w:spacing w:val="0"/>
          <w:position w:val="0"/>
          <w:sz w:val="48"/>
          <w:szCs w:val="48"/>
          <w:highlight w:val="none"/>
          <w:lang w:val="en-US" w:eastAsia="zh-CN"/>
        </w:rPr>
      </w:pPr>
      <w:r>
        <w:rPr>
          <w:rFonts w:hint="eastAsia" w:ascii="宋体" w:hAnsi="宋体" w:eastAsia="宋体" w:cs="宋体"/>
          <w:b/>
          <w:bCs/>
          <w:spacing w:val="0"/>
          <w:position w:val="0"/>
          <w:sz w:val="48"/>
          <w:szCs w:val="48"/>
          <w:highlight w:val="none"/>
          <w:lang w:val="en-US" w:eastAsia="zh-CN"/>
        </w:rPr>
        <w:t>新筑垃圾压缩站2026-2027年度</w:t>
      </w:r>
    </w:p>
    <w:p w14:paraId="7F3127A9">
      <w:pPr>
        <w:keepNext w:val="0"/>
        <w:keepLines w:val="0"/>
        <w:pageBreakBefore w:val="0"/>
        <w:widowControl/>
        <w:kinsoku w:val="0"/>
        <w:wordWrap/>
        <w:overflowPunct/>
        <w:topLinePunct w:val="0"/>
        <w:autoSpaceDE w:val="0"/>
        <w:autoSpaceDN w:val="0"/>
        <w:bidi w:val="0"/>
        <w:adjustRightInd/>
        <w:snapToGrid/>
        <w:spacing w:line="360" w:lineRule="auto"/>
        <w:ind w:left="0"/>
        <w:jc w:val="center"/>
        <w:textAlignment w:val="baseline"/>
        <w:outlineLvl w:val="9"/>
        <w:rPr>
          <w:rFonts w:hint="eastAsia" w:ascii="宋体" w:hAnsi="宋体" w:eastAsia="宋体" w:cs="宋体"/>
          <w:b/>
          <w:bCs/>
          <w:spacing w:val="0"/>
          <w:position w:val="0"/>
          <w:sz w:val="48"/>
          <w:szCs w:val="48"/>
          <w:highlight w:val="none"/>
          <w:lang w:val="en-US" w:eastAsia="zh-CN"/>
        </w:rPr>
      </w:pPr>
      <w:r>
        <w:rPr>
          <w:rFonts w:hint="eastAsia" w:ascii="宋体" w:hAnsi="宋体" w:eastAsia="宋体" w:cs="宋体"/>
          <w:b/>
          <w:bCs/>
          <w:spacing w:val="0"/>
          <w:position w:val="0"/>
          <w:sz w:val="48"/>
          <w:szCs w:val="48"/>
          <w:highlight w:val="none"/>
          <w:lang w:val="en-US" w:eastAsia="zh-CN"/>
        </w:rPr>
        <w:t>运维服务项目</w:t>
      </w:r>
    </w:p>
    <w:p w14:paraId="1DEE87DB">
      <w:pPr>
        <w:pStyle w:val="20"/>
        <w:jc w:val="center"/>
        <w:rPr>
          <w:rFonts w:hint="eastAsia" w:ascii="宋体" w:hAnsi="宋体" w:eastAsia="宋体" w:cs="宋体"/>
          <w:b/>
          <w:color w:val="auto"/>
          <w:kern w:val="2"/>
          <w:sz w:val="52"/>
          <w:szCs w:val="52"/>
          <w:highlight w:val="none"/>
          <w:lang w:val="en-US" w:eastAsia="zh-CN" w:bidi="ar-SA"/>
        </w:rPr>
      </w:pPr>
    </w:p>
    <w:p w14:paraId="310991DB">
      <w:pPr>
        <w:bidi w:val="0"/>
        <w:rPr>
          <w:rFonts w:hint="eastAsia" w:ascii="宋体" w:hAnsi="宋体" w:eastAsia="宋体" w:cs="宋体"/>
        </w:rPr>
      </w:pPr>
    </w:p>
    <w:p w14:paraId="5D2A6C24">
      <w:pPr>
        <w:bidi w:val="0"/>
        <w:rPr>
          <w:rFonts w:hint="eastAsia"/>
        </w:rPr>
      </w:pPr>
    </w:p>
    <w:p w14:paraId="5B11E9C4">
      <w:pPr>
        <w:jc w:val="center"/>
        <w:outlineLvl w:val="9"/>
        <w:rPr>
          <w:rFonts w:hint="eastAsia" w:ascii="宋体" w:hAnsi="宋体" w:eastAsia="宋体" w:cs="宋体"/>
          <w:sz w:val="32"/>
          <w:szCs w:val="32"/>
        </w:rPr>
      </w:pPr>
      <w:r>
        <w:rPr>
          <w:rFonts w:hint="eastAsia" w:ascii="宋体" w:hAnsi="宋体" w:eastAsia="宋体" w:cs="宋体"/>
          <w:b/>
          <w:bCs/>
          <w:sz w:val="72"/>
          <w:szCs w:val="72"/>
        </w:rPr>
        <w:t>投标文件</w:t>
      </w:r>
    </w:p>
    <w:p w14:paraId="4D8F2FC6">
      <w:pPr>
        <w:rPr>
          <w:rFonts w:hint="eastAsia" w:ascii="宋体" w:hAnsi="宋体" w:eastAsia="宋体" w:cs="宋体"/>
        </w:rPr>
      </w:pPr>
    </w:p>
    <w:p w14:paraId="601440EA">
      <w:pPr>
        <w:rPr>
          <w:rFonts w:hint="eastAsia" w:ascii="宋体" w:hAnsi="宋体" w:eastAsia="宋体" w:cs="宋体"/>
        </w:rPr>
      </w:pPr>
    </w:p>
    <w:p w14:paraId="066950AA">
      <w:pPr>
        <w:rPr>
          <w:rFonts w:hint="eastAsia" w:ascii="宋体" w:hAnsi="宋体" w:eastAsia="宋体" w:cs="宋体"/>
        </w:rPr>
      </w:pPr>
    </w:p>
    <w:p w14:paraId="0A982321">
      <w:pPr>
        <w:ind w:left="0" w:leftChars="0" w:firstLine="0" w:firstLineChars="0"/>
        <w:jc w:val="center"/>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（项目编号：</w:t>
      </w:r>
      <w:r>
        <w:rPr>
          <w:rFonts w:hint="eastAsia" w:ascii="宋体" w:hAnsi="宋体" w:eastAsia="宋体" w:cs="宋体"/>
          <w:b/>
          <w:bCs/>
          <w:sz w:val="32"/>
          <w:szCs w:val="32"/>
          <w:highlight w:val="none"/>
          <w:lang w:eastAsia="zh-CN"/>
        </w:rPr>
        <w:t>CGZC-2026-028</w:t>
      </w:r>
      <w:r>
        <w:rPr>
          <w:rFonts w:hint="eastAsia" w:ascii="宋体" w:hAnsi="宋体" w:eastAsia="宋体" w:cs="宋体"/>
          <w:b/>
          <w:bCs/>
          <w:sz w:val="32"/>
          <w:szCs w:val="32"/>
          <w:highlight w:val="none"/>
        </w:rPr>
        <w:t>）</w:t>
      </w:r>
    </w:p>
    <w:p w14:paraId="645D0C82">
      <w:pPr>
        <w:spacing w:line="560" w:lineRule="exact"/>
        <w:ind w:firstLine="640" w:firstLineChars="200"/>
        <w:jc w:val="both"/>
        <w:rPr>
          <w:rFonts w:hint="eastAsia" w:ascii="宋体" w:hAnsi="宋体" w:eastAsia="宋体" w:cs="宋体"/>
          <w:sz w:val="32"/>
          <w:szCs w:val="32"/>
        </w:rPr>
      </w:pPr>
    </w:p>
    <w:p w14:paraId="60155886">
      <w:pPr>
        <w:spacing w:line="560" w:lineRule="exact"/>
        <w:ind w:firstLine="640" w:firstLineChars="200"/>
        <w:jc w:val="both"/>
        <w:rPr>
          <w:rFonts w:hint="eastAsia" w:ascii="宋体" w:hAnsi="宋体" w:eastAsia="宋体" w:cs="宋体"/>
          <w:sz w:val="32"/>
          <w:szCs w:val="32"/>
        </w:rPr>
      </w:pPr>
    </w:p>
    <w:p w14:paraId="05A05C09">
      <w:pPr>
        <w:spacing w:line="560" w:lineRule="exact"/>
        <w:ind w:firstLine="640" w:firstLineChars="200"/>
        <w:jc w:val="both"/>
        <w:rPr>
          <w:rFonts w:hint="eastAsia" w:ascii="宋体" w:hAnsi="宋体" w:eastAsia="宋体" w:cs="宋体"/>
          <w:sz w:val="32"/>
          <w:szCs w:val="32"/>
        </w:rPr>
      </w:pPr>
    </w:p>
    <w:p w14:paraId="222FE4D3">
      <w:pPr>
        <w:spacing w:line="560" w:lineRule="exact"/>
        <w:ind w:firstLine="640" w:firstLineChars="200"/>
        <w:jc w:val="both"/>
        <w:rPr>
          <w:rFonts w:hint="eastAsia" w:ascii="宋体" w:hAnsi="宋体" w:eastAsia="宋体" w:cs="宋体"/>
          <w:sz w:val="32"/>
          <w:szCs w:val="32"/>
        </w:rPr>
      </w:pPr>
    </w:p>
    <w:p w14:paraId="0EA97200">
      <w:pPr>
        <w:spacing w:line="560" w:lineRule="exact"/>
        <w:ind w:firstLine="640" w:firstLineChars="200"/>
        <w:jc w:val="both"/>
        <w:rPr>
          <w:rFonts w:hint="eastAsia" w:ascii="宋体" w:hAnsi="宋体" w:eastAsia="宋体" w:cs="宋体"/>
          <w:sz w:val="32"/>
          <w:szCs w:val="32"/>
        </w:rPr>
      </w:pPr>
    </w:p>
    <w:p w14:paraId="60C0F5BC">
      <w:pPr>
        <w:spacing w:line="360" w:lineRule="auto"/>
        <w:ind w:firstLine="1800" w:firstLineChars="600"/>
        <w:rPr>
          <w:rFonts w:hint="eastAsia" w:ascii="宋体" w:hAnsi="宋体" w:eastAsia="宋体" w:cs="宋体"/>
          <w:b/>
          <w:sz w:val="30"/>
          <w:szCs w:val="30"/>
          <w:highlight w:val="none"/>
        </w:rPr>
      </w:pPr>
      <w:r>
        <w:rPr>
          <w:rFonts w:hint="eastAsia" w:ascii="宋体" w:hAnsi="宋体" w:eastAsia="宋体" w:cs="宋体"/>
          <w:b/>
          <w:sz w:val="30"/>
          <w:szCs w:val="30"/>
          <w:highlight w:val="none"/>
        </w:rPr>
        <w:t>供 应 商：</w:t>
      </w:r>
      <w:r>
        <w:rPr>
          <w:rFonts w:hint="eastAsia" w:ascii="宋体" w:hAnsi="宋体" w:eastAsia="宋体" w:cs="宋体"/>
          <w:b/>
          <w:sz w:val="30"/>
          <w:szCs w:val="30"/>
          <w:highlight w:val="none"/>
          <w:u w:val="single"/>
        </w:rPr>
        <w:t xml:space="preserve">                 （盖章）</w:t>
      </w:r>
    </w:p>
    <w:p w14:paraId="0895BB0B">
      <w:pPr>
        <w:spacing w:line="360" w:lineRule="auto"/>
        <w:ind w:firstLine="1800" w:firstLineChars="600"/>
        <w:rPr>
          <w:rFonts w:hint="eastAsia" w:ascii="宋体" w:hAnsi="宋体" w:eastAsia="宋体" w:cs="宋体"/>
          <w:b/>
          <w:sz w:val="30"/>
          <w:szCs w:val="30"/>
          <w:highlight w:val="none"/>
        </w:rPr>
      </w:pPr>
      <w:r>
        <w:rPr>
          <w:rFonts w:hint="eastAsia" w:ascii="宋体" w:hAnsi="宋体" w:eastAsia="宋体" w:cs="宋体"/>
          <w:b/>
          <w:sz w:val="30"/>
          <w:szCs w:val="30"/>
          <w:highlight w:val="none"/>
        </w:rPr>
        <w:t>日    期：     年  月  日</w:t>
      </w:r>
    </w:p>
    <w:p w14:paraId="3766F386">
      <w:pPr>
        <w:spacing w:line="560" w:lineRule="exact"/>
        <w:ind w:firstLine="640" w:firstLineChars="200"/>
        <w:jc w:val="both"/>
        <w:rPr>
          <w:rFonts w:hint="eastAsia" w:ascii="宋体" w:hAnsi="宋体" w:eastAsia="宋体" w:cs="宋体"/>
          <w:sz w:val="32"/>
          <w:szCs w:val="32"/>
        </w:rPr>
      </w:pPr>
      <w:r>
        <w:rPr>
          <w:rFonts w:hint="eastAsia" w:ascii="宋体" w:hAnsi="宋体" w:eastAsia="宋体" w:cs="宋体"/>
          <w:sz w:val="32"/>
          <w:szCs w:val="32"/>
        </w:rPr>
        <w:br w:type="page"/>
      </w:r>
    </w:p>
    <w:p w14:paraId="7D91B81D">
      <w:pPr>
        <w:spacing w:line="560" w:lineRule="exact"/>
        <w:ind w:firstLine="880" w:firstLineChars="200"/>
        <w:jc w:val="center"/>
        <w:rPr>
          <w:rFonts w:hint="eastAsia" w:ascii="宋体" w:hAnsi="宋体" w:eastAsia="宋体" w:cs="宋体"/>
          <w:sz w:val="44"/>
          <w:szCs w:val="44"/>
        </w:rPr>
      </w:pPr>
    </w:p>
    <w:p w14:paraId="1A127DFA">
      <w:pPr>
        <w:spacing w:line="560" w:lineRule="exact"/>
        <w:ind w:firstLine="880" w:firstLineChars="200"/>
        <w:jc w:val="center"/>
        <w:rPr>
          <w:rFonts w:hint="eastAsia" w:ascii="宋体" w:hAnsi="宋体" w:eastAsia="宋体" w:cs="宋体"/>
          <w:sz w:val="44"/>
          <w:szCs w:val="44"/>
        </w:rPr>
      </w:pPr>
      <w:r>
        <w:rPr>
          <w:rFonts w:hint="eastAsia" w:ascii="宋体" w:hAnsi="宋体" w:eastAsia="宋体" w:cs="宋体"/>
          <w:sz w:val="44"/>
          <w:szCs w:val="44"/>
        </w:rPr>
        <w:t>目    录</w:t>
      </w:r>
    </w:p>
    <w:p w14:paraId="2A50BC8D">
      <w:pPr>
        <w:spacing w:line="560" w:lineRule="exact"/>
        <w:ind w:firstLine="640" w:firstLineChars="200"/>
        <w:jc w:val="both"/>
        <w:rPr>
          <w:rFonts w:hint="eastAsia" w:ascii="宋体" w:hAnsi="宋体" w:eastAsia="宋体" w:cs="宋体"/>
          <w:sz w:val="32"/>
          <w:szCs w:val="32"/>
        </w:rPr>
      </w:pPr>
    </w:p>
    <w:p w14:paraId="464BF93D">
      <w:pPr>
        <w:spacing w:line="480" w:lineRule="auto"/>
        <w:ind w:firstLine="640" w:firstLineChars="200"/>
        <w:jc w:val="both"/>
        <w:rPr>
          <w:rFonts w:hint="eastAsia" w:ascii="宋体" w:hAnsi="宋体" w:eastAsia="宋体" w:cs="宋体"/>
          <w:sz w:val="32"/>
          <w:szCs w:val="32"/>
        </w:rPr>
      </w:pPr>
      <w:r>
        <w:rPr>
          <w:rFonts w:hint="eastAsia" w:ascii="宋体" w:hAnsi="宋体" w:eastAsia="宋体" w:cs="宋体"/>
          <w:sz w:val="32"/>
          <w:szCs w:val="32"/>
        </w:rPr>
        <w:t>第一部分  投标函</w:t>
      </w:r>
    </w:p>
    <w:p w14:paraId="7AA60282">
      <w:pPr>
        <w:spacing w:line="480" w:lineRule="auto"/>
        <w:ind w:firstLine="640" w:firstLineChars="200"/>
        <w:jc w:val="both"/>
        <w:rPr>
          <w:rFonts w:hint="eastAsia" w:ascii="宋体" w:hAnsi="宋体" w:eastAsia="宋体" w:cs="宋体"/>
          <w:sz w:val="32"/>
          <w:szCs w:val="32"/>
        </w:rPr>
      </w:pPr>
      <w:r>
        <w:rPr>
          <w:rFonts w:hint="eastAsia" w:ascii="宋体" w:hAnsi="宋体" w:eastAsia="宋体" w:cs="宋体"/>
          <w:sz w:val="32"/>
          <w:szCs w:val="32"/>
        </w:rPr>
        <w:t>第二部分  开标一览表</w:t>
      </w:r>
    </w:p>
    <w:p w14:paraId="017C99B0">
      <w:pPr>
        <w:spacing w:line="480" w:lineRule="auto"/>
        <w:ind w:firstLine="640" w:firstLineChars="200"/>
        <w:jc w:val="both"/>
        <w:rPr>
          <w:rFonts w:hint="eastAsia" w:ascii="宋体" w:hAnsi="宋体" w:eastAsia="宋体" w:cs="宋体"/>
          <w:sz w:val="32"/>
          <w:szCs w:val="32"/>
        </w:rPr>
      </w:pPr>
      <w:r>
        <w:rPr>
          <w:rFonts w:hint="eastAsia" w:ascii="宋体" w:hAnsi="宋体" w:eastAsia="宋体" w:cs="宋体"/>
          <w:sz w:val="32"/>
          <w:szCs w:val="32"/>
        </w:rPr>
        <w:t>第三部分  资格证明文件</w:t>
      </w:r>
    </w:p>
    <w:p w14:paraId="30BBF943">
      <w:pPr>
        <w:spacing w:line="480" w:lineRule="auto"/>
        <w:ind w:firstLine="640" w:firstLineChars="200"/>
        <w:jc w:val="both"/>
        <w:rPr>
          <w:rFonts w:hint="eastAsia" w:ascii="宋体" w:hAnsi="宋体" w:eastAsia="宋体" w:cs="宋体"/>
          <w:sz w:val="32"/>
          <w:szCs w:val="32"/>
        </w:rPr>
      </w:pPr>
      <w:r>
        <w:rPr>
          <w:rFonts w:hint="eastAsia" w:ascii="宋体" w:hAnsi="宋体" w:eastAsia="宋体" w:cs="宋体"/>
          <w:sz w:val="32"/>
          <w:szCs w:val="32"/>
        </w:rPr>
        <w:t>第四部分  供应商概况</w:t>
      </w:r>
    </w:p>
    <w:p w14:paraId="61026C8B">
      <w:pPr>
        <w:spacing w:line="480" w:lineRule="auto"/>
        <w:ind w:firstLine="640" w:firstLineChars="200"/>
        <w:jc w:val="both"/>
        <w:rPr>
          <w:rFonts w:hint="eastAsia" w:ascii="宋体" w:hAnsi="宋体" w:eastAsia="宋体" w:cs="宋体"/>
          <w:sz w:val="32"/>
          <w:szCs w:val="32"/>
        </w:rPr>
      </w:pPr>
      <w:r>
        <w:rPr>
          <w:rFonts w:hint="eastAsia" w:ascii="宋体" w:hAnsi="宋体" w:eastAsia="宋体" w:cs="宋体"/>
          <w:sz w:val="32"/>
          <w:szCs w:val="32"/>
        </w:rPr>
        <w:t>第五部分  供应商参加政府采购活动承诺书</w:t>
      </w:r>
    </w:p>
    <w:p w14:paraId="61986346">
      <w:pPr>
        <w:spacing w:line="480" w:lineRule="auto"/>
        <w:ind w:firstLine="640" w:firstLineChars="200"/>
        <w:jc w:val="both"/>
        <w:rPr>
          <w:rFonts w:hint="eastAsia" w:ascii="宋体" w:hAnsi="宋体" w:eastAsia="宋体" w:cs="宋体"/>
          <w:sz w:val="32"/>
          <w:szCs w:val="32"/>
        </w:rPr>
      </w:pPr>
      <w:r>
        <w:rPr>
          <w:rFonts w:hint="eastAsia" w:ascii="宋体" w:hAnsi="宋体" w:eastAsia="宋体" w:cs="宋体"/>
          <w:sz w:val="32"/>
          <w:szCs w:val="32"/>
        </w:rPr>
        <w:t>第六部分  投标方案</w:t>
      </w:r>
    </w:p>
    <w:p w14:paraId="465F39C4">
      <w:pPr>
        <w:rPr>
          <w:rFonts w:hint="eastAsia" w:ascii="宋体" w:hAnsi="宋体" w:eastAsia="宋体" w:cs="宋体"/>
          <w:sz w:val="32"/>
          <w:szCs w:val="32"/>
        </w:rPr>
      </w:pPr>
      <w:r>
        <w:rPr>
          <w:rFonts w:hint="eastAsia" w:ascii="宋体" w:hAnsi="宋体" w:eastAsia="宋体" w:cs="宋体"/>
        </w:rPr>
        <w:br w:type="page"/>
      </w:r>
    </w:p>
    <w:p w14:paraId="50231711">
      <w:pPr>
        <w:pStyle w:val="3"/>
        <w:jc w:val="center"/>
        <w:rPr>
          <w:rFonts w:hint="eastAsia" w:ascii="宋体" w:hAnsi="宋体" w:eastAsia="宋体" w:cs="宋体"/>
          <w:b/>
          <w:bCs/>
        </w:rPr>
      </w:pPr>
      <w:r>
        <w:rPr>
          <w:rFonts w:hint="eastAsia" w:ascii="宋体" w:hAnsi="宋体" w:eastAsia="宋体" w:cs="宋体"/>
          <w:b/>
          <w:bCs/>
        </w:rPr>
        <w:t>第一部分  投标函</w:t>
      </w:r>
    </w:p>
    <w:p w14:paraId="11AED754">
      <w:pPr>
        <w:keepNext w:val="0"/>
        <w:keepLines w:val="0"/>
        <w:pageBreakBefore w:val="0"/>
        <w:widowControl w:val="0"/>
        <w:tabs>
          <w:tab w:val="left" w:pos="1809"/>
        </w:tabs>
        <w:kinsoku/>
        <w:wordWrap/>
        <w:overflowPunct/>
        <w:topLinePunct w:val="0"/>
        <w:autoSpaceDE/>
        <w:autoSpaceDN/>
        <w:bidi w:val="0"/>
        <w:adjustRightInd/>
        <w:snapToGrid/>
        <w:spacing w:line="348" w:lineRule="auto"/>
        <w:ind w:left="0" w:leftChars="0" w:right="0" w:firstLine="0" w:firstLineChars="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致</w:t>
      </w:r>
      <w:r>
        <w:rPr>
          <w:rFonts w:hint="eastAsia" w:ascii="宋体" w:hAnsi="宋体" w:eastAsia="宋体" w:cs="宋体"/>
          <w:sz w:val="24"/>
          <w:szCs w:val="24"/>
          <w:highlight w:val="none"/>
          <w:u w:val="single" w:color="000000"/>
          <w:lang w:val="en-US" w:eastAsia="zh-CN" w:bidi="ar-SA"/>
        </w:rPr>
        <w:t xml:space="preserve">           </w:t>
      </w:r>
      <w:r>
        <w:rPr>
          <w:rFonts w:hint="eastAsia" w:ascii="宋体" w:hAnsi="宋体" w:eastAsia="宋体" w:cs="宋体"/>
          <w:sz w:val="24"/>
          <w:szCs w:val="24"/>
          <w:highlight w:val="none"/>
          <w:lang w:val="en-US" w:eastAsia="zh-CN" w:bidi="ar-SA"/>
        </w:rPr>
        <w:t>(采购人或采购代理机构)：</w:t>
      </w:r>
    </w:p>
    <w:p w14:paraId="4EBDA5FA">
      <w:pPr>
        <w:keepNext w:val="0"/>
        <w:keepLines w:val="0"/>
        <w:pageBreakBefore w:val="0"/>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rPr>
      </w:pPr>
      <w:r>
        <w:rPr>
          <w:rFonts w:hint="eastAsia" w:ascii="宋体" w:hAnsi="宋体" w:eastAsia="宋体" w:cs="宋体"/>
          <w:color w:val="000000"/>
        </w:rPr>
        <w:t>我公司收到贵单位</w:t>
      </w:r>
      <w:r>
        <w:rPr>
          <w:rFonts w:hint="eastAsia" w:ascii="宋体" w:hAnsi="宋体" w:eastAsia="宋体" w:cs="宋体"/>
          <w:color w:val="000000" w:themeColor="text1"/>
          <w:u w:val="single"/>
          <w14:textFill>
            <w14:solidFill>
              <w14:schemeClr w14:val="tx1"/>
            </w14:solidFill>
          </w14:textFill>
        </w:rPr>
        <w:t>〈项目名称〉</w:t>
      </w:r>
      <w:r>
        <w:rPr>
          <w:rFonts w:hint="eastAsia" w:ascii="宋体" w:hAnsi="宋体" w:eastAsia="宋体" w:cs="宋体"/>
          <w:color w:val="000000" w:themeColor="text1"/>
          <w14:textFill>
            <w14:solidFill>
              <w14:schemeClr w14:val="tx1"/>
            </w14:solidFill>
          </w14:textFill>
        </w:rPr>
        <w:t>（项目编号：</w:t>
      </w:r>
      <w:r>
        <w:rPr>
          <w:rFonts w:hint="eastAsia" w:ascii="宋体" w:hAnsi="宋体" w:eastAsia="宋体" w:cs="宋体"/>
          <w:color w:val="000000" w:themeColor="text1"/>
          <w:u w:val="single"/>
          <w14:textFill>
            <w14:solidFill>
              <w14:schemeClr w14:val="tx1"/>
            </w14:solidFill>
          </w14:textFill>
        </w:rPr>
        <w:t>〈项目编号〉</w:t>
      </w:r>
      <w:r>
        <w:rPr>
          <w:rFonts w:hint="eastAsia" w:ascii="宋体" w:hAnsi="宋体" w:eastAsia="宋体" w:cs="宋体"/>
          <w:color w:val="000000" w:themeColor="text1"/>
          <w14:textFill>
            <w14:solidFill>
              <w14:schemeClr w14:val="tx1"/>
            </w14:solidFill>
          </w14:textFill>
        </w:rPr>
        <w:t>）招标文件，经详细研究，我方决定参加该项目</w:t>
      </w:r>
      <w:r>
        <w:rPr>
          <w:rFonts w:hint="eastAsia" w:ascii="宋体" w:hAnsi="宋体" w:eastAsia="宋体" w:cs="宋体"/>
        </w:rPr>
        <w:t>的</w:t>
      </w:r>
      <w:r>
        <w:rPr>
          <w:rFonts w:hint="eastAsia" w:ascii="宋体" w:hAnsi="宋体" w:eastAsia="宋体" w:cs="宋体"/>
          <w:color w:val="000000"/>
        </w:rPr>
        <w:t>招标活动。为此，我方郑重声明以下诸点，并负法律责任。</w:t>
      </w:r>
    </w:p>
    <w:p w14:paraId="6CB47E8B">
      <w:pPr>
        <w:keepNext w:val="0"/>
        <w:keepLines w:val="0"/>
        <w:pageBreakBefore w:val="0"/>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rPr>
      </w:pPr>
      <w:r>
        <w:rPr>
          <w:rFonts w:hint="eastAsia" w:ascii="宋体" w:hAnsi="宋体" w:eastAsia="宋体" w:cs="宋体"/>
          <w:color w:val="000000"/>
        </w:rPr>
        <w:t>1．我方已详细阅读了招标文件，完全理解并同意招标文件的所有事项及内容。</w:t>
      </w:r>
    </w:p>
    <w:p w14:paraId="1A084F89">
      <w:pPr>
        <w:keepNext w:val="0"/>
        <w:keepLines w:val="0"/>
        <w:pageBreakBefore w:val="0"/>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rPr>
      </w:pPr>
      <w:r>
        <w:rPr>
          <w:rFonts w:hint="eastAsia" w:ascii="宋体" w:hAnsi="宋体" w:eastAsia="宋体" w:cs="宋体"/>
          <w:color w:val="000000"/>
        </w:rPr>
        <w:t>2．我方已悉知并及时关注了贵中心在陕西省政府采购网、全国公共资源交易平台（陕西省·西安市）上发布的关于本项目的有关变更公告（包括但不限于对招标文件做出的修改或澄清、答疑纪要，以及项目暂停、重启、延期、终止等）。</w:t>
      </w:r>
    </w:p>
    <w:p w14:paraId="7F084F88">
      <w:pPr>
        <w:keepNext w:val="0"/>
        <w:keepLines w:val="0"/>
        <w:pageBreakBefore w:val="0"/>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rPr>
      </w:pPr>
      <w:r>
        <w:rPr>
          <w:rFonts w:hint="eastAsia" w:ascii="宋体" w:hAnsi="宋体" w:eastAsia="宋体" w:cs="宋体"/>
          <w:color w:val="000000"/>
        </w:rPr>
        <w:t>3．我方同意向贵中心提供与本次招标有关的全部证明材料，并保证所提交的证明材料真实、合法、有效。</w:t>
      </w:r>
    </w:p>
    <w:p w14:paraId="5D89DAEA">
      <w:pPr>
        <w:keepNext w:val="0"/>
        <w:keepLines w:val="0"/>
        <w:pageBreakBefore w:val="0"/>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rPr>
      </w:pPr>
      <w:r>
        <w:rPr>
          <w:rFonts w:hint="eastAsia" w:ascii="宋体" w:hAnsi="宋体" w:eastAsia="宋体" w:cs="宋体"/>
          <w:color w:val="000000"/>
        </w:rPr>
        <w:t>4．我方理解最低价不是成交的唯一条件，并尊重评标委员会的评审结果。</w:t>
      </w:r>
    </w:p>
    <w:p w14:paraId="38C350BC">
      <w:pPr>
        <w:keepNext w:val="0"/>
        <w:keepLines w:val="0"/>
        <w:pageBreakBefore w:val="0"/>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rPr>
        <w:t>5．我方投标文件在开启之日</w:t>
      </w:r>
      <w:r>
        <w:rPr>
          <w:rFonts w:hint="eastAsia" w:ascii="宋体" w:hAnsi="宋体" w:eastAsia="宋体" w:cs="宋体"/>
          <w:color w:val="000000" w:themeColor="text1"/>
          <w14:textFill>
            <w14:solidFill>
              <w14:schemeClr w14:val="tx1"/>
            </w14:solidFill>
          </w14:textFill>
        </w:rPr>
        <w:t>起</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个日历日（应不少于90个日历日）内有效。</w:t>
      </w:r>
    </w:p>
    <w:p w14:paraId="26EFB187">
      <w:pPr>
        <w:keepNext w:val="0"/>
        <w:keepLines w:val="0"/>
        <w:pageBreakBefore w:val="0"/>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6．若我方成交，我方承诺：（1）将投标文件有效期延长至合同执行完毕；（2）收到</w:t>
      </w:r>
      <w:r>
        <w:rPr>
          <w:rFonts w:hint="eastAsia" w:ascii="宋体" w:hAnsi="宋体" w:eastAsia="宋体" w:cs="宋体"/>
          <w:color w:val="000000" w:themeColor="text1"/>
          <w:lang w:eastAsia="zh-CN"/>
          <w14:textFill>
            <w14:solidFill>
              <w14:schemeClr w14:val="tx1"/>
            </w14:solidFill>
          </w14:textFill>
        </w:rPr>
        <w:t>中标</w:t>
      </w:r>
      <w:r>
        <w:rPr>
          <w:rFonts w:hint="eastAsia" w:ascii="宋体" w:hAnsi="宋体" w:eastAsia="宋体" w:cs="宋体"/>
          <w:color w:val="000000" w:themeColor="text1"/>
          <w14:textFill>
            <w14:solidFill>
              <w14:schemeClr w14:val="tx1"/>
            </w14:solidFill>
          </w14:textFill>
        </w:rPr>
        <w:t>通知书后提交纸质投标文件一正两副；（3）遵照招标文件中的要求，完成本项目的合同责任和义务。</w:t>
      </w:r>
    </w:p>
    <w:p w14:paraId="180B12A7">
      <w:pPr>
        <w:keepNext w:val="0"/>
        <w:keepLines w:val="0"/>
        <w:pageBreakBefore w:val="0"/>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7．所有关于此次招标活动的函电，请按下列方式联系：</w:t>
      </w:r>
    </w:p>
    <w:p w14:paraId="0DA520B9">
      <w:pPr>
        <w:keepNext w:val="0"/>
        <w:keepLines w:val="0"/>
        <w:pageBreakBefore w:val="0"/>
        <w:widowControl/>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0"/>
          <w:kern w:val="0"/>
          <w:fitText w:val="960" w:id="1740457068"/>
          <w14:textFill>
            <w14:solidFill>
              <w14:schemeClr w14:val="tx1"/>
            </w14:solidFill>
          </w14:textFill>
        </w:rPr>
        <w:t>供应</w:t>
      </w:r>
      <w:r>
        <w:rPr>
          <w:rFonts w:hint="eastAsia" w:ascii="宋体" w:hAnsi="宋体" w:eastAsia="宋体" w:cs="宋体"/>
          <w:color w:val="000000" w:themeColor="text1"/>
          <w:spacing w:val="0"/>
          <w:kern w:val="0"/>
          <w:fitText w:val="960" w:id="1740457068"/>
          <w14:textFill>
            <w14:solidFill>
              <w14:schemeClr w14:val="tx1"/>
            </w14:solidFill>
          </w14:textFill>
        </w:rPr>
        <w:t>商</w:t>
      </w:r>
      <w:r>
        <w:rPr>
          <w:rFonts w:hint="eastAsia" w:ascii="宋体" w:hAnsi="宋体" w:eastAsia="宋体" w:cs="宋体"/>
          <w:color w:val="000000" w:themeColor="text1"/>
          <w14:textFill>
            <w14:solidFill>
              <w14:schemeClr w14:val="tx1"/>
            </w14:solidFill>
          </w14:textFill>
        </w:rPr>
        <w:t>：（供应商全称并加盖公章）</w:t>
      </w:r>
    </w:p>
    <w:p w14:paraId="02AD1BA1">
      <w:pPr>
        <w:keepNext w:val="0"/>
        <w:keepLines w:val="0"/>
        <w:pageBreakBefore w:val="0"/>
        <w:widowControl/>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法定代表人或委托代理人：（签字或盖章）</w:t>
      </w:r>
    </w:p>
    <w:p w14:paraId="0078CE03">
      <w:pPr>
        <w:keepNext w:val="0"/>
        <w:keepLines w:val="0"/>
        <w:pageBreakBefore w:val="0"/>
        <w:widowControl/>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rPr>
      </w:pPr>
      <w:r>
        <w:rPr>
          <w:rFonts w:hint="eastAsia" w:ascii="宋体" w:hAnsi="宋体" w:eastAsia="宋体" w:cs="宋体"/>
          <w:color w:val="000000"/>
        </w:rPr>
        <w:t>联系电话：</w:t>
      </w:r>
    </w:p>
    <w:p w14:paraId="0EC057C2">
      <w:pPr>
        <w:keepNext w:val="0"/>
        <w:keepLines w:val="0"/>
        <w:pageBreakBefore w:val="0"/>
        <w:widowControl/>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rPr>
      </w:pPr>
      <w:r>
        <w:rPr>
          <w:rFonts w:hint="eastAsia" w:ascii="宋体" w:hAnsi="宋体" w:eastAsia="宋体" w:cs="宋体"/>
          <w:color w:val="000000"/>
        </w:rPr>
        <w:t>通讯地址：</w:t>
      </w:r>
    </w:p>
    <w:p w14:paraId="09B13C95">
      <w:pPr>
        <w:keepNext w:val="0"/>
        <w:keepLines w:val="0"/>
        <w:pageBreakBefore w:val="0"/>
        <w:widowControl/>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color w:val="000000"/>
        </w:rPr>
      </w:pPr>
      <w:r>
        <w:rPr>
          <w:rFonts w:hint="eastAsia" w:ascii="宋体" w:hAnsi="宋体" w:eastAsia="宋体" w:cs="宋体"/>
          <w:color w:val="000000"/>
        </w:rPr>
        <w:t>邮</w:t>
      </w:r>
      <w:r>
        <w:rPr>
          <w:rFonts w:hint="eastAsia" w:ascii="宋体" w:hAnsi="宋体" w:eastAsia="宋体" w:cs="宋体"/>
          <w:color w:val="000000"/>
          <w:lang w:val="en-US" w:eastAsia="zh-CN"/>
        </w:rPr>
        <w:t xml:space="preserve">    </w:t>
      </w:r>
      <w:r>
        <w:rPr>
          <w:rFonts w:hint="eastAsia" w:ascii="宋体" w:hAnsi="宋体" w:eastAsia="宋体" w:cs="宋体"/>
          <w:color w:val="000000"/>
        </w:rPr>
        <w:t>编：</w:t>
      </w:r>
    </w:p>
    <w:p w14:paraId="791147AB">
      <w:pPr>
        <w:keepNext w:val="0"/>
        <w:keepLines w:val="0"/>
        <w:pageBreakBefore w:val="0"/>
        <w:widowControl/>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rPr>
      </w:pPr>
      <w:r>
        <w:rPr>
          <w:rFonts w:hint="eastAsia" w:ascii="宋体" w:hAnsi="宋体" w:eastAsia="宋体" w:cs="宋体"/>
        </w:rPr>
        <w:t>电子邮箱：</w:t>
      </w:r>
    </w:p>
    <w:p w14:paraId="15358332">
      <w:pPr>
        <w:keepNext w:val="0"/>
        <w:keepLines w:val="0"/>
        <w:pageBreakBefore w:val="0"/>
        <w:widowControl/>
        <w:kinsoku/>
        <w:wordWrap/>
        <w:overflowPunct/>
        <w:topLinePunct w:val="0"/>
        <w:autoSpaceDE/>
        <w:autoSpaceDN/>
        <w:bidi w:val="0"/>
        <w:adjustRightInd/>
        <w:snapToGrid/>
        <w:spacing w:line="348" w:lineRule="auto"/>
        <w:ind w:right="0" w:firstLine="567"/>
        <w:jc w:val="both"/>
        <w:textAlignment w:val="auto"/>
        <w:rPr>
          <w:rFonts w:hint="eastAsia" w:ascii="宋体" w:hAnsi="宋体" w:eastAsia="宋体" w:cs="宋体"/>
          <w:sz w:val="32"/>
          <w:szCs w:val="32"/>
        </w:rPr>
      </w:pPr>
      <w:r>
        <w:rPr>
          <w:rFonts w:hint="eastAsia" w:ascii="宋体" w:hAnsi="宋体" w:eastAsia="宋体" w:cs="宋体"/>
        </w:rPr>
        <w:t>日</w:t>
      </w:r>
      <w:r>
        <w:rPr>
          <w:rFonts w:hint="eastAsia" w:ascii="宋体" w:hAnsi="宋体" w:eastAsia="宋体" w:cs="宋体"/>
          <w:lang w:val="en-US" w:eastAsia="zh-CN"/>
        </w:rPr>
        <w:t xml:space="preserve">    </w:t>
      </w:r>
      <w:r>
        <w:rPr>
          <w:rFonts w:hint="eastAsia" w:ascii="宋体" w:hAnsi="宋体" w:eastAsia="宋体" w:cs="宋体"/>
        </w:rPr>
        <w:t>期：</w:t>
      </w:r>
      <w:r>
        <w:rPr>
          <w:rFonts w:hint="eastAsia" w:ascii="宋体" w:hAnsi="宋体" w:eastAsia="宋体" w:cs="宋体"/>
          <w:u w:val="single"/>
          <w:lang w:val="en-US" w:eastAsia="zh-CN"/>
        </w:rPr>
        <w:t xml:space="preserve">     </w:t>
      </w:r>
      <w:r>
        <w:rPr>
          <w:rFonts w:hint="eastAsia" w:ascii="宋体" w:hAnsi="宋体" w:eastAsia="宋体" w:cs="宋体"/>
        </w:rPr>
        <w:t>年</w:t>
      </w:r>
      <w:r>
        <w:rPr>
          <w:rFonts w:hint="eastAsia" w:ascii="宋体" w:hAnsi="宋体" w:eastAsia="宋体" w:cs="宋体"/>
          <w:u w:val="single"/>
          <w:lang w:val="en-US" w:eastAsia="zh-CN"/>
        </w:rPr>
        <w:t xml:space="preserve">    </w:t>
      </w:r>
      <w:r>
        <w:rPr>
          <w:rFonts w:hint="eastAsia" w:ascii="宋体" w:hAnsi="宋体" w:eastAsia="宋体" w:cs="宋体"/>
        </w:rPr>
        <w:t>月</w:t>
      </w:r>
      <w:r>
        <w:rPr>
          <w:rFonts w:hint="eastAsia" w:ascii="宋体" w:hAnsi="宋体" w:eastAsia="宋体" w:cs="宋体"/>
          <w:u w:val="single"/>
          <w:lang w:val="en-US" w:eastAsia="zh-CN"/>
        </w:rPr>
        <w:t xml:space="preserve">    </w:t>
      </w:r>
      <w:r>
        <w:rPr>
          <w:rFonts w:hint="eastAsia" w:ascii="宋体" w:hAnsi="宋体" w:eastAsia="宋体" w:cs="宋体"/>
        </w:rPr>
        <w:t>日</w:t>
      </w:r>
      <w:r>
        <w:rPr>
          <w:rFonts w:hint="eastAsia" w:ascii="宋体" w:hAnsi="宋体" w:eastAsia="宋体" w:cs="宋体"/>
        </w:rPr>
        <w:br w:type="page"/>
      </w:r>
    </w:p>
    <w:p w14:paraId="7FE0E825">
      <w:pPr>
        <w:pStyle w:val="3"/>
        <w:numPr>
          <w:ilvl w:val="0"/>
          <w:numId w:val="0"/>
        </w:numPr>
        <w:ind w:firstLine="640" w:firstLineChars="200"/>
        <w:jc w:val="center"/>
        <w:rPr>
          <w:rFonts w:hint="eastAsia" w:ascii="宋体" w:hAnsi="宋体" w:eastAsia="宋体" w:cs="宋体"/>
          <w:b/>
          <w:bCs/>
          <w:highlight w:val="none"/>
        </w:rPr>
      </w:pPr>
      <w:r>
        <w:rPr>
          <w:rFonts w:hint="eastAsia" w:ascii="宋体" w:hAnsi="宋体" w:eastAsia="宋体" w:cs="宋体"/>
          <w:b/>
          <w:bCs/>
          <w:sz w:val="32"/>
          <w:szCs w:val="32"/>
          <w:highlight w:val="none"/>
          <w:lang w:val="en-US" w:eastAsia="zh-CN" w:bidi="ar-SA"/>
        </w:rPr>
        <w:t>第二部分</w:t>
      </w:r>
      <w:r>
        <w:rPr>
          <w:rFonts w:hint="eastAsia" w:ascii="宋体" w:hAnsi="宋体" w:eastAsia="宋体" w:cs="宋体"/>
          <w:b/>
          <w:bCs/>
          <w:highlight w:val="none"/>
        </w:rPr>
        <w:t xml:space="preserve"> </w:t>
      </w:r>
      <w:r>
        <w:rPr>
          <w:rFonts w:hint="eastAsia" w:ascii="宋体" w:hAnsi="宋体" w:eastAsia="宋体" w:cs="宋体"/>
          <w:b/>
          <w:bCs/>
          <w:highlight w:val="none"/>
          <w:lang w:val="en-US" w:eastAsia="zh-CN"/>
        </w:rPr>
        <w:t xml:space="preserve"> </w:t>
      </w:r>
      <w:r>
        <w:rPr>
          <w:rFonts w:hint="eastAsia" w:ascii="宋体" w:hAnsi="宋体" w:eastAsia="宋体" w:cs="宋体"/>
          <w:b/>
          <w:bCs/>
          <w:highlight w:val="none"/>
        </w:rPr>
        <w:t>开标一览表</w:t>
      </w:r>
    </w:p>
    <w:p w14:paraId="58DCDB96">
      <w:pPr>
        <w:numPr>
          <w:ilvl w:val="0"/>
          <w:numId w:val="0"/>
        </w:numPr>
        <w:rPr>
          <w:rFonts w:hint="default"/>
          <w:highlight w:val="none"/>
          <w:lang w:val="en-US" w:eastAsia="zh-CN"/>
        </w:rPr>
      </w:pPr>
      <w:r>
        <w:rPr>
          <w:rFonts w:hint="eastAsia"/>
          <w:highlight w:val="none"/>
          <w:lang w:eastAsia="zh-CN"/>
        </w:rPr>
        <w:t>项目名称：</w:t>
      </w:r>
      <w:r>
        <w:rPr>
          <w:rFonts w:hint="eastAsia"/>
          <w:highlight w:val="none"/>
          <w:u w:val="single"/>
          <w:lang w:val="en-US" w:eastAsia="zh-CN"/>
        </w:rPr>
        <w:t xml:space="preserve">                        </w:t>
      </w:r>
    </w:p>
    <w:p w14:paraId="2F5635EB">
      <w:pPr>
        <w:numPr>
          <w:ilvl w:val="0"/>
          <w:numId w:val="0"/>
        </w:numPr>
        <w:rPr>
          <w:rFonts w:hint="eastAsia"/>
          <w:u w:val="single"/>
          <w:lang w:val="en-US" w:eastAsia="zh-CN"/>
        </w:rPr>
      </w:pPr>
      <w:r>
        <w:rPr>
          <w:rFonts w:hint="eastAsia"/>
          <w:lang w:eastAsia="zh-CN"/>
        </w:rPr>
        <w:t>项目编号：</w:t>
      </w:r>
      <w:r>
        <w:rPr>
          <w:rFonts w:hint="eastAsia"/>
          <w:u w:val="single"/>
          <w:lang w:val="en-US" w:eastAsia="zh-CN"/>
        </w:rPr>
        <w:t xml:space="preserve">                        </w:t>
      </w:r>
    </w:p>
    <w:p w14:paraId="6ACE25CD">
      <w:pPr>
        <w:numPr>
          <w:ilvl w:val="0"/>
          <w:numId w:val="0"/>
        </w:numPr>
        <w:rPr>
          <w:rFonts w:hint="default"/>
          <w:u w:val="single"/>
          <w:lang w:val="en-US" w:eastAsia="zh-CN"/>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0"/>
        <w:gridCol w:w="2062"/>
        <w:gridCol w:w="3163"/>
        <w:gridCol w:w="1862"/>
        <w:gridCol w:w="1433"/>
      </w:tblGrid>
      <w:tr w14:paraId="3175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5" w:type="dxa"/>
            <w:vAlign w:val="center"/>
          </w:tcPr>
          <w:p w14:paraId="19A4AA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eastAsiaTheme="minorEastAsia"/>
                <w:sz w:val="24"/>
                <w:szCs w:val="24"/>
                <w:highlight w:val="none"/>
                <w:vertAlign w:val="baseline"/>
                <w:lang w:val="en-US" w:eastAsia="zh-CN"/>
              </w:rPr>
            </w:pPr>
            <w:r>
              <w:rPr>
                <w:rFonts w:hint="eastAsia" w:ascii="宋体" w:hAnsi="宋体" w:cs="宋体"/>
                <w:sz w:val="24"/>
                <w:szCs w:val="24"/>
                <w:highlight w:val="none"/>
                <w:vertAlign w:val="baseline"/>
                <w:lang w:val="en-US" w:eastAsia="zh-CN"/>
              </w:rPr>
              <w:t>序号</w:t>
            </w:r>
          </w:p>
        </w:tc>
        <w:tc>
          <w:tcPr>
            <w:tcW w:w="2100" w:type="dxa"/>
            <w:vAlign w:val="center"/>
          </w:tcPr>
          <w:p w14:paraId="155CD2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eastAsiaTheme="minorEastAsia"/>
                <w:sz w:val="24"/>
                <w:szCs w:val="24"/>
                <w:highlight w:val="none"/>
                <w:vertAlign w:val="baseline"/>
                <w:lang w:val="en-US" w:eastAsia="zh-CN"/>
              </w:rPr>
            </w:pPr>
            <w:r>
              <w:rPr>
                <w:rFonts w:hint="eastAsia" w:ascii="宋体" w:hAnsi="宋体" w:cs="宋体"/>
                <w:sz w:val="24"/>
                <w:szCs w:val="24"/>
                <w:highlight w:val="none"/>
                <w:vertAlign w:val="baseline"/>
                <w:lang w:val="en-US" w:eastAsia="zh-CN"/>
              </w:rPr>
              <w:t>投标报价（元）</w:t>
            </w:r>
          </w:p>
        </w:tc>
        <w:tc>
          <w:tcPr>
            <w:tcW w:w="3246" w:type="dxa"/>
            <w:vAlign w:val="center"/>
          </w:tcPr>
          <w:p w14:paraId="649F33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eastAsiaTheme="minorEastAsia"/>
                <w:sz w:val="24"/>
                <w:szCs w:val="24"/>
                <w:highlight w:val="none"/>
                <w:vertAlign w:val="baseline"/>
                <w:lang w:val="en-US" w:eastAsia="zh-CN"/>
              </w:rPr>
            </w:pPr>
            <w:r>
              <w:rPr>
                <w:rFonts w:hint="eastAsia" w:ascii="宋体" w:hAnsi="宋体" w:cs="宋体"/>
                <w:sz w:val="24"/>
                <w:szCs w:val="24"/>
                <w:highlight w:val="none"/>
                <w:vertAlign w:val="baseline"/>
                <w:lang w:val="en-US" w:eastAsia="zh-CN"/>
              </w:rPr>
              <w:t>投标单价（元/月）</w:t>
            </w:r>
          </w:p>
        </w:tc>
        <w:tc>
          <w:tcPr>
            <w:tcW w:w="1909" w:type="dxa"/>
            <w:vAlign w:val="center"/>
          </w:tcPr>
          <w:p w14:paraId="6E5759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eastAsiaTheme="minorEastAsia"/>
                <w:sz w:val="24"/>
                <w:szCs w:val="24"/>
                <w:highlight w:val="none"/>
                <w:vertAlign w:val="baseline"/>
                <w:lang w:val="en-US" w:eastAsia="zh-CN"/>
              </w:rPr>
            </w:pPr>
            <w:r>
              <w:rPr>
                <w:rFonts w:hint="eastAsia" w:ascii="宋体" w:hAnsi="宋体" w:cs="宋体"/>
                <w:sz w:val="24"/>
                <w:szCs w:val="24"/>
                <w:highlight w:val="none"/>
                <w:vertAlign w:val="baseline"/>
                <w:lang w:val="en-US" w:eastAsia="zh-CN"/>
              </w:rPr>
              <w:t>服务期</w:t>
            </w:r>
          </w:p>
        </w:tc>
        <w:tc>
          <w:tcPr>
            <w:tcW w:w="1466" w:type="dxa"/>
            <w:vAlign w:val="center"/>
          </w:tcPr>
          <w:p w14:paraId="5CF5B2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eastAsiaTheme="minorEastAsia"/>
                <w:sz w:val="24"/>
                <w:szCs w:val="24"/>
                <w:highlight w:val="none"/>
                <w:vertAlign w:val="baseline"/>
                <w:lang w:val="en-US" w:eastAsia="zh-CN"/>
              </w:rPr>
            </w:pPr>
            <w:r>
              <w:rPr>
                <w:rFonts w:hint="eastAsia" w:ascii="宋体" w:hAnsi="宋体" w:cs="宋体"/>
                <w:sz w:val="24"/>
                <w:szCs w:val="24"/>
                <w:highlight w:val="none"/>
                <w:vertAlign w:val="baseline"/>
                <w:lang w:val="en-US" w:eastAsia="zh-CN"/>
              </w:rPr>
              <w:t>备注</w:t>
            </w:r>
          </w:p>
        </w:tc>
      </w:tr>
      <w:tr w14:paraId="5E863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1235" w:type="dxa"/>
            <w:vAlign w:val="center"/>
          </w:tcPr>
          <w:p w14:paraId="791E8B4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eastAsiaTheme="minorEastAsia"/>
                <w:sz w:val="24"/>
                <w:szCs w:val="24"/>
                <w:highlight w:val="none"/>
                <w:vertAlign w:val="baseline"/>
                <w:lang w:val="en-US" w:eastAsia="zh-CN"/>
              </w:rPr>
            </w:pPr>
            <w:r>
              <w:rPr>
                <w:rFonts w:hint="eastAsia" w:ascii="宋体" w:hAnsi="宋体" w:cs="宋体"/>
                <w:sz w:val="24"/>
                <w:szCs w:val="24"/>
                <w:highlight w:val="none"/>
                <w:vertAlign w:val="baseline"/>
                <w:lang w:val="en-US" w:eastAsia="zh-CN"/>
              </w:rPr>
              <w:t>1</w:t>
            </w:r>
          </w:p>
        </w:tc>
        <w:tc>
          <w:tcPr>
            <w:tcW w:w="2100" w:type="dxa"/>
          </w:tcPr>
          <w:p w14:paraId="344DBF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vertAlign w:val="baseline"/>
              </w:rPr>
            </w:pPr>
          </w:p>
        </w:tc>
        <w:tc>
          <w:tcPr>
            <w:tcW w:w="3246" w:type="dxa"/>
          </w:tcPr>
          <w:p w14:paraId="165A25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vertAlign w:val="baseline"/>
              </w:rPr>
            </w:pPr>
          </w:p>
        </w:tc>
        <w:tc>
          <w:tcPr>
            <w:tcW w:w="1909" w:type="dxa"/>
          </w:tcPr>
          <w:p w14:paraId="6399F2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vertAlign w:val="baseline"/>
              </w:rPr>
            </w:pPr>
          </w:p>
        </w:tc>
        <w:tc>
          <w:tcPr>
            <w:tcW w:w="1466" w:type="dxa"/>
          </w:tcPr>
          <w:p w14:paraId="70B54B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vertAlign w:val="baseline"/>
              </w:rPr>
            </w:pPr>
          </w:p>
        </w:tc>
      </w:tr>
      <w:tr w14:paraId="69675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9956" w:type="dxa"/>
            <w:gridSpan w:val="5"/>
          </w:tcPr>
          <w:p w14:paraId="264F86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投标报价：大写：人民币</w:t>
            </w:r>
            <w:r>
              <w:rPr>
                <w:rFonts w:hint="eastAsia" w:ascii="宋体" w:hAnsi="宋体" w:cs="宋体"/>
                <w:sz w:val="24"/>
                <w:szCs w:val="24"/>
                <w:highlight w:val="none"/>
                <w:u w:val="single"/>
                <w:vertAlign w:val="baseline"/>
                <w:lang w:val="en-US" w:eastAsia="zh-CN"/>
              </w:rPr>
              <w:t xml:space="preserve">                     </w:t>
            </w:r>
            <w:r>
              <w:rPr>
                <w:rFonts w:hint="eastAsia" w:ascii="宋体" w:hAnsi="宋体" w:cs="宋体"/>
                <w:sz w:val="24"/>
                <w:szCs w:val="24"/>
                <w:highlight w:val="none"/>
                <w:vertAlign w:val="baseline"/>
                <w:lang w:val="en-US" w:eastAsia="zh-CN"/>
              </w:rPr>
              <w:t>元</w:t>
            </w:r>
          </w:p>
          <w:p w14:paraId="382C7560">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default"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小写：</w:t>
            </w:r>
            <w:r>
              <w:rPr>
                <w:rFonts w:hint="eastAsia" w:ascii="宋体" w:hAnsi="宋体" w:cs="宋体"/>
                <w:sz w:val="24"/>
                <w:szCs w:val="24"/>
                <w:highlight w:val="none"/>
                <w:u w:val="single"/>
                <w:vertAlign w:val="baseline"/>
                <w:lang w:val="en-US" w:eastAsia="zh-CN"/>
              </w:rPr>
              <w:t xml:space="preserve">                           </w:t>
            </w:r>
            <w:r>
              <w:rPr>
                <w:rFonts w:hint="eastAsia" w:ascii="宋体" w:hAnsi="宋体" w:cs="宋体"/>
                <w:sz w:val="24"/>
                <w:szCs w:val="24"/>
                <w:highlight w:val="none"/>
                <w:u w:val="none"/>
                <w:vertAlign w:val="baseline"/>
                <w:lang w:val="en-US" w:eastAsia="zh-CN"/>
              </w:rPr>
              <w:t>元</w:t>
            </w:r>
          </w:p>
        </w:tc>
      </w:tr>
      <w:tr w14:paraId="0691E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9956" w:type="dxa"/>
            <w:gridSpan w:val="5"/>
          </w:tcPr>
          <w:p w14:paraId="56CD18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备注：1.表内报价内容以元为单位，保留小数点后两位。</w:t>
            </w:r>
          </w:p>
          <w:p w14:paraId="72A38B5D">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2.投标报价=投标单价</w:t>
            </w:r>
            <w:r>
              <w:rPr>
                <w:rFonts w:hint="default" w:ascii="Arial" w:hAnsi="Arial" w:cs="Arial"/>
                <w:sz w:val="24"/>
                <w:szCs w:val="24"/>
                <w:highlight w:val="none"/>
                <w:vertAlign w:val="baseline"/>
                <w:lang w:val="en-US" w:eastAsia="zh-CN"/>
              </w:rPr>
              <w:t>×</w:t>
            </w:r>
            <w:r>
              <w:rPr>
                <w:rFonts w:hint="eastAsia" w:ascii="宋体" w:hAnsi="宋体" w:cs="宋体"/>
                <w:sz w:val="24"/>
                <w:szCs w:val="24"/>
                <w:highlight w:val="none"/>
                <w:vertAlign w:val="baseline"/>
                <w:lang w:val="en-US" w:eastAsia="zh-CN"/>
              </w:rPr>
              <w:t>服务期（24个月）。</w:t>
            </w:r>
          </w:p>
        </w:tc>
      </w:tr>
    </w:tbl>
    <w:p w14:paraId="0BC7B51A">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rPr>
          <w:rFonts w:hint="eastAsia" w:ascii="宋体" w:hAnsi="宋体" w:cs="宋体"/>
          <w:sz w:val="24"/>
          <w:szCs w:val="24"/>
          <w:highlight w:val="none"/>
        </w:rPr>
      </w:pPr>
    </w:p>
    <w:p w14:paraId="0FD70F79">
      <w:pPr>
        <w:spacing w:line="480" w:lineRule="auto"/>
        <w:ind w:firstLine="3840" w:firstLineChars="1600"/>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投标人名称（</w:t>
      </w:r>
      <w:r>
        <w:rPr>
          <w:rFonts w:hint="eastAsia" w:ascii="宋体" w:hAnsi="宋体" w:cs="宋体"/>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p>
    <w:p w14:paraId="75070F38">
      <w:pPr>
        <w:spacing w:line="480" w:lineRule="auto"/>
        <w:ind w:firstLine="3840" w:firstLineChars="1600"/>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法定代表人或被授权人（签字或盖章）：</w:t>
      </w:r>
      <w:r>
        <w:rPr>
          <w:rFonts w:hint="eastAsia" w:ascii="宋体" w:hAnsi="宋体" w:eastAsia="宋体" w:cs="宋体"/>
          <w:color w:val="auto"/>
          <w:sz w:val="24"/>
          <w:szCs w:val="24"/>
          <w:highlight w:val="none"/>
          <w:u w:val="single"/>
          <w:lang w:eastAsia="zh-CN"/>
        </w:rPr>
        <w:t xml:space="preserve">            </w:t>
      </w:r>
    </w:p>
    <w:p w14:paraId="55075971">
      <w:pPr>
        <w:spacing w:line="480" w:lineRule="auto"/>
        <w:ind w:firstLine="3840" w:firstLineChars="1600"/>
        <w:rPr>
          <w:rFonts w:hint="eastAsia"/>
        </w:rPr>
      </w:pPr>
      <w:r>
        <w:rPr>
          <w:rFonts w:hint="eastAsia" w:ascii="宋体" w:hAnsi="宋体" w:eastAsia="宋体" w:cs="宋体"/>
          <w:color w:val="auto"/>
          <w:sz w:val="24"/>
          <w:szCs w:val="24"/>
          <w:highlight w:val="none"/>
          <w:lang w:eastAsia="zh-CN"/>
        </w:rPr>
        <w:t>日              期：</w:t>
      </w:r>
      <w:r>
        <w:rPr>
          <w:rFonts w:hint="eastAsia" w:ascii="宋体" w:hAnsi="宋体" w:eastAsia="宋体" w:cs="宋体"/>
          <w:color w:val="auto"/>
          <w:sz w:val="24"/>
          <w:szCs w:val="24"/>
          <w:highlight w:val="none"/>
          <w:u w:val="single"/>
          <w:lang w:eastAsia="zh-CN"/>
        </w:rPr>
        <w:t xml:space="preserve">                       </w:t>
      </w:r>
    </w:p>
    <w:p w14:paraId="651579FD">
      <w:pPr>
        <w:rPr>
          <w:rFonts w:hint="eastAsia" w:ascii="宋体" w:hAnsi="宋体" w:eastAsia="宋体" w:cs="宋体"/>
          <w:sz w:val="32"/>
          <w:szCs w:val="32"/>
        </w:rPr>
      </w:pPr>
      <w:r>
        <w:rPr>
          <w:rFonts w:hint="eastAsia" w:ascii="宋体" w:hAnsi="宋体" w:eastAsia="宋体" w:cs="宋体"/>
          <w:sz w:val="32"/>
          <w:szCs w:val="32"/>
        </w:rPr>
        <w:br w:type="page"/>
      </w:r>
    </w:p>
    <w:p w14:paraId="23D22454">
      <w:pPr>
        <w:pStyle w:val="16"/>
        <w:keepNext w:val="0"/>
        <w:keepLines w:val="0"/>
        <w:pageBreakBefore w:val="0"/>
        <w:widowControl/>
        <w:kinsoku w:val="0"/>
        <w:wordWrap/>
        <w:overflowPunct/>
        <w:topLinePunct w:val="0"/>
        <w:autoSpaceDE w:val="0"/>
        <w:autoSpaceDN w:val="0"/>
        <w:bidi w:val="0"/>
        <w:adjustRightInd w:val="0"/>
        <w:snapToGrid w:val="0"/>
        <w:jc w:val="center"/>
        <w:textAlignment w:val="baseline"/>
        <w:outlineLvl w:val="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分项报价表</w:t>
      </w:r>
    </w:p>
    <w:p w14:paraId="1F732C50">
      <w:pPr>
        <w:spacing w:line="500" w:lineRule="exact"/>
        <w:rPr>
          <w:rFonts w:hint="eastAsia" w:ascii="宋体" w:hAnsi="宋体"/>
          <w:color w:val="auto"/>
          <w:sz w:val="24"/>
          <w:highlight w:val="none"/>
        </w:rPr>
      </w:pPr>
      <w:r>
        <w:rPr>
          <w:rFonts w:hint="eastAsia" w:ascii="宋体" w:hAnsi="宋体"/>
          <w:color w:val="auto"/>
          <w:sz w:val="24"/>
          <w:highlight w:val="none"/>
        </w:rPr>
        <w:t xml:space="preserve">项目名称：                                                </w:t>
      </w:r>
    </w:p>
    <w:p w14:paraId="361FF7E6">
      <w:pPr>
        <w:spacing w:line="500" w:lineRule="exact"/>
        <w:rPr>
          <w:rFonts w:hint="default" w:ascii="宋体" w:hAnsi="宋体" w:eastAsiaTheme="minorEastAsia"/>
          <w:color w:val="auto"/>
          <w:sz w:val="24"/>
          <w:highlight w:val="none"/>
          <w:lang w:val="en-US" w:eastAsia="zh-CN"/>
        </w:rPr>
      </w:pPr>
      <w:r>
        <w:rPr>
          <w:rFonts w:hint="eastAsia" w:ascii="宋体" w:hAnsi="宋体"/>
          <w:color w:val="auto"/>
          <w:sz w:val="24"/>
          <w:highlight w:val="none"/>
        </w:rPr>
        <w:t xml:space="preserve">项目编号：                                              </w:t>
      </w:r>
      <w:r>
        <w:rPr>
          <w:rFonts w:hint="eastAsia" w:ascii="宋体" w:hAnsi="宋体"/>
          <w:color w:val="auto"/>
          <w:sz w:val="24"/>
          <w:highlight w:val="none"/>
          <w:lang w:val="en-US" w:eastAsia="zh-CN"/>
        </w:rPr>
        <w:t>报价单位：人民币     元</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732"/>
        <w:gridCol w:w="1899"/>
        <w:gridCol w:w="1676"/>
        <w:gridCol w:w="1389"/>
        <w:gridCol w:w="1543"/>
        <w:gridCol w:w="805"/>
      </w:tblGrid>
      <w:tr w14:paraId="04B31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5EB18849">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序号</w:t>
            </w:r>
          </w:p>
        </w:tc>
        <w:tc>
          <w:tcPr>
            <w:tcW w:w="1786" w:type="dxa"/>
            <w:vAlign w:val="center"/>
          </w:tcPr>
          <w:p w14:paraId="5B6F8267">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名称</w:t>
            </w:r>
          </w:p>
        </w:tc>
        <w:tc>
          <w:tcPr>
            <w:tcW w:w="1950" w:type="dxa"/>
            <w:vAlign w:val="center"/>
          </w:tcPr>
          <w:p w14:paraId="5D3D6A24">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color w:val="auto"/>
                <w:sz w:val="24"/>
                <w:highlight w:val="none"/>
                <w:vertAlign w:val="baseline"/>
                <w:lang w:val="en-US" w:eastAsia="zh-CN"/>
              </w:rPr>
            </w:pPr>
            <w:r>
              <w:rPr>
                <w:rFonts w:hint="eastAsia" w:ascii="宋体" w:hAnsi="宋体"/>
                <w:color w:val="auto"/>
                <w:sz w:val="24"/>
                <w:highlight w:val="none"/>
                <w:vertAlign w:val="baseline"/>
                <w:lang w:val="en-US" w:eastAsia="zh-CN"/>
              </w:rPr>
              <w:t>单价</w:t>
            </w:r>
          </w:p>
          <w:p w14:paraId="5A4E089A">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（元/月）</w:t>
            </w:r>
          </w:p>
        </w:tc>
        <w:tc>
          <w:tcPr>
            <w:tcW w:w="1718" w:type="dxa"/>
            <w:vAlign w:val="center"/>
          </w:tcPr>
          <w:p w14:paraId="61F28F03">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color w:val="auto"/>
                <w:sz w:val="24"/>
                <w:highlight w:val="none"/>
                <w:vertAlign w:val="baseline"/>
                <w:lang w:val="en-US" w:eastAsia="zh-CN"/>
              </w:rPr>
            </w:pPr>
            <w:r>
              <w:rPr>
                <w:rFonts w:hint="eastAsia" w:ascii="宋体" w:hAnsi="宋体"/>
                <w:color w:val="auto"/>
                <w:sz w:val="24"/>
                <w:highlight w:val="none"/>
                <w:vertAlign w:val="baseline"/>
                <w:lang w:val="en-US" w:eastAsia="zh-CN"/>
              </w:rPr>
              <w:t>单价合计</w:t>
            </w:r>
          </w:p>
          <w:p w14:paraId="28877463">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default"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（元/月）</w:t>
            </w:r>
          </w:p>
        </w:tc>
        <w:tc>
          <w:tcPr>
            <w:tcW w:w="1418" w:type="dxa"/>
            <w:vAlign w:val="center"/>
          </w:tcPr>
          <w:p w14:paraId="55DE22BB">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服务期</w:t>
            </w:r>
          </w:p>
        </w:tc>
        <w:tc>
          <w:tcPr>
            <w:tcW w:w="1569" w:type="dxa"/>
            <w:vAlign w:val="center"/>
          </w:tcPr>
          <w:p w14:paraId="55B5C2BA">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default"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合计（元）</w:t>
            </w:r>
          </w:p>
        </w:tc>
        <w:tc>
          <w:tcPr>
            <w:tcW w:w="819" w:type="dxa"/>
            <w:vAlign w:val="center"/>
          </w:tcPr>
          <w:p w14:paraId="28262BA0">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备注</w:t>
            </w:r>
          </w:p>
        </w:tc>
      </w:tr>
      <w:tr w14:paraId="46121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389E92DF">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1</w:t>
            </w:r>
          </w:p>
        </w:tc>
        <w:tc>
          <w:tcPr>
            <w:tcW w:w="1786" w:type="dxa"/>
            <w:vAlign w:val="center"/>
          </w:tcPr>
          <w:p w14:paraId="3C217AE5">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default"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人工费</w:t>
            </w:r>
          </w:p>
        </w:tc>
        <w:tc>
          <w:tcPr>
            <w:tcW w:w="1950" w:type="dxa"/>
          </w:tcPr>
          <w:p w14:paraId="3140CF48">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718" w:type="dxa"/>
            <w:vMerge w:val="restart"/>
            <w:vAlign w:val="center"/>
          </w:tcPr>
          <w:p w14:paraId="729B7660">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color w:val="auto"/>
                <w:sz w:val="24"/>
                <w:highlight w:val="none"/>
                <w:vertAlign w:val="baseline"/>
              </w:rPr>
            </w:pPr>
          </w:p>
        </w:tc>
        <w:tc>
          <w:tcPr>
            <w:tcW w:w="1418" w:type="dxa"/>
            <w:vMerge w:val="restart"/>
            <w:vAlign w:val="center"/>
          </w:tcPr>
          <w:p w14:paraId="7D62E884">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color w:val="auto"/>
                <w:sz w:val="24"/>
                <w:highlight w:val="none"/>
                <w:vertAlign w:val="baseline"/>
                <w:lang w:val="en-US" w:eastAsia="zh-CN"/>
              </w:rPr>
            </w:pPr>
            <w:r>
              <w:rPr>
                <w:rFonts w:hint="eastAsia" w:ascii="宋体" w:hAnsi="宋体"/>
                <w:color w:val="auto"/>
                <w:sz w:val="24"/>
                <w:highlight w:val="none"/>
                <w:vertAlign w:val="baseline"/>
                <w:lang w:val="en-US" w:eastAsia="zh-CN"/>
              </w:rPr>
              <w:t>2年</w:t>
            </w:r>
          </w:p>
          <w:p w14:paraId="12389F83">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default"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（24个月）</w:t>
            </w:r>
          </w:p>
        </w:tc>
        <w:tc>
          <w:tcPr>
            <w:tcW w:w="1569" w:type="dxa"/>
          </w:tcPr>
          <w:p w14:paraId="41EFD17E">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819" w:type="dxa"/>
          </w:tcPr>
          <w:p w14:paraId="5B663CCD">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r>
      <w:tr w14:paraId="4AF8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4F62779E">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2</w:t>
            </w:r>
          </w:p>
        </w:tc>
        <w:tc>
          <w:tcPr>
            <w:tcW w:w="1786" w:type="dxa"/>
            <w:vAlign w:val="center"/>
          </w:tcPr>
          <w:p w14:paraId="66A58EED">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水电费</w:t>
            </w:r>
          </w:p>
        </w:tc>
        <w:tc>
          <w:tcPr>
            <w:tcW w:w="1950" w:type="dxa"/>
          </w:tcPr>
          <w:p w14:paraId="4C0B9883">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718" w:type="dxa"/>
            <w:vMerge w:val="continue"/>
          </w:tcPr>
          <w:p w14:paraId="009B4B1C">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418" w:type="dxa"/>
            <w:vMerge w:val="continue"/>
          </w:tcPr>
          <w:p w14:paraId="057514D4">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569" w:type="dxa"/>
          </w:tcPr>
          <w:p w14:paraId="6B8AB012">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819" w:type="dxa"/>
          </w:tcPr>
          <w:p w14:paraId="6C7AB7FF">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r>
      <w:tr w14:paraId="29C0F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03EBC142">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3</w:t>
            </w:r>
          </w:p>
        </w:tc>
        <w:tc>
          <w:tcPr>
            <w:tcW w:w="1786" w:type="dxa"/>
            <w:vAlign w:val="center"/>
          </w:tcPr>
          <w:p w14:paraId="0FFA94F3">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消毒费</w:t>
            </w:r>
          </w:p>
        </w:tc>
        <w:tc>
          <w:tcPr>
            <w:tcW w:w="1950" w:type="dxa"/>
          </w:tcPr>
          <w:p w14:paraId="7DEF818F">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718" w:type="dxa"/>
            <w:vMerge w:val="continue"/>
          </w:tcPr>
          <w:p w14:paraId="29D9ED11">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418" w:type="dxa"/>
            <w:vMerge w:val="continue"/>
          </w:tcPr>
          <w:p w14:paraId="7F3E956A">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569" w:type="dxa"/>
          </w:tcPr>
          <w:p w14:paraId="6850C684">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819" w:type="dxa"/>
          </w:tcPr>
          <w:p w14:paraId="453F5901">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r>
      <w:tr w14:paraId="2A5D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648B636B">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4</w:t>
            </w:r>
          </w:p>
        </w:tc>
        <w:tc>
          <w:tcPr>
            <w:tcW w:w="1786" w:type="dxa"/>
            <w:vAlign w:val="center"/>
          </w:tcPr>
          <w:p w14:paraId="1E562097">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default"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设备及车辆维修费</w:t>
            </w:r>
          </w:p>
        </w:tc>
        <w:tc>
          <w:tcPr>
            <w:tcW w:w="1950" w:type="dxa"/>
          </w:tcPr>
          <w:p w14:paraId="52E55020">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718" w:type="dxa"/>
            <w:vMerge w:val="continue"/>
          </w:tcPr>
          <w:p w14:paraId="7337AB1C">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418" w:type="dxa"/>
            <w:vMerge w:val="continue"/>
          </w:tcPr>
          <w:p w14:paraId="47B0CBB9">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569" w:type="dxa"/>
          </w:tcPr>
          <w:p w14:paraId="583F0807">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819" w:type="dxa"/>
          </w:tcPr>
          <w:p w14:paraId="63EE07E0">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r>
      <w:tr w14:paraId="6343E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7D1AC855">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5</w:t>
            </w:r>
          </w:p>
        </w:tc>
        <w:tc>
          <w:tcPr>
            <w:tcW w:w="1786" w:type="dxa"/>
            <w:vAlign w:val="center"/>
          </w:tcPr>
          <w:p w14:paraId="283C5BCA">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default"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车辆油费</w:t>
            </w:r>
          </w:p>
        </w:tc>
        <w:tc>
          <w:tcPr>
            <w:tcW w:w="1950" w:type="dxa"/>
          </w:tcPr>
          <w:p w14:paraId="1D1C6143">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718" w:type="dxa"/>
            <w:vMerge w:val="continue"/>
          </w:tcPr>
          <w:p w14:paraId="0F07B1EE">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418" w:type="dxa"/>
            <w:vMerge w:val="continue"/>
          </w:tcPr>
          <w:p w14:paraId="71297E16">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569" w:type="dxa"/>
          </w:tcPr>
          <w:p w14:paraId="632A1A68">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819" w:type="dxa"/>
          </w:tcPr>
          <w:p w14:paraId="6163460D">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r>
      <w:tr w14:paraId="026FF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084F456C">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6</w:t>
            </w:r>
          </w:p>
        </w:tc>
        <w:tc>
          <w:tcPr>
            <w:tcW w:w="1786" w:type="dxa"/>
            <w:vAlign w:val="center"/>
          </w:tcPr>
          <w:p w14:paraId="1D830714">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保养费</w:t>
            </w:r>
          </w:p>
        </w:tc>
        <w:tc>
          <w:tcPr>
            <w:tcW w:w="1950" w:type="dxa"/>
          </w:tcPr>
          <w:p w14:paraId="25146D6A">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718" w:type="dxa"/>
            <w:vMerge w:val="continue"/>
          </w:tcPr>
          <w:p w14:paraId="23EFF098">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418" w:type="dxa"/>
            <w:vMerge w:val="continue"/>
          </w:tcPr>
          <w:p w14:paraId="474094E7">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569" w:type="dxa"/>
          </w:tcPr>
          <w:p w14:paraId="57E2E8D8">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819" w:type="dxa"/>
          </w:tcPr>
          <w:p w14:paraId="564C13FB">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r>
      <w:tr w14:paraId="61D63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59FDEA29">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7</w:t>
            </w:r>
          </w:p>
        </w:tc>
        <w:tc>
          <w:tcPr>
            <w:tcW w:w="1786" w:type="dxa"/>
            <w:vAlign w:val="center"/>
          </w:tcPr>
          <w:p w14:paraId="75557BE7">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保险费</w:t>
            </w:r>
          </w:p>
        </w:tc>
        <w:tc>
          <w:tcPr>
            <w:tcW w:w="1950" w:type="dxa"/>
          </w:tcPr>
          <w:p w14:paraId="615F3078">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718" w:type="dxa"/>
            <w:vMerge w:val="continue"/>
          </w:tcPr>
          <w:p w14:paraId="4F350F2D">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418" w:type="dxa"/>
            <w:vMerge w:val="continue"/>
          </w:tcPr>
          <w:p w14:paraId="050F7961">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569" w:type="dxa"/>
          </w:tcPr>
          <w:p w14:paraId="6C704AAA">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819" w:type="dxa"/>
          </w:tcPr>
          <w:p w14:paraId="4801CD75">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r>
      <w:tr w14:paraId="28DF2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16A4457E">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8</w:t>
            </w:r>
          </w:p>
        </w:tc>
        <w:tc>
          <w:tcPr>
            <w:tcW w:w="1786" w:type="dxa"/>
            <w:vAlign w:val="center"/>
          </w:tcPr>
          <w:p w14:paraId="76733B6D">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管理费</w:t>
            </w:r>
          </w:p>
        </w:tc>
        <w:tc>
          <w:tcPr>
            <w:tcW w:w="1950" w:type="dxa"/>
          </w:tcPr>
          <w:p w14:paraId="6748D5EA">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718" w:type="dxa"/>
            <w:vMerge w:val="continue"/>
          </w:tcPr>
          <w:p w14:paraId="47386502">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418" w:type="dxa"/>
            <w:vMerge w:val="continue"/>
          </w:tcPr>
          <w:p w14:paraId="7D09CC11">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569" w:type="dxa"/>
          </w:tcPr>
          <w:p w14:paraId="19983FF8">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819" w:type="dxa"/>
          </w:tcPr>
          <w:p w14:paraId="5404C928">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r>
      <w:tr w14:paraId="2558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96" w:type="dxa"/>
            <w:vAlign w:val="center"/>
          </w:tcPr>
          <w:p w14:paraId="10705133">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9</w:t>
            </w:r>
          </w:p>
        </w:tc>
        <w:tc>
          <w:tcPr>
            <w:tcW w:w="1786" w:type="dxa"/>
            <w:vAlign w:val="center"/>
          </w:tcPr>
          <w:p w14:paraId="648E122A">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default" w:ascii="宋体" w:hAnsi="宋体" w:eastAsiaTheme="minorEastAsia"/>
                <w:color w:val="auto"/>
                <w:sz w:val="24"/>
                <w:highlight w:val="none"/>
                <w:vertAlign w:val="baseline"/>
                <w:lang w:val="en-US" w:eastAsia="zh-CN"/>
              </w:rPr>
            </w:pPr>
            <w:r>
              <w:rPr>
                <w:rFonts w:hint="eastAsia" w:ascii="宋体" w:hAnsi="宋体"/>
                <w:color w:val="auto"/>
                <w:sz w:val="24"/>
                <w:highlight w:val="none"/>
                <w:vertAlign w:val="baseline"/>
                <w:lang w:val="en-US" w:eastAsia="zh-CN"/>
              </w:rPr>
              <w:t>审验费</w:t>
            </w:r>
          </w:p>
        </w:tc>
        <w:tc>
          <w:tcPr>
            <w:tcW w:w="1950" w:type="dxa"/>
          </w:tcPr>
          <w:p w14:paraId="615D7173">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718" w:type="dxa"/>
            <w:vMerge w:val="continue"/>
          </w:tcPr>
          <w:p w14:paraId="734926E7">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418" w:type="dxa"/>
            <w:vMerge w:val="continue"/>
          </w:tcPr>
          <w:p w14:paraId="251FEFD7">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1569" w:type="dxa"/>
          </w:tcPr>
          <w:p w14:paraId="1616AAEE">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c>
          <w:tcPr>
            <w:tcW w:w="819" w:type="dxa"/>
          </w:tcPr>
          <w:p w14:paraId="11403E6D">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宋体" w:hAnsi="宋体"/>
                <w:color w:val="auto"/>
                <w:sz w:val="24"/>
                <w:highlight w:val="none"/>
                <w:vertAlign w:val="baseline"/>
              </w:rPr>
            </w:pPr>
          </w:p>
        </w:tc>
      </w:tr>
      <w:tr w14:paraId="6E8F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6" w:type="dxa"/>
            <w:gridSpan w:val="7"/>
          </w:tcPr>
          <w:p w14:paraId="5D235F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投标报价：大写：人民币</w:t>
            </w:r>
            <w:r>
              <w:rPr>
                <w:rFonts w:hint="eastAsia" w:ascii="宋体" w:hAnsi="宋体" w:cs="宋体"/>
                <w:sz w:val="24"/>
                <w:szCs w:val="24"/>
                <w:highlight w:val="none"/>
                <w:u w:val="single"/>
                <w:vertAlign w:val="baseline"/>
                <w:lang w:val="en-US" w:eastAsia="zh-CN"/>
              </w:rPr>
              <w:t xml:space="preserve">                     </w:t>
            </w:r>
            <w:r>
              <w:rPr>
                <w:rFonts w:hint="eastAsia" w:ascii="宋体" w:hAnsi="宋体" w:cs="宋体"/>
                <w:sz w:val="24"/>
                <w:szCs w:val="24"/>
                <w:highlight w:val="none"/>
                <w:vertAlign w:val="baseline"/>
                <w:lang w:val="en-US" w:eastAsia="zh-CN"/>
              </w:rPr>
              <w:t>元</w:t>
            </w:r>
          </w:p>
          <w:p w14:paraId="73958BB2">
            <w:pPr>
              <w:keepNext w:val="0"/>
              <w:keepLines w:val="0"/>
              <w:pageBreakBefore w:val="0"/>
              <w:widowControl/>
              <w:kinsoku/>
              <w:wordWrap/>
              <w:overflowPunct/>
              <w:topLinePunct w:val="0"/>
              <w:autoSpaceDE/>
              <w:autoSpaceDN/>
              <w:bidi w:val="0"/>
              <w:adjustRightInd/>
              <w:snapToGrid/>
              <w:spacing w:line="288" w:lineRule="auto"/>
              <w:ind w:firstLine="1200" w:firstLineChars="500"/>
              <w:textAlignment w:val="auto"/>
              <w:rPr>
                <w:rFonts w:hint="eastAsia" w:ascii="宋体" w:hAnsi="宋体"/>
                <w:color w:val="auto"/>
                <w:sz w:val="24"/>
                <w:highlight w:val="none"/>
                <w:vertAlign w:val="baseline"/>
              </w:rPr>
            </w:pPr>
            <w:r>
              <w:rPr>
                <w:rFonts w:hint="eastAsia" w:ascii="宋体" w:hAnsi="宋体" w:cs="宋体"/>
                <w:sz w:val="24"/>
                <w:szCs w:val="24"/>
                <w:highlight w:val="none"/>
                <w:vertAlign w:val="baseline"/>
                <w:lang w:val="en-US" w:eastAsia="zh-CN"/>
              </w:rPr>
              <w:t>小写：</w:t>
            </w:r>
            <w:r>
              <w:rPr>
                <w:rFonts w:hint="eastAsia" w:ascii="宋体" w:hAnsi="宋体" w:cs="宋体"/>
                <w:sz w:val="24"/>
                <w:szCs w:val="24"/>
                <w:highlight w:val="none"/>
                <w:u w:val="single"/>
                <w:vertAlign w:val="baseline"/>
                <w:lang w:val="en-US" w:eastAsia="zh-CN"/>
              </w:rPr>
              <w:t xml:space="preserve">                           </w:t>
            </w:r>
            <w:r>
              <w:rPr>
                <w:rFonts w:hint="eastAsia" w:ascii="宋体" w:hAnsi="宋体" w:cs="宋体"/>
                <w:sz w:val="24"/>
                <w:szCs w:val="24"/>
                <w:highlight w:val="none"/>
                <w:u w:val="none"/>
                <w:vertAlign w:val="baseline"/>
                <w:lang w:val="en-US" w:eastAsia="zh-CN"/>
              </w:rPr>
              <w:t>元</w:t>
            </w:r>
          </w:p>
        </w:tc>
      </w:tr>
    </w:tbl>
    <w:p w14:paraId="5EF205A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olor w:val="auto"/>
          <w:sz w:val="24"/>
          <w:highlight w:val="none"/>
        </w:rPr>
      </w:pPr>
      <w:r>
        <w:rPr>
          <w:rFonts w:hint="eastAsia" w:ascii="宋体" w:hAnsi="宋体"/>
          <w:color w:val="auto"/>
          <w:sz w:val="24"/>
          <w:highlight w:val="none"/>
        </w:rPr>
        <w:t>注：</w:t>
      </w:r>
      <w:r>
        <w:rPr>
          <w:rFonts w:hint="eastAsia" w:ascii="宋体" w:hAnsi="宋体"/>
          <w:color w:val="auto"/>
          <w:sz w:val="24"/>
          <w:highlight w:val="none"/>
          <w:lang w:val="en-US" w:eastAsia="zh-CN"/>
        </w:rPr>
        <w:t>1.</w:t>
      </w:r>
      <w:r>
        <w:rPr>
          <w:rFonts w:hint="eastAsia" w:ascii="宋体" w:hAnsi="宋体"/>
          <w:color w:val="auto"/>
          <w:sz w:val="24"/>
          <w:highlight w:val="none"/>
        </w:rPr>
        <w:t>若表格不够用，各供应商可按此表复制。</w:t>
      </w:r>
    </w:p>
    <w:p w14:paraId="4BAADD27">
      <w:pPr>
        <w:keepNext w:val="0"/>
        <w:keepLines w:val="0"/>
        <w:widowControl/>
        <w:suppressLineNumbers w:val="0"/>
        <w:spacing w:line="360" w:lineRule="auto"/>
        <w:ind w:firstLine="480" w:firstLineChars="200"/>
        <w:jc w:val="left"/>
      </w:pPr>
      <w:r>
        <w:rPr>
          <w:rFonts w:hint="eastAsia" w:ascii="宋体" w:hAnsi="宋体" w:eastAsia="宋体" w:cs="宋体"/>
          <w:color w:val="000000"/>
          <w:kern w:val="0"/>
          <w:sz w:val="24"/>
          <w:szCs w:val="24"/>
          <w:lang w:val="en-US" w:eastAsia="zh-CN" w:bidi="ar"/>
        </w:rPr>
        <w:t xml:space="preserve">2.如果按单价计算的结果与总价不一致，以单价为准修正总价。 </w:t>
      </w:r>
    </w:p>
    <w:p w14:paraId="57735A35">
      <w:pPr>
        <w:keepNext w:val="0"/>
        <w:keepLines w:val="0"/>
        <w:widowControl/>
        <w:suppressLineNumbers w:val="0"/>
        <w:spacing w:line="360" w:lineRule="auto"/>
        <w:ind w:firstLine="480" w:firstLineChars="200"/>
        <w:jc w:val="left"/>
      </w:pPr>
      <w:r>
        <w:rPr>
          <w:rFonts w:hint="eastAsia" w:ascii="宋体" w:hAnsi="宋体" w:eastAsia="宋体" w:cs="宋体"/>
          <w:color w:val="000000"/>
          <w:kern w:val="0"/>
          <w:sz w:val="24"/>
          <w:szCs w:val="24"/>
          <w:lang w:val="en-US" w:eastAsia="zh-CN" w:bidi="ar"/>
        </w:rPr>
        <w:t xml:space="preserve">3.如果不提供分项报价将视为没有实质性响应招标文件。 </w:t>
      </w:r>
    </w:p>
    <w:p w14:paraId="6BA27F2E">
      <w:pPr>
        <w:keepNext w:val="0"/>
        <w:keepLines w:val="0"/>
        <w:widowControl/>
        <w:suppressLineNumbers w:val="0"/>
        <w:spacing w:line="360" w:lineRule="auto"/>
        <w:ind w:firstLine="480" w:firstLineChars="200"/>
        <w:jc w:val="left"/>
        <w:rPr>
          <w:rFonts w:hint="eastAsia" w:ascii="宋体" w:hAnsi="宋体"/>
          <w:color w:val="auto"/>
          <w:sz w:val="24"/>
          <w:highlight w:val="none"/>
          <w:lang w:eastAsia="zh-CN"/>
        </w:rPr>
      </w:pPr>
      <w:r>
        <w:rPr>
          <w:rFonts w:hint="eastAsia" w:ascii="宋体" w:hAnsi="宋体" w:eastAsia="宋体" w:cs="宋体"/>
          <w:color w:val="000000"/>
          <w:kern w:val="0"/>
          <w:sz w:val="24"/>
          <w:szCs w:val="24"/>
          <w:lang w:val="en-US" w:eastAsia="zh-CN" w:bidi="ar"/>
        </w:rPr>
        <w:t>4.保留两位小数。</w:t>
      </w:r>
    </w:p>
    <w:p w14:paraId="0CF659FE">
      <w:pPr>
        <w:spacing w:line="480" w:lineRule="auto"/>
        <w:ind w:firstLine="3840" w:firstLineChars="1600"/>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投标人名称（</w:t>
      </w:r>
      <w:r>
        <w:rPr>
          <w:rFonts w:hint="eastAsia" w:ascii="宋体" w:hAnsi="宋体" w:cs="宋体"/>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p>
    <w:p w14:paraId="2F267FAB">
      <w:pPr>
        <w:spacing w:line="480" w:lineRule="auto"/>
        <w:ind w:firstLine="3840" w:firstLineChars="1600"/>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法定代表人或被授权人（签字或盖章）：</w:t>
      </w:r>
      <w:r>
        <w:rPr>
          <w:rFonts w:hint="eastAsia" w:ascii="宋体" w:hAnsi="宋体" w:eastAsia="宋体" w:cs="宋体"/>
          <w:color w:val="auto"/>
          <w:sz w:val="24"/>
          <w:szCs w:val="24"/>
          <w:highlight w:val="none"/>
          <w:u w:val="single"/>
          <w:lang w:eastAsia="zh-CN"/>
        </w:rPr>
        <w:t xml:space="preserve">            </w:t>
      </w:r>
    </w:p>
    <w:p w14:paraId="7CB4C641">
      <w:pPr>
        <w:spacing w:line="480" w:lineRule="auto"/>
        <w:ind w:firstLine="3840" w:firstLineChars="1600"/>
        <w:rPr>
          <w:rFonts w:hint="eastAsia"/>
        </w:rPr>
      </w:pPr>
      <w:r>
        <w:rPr>
          <w:rFonts w:hint="eastAsia" w:ascii="宋体" w:hAnsi="宋体" w:eastAsia="宋体" w:cs="宋体"/>
          <w:color w:val="auto"/>
          <w:sz w:val="24"/>
          <w:szCs w:val="24"/>
          <w:highlight w:val="none"/>
          <w:lang w:eastAsia="zh-CN"/>
        </w:rPr>
        <w:t>日              期：</w:t>
      </w:r>
      <w:r>
        <w:rPr>
          <w:rFonts w:hint="eastAsia" w:ascii="宋体" w:hAnsi="宋体" w:eastAsia="宋体" w:cs="宋体"/>
          <w:color w:val="auto"/>
          <w:sz w:val="24"/>
          <w:szCs w:val="24"/>
          <w:highlight w:val="none"/>
          <w:u w:val="single"/>
          <w:lang w:eastAsia="zh-CN"/>
        </w:rPr>
        <w:t xml:space="preserve">                        </w:t>
      </w:r>
    </w:p>
    <w:p w14:paraId="37358F5E">
      <w:pPr>
        <w:pStyle w:val="3"/>
        <w:jc w:val="center"/>
        <w:rPr>
          <w:rFonts w:hint="eastAsia" w:ascii="宋体" w:hAnsi="宋体" w:eastAsia="宋体" w:cs="宋体"/>
          <w:b/>
          <w:bCs/>
        </w:rPr>
      </w:pPr>
      <w:r>
        <w:rPr>
          <w:rFonts w:hint="eastAsia" w:ascii="宋体" w:hAnsi="宋体" w:eastAsia="宋体" w:cs="宋体"/>
          <w:b/>
          <w:bCs/>
        </w:rPr>
        <w:t>第三部分  资格证明文件</w:t>
      </w:r>
    </w:p>
    <w:p w14:paraId="7606F1FA">
      <w:pPr>
        <w:numPr>
          <w:ilvl w:val="0"/>
          <w:numId w:val="0"/>
        </w:numPr>
        <w:jc w:val="both"/>
        <w:rPr>
          <w:rFonts w:hint="eastAsia" w:ascii="宋体" w:hAnsi="宋体" w:cs="宋体"/>
          <w:b/>
          <w:bCs/>
          <w:i w:val="0"/>
          <w:iCs w:val="0"/>
          <w:caps w:val="0"/>
          <w:color w:val="auto"/>
          <w:spacing w:val="0"/>
          <w:kern w:val="0"/>
          <w:sz w:val="24"/>
          <w:szCs w:val="24"/>
          <w:highlight w:val="none"/>
          <w:u w:val="none"/>
          <w:lang w:val="en-US" w:eastAsia="zh-CN" w:bidi="ar-SA"/>
        </w:rPr>
      </w:pPr>
      <w:r>
        <w:rPr>
          <w:rFonts w:hint="eastAsia" w:ascii="宋体" w:hAnsi="宋体" w:cs="宋体"/>
          <w:b/>
          <w:bCs/>
          <w:i w:val="0"/>
          <w:iCs w:val="0"/>
          <w:caps w:val="0"/>
          <w:color w:val="auto"/>
          <w:spacing w:val="0"/>
          <w:kern w:val="0"/>
          <w:sz w:val="24"/>
          <w:szCs w:val="24"/>
          <w:highlight w:val="none"/>
          <w:u w:val="none"/>
          <w:lang w:val="en-US" w:eastAsia="zh-CN" w:bidi="ar-SA"/>
        </w:rPr>
        <w:t>1.提供合格有效的法人或者其他组织的营业执照等证明文件或自然人的身份证明；</w:t>
      </w:r>
    </w:p>
    <w:p w14:paraId="21EE8255">
      <w:pPr>
        <w:numPr>
          <w:ilvl w:val="0"/>
          <w:numId w:val="0"/>
        </w:numPr>
        <w:jc w:val="both"/>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cs="宋体"/>
          <w:b/>
          <w:bCs/>
          <w:i w:val="0"/>
          <w:iCs w:val="0"/>
          <w:caps w:val="0"/>
          <w:color w:val="auto"/>
          <w:spacing w:val="0"/>
          <w:kern w:val="0"/>
          <w:sz w:val="24"/>
          <w:szCs w:val="24"/>
          <w:highlight w:val="none"/>
          <w:u w:val="none"/>
          <w:lang w:val="en-US" w:eastAsia="zh-CN" w:bidi="ar-SA"/>
        </w:rPr>
        <w:br w:type="page"/>
      </w:r>
      <w:r>
        <w:rPr>
          <w:rFonts w:hint="eastAsia" w:ascii="宋体" w:hAnsi="宋体" w:cs="宋体"/>
          <w:b/>
          <w:bCs/>
          <w:i w:val="0"/>
          <w:iCs w:val="0"/>
          <w:caps w:val="0"/>
          <w:color w:val="auto"/>
          <w:spacing w:val="0"/>
          <w:kern w:val="0"/>
          <w:sz w:val="24"/>
          <w:szCs w:val="24"/>
          <w:highlight w:val="none"/>
          <w:u w:val="none"/>
          <w:lang w:val="en-US" w:eastAsia="zh-CN" w:bidi="ar-SA"/>
        </w:rPr>
        <w:t>2.基本资格条件：</w:t>
      </w:r>
      <w:r>
        <w:rPr>
          <w:rFonts w:hint="eastAsia" w:ascii="宋体" w:hAnsi="宋体" w:eastAsia="宋体" w:cs="宋体"/>
          <w:b/>
          <w:bCs/>
          <w:i w:val="0"/>
          <w:iCs w:val="0"/>
          <w:caps w:val="0"/>
          <w:color w:val="auto"/>
          <w:spacing w:val="0"/>
          <w:kern w:val="0"/>
          <w:sz w:val="24"/>
          <w:szCs w:val="24"/>
          <w:highlight w:val="none"/>
          <w:u w:val="none"/>
          <w:lang w:val="en-US" w:eastAsia="zh-CN" w:bidi="ar-SA"/>
        </w:rPr>
        <w:t>符合《中华人民共和国政府采购法》第二十二条的规定；</w:t>
      </w:r>
    </w:p>
    <w:p w14:paraId="57E0A48E">
      <w:pPr>
        <w:numPr>
          <w:ilvl w:val="0"/>
          <w:numId w:val="0"/>
        </w:numPr>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基本资格条件承诺函</w:t>
      </w:r>
    </w:p>
    <w:p w14:paraId="17AF0EE7">
      <w:pPr>
        <w:keepNext w:val="0"/>
        <w:keepLines w:val="0"/>
        <w:pageBreakBefore w:val="0"/>
        <w:widowControl w:val="0"/>
        <w:kinsoku/>
        <w:wordWrap/>
        <w:overflowPunct/>
        <w:topLinePunct w:val="0"/>
        <w:autoSpaceDE/>
        <w:autoSpaceDN/>
        <w:bidi w:val="0"/>
        <w:adjustRightInd/>
        <w:snapToGrid/>
        <w:spacing w:line="360" w:lineRule="auto"/>
        <w:ind w:left="892" w:leftChars="172" w:hanging="480" w:hangingChars="20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致</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eastAsia="zh-CN"/>
        </w:rPr>
        <w:t>(采购代理机构名称):</w:t>
      </w:r>
    </w:p>
    <w:p w14:paraId="08B8E434">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eastAsia="zh-CN"/>
        </w:rPr>
        <w:t>(供应商名称)郑重承诺:</w:t>
      </w:r>
    </w:p>
    <w:p w14:paraId="496EEC8A">
      <w:pPr>
        <w:keepNext w:val="0"/>
        <w:keepLines w:val="0"/>
        <w:pageBreakBefore w:val="0"/>
        <w:widowControl w:val="0"/>
        <w:kinsoku/>
        <w:wordWrap/>
        <w:overflowPunct/>
        <w:topLinePunct w:val="0"/>
        <w:autoSpaceDE/>
        <w:autoSpaceDN/>
        <w:bidi w:val="0"/>
        <w:adjustRightInd/>
        <w:snapToGrid/>
        <w:spacing w:line="360" w:lineRule="auto"/>
        <w:ind w:left="547" w:leftChars="228" w:firstLine="240" w:firstLineChars="10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1.我方具有良好的商业信誉和健全的财务会计制度，具有履行合同所必需的设备和专业技术能力，具有依法缴纳税收和社会保障金的良好记录，参加本项目采购活动前三年内无重大违法活动记录。</w:t>
      </w:r>
    </w:p>
    <w:p w14:paraId="780AD496">
      <w:pPr>
        <w:keepNext w:val="0"/>
        <w:keepLines w:val="0"/>
        <w:pageBreakBefore w:val="0"/>
        <w:widowControl w:val="0"/>
        <w:kinsoku/>
        <w:wordWrap/>
        <w:overflowPunct/>
        <w:topLinePunct w:val="0"/>
        <w:autoSpaceDE/>
        <w:autoSpaceDN/>
        <w:bidi w:val="0"/>
        <w:adjustRightInd/>
        <w:snapToGrid/>
        <w:spacing w:line="360" w:lineRule="auto"/>
        <w:ind w:left="547" w:leftChars="228" w:firstLine="240" w:firstLineChars="10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2.我方未列入在信用中国网站(www.creditchina.gov.cn)“失信被执行人”、“重大税收违法案件当事人名单”中，也未列入中国政府采购网(www.ccgp.gov.cn)“政府采购严重违法失信行为记录名单”中。</w:t>
      </w:r>
    </w:p>
    <w:p w14:paraId="1DDA84CA">
      <w:pPr>
        <w:keepNext w:val="0"/>
        <w:keepLines w:val="0"/>
        <w:pageBreakBefore w:val="0"/>
        <w:widowControl w:val="0"/>
        <w:kinsoku/>
        <w:wordWrap/>
        <w:overflowPunct/>
        <w:topLinePunct w:val="0"/>
        <w:autoSpaceDE/>
        <w:autoSpaceDN/>
        <w:bidi w:val="0"/>
        <w:adjustRightInd/>
        <w:snapToGrid/>
        <w:spacing w:line="360" w:lineRule="auto"/>
        <w:ind w:left="547" w:leftChars="228" w:firstLine="240" w:firstLineChars="10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3.我方在采购项目评审(评标)环节结束后，随时接受采购人、采购代理机构的检查验证，配合提供相关证明材料，证明符合《中华人民共和国政府采购法》规定的投标人基本资格条件。</w:t>
      </w:r>
    </w:p>
    <w:p w14:paraId="1CAC26C5">
      <w:pPr>
        <w:keepNext w:val="0"/>
        <w:keepLines w:val="0"/>
        <w:pageBreakBefore w:val="0"/>
        <w:widowControl w:val="0"/>
        <w:kinsoku/>
        <w:wordWrap/>
        <w:overflowPunct/>
        <w:topLinePunct w:val="0"/>
        <w:autoSpaceDE/>
        <w:autoSpaceDN/>
        <w:bidi w:val="0"/>
        <w:adjustRightInd/>
        <w:snapToGrid/>
        <w:spacing w:line="360" w:lineRule="auto"/>
        <w:ind w:left="547" w:leftChars="228" w:firstLine="240" w:firstLineChars="10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我方对以上承诺负全部法律责任。</w:t>
      </w:r>
    </w:p>
    <w:p w14:paraId="2A796679">
      <w:pPr>
        <w:keepNext w:val="0"/>
        <w:keepLines w:val="0"/>
        <w:pageBreakBefore w:val="0"/>
        <w:widowControl w:val="0"/>
        <w:kinsoku/>
        <w:wordWrap/>
        <w:overflowPunct/>
        <w:topLinePunct w:val="0"/>
        <w:autoSpaceDE/>
        <w:autoSpaceDN/>
        <w:bidi w:val="0"/>
        <w:adjustRightInd/>
        <w:snapToGrid/>
        <w:spacing w:line="360" w:lineRule="auto"/>
        <w:ind w:left="547" w:leftChars="228" w:firstLine="240" w:firstLineChars="10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特此承诺。</w:t>
      </w:r>
    </w:p>
    <w:p w14:paraId="3982F7E7">
      <w:pPr>
        <w:spacing w:line="480" w:lineRule="auto"/>
        <w:ind w:firstLine="3840" w:firstLineChars="1600"/>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投标人名称（</w:t>
      </w:r>
      <w:r>
        <w:rPr>
          <w:rFonts w:hint="eastAsia" w:ascii="宋体" w:hAnsi="宋体" w:cs="宋体"/>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p>
    <w:p w14:paraId="6959AC60">
      <w:pPr>
        <w:spacing w:line="480" w:lineRule="auto"/>
        <w:ind w:firstLine="3840" w:firstLineChars="1600"/>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法定代表人或被授权人（签字或盖章）：</w:t>
      </w:r>
      <w:r>
        <w:rPr>
          <w:rFonts w:hint="eastAsia" w:ascii="宋体" w:hAnsi="宋体" w:eastAsia="宋体" w:cs="宋体"/>
          <w:color w:val="auto"/>
          <w:sz w:val="24"/>
          <w:szCs w:val="24"/>
          <w:highlight w:val="none"/>
          <w:u w:val="single"/>
          <w:lang w:eastAsia="zh-CN"/>
        </w:rPr>
        <w:t xml:space="preserve">            </w:t>
      </w:r>
    </w:p>
    <w:p w14:paraId="380F5D86">
      <w:pPr>
        <w:spacing w:line="480" w:lineRule="auto"/>
        <w:ind w:firstLine="3840" w:firstLineChars="1600"/>
        <w:rPr>
          <w:rFonts w:hint="eastAsia"/>
        </w:rPr>
      </w:pPr>
      <w:r>
        <w:rPr>
          <w:rFonts w:hint="eastAsia" w:ascii="宋体" w:hAnsi="宋体" w:eastAsia="宋体" w:cs="宋体"/>
          <w:color w:val="auto"/>
          <w:sz w:val="24"/>
          <w:szCs w:val="24"/>
          <w:highlight w:val="none"/>
          <w:lang w:eastAsia="zh-CN"/>
        </w:rPr>
        <w:t>日              期：</w:t>
      </w:r>
      <w:r>
        <w:rPr>
          <w:rFonts w:hint="eastAsia" w:ascii="宋体" w:hAnsi="宋体" w:eastAsia="宋体" w:cs="宋体"/>
          <w:color w:val="auto"/>
          <w:sz w:val="24"/>
          <w:szCs w:val="24"/>
          <w:highlight w:val="none"/>
          <w:u w:val="single"/>
          <w:lang w:eastAsia="zh-CN"/>
        </w:rPr>
        <w:t xml:space="preserve">                       </w:t>
      </w:r>
    </w:p>
    <w:p w14:paraId="58AEEF95">
      <w:pPr>
        <w:rPr>
          <w:rFonts w:hint="eastAsia" w:ascii="宋体" w:hAnsi="宋体" w:cs="宋体"/>
          <w:color w:val="000000"/>
          <w:sz w:val="24"/>
          <w:highlight w:val="none"/>
          <w:lang w:val="en-US" w:eastAsia="zh-CN"/>
        </w:rPr>
      </w:pPr>
    </w:p>
    <w:p w14:paraId="644B409C">
      <w:pPr>
        <w:rPr>
          <w:rFonts w:hint="eastAsia" w:ascii="宋体" w:hAnsi="宋体" w:eastAsia="宋体" w:cs="宋体"/>
          <w:color w:val="auto"/>
          <w:sz w:val="24"/>
          <w:highlight w:val="none"/>
        </w:rPr>
      </w:pPr>
      <w:r>
        <w:rPr>
          <w:rFonts w:hint="eastAsia" w:ascii="宋体" w:hAnsi="宋体" w:cs="宋体"/>
          <w:color w:val="000000"/>
          <w:sz w:val="24"/>
          <w:highlight w:val="none"/>
          <w:lang w:val="en-US" w:eastAsia="zh-CN"/>
        </w:rPr>
        <w:br w:type="page"/>
      </w:r>
      <w:r>
        <w:rPr>
          <w:rFonts w:hint="eastAsia" w:ascii="宋体" w:hAnsi="宋体" w:eastAsia="宋体" w:cs="宋体"/>
          <w:b/>
          <w:bCs/>
          <w:color w:val="auto"/>
          <w:sz w:val="24"/>
          <w:highlight w:val="none"/>
          <w:lang w:val="en-US" w:eastAsia="zh-CN"/>
        </w:rPr>
        <w:t>3.供应商应授权合法的人员参加投标全过程，其中法定代表人直接参加投标的，须出具法定代表人身份证，并与营业执照上信息一致。法定代表人授权代表参加投标的，须出具法定代表人授权书及授权代表身份证，授权代表须提供近六个月中任一个月缴纳社保证明复印件并加盖单位公章；</w:t>
      </w:r>
      <w:r>
        <w:rPr>
          <w:rFonts w:hint="eastAsia" w:ascii="宋体" w:hAnsi="宋体" w:eastAsia="宋体" w:cs="宋体"/>
          <w:b/>
          <w:bCs/>
          <w:color w:val="auto"/>
          <w:sz w:val="24"/>
          <w:highlight w:val="none"/>
        </w:rPr>
        <w:t>；</w:t>
      </w:r>
    </w:p>
    <w:p w14:paraId="0345CED3">
      <w:pPr>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表一  法定代表人身份证明书</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9"/>
        <w:gridCol w:w="2094"/>
        <w:gridCol w:w="2090"/>
        <w:gridCol w:w="177"/>
        <w:gridCol w:w="2090"/>
        <w:gridCol w:w="2220"/>
      </w:tblGrid>
      <w:tr w14:paraId="0EDD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000" w:type="pct"/>
            <w:gridSpan w:val="6"/>
            <w:noWrap w:val="0"/>
            <w:vAlign w:val="center"/>
          </w:tcPr>
          <w:p w14:paraId="20548526">
            <w:pPr>
              <w:tabs>
                <w:tab w:val="left" w:pos="210"/>
              </w:tabs>
              <w:spacing w:line="32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致：华晟国际项目管理有限公司</w:t>
            </w:r>
          </w:p>
        </w:tc>
      </w:tr>
      <w:tr w14:paraId="2B0D6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544" w:type="pct"/>
            <w:vMerge w:val="restart"/>
            <w:noWrap w:val="0"/>
            <w:vAlign w:val="center"/>
          </w:tcPr>
          <w:p w14:paraId="1938D779">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00CE326D">
            <w:pPr>
              <w:tabs>
                <w:tab w:val="left" w:pos="210"/>
              </w:tabs>
              <w:spacing w:line="320" w:lineRule="exact"/>
              <w:jc w:val="center"/>
              <w:rPr>
                <w:rFonts w:hint="eastAsia" w:ascii="宋体" w:hAnsi="宋体" w:eastAsia="宋体" w:cs="宋体"/>
                <w:color w:val="auto"/>
                <w:kern w:val="0"/>
                <w:sz w:val="24"/>
                <w:highlight w:val="none"/>
              </w:rPr>
            </w:pPr>
          </w:p>
          <w:p w14:paraId="2C4F6DD0">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4335D7AD">
            <w:pPr>
              <w:tabs>
                <w:tab w:val="left" w:pos="210"/>
              </w:tabs>
              <w:spacing w:line="320" w:lineRule="exact"/>
              <w:jc w:val="center"/>
              <w:rPr>
                <w:rFonts w:hint="eastAsia" w:ascii="宋体" w:hAnsi="宋体" w:eastAsia="宋体" w:cs="宋体"/>
                <w:color w:val="auto"/>
                <w:kern w:val="0"/>
                <w:sz w:val="24"/>
                <w:highlight w:val="none"/>
              </w:rPr>
            </w:pPr>
          </w:p>
          <w:p w14:paraId="7A1C547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375FD519">
            <w:pPr>
              <w:tabs>
                <w:tab w:val="left" w:pos="210"/>
              </w:tabs>
              <w:spacing w:line="320" w:lineRule="exact"/>
              <w:jc w:val="center"/>
              <w:rPr>
                <w:rFonts w:hint="eastAsia" w:ascii="宋体" w:hAnsi="宋体" w:eastAsia="宋体" w:cs="宋体"/>
                <w:color w:val="auto"/>
                <w:kern w:val="0"/>
                <w:sz w:val="24"/>
                <w:highlight w:val="none"/>
              </w:rPr>
            </w:pPr>
          </w:p>
          <w:p w14:paraId="42FA8F5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1076" w:type="pct"/>
            <w:noWrap w:val="0"/>
            <w:vAlign w:val="center"/>
          </w:tcPr>
          <w:p w14:paraId="10D97835">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3378" w:type="pct"/>
            <w:gridSpan w:val="4"/>
            <w:noWrap w:val="0"/>
            <w:vAlign w:val="center"/>
          </w:tcPr>
          <w:p w14:paraId="54BBB946">
            <w:pPr>
              <w:tabs>
                <w:tab w:val="left" w:pos="210"/>
              </w:tabs>
              <w:spacing w:line="320" w:lineRule="exact"/>
              <w:jc w:val="center"/>
              <w:rPr>
                <w:rFonts w:hint="eastAsia" w:ascii="宋体" w:hAnsi="宋体" w:eastAsia="宋体" w:cs="宋体"/>
                <w:color w:val="auto"/>
                <w:kern w:val="0"/>
                <w:sz w:val="24"/>
                <w:highlight w:val="none"/>
              </w:rPr>
            </w:pPr>
          </w:p>
        </w:tc>
      </w:tr>
      <w:tr w14:paraId="5AFE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544" w:type="pct"/>
            <w:vMerge w:val="continue"/>
            <w:noWrap w:val="0"/>
            <w:vAlign w:val="center"/>
          </w:tcPr>
          <w:p w14:paraId="1E0ACA8A">
            <w:pPr>
              <w:tabs>
                <w:tab w:val="left" w:pos="210"/>
              </w:tabs>
              <w:spacing w:line="320" w:lineRule="exact"/>
              <w:jc w:val="center"/>
              <w:rPr>
                <w:rFonts w:hint="eastAsia" w:ascii="宋体" w:hAnsi="宋体" w:eastAsia="宋体" w:cs="宋体"/>
                <w:color w:val="auto"/>
                <w:kern w:val="0"/>
                <w:sz w:val="24"/>
                <w:highlight w:val="none"/>
              </w:rPr>
            </w:pPr>
          </w:p>
        </w:tc>
        <w:tc>
          <w:tcPr>
            <w:tcW w:w="1076" w:type="pct"/>
            <w:noWrap w:val="0"/>
            <w:vAlign w:val="center"/>
          </w:tcPr>
          <w:p w14:paraId="3B80C9D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3378" w:type="pct"/>
            <w:gridSpan w:val="4"/>
            <w:noWrap w:val="0"/>
            <w:vAlign w:val="center"/>
          </w:tcPr>
          <w:p w14:paraId="09D0D639">
            <w:pPr>
              <w:tabs>
                <w:tab w:val="left" w:pos="210"/>
              </w:tabs>
              <w:spacing w:line="320" w:lineRule="exact"/>
              <w:jc w:val="center"/>
              <w:rPr>
                <w:rFonts w:hint="eastAsia" w:ascii="宋体" w:hAnsi="宋体" w:eastAsia="宋体" w:cs="宋体"/>
                <w:color w:val="auto"/>
                <w:kern w:val="0"/>
                <w:sz w:val="24"/>
                <w:highlight w:val="none"/>
              </w:rPr>
            </w:pPr>
          </w:p>
        </w:tc>
      </w:tr>
      <w:tr w14:paraId="24B8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544" w:type="pct"/>
            <w:vMerge w:val="continue"/>
            <w:noWrap w:val="0"/>
            <w:vAlign w:val="center"/>
          </w:tcPr>
          <w:p w14:paraId="4C46631D">
            <w:pPr>
              <w:tabs>
                <w:tab w:val="left" w:pos="210"/>
              </w:tabs>
              <w:spacing w:line="320" w:lineRule="exact"/>
              <w:jc w:val="center"/>
              <w:rPr>
                <w:rFonts w:hint="eastAsia" w:ascii="宋体" w:hAnsi="宋体" w:eastAsia="宋体" w:cs="宋体"/>
                <w:color w:val="auto"/>
                <w:kern w:val="0"/>
                <w:sz w:val="24"/>
                <w:highlight w:val="none"/>
              </w:rPr>
            </w:pPr>
          </w:p>
        </w:tc>
        <w:tc>
          <w:tcPr>
            <w:tcW w:w="1076" w:type="pct"/>
            <w:noWrap w:val="0"/>
            <w:vAlign w:val="center"/>
          </w:tcPr>
          <w:p w14:paraId="3E93575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3378" w:type="pct"/>
            <w:gridSpan w:val="4"/>
            <w:noWrap w:val="0"/>
            <w:vAlign w:val="center"/>
          </w:tcPr>
          <w:p w14:paraId="6EE64BB3">
            <w:pPr>
              <w:tabs>
                <w:tab w:val="left" w:pos="210"/>
              </w:tabs>
              <w:spacing w:line="320" w:lineRule="exact"/>
              <w:jc w:val="center"/>
              <w:rPr>
                <w:rFonts w:hint="eastAsia" w:ascii="宋体" w:hAnsi="宋体" w:eastAsia="宋体" w:cs="宋体"/>
                <w:color w:val="auto"/>
                <w:kern w:val="0"/>
                <w:sz w:val="24"/>
                <w:highlight w:val="none"/>
              </w:rPr>
            </w:pPr>
          </w:p>
        </w:tc>
      </w:tr>
      <w:tr w14:paraId="112CE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44" w:type="pct"/>
            <w:vMerge w:val="continue"/>
            <w:noWrap w:val="0"/>
            <w:vAlign w:val="center"/>
          </w:tcPr>
          <w:p w14:paraId="6827FBE6">
            <w:pPr>
              <w:tabs>
                <w:tab w:val="left" w:pos="210"/>
              </w:tabs>
              <w:spacing w:line="320" w:lineRule="exact"/>
              <w:jc w:val="center"/>
              <w:rPr>
                <w:rFonts w:hint="eastAsia" w:ascii="宋体" w:hAnsi="宋体" w:eastAsia="宋体" w:cs="宋体"/>
                <w:color w:val="auto"/>
                <w:kern w:val="0"/>
                <w:sz w:val="24"/>
                <w:highlight w:val="none"/>
              </w:rPr>
            </w:pPr>
          </w:p>
        </w:tc>
        <w:tc>
          <w:tcPr>
            <w:tcW w:w="1076" w:type="pct"/>
            <w:noWrap w:val="0"/>
            <w:vAlign w:val="center"/>
          </w:tcPr>
          <w:p w14:paraId="7BB5EBF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工商登记机关</w:t>
            </w:r>
          </w:p>
        </w:tc>
        <w:tc>
          <w:tcPr>
            <w:tcW w:w="3378" w:type="pct"/>
            <w:gridSpan w:val="4"/>
            <w:noWrap w:val="0"/>
            <w:vAlign w:val="center"/>
          </w:tcPr>
          <w:p w14:paraId="2C7FC676">
            <w:pPr>
              <w:tabs>
                <w:tab w:val="left" w:pos="210"/>
              </w:tabs>
              <w:spacing w:line="320" w:lineRule="exact"/>
              <w:jc w:val="center"/>
              <w:rPr>
                <w:rFonts w:hint="eastAsia" w:ascii="宋体" w:hAnsi="宋体" w:eastAsia="宋体" w:cs="宋体"/>
                <w:color w:val="auto"/>
                <w:kern w:val="0"/>
                <w:sz w:val="24"/>
                <w:highlight w:val="none"/>
              </w:rPr>
            </w:pPr>
          </w:p>
        </w:tc>
      </w:tr>
      <w:tr w14:paraId="3DEBE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44" w:type="pct"/>
            <w:vMerge w:val="continue"/>
            <w:noWrap w:val="0"/>
            <w:vAlign w:val="center"/>
          </w:tcPr>
          <w:p w14:paraId="3C783DC8">
            <w:pPr>
              <w:tabs>
                <w:tab w:val="left" w:pos="210"/>
              </w:tabs>
              <w:spacing w:line="320" w:lineRule="exact"/>
              <w:jc w:val="center"/>
              <w:rPr>
                <w:rFonts w:hint="eastAsia" w:ascii="宋体" w:hAnsi="宋体" w:eastAsia="宋体" w:cs="宋体"/>
                <w:color w:val="auto"/>
                <w:kern w:val="0"/>
                <w:sz w:val="24"/>
                <w:highlight w:val="none"/>
              </w:rPr>
            </w:pPr>
          </w:p>
        </w:tc>
        <w:tc>
          <w:tcPr>
            <w:tcW w:w="1076" w:type="pct"/>
            <w:noWrap w:val="0"/>
            <w:vAlign w:val="center"/>
          </w:tcPr>
          <w:p w14:paraId="112CCE3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税务登记机关</w:t>
            </w:r>
          </w:p>
        </w:tc>
        <w:tc>
          <w:tcPr>
            <w:tcW w:w="3378" w:type="pct"/>
            <w:gridSpan w:val="4"/>
            <w:noWrap w:val="0"/>
            <w:vAlign w:val="center"/>
          </w:tcPr>
          <w:p w14:paraId="122FDA61">
            <w:pPr>
              <w:tabs>
                <w:tab w:val="left" w:pos="210"/>
              </w:tabs>
              <w:spacing w:line="320" w:lineRule="exact"/>
              <w:rPr>
                <w:rFonts w:hint="eastAsia" w:ascii="宋体" w:hAnsi="宋体" w:eastAsia="宋体" w:cs="宋体"/>
                <w:color w:val="auto"/>
                <w:kern w:val="0"/>
                <w:sz w:val="24"/>
                <w:highlight w:val="none"/>
              </w:rPr>
            </w:pPr>
          </w:p>
        </w:tc>
      </w:tr>
      <w:tr w14:paraId="4A11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44" w:type="pct"/>
            <w:vMerge w:val="continue"/>
            <w:noWrap w:val="0"/>
            <w:vAlign w:val="center"/>
          </w:tcPr>
          <w:p w14:paraId="1ED605F4">
            <w:pPr>
              <w:tabs>
                <w:tab w:val="left" w:pos="210"/>
              </w:tabs>
              <w:spacing w:line="320" w:lineRule="exact"/>
              <w:jc w:val="center"/>
              <w:rPr>
                <w:rFonts w:hint="eastAsia" w:ascii="宋体" w:hAnsi="宋体" w:eastAsia="宋体" w:cs="宋体"/>
                <w:color w:val="auto"/>
                <w:kern w:val="0"/>
                <w:sz w:val="24"/>
                <w:highlight w:val="none"/>
              </w:rPr>
            </w:pPr>
          </w:p>
        </w:tc>
        <w:tc>
          <w:tcPr>
            <w:tcW w:w="1076" w:type="pct"/>
            <w:noWrap w:val="0"/>
            <w:vAlign w:val="center"/>
          </w:tcPr>
          <w:p w14:paraId="2918234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3378" w:type="pct"/>
            <w:gridSpan w:val="4"/>
            <w:noWrap w:val="0"/>
            <w:vAlign w:val="center"/>
          </w:tcPr>
          <w:p w14:paraId="008AA64F">
            <w:pPr>
              <w:tabs>
                <w:tab w:val="left" w:pos="210"/>
              </w:tabs>
              <w:spacing w:line="320" w:lineRule="exact"/>
              <w:jc w:val="center"/>
              <w:rPr>
                <w:rFonts w:hint="eastAsia" w:ascii="宋体" w:hAnsi="宋体" w:eastAsia="宋体" w:cs="宋体"/>
                <w:color w:val="auto"/>
                <w:kern w:val="0"/>
                <w:sz w:val="24"/>
                <w:highlight w:val="none"/>
              </w:rPr>
            </w:pPr>
          </w:p>
        </w:tc>
      </w:tr>
      <w:tr w14:paraId="63628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544" w:type="pct"/>
            <w:vMerge w:val="restart"/>
            <w:noWrap w:val="0"/>
            <w:vAlign w:val="center"/>
          </w:tcPr>
          <w:p w14:paraId="35FCE3F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1076" w:type="pct"/>
            <w:noWrap w:val="0"/>
            <w:vAlign w:val="center"/>
          </w:tcPr>
          <w:p w14:paraId="3086B21E">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1165" w:type="pct"/>
            <w:gridSpan w:val="2"/>
            <w:noWrap w:val="0"/>
            <w:vAlign w:val="center"/>
          </w:tcPr>
          <w:p w14:paraId="29045C5C">
            <w:pPr>
              <w:tabs>
                <w:tab w:val="left" w:pos="210"/>
              </w:tabs>
              <w:spacing w:line="320" w:lineRule="exact"/>
              <w:jc w:val="center"/>
              <w:rPr>
                <w:rFonts w:hint="eastAsia" w:ascii="宋体" w:hAnsi="宋体" w:eastAsia="宋体" w:cs="宋体"/>
                <w:color w:val="auto"/>
                <w:kern w:val="0"/>
                <w:sz w:val="24"/>
                <w:highlight w:val="none"/>
              </w:rPr>
            </w:pPr>
          </w:p>
        </w:tc>
        <w:tc>
          <w:tcPr>
            <w:tcW w:w="1074" w:type="pct"/>
            <w:noWrap w:val="0"/>
            <w:vAlign w:val="center"/>
          </w:tcPr>
          <w:p w14:paraId="42B37FB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1138" w:type="pct"/>
            <w:noWrap w:val="0"/>
            <w:vAlign w:val="center"/>
          </w:tcPr>
          <w:p w14:paraId="37478FAF">
            <w:pPr>
              <w:tabs>
                <w:tab w:val="left" w:pos="210"/>
              </w:tabs>
              <w:spacing w:line="320" w:lineRule="exact"/>
              <w:jc w:val="center"/>
              <w:rPr>
                <w:rFonts w:hint="eastAsia" w:ascii="宋体" w:hAnsi="宋体" w:eastAsia="宋体" w:cs="宋体"/>
                <w:color w:val="auto"/>
                <w:kern w:val="0"/>
                <w:sz w:val="24"/>
                <w:highlight w:val="none"/>
              </w:rPr>
            </w:pPr>
          </w:p>
        </w:tc>
      </w:tr>
      <w:tr w14:paraId="2E8A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544" w:type="pct"/>
            <w:vMerge w:val="continue"/>
            <w:noWrap w:val="0"/>
            <w:vAlign w:val="center"/>
          </w:tcPr>
          <w:p w14:paraId="5E73D3F8">
            <w:pPr>
              <w:tabs>
                <w:tab w:val="left" w:pos="210"/>
              </w:tabs>
              <w:spacing w:line="320" w:lineRule="exact"/>
              <w:jc w:val="center"/>
              <w:rPr>
                <w:rFonts w:hint="eastAsia" w:ascii="宋体" w:hAnsi="宋体" w:eastAsia="宋体" w:cs="宋体"/>
                <w:color w:val="auto"/>
                <w:kern w:val="0"/>
                <w:sz w:val="24"/>
                <w:highlight w:val="none"/>
              </w:rPr>
            </w:pPr>
          </w:p>
        </w:tc>
        <w:tc>
          <w:tcPr>
            <w:tcW w:w="1076" w:type="pct"/>
            <w:noWrap w:val="0"/>
            <w:vAlign w:val="center"/>
          </w:tcPr>
          <w:p w14:paraId="02A20EF0">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1165" w:type="pct"/>
            <w:gridSpan w:val="2"/>
            <w:noWrap w:val="0"/>
            <w:vAlign w:val="center"/>
          </w:tcPr>
          <w:p w14:paraId="5DAE8A48">
            <w:pPr>
              <w:tabs>
                <w:tab w:val="left" w:pos="210"/>
              </w:tabs>
              <w:spacing w:line="320" w:lineRule="exact"/>
              <w:jc w:val="center"/>
              <w:rPr>
                <w:rFonts w:hint="eastAsia" w:ascii="宋体" w:hAnsi="宋体" w:eastAsia="宋体" w:cs="宋体"/>
                <w:color w:val="auto"/>
                <w:kern w:val="0"/>
                <w:sz w:val="24"/>
                <w:highlight w:val="none"/>
              </w:rPr>
            </w:pPr>
          </w:p>
        </w:tc>
        <w:tc>
          <w:tcPr>
            <w:tcW w:w="1074" w:type="pct"/>
            <w:noWrap w:val="0"/>
            <w:vAlign w:val="center"/>
          </w:tcPr>
          <w:p w14:paraId="470205A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1138" w:type="pct"/>
            <w:noWrap w:val="0"/>
            <w:vAlign w:val="center"/>
          </w:tcPr>
          <w:p w14:paraId="29D0C35D">
            <w:pPr>
              <w:tabs>
                <w:tab w:val="left" w:pos="210"/>
              </w:tabs>
              <w:spacing w:line="320" w:lineRule="exact"/>
              <w:jc w:val="center"/>
              <w:rPr>
                <w:rFonts w:hint="eastAsia" w:ascii="宋体" w:hAnsi="宋体" w:eastAsia="宋体" w:cs="宋体"/>
                <w:color w:val="auto"/>
                <w:kern w:val="0"/>
                <w:sz w:val="24"/>
                <w:highlight w:val="none"/>
              </w:rPr>
            </w:pPr>
          </w:p>
        </w:tc>
      </w:tr>
      <w:tr w14:paraId="54635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44" w:type="pct"/>
            <w:vMerge w:val="continue"/>
            <w:noWrap w:val="0"/>
            <w:vAlign w:val="center"/>
          </w:tcPr>
          <w:p w14:paraId="4D27A0A7">
            <w:pPr>
              <w:tabs>
                <w:tab w:val="left" w:pos="210"/>
              </w:tabs>
              <w:spacing w:line="320" w:lineRule="exact"/>
              <w:jc w:val="center"/>
              <w:rPr>
                <w:rFonts w:hint="eastAsia" w:ascii="宋体" w:hAnsi="宋体" w:eastAsia="宋体" w:cs="宋体"/>
                <w:color w:val="auto"/>
                <w:kern w:val="0"/>
                <w:sz w:val="24"/>
                <w:highlight w:val="none"/>
              </w:rPr>
            </w:pPr>
          </w:p>
        </w:tc>
        <w:tc>
          <w:tcPr>
            <w:tcW w:w="1076" w:type="pct"/>
            <w:noWrap w:val="0"/>
            <w:vAlign w:val="center"/>
          </w:tcPr>
          <w:p w14:paraId="34580A78">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3378" w:type="pct"/>
            <w:gridSpan w:val="4"/>
            <w:noWrap w:val="0"/>
            <w:vAlign w:val="center"/>
          </w:tcPr>
          <w:p w14:paraId="57B92AE1">
            <w:pPr>
              <w:tabs>
                <w:tab w:val="left" w:pos="210"/>
              </w:tabs>
              <w:spacing w:line="320" w:lineRule="exact"/>
              <w:jc w:val="center"/>
              <w:rPr>
                <w:rFonts w:hint="eastAsia" w:ascii="宋体" w:hAnsi="宋体" w:eastAsia="宋体" w:cs="宋体"/>
                <w:color w:val="auto"/>
                <w:kern w:val="0"/>
                <w:sz w:val="24"/>
                <w:highlight w:val="none"/>
              </w:rPr>
            </w:pPr>
          </w:p>
        </w:tc>
      </w:tr>
      <w:tr w14:paraId="25D40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9" w:hRule="atLeast"/>
          <w:jc w:val="center"/>
        </w:trPr>
        <w:tc>
          <w:tcPr>
            <w:tcW w:w="544" w:type="pct"/>
            <w:vMerge w:val="restart"/>
            <w:noWrap w:val="0"/>
            <w:vAlign w:val="center"/>
          </w:tcPr>
          <w:p w14:paraId="38726049">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2150" w:type="pct"/>
            <w:gridSpan w:val="2"/>
            <w:vMerge w:val="restart"/>
            <w:noWrap w:val="0"/>
            <w:vAlign w:val="center"/>
          </w:tcPr>
          <w:p w14:paraId="092E49A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2304" w:type="pct"/>
            <w:gridSpan w:val="3"/>
            <w:noWrap w:val="0"/>
            <w:vAlign w:val="center"/>
          </w:tcPr>
          <w:p w14:paraId="65A20B08">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法定代表人（签字或盖章）</w:t>
            </w:r>
          </w:p>
        </w:tc>
      </w:tr>
      <w:tr w14:paraId="64F50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3" w:hRule="atLeast"/>
          <w:jc w:val="center"/>
        </w:trPr>
        <w:tc>
          <w:tcPr>
            <w:tcW w:w="544" w:type="pct"/>
            <w:vMerge w:val="continue"/>
            <w:noWrap w:val="0"/>
            <w:vAlign w:val="center"/>
          </w:tcPr>
          <w:p w14:paraId="25EA5D75">
            <w:pPr>
              <w:tabs>
                <w:tab w:val="left" w:pos="210"/>
              </w:tabs>
              <w:spacing w:line="320" w:lineRule="exact"/>
              <w:jc w:val="center"/>
              <w:rPr>
                <w:rFonts w:hint="eastAsia" w:ascii="宋体" w:hAnsi="宋体" w:eastAsia="宋体" w:cs="宋体"/>
                <w:color w:val="auto"/>
                <w:kern w:val="0"/>
                <w:sz w:val="24"/>
                <w:highlight w:val="none"/>
              </w:rPr>
            </w:pPr>
          </w:p>
        </w:tc>
        <w:tc>
          <w:tcPr>
            <w:tcW w:w="2150" w:type="pct"/>
            <w:gridSpan w:val="2"/>
            <w:vMerge w:val="continue"/>
            <w:noWrap w:val="0"/>
            <w:vAlign w:val="center"/>
          </w:tcPr>
          <w:p w14:paraId="75A1AF0A">
            <w:pPr>
              <w:tabs>
                <w:tab w:val="left" w:pos="210"/>
              </w:tabs>
              <w:spacing w:line="320" w:lineRule="exact"/>
              <w:jc w:val="center"/>
              <w:rPr>
                <w:rFonts w:hint="eastAsia" w:ascii="宋体" w:hAnsi="宋体" w:eastAsia="宋体" w:cs="宋体"/>
                <w:color w:val="auto"/>
                <w:kern w:val="0"/>
                <w:sz w:val="24"/>
                <w:highlight w:val="none"/>
              </w:rPr>
            </w:pPr>
          </w:p>
        </w:tc>
        <w:tc>
          <w:tcPr>
            <w:tcW w:w="2304" w:type="pct"/>
            <w:gridSpan w:val="3"/>
            <w:noWrap w:val="0"/>
            <w:vAlign w:val="bottom"/>
          </w:tcPr>
          <w:p w14:paraId="34A33230">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582A66C9">
            <w:pPr>
              <w:tabs>
                <w:tab w:val="left" w:pos="210"/>
              </w:tabs>
              <w:spacing w:line="320" w:lineRule="exact"/>
              <w:jc w:val="center"/>
              <w:rPr>
                <w:rFonts w:hint="eastAsia" w:ascii="宋体" w:hAnsi="宋体" w:eastAsia="宋体" w:cs="宋体"/>
                <w:color w:val="auto"/>
                <w:kern w:val="0"/>
                <w:sz w:val="24"/>
                <w:highlight w:val="none"/>
              </w:rPr>
            </w:pPr>
          </w:p>
          <w:p w14:paraId="4B565499">
            <w:pPr>
              <w:tabs>
                <w:tab w:val="left" w:pos="210"/>
              </w:tabs>
              <w:spacing w:line="320" w:lineRule="exact"/>
              <w:jc w:val="center"/>
              <w:rPr>
                <w:rFonts w:hint="eastAsia" w:ascii="宋体" w:hAnsi="宋体" w:eastAsia="宋体" w:cs="宋体"/>
                <w:color w:val="auto"/>
                <w:kern w:val="0"/>
                <w:sz w:val="24"/>
                <w:highlight w:val="none"/>
              </w:rPr>
            </w:pPr>
          </w:p>
          <w:p w14:paraId="49102FD4">
            <w:pPr>
              <w:tabs>
                <w:tab w:val="left" w:pos="210"/>
              </w:tabs>
              <w:spacing w:line="320" w:lineRule="exact"/>
              <w:jc w:val="center"/>
              <w:rPr>
                <w:rFonts w:hint="eastAsia" w:ascii="宋体" w:hAnsi="宋体" w:eastAsia="宋体" w:cs="宋体"/>
                <w:color w:val="auto"/>
                <w:kern w:val="0"/>
                <w:sz w:val="24"/>
                <w:highlight w:val="none"/>
              </w:rPr>
            </w:pPr>
          </w:p>
          <w:p w14:paraId="5AFD47AB">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14:paraId="62DB0D49">
      <w:pPr>
        <w:pStyle w:val="17"/>
        <w:spacing w:line="360" w:lineRule="auto"/>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表二  法定代表人授权书</w:t>
      </w:r>
    </w:p>
    <w:p w14:paraId="1942911B">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致：华晟国际项目管理有限公司：</w:t>
      </w:r>
    </w:p>
    <w:p w14:paraId="2442ED5F">
      <w:pPr>
        <w:pStyle w:val="17"/>
        <w:spacing w:line="500" w:lineRule="exact"/>
        <w:ind w:firstLine="480" w:firstLineChars="200"/>
        <w:jc w:val="left"/>
        <w:rPr>
          <w:rFonts w:hint="eastAsia" w:ascii="宋体" w:hAnsi="宋体" w:eastAsia="宋体" w:cs="宋体"/>
          <w:color w:val="auto"/>
          <w:sz w:val="10"/>
          <w:szCs w:val="24"/>
          <w:highlight w:val="none"/>
        </w:rPr>
      </w:pPr>
      <w:r>
        <w:rPr>
          <w:rFonts w:hint="eastAsia" w:ascii="宋体" w:hAnsi="宋体" w:eastAsia="宋体" w:cs="宋体"/>
          <w:color w:val="auto"/>
          <w:sz w:val="24"/>
          <w:szCs w:val="24"/>
          <w:highlight w:val="none"/>
        </w:rPr>
        <w:t>本授权书声明：注册于（</w:t>
      </w:r>
      <w:r>
        <w:rPr>
          <w:rFonts w:hint="eastAsia" w:ascii="宋体" w:hAnsi="宋体" w:eastAsia="宋体" w:cs="宋体"/>
          <w:color w:val="auto"/>
          <w:sz w:val="24"/>
          <w:szCs w:val="24"/>
          <w:highlight w:val="none"/>
          <w:u w:val="single"/>
        </w:rPr>
        <w:t>工商行政管理局名称）之（委托单位全称）</w:t>
      </w:r>
      <w:r>
        <w:rPr>
          <w:rFonts w:hint="eastAsia" w:ascii="宋体" w:hAnsi="宋体" w:eastAsia="宋体" w:cs="宋体"/>
          <w:color w:val="auto"/>
          <w:sz w:val="24"/>
          <w:szCs w:val="24"/>
          <w:highlight w:val="none"/>
        </w:rPr>
        <w:t>的法定代表人</w:t>
      </w:r>
      <w:r>
        <w:rPr>
          <w:rFonts w:hint="eastAsia" w:ascii="宋体" w:hAnsi="宋体" w:eastAsia="宋体" w:cs="宋体"/>
          <w:color w:val="auto"/>
          <w:sz w:val="24"/>
          <w:szCs w:val="24"/>
          <w:highlight w:val="none"/>
          <w:u w:val="single"/>
        </w:rPr>
        <w:t>（姓名、性别）</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u w:val="single"/>
        </w:rPr>
        <w:t>（被授权人姓名、性别、职务）</w:t>
      </w:r>
      <w:r>
        <w:rPr>
          <w:rFonts w:hint="eastAsia" w:ascii="宋体" w:hAnsi="宋体" w:eastAsia="宋体" w:cs="宋体"/>
          <w:color w:val="auto"/>
          <w:sz w:val="24"/>
          <w:szCs w:val="24"/>
          <w:highlight w:val="none"/>
        </w:rPr>
        <w:t xml:space="preserve">为本公司合法代理人，就贵方组织的有关 </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）的开标、洽谈、执行等具体事务，签署全部有关文件、文书、协议、合同，本公司对被授权人在本项目中的签名承担全部法律责任。本授权书自</w:t>
      </w:r>
      <w:r>
        <w:rPr>
          <w:rFonts w:hint="eastAsia"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文件递交截止之日起计算有效期为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日历日。</w:t>
      </w:r>
    </w:p>
    <w:p w14:paraId="2E54F356">
      <w:pPr>
        <w:pStyle w:val="17"/>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14:paraId="7721F4C4">
      <w:pPr>
        <w:pStyle w:val="17"/>
        <w:spacing w:line="50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b/>
          <w:bCs/>
          <w:color w:val="auto"/>
          <w:sz w:val="28"/>
          <w:szCs w:val="28"/>
          <w:highlight w:val="none"/>
        </w:rPr>
        <w:t>签字或盖章</w:t>
      </w:r>
      <w:r>
        <w:rPr>
          <w:rFonts w:hint="eastAsia" w:ascii="宋体" w:hAnsi="宋体" w:eastAsia="宋体" w:cs="宋体"/>
          <w:color w:val="auto"/>
          <w:sz w:val="28"/>
          <w:szCs w:val="28"/>
          <w:highlight w:val="none"/>
        </w:rPr>
        <w:t>）</w:t>
      </w:r>
    </w:p>
    <w:p w14:paraId="20C6FBB2">
      <w:pPr>
        <w:pStyle w:val="17"/>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4335E3A">
      <w:pPr>
        <w:pStyle w:val="17"/>
        <w:spacing w:line="50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附：被授权人姓名：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03138C57">
      <w:pPr>
        <w:pStyle w:val="17"/>
        <w:spacing w:line="50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970EBD3">
      <w:pPr>
        <w:pStyle w:val="17"/>
        <w:spacing w:line="50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传真：</w:t>
      </w:r>
      <w:r>
        <w:rPr>
          <w:rFonts w:hint="eastAsia" w:ascii="宋体" w:hAnsi="宋体" w:eastAsia="宋体" w:cs="宋体"/>
          <w:color w:val="auto"/>
          <w:sz w:val="24"/>
          <w:szCs w:val="24"/>
          <w:highlight w:val="none"/>
          <w:u w:val="single"/>
        </w:rPr>
        <w:t xml:space="preserve">                      </w:t>
      </w:r>
    </w:p>
    <w:p w14:paraId="5D89C7F2">
      <w:pPr>
        <w:pStyle w:val="17"/>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附法定代表人、被授权人身份证复印件，若位置不够自行调整。</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2"/>
        <w:gridCol w:w="4190"/>
      </w:tblGrid>
      <w:tr w14:paraId="3D632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42" w:hRule="atLeast"/>
          <w:jc w:val="center"/>
        </w:trPr>
        <w:tc>
          <w:tcPr>
            <w:tcW w:w="4672" w:type="dxa"/>
            <w:tcBorders>
              <w:top w:val="single" w:color="auto" w:sz="4" w:space="0"/>
              <w:left w:val="single" w:color="auto" w:sz="4" w:space="0"/>
              <w:right w:val="single" w:color="auto" w:sz="4" w:space="0"/>
            </w:tcBorders>
            <w:shd w:val="clear" w:color="auto" w:fill="D9D9D9"/>
            <w:noWrap w:val="0"/>
            <w:vAlign w:val="center"/>
          </w:tcPr>
          <w:p w14:paraId="134C2C93">
            <w:pPr>
              <w:pStyle w:val="17"/>
              <w:spacing w:line="500" w:lineRule="exact"/>
              <w:jc w:val="center"/>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shd w:val="clear" w:color="FFFFFF" w:fill="D9D9D9"/>
              </w:rPr>
              <w:t>法定代表人身份证复印件（正、反面）</w:t>
            </w:r>
          </w:p>
        </w:tc>
        <w:tc>
          <w:tcPr>
            <w:tcW w:w="4190"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4D2B4417">
            <w:pPr>
              <w:pStyle w:val="17"/>
              <w:spacing w:line="500" w:lineRule="exact"/>
              <w:jc w:val="center"/>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shd w:val="clear" w:color="FFFFFF" w:fill="D9D9D9"/>
              </w:rPr>
              <w:t>被授权人身份证复印件（正、反面）</w:t>
            </w:r>
          </w:p>
        </w:tc>
      </w:tr>
    </w:tbl>
    <w:p w14:paraId="456A72C1">
      <w:pPr>
        <w:pStyle w:val="17"/>
        <w:spacing w:line="5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r>
        <w:rPr>
          <w:rFonts w:hint="eastAsia" w:ascii="宋体" w:hAnsi="宋体" w:eastAsia="宋体" w:cs="宋体"/>
          <w:color w:val="auto"/>
          <w:sz w:val="24"/>
          <w:szCs w:val="24"/>
          <w:highlight w:val="none"/>
        </w:rPr>
        <w:t>：</w:t>
      </w:r>
      <w:r>
        <w:rPr>
          <w:rFonts w:hint="eastAsia"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、本授权书有效期自</w:t>
      </w:r>
      <w:r>
        <w:rPr>
          <w:rFonts w:hint="eastAsia"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rPr>
        <w:t>文件递交截止之日起计算不得少于90日历日。</w:t>
      </w:r>
    </w:p>
    <w:p w14:paraId="13B5CEC5">
      <w:pPr>
        <w:pStyle w:val="17"/>
        <w:spacing w:line="500" w:lineRule="exact"/>
        <w:ind w:firstLine="720" w:firstLineChars="300"/>
        <w:jc w:val="left"/>
        <w:rPr>
          <w:rFonts w:hint="eastAsia" w:ascii="宋体" w:hAnsi="宋体" w:eastAsia="宋体" w:cs="宋体"/>
          <w:color w:val="auto"/>
          <w:highlight w:val="none"/>
        </w:rPr>
      </w:pPr>
      <w:r>
        <w:rPr>
          <w:rFonts w:hint="eastAsia"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、授权书内容填写要明确，文字要工整清楚，涂改无效。</w:t>
      </w:r>
    </w:p>
    <w:p w14:paraId="3443E99C">
      <w:pPr>
        <w:pStyle w:val="17"/>
        <w:spacing w:line="500" w:lineRule="exact"/>
        <w:ind w:firstLine="720" w:firstLineChars="300"/>
        <w:jc w:val="left"/>
        <w:rPr>
          <w:rFonts w:hint="eastAsia" w:ascii="宋体" w:hAnsi="宋体" w:cs="宋体"/>
          <w:b/>
          <w:bCs/>
          <w:sz w:val="24"/>
          <w:szCs w:val="24"/>
          <w:highlight w:val="none"/>
          <w:lang w:val="en-US" w:eastAsia="zh-CN"/>
        </w:rPr>
      </w:pPr>
      <w:r>
        <w:rPr>
          <w:rFonts w:hint="eastAsia" w:hAnsi="宋体" w:eastAsia="宋体" w:cs="宋体"/>
          <w:b/>
          <w:bCs/>
          <w:color w:val="auto"/>
          <w:sz w:val="24"/>
          <w:szCs w:val="24"/>
          <w:highlight w:val="none"/>
          <w:lang w:val="en-US" w:eastAsia="zh-CN"/>
        </w:rPr>
        <w:t>3、授权代表须提供近六个月中任一个月缴纳社保证明复印件并加盖单位公章。</w:t>
      </w:r>
    </w:p>
    <w:p w14:paraId="689E5D2F">
      <w:pPr>
        <w:spacing w:line="430" w:lineRule="atLeas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32"/>
          <w:szCs w:val="32"/>
          <w:highlight w:val="none"/>
        </w:rPr>
        <w:br w:type="page"/>
      </w:r>
      <w:bookmarkStart w:id="23" w:name="_Toc494096894"/>
      <w:r>
        <w:rPr>
          <w:rFonts w:hint="eastAsia" w:ascii="宋体" w:hAnsi="宋体" w:eastAsia="宋体" w:cs="宋体"/>
          <w:b/>
          <w:bCs/>
          <w:color w:val="auto"/>
          <w:sz w:val="24"/>
          <w:highlight w:val="none"/>
          <w:lang w:val="en-US" w:eastAsia="zh-CN"/>
        </w:rPr>
        <w:t>4.单位负责人为同一人或者存在直接控股、管理关系的不同供应商，不得参加同一合同项下的政府采购活动。</w:t>
      </w:r>
    </w:p>
    <w:p w14:paraId="1AB089D4">
      <w:pPr>
        <w:bidi w:val="0"/>
        <w:ind w:left="0" w:leftChars="0" w:right="0" w:rightChars="0" w:firstLine="0" w:firstLineChars="0"/>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供应商</w:t>
      </w:r>
      <w:r>
        <w:rPr>
          <w:rFonts w:hint="eastAsia" w:ascii="宋体" w:hAnsi="宋体" w:eastAsia="宋体" w:cs="宋体"/>
          <w:b/>
          <w:bCs/>
          <w:color w:val="auto"/>
          <w:sz w:val="24"/>
          <w:szCs w:val="32"/>
          <w:highlight w:val="none"/>
        </w:rPr>
        <w:t>关联关系</w:t>
      </w:r>
    </w:p>
    <w:p w14:paraId="79A60946">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color w:val="auto"/>
          <w:sz w:val="24"/>
          <w:szCs w:val="24"/>
          <w:highlight w:val="none"/>
        </w:rPr>
        <w:t>单位负责人在其他单位任职情况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23C2BC4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控股关系说明</w:t>
      </w:r>
    </w:p>
    <w:p w14:paraId="347D239F">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下属控股单位：</w:t>
      </w:r>
      <w:r>
        <w:rPr>
          <w:rFonts w:hint="eastAsia" w:ascii="宋体" w:hAnsi="宋体" w:eastAsia="宋体" w:cs="宋体"/>
          <w:color w:val="auto"/>
          <w:sz w:val="24"/>
          <w:szCs w:val="24"/>
          <w:highlight w:val="none"/>
          <w:u w:val="single"/>
          <w:lang w:val="en-US" w:eastAsia="zh-CN"/>
        </w:rPr>
        <w:t xml:space="preserve">                    </w:t>
      </w:r>
    </w:p>
    <w:p w14:paraId="595A1EE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上属被控股单位：</w:t>
      </w:r>
      <w:r>
        <w:rPr>
          <w:rFonts w:hint="eastAsia" w:ascii="宋体" w:hAnsi="宋体" w:eastAsia="宋体" w:cs="宋体"/>
          <w:color w:val="auto"/>
          <w:sz w:val="24"/>
          <w:szCs w:val="24"/>
          <w:highlight w:val="none"/>
          <w:u w:val="single"/>
          <w:lang w:val="en-US" w:eastAsia="zh-CN"/>
        </w:rPr>
        <w:t xml:space="preserve">                  </w:t>
      </w:r>
    </w:p>
    <w:p w14:paraId="15CFF5C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color w:val="auto"/>
          <w:sz w:val="24"/>
          <w:szCs w:val="24"/>
          <w:highlight w:val="none"/>
        </w:rPr>
        <w:t>管理关系说明</w:t>
      </w:r>
    </w:p>
    <w:p w14:paraId="6686405D">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color w:val="auto"/>
          <w:sz w:val="24"/>
          <w:szCs w:val="24"/>
          <w:highlight w:val="none"/>
        </w:rPr>
        <w:t>下属管理单位：</w:t>
      </w:r>
      <w:r>
        <w:rPr>
          <w:rFonts w:hint="eastAsia" w:ascii="宋体" w:hAnsi="宋体" w:eastAsia="宋体" w:cs="宋体"/>
          <w:color w:val="auto"/>
          <w:sz w:val="24"/>
          <w:szCs w:val="24"/>
          <w:highlight w:val="none"/>
          <w:u w:val="single"/>
          <w:lang w:val="en-US" w:eastAsia="zh-CN"/>
        </w:rPr>
        <w:t xml:space="preserve">                    </w:t>
      </w:r>
    </w:p>
    <w:p w14:paraId="645F3ED6">
      <w:pPr>
        <w:spacing w:line="500" w:lineRule="exact"/>
        <w:ind w:firstLine="1080" w:firstLineChars="45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管理职责（行政、人事等）：</w:t>
      </w:r>
      <w:r>
        <w:rPr>
          <w:rFonts w:hint="eastAsia" w:ascii="宋体" w:hAnsi="宋体" w:eastAsia="宋体" w:cs="宋体"/>
          <w:color w:val="auto"/>
          <w:sz w:val="24"/>
          <w:szCs w:val="24"/>
          <w:highlight w:val="none"/>
          <w:u w:val="single"/>
          <w:lang w:val="en-US" w:eastAsia="zh-CN"/>
        </w:rPr>
        <w:t xml:space="preserve">              </w:t>
      </w:r>
    </w:p>
    <w:p w14:paraId="3F037C38">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color w:val="auto"/>
          <w:sz w:val="24"/>
          <w:szCs w:val="24"/>
          <w:highlight w:val="none"/>
        </w:rPr>
        <w:t>上属被管理</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267726E1">
      <w:pPr>
        <w:spacing w:line="500" w:lineRule="exact"/>
        <w:ind w:firstLine="1080" w:firstLineChars="45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管理职责（行政、人事等）：</w:t>
      </w:r>
      <w:r>
        <w:rPr>
          <w:rFonts w:hint="eastAsia" w:ascii="宋体" w:hAnsi="宋体" w:eastAsia="宋体" w:cs="宋体"/>
          <w:color w:val="auto"/>
          <w:sz w:val="24"/>
          <w:szCs w:val="24"/>
          <w:highlight w:val="none"/>
          <w:u w:val="single"/>
          <w:lang w:val="en-US" w:eastAsia="zh-CN"/>
        </w:rPr>
        <w:t xml:space="preserve">              </w:t>
      </w:r>
    </w:p>
    <w:p w14:paraId="7A81186E">
      <w:pPr>
        <w:pStyle w:val="20"/>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宋体" w:hAnsi="宋体" w:eastAsia="宋体" w:cs="宋体"/>
          <w:color w:val="auto"/>
          <w:sz w:val="24"/>
          <w:szCs w:val="24"/>
          <w:highlight w:val="none"/>
        </w:rPr>
      </w:pPr>
    </w:p>
    <w:p w14:paraId="6F457E5F">
      <w:pPr>
        <w:pStyle w:val="20"/>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我单位承诺以上说明真实有效，无虛假内容或隐瞒。</w:t>
      </w:r>
    </w:p>
    <w:p w14:paraId="6CFBFC15">
      <w:pPr>
        <w:pStyle w:val="20"/>
        <w:rPr>
          <w:rFonts w:hint="eastAsia" w:ascii="宋体" w:hAnsi="宋体" w:eastAsia="宋体" w:cs="宋体"/>
          <w:color w:val="auto"/>
          <w:highlight w:val="none"/>
        </w:rPr>
      </w:pPr>
    </w:p>
    <w:p w14:paraId="76C09E4F">
      <w:pPr>
        <w:pStyle w:val="20"/>
        <w:rPr>
          <w:rFonts w:hint="eastAsia" w:ascii="宋体" w:hAnsi="宋体" w:eastAsia="宋体" w:cs="宋体"/>
          <w:color w:val="auto"/>
          <w:highlight w:val="none"/>
        </w:rPr>
      </w:pPr>
    </w:p>
    <w:p w14:paraId="255FB537">
      <w:pPr>
        <w:spacing w:before="480" w:beforeLines="200" w:line="360" w:lineRule="auto"/>
        <w:ind w:firstLine="3120" w:firstLineChars="1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（公章）</w:t>
      </w:r>
    </w:p>
    <w:p w14:paraId="750C22FB">
      <w:pPr>
        <w:spacing w:before="480" w:beforeLines="200" w:line="360" w:lineRule="auto"/>
        <w:ind w:firstLine="3120" w:firstLineChars="1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146D4584">
      <w:pPr>
        <w:spacing w:before="480" w:beforeLines="200" w:line="360" w:lineRule="auto"/>
        <w:ind w:firstLine="3120" w:firstLineChars="1300"/>
        <w:jc w:val="lef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日</w:t>
      </w:r>
    </w:p>
    <w:p w14:paraId="7F8D3460">
      <w:pPr>
        <w:bidi w:val="0"/>
        <w:rPr>
          <w:rFonts w:hint="eastAsia" w:ascii="宋体" w:hAnsi="宋体" w:eastAsia="宋体" w:cs="宋体"/>
          <w:color w:val="auto"/>
          <w:highlight w:val="none"/>
          <w:lang w:eastAsia="zh-CN"/>
        </w:rPr>
      </w:pPr>
    </w:p>
    <w:p w14:paraId="2F000F85">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注：请如实填写，若未如实填写则视为虚假材料应标，造成的后果由</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eastAsia="zh-CN"/>
        </w:rPr>
        <w:t>自行承担。</w:t>
      </w:r>
      <w:bookmarkEnd w:id="23"/>
    </w:p>
    <w:p w14:paraId="0E7BF1AC">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b/>
          <w:bCs/>
          <w:color w:val="auto"/>
          <w:sz w:val="24"/>
          <w:szCs w:val="24"/>
          <w:highlight w:val="none"/>
          <w:lang w:eastAsia="zh-CN"/>
        </w:rPr>
      </w:pPr>
    </w:p>
    <w:p w14:paraId="324626F1">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b/>
          <w:bCs/>
          <w:color w:val="auto"/>
          <w:sz w:val="24"/>
          <w:szCs w:val="24"/>
          <w:highlight w:val="none"/>
          <w:lang w:eastAsia="zh-CN"/>
        </w:rPr>
      </w:pPr>
    </w:p>
    <w:p w14:paraId="3CDF98D0">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center"/>
        <w:textAlignment w:val="auto"/>
        <w:outlineLvl w:val="1"/>
        <w:rPr>
          <w:rFonts w:hint="eastAsia" w:ascii="宋体" w:hAnsi="宋体" w:eastAsia="宋体" w:cs="宋体"/>
          <w:b/>
          <w:bCs/>
          <w:sz w:val="32"/>
          <w:szCs w:val="32"/>
        </w:rPr>
      </w:pPr>
      <w:r>
        <w:rPr>
          <w:rFonts w:hint="eastAsia" w:ascii="宋体" w:hAnsi="宋体" w:eastAsia="宋体" w:cs="宋体"/>
          <w:b/>
          <w:bCs/>
          <w:sz w:val="24"/>
          <w:szCs w:val="24"/>
          <w:highlight w:val="none"/>
          <w:lang w:val="en-US" w:eastAsia="zh-CN"/>
        </w:rPr>
        <w:br w:type="page"/>
      </w:r>
      <w:r>
        <w:rPr>
          <w:rFonts w:hint="eastAsia" w:ascii="宋体" w:hAnsi="宋体" w:eastAsia="宋体" w:cs="宋体"/>
          <w:b/>
          <w:bCs/>
          <w:sz w:val="32"/>
          <w:szCs w:val="32"/>
        </w:rPr>
        <w:t>第四部分  供应商概况</w:t>
      </w:r>
    </w:p>
    <w:p w14:paraId="36144E8D">
      <w:pPr>
        <w:pStyle w:val="97"/>
        <w:spacing w:before="210" w:after="210"/>
        <w:ind w:left="0" w:leftChars="0" w:firstLine="0" w:firstLineChars="0"/>
        <w:jc w:val="left"/>
        <w:outlineLvl w:val="9"/>
        <w:rPr>
          <w:rFonts w:hint="eastAsia" w:ascii="宋体" w:hAnsi="宋体" w:eastAsia="宋体" w:cs="宋体"/>
          <w:sz w:val="28"/>
          <w:szCs w:val="28"/>
        </w:rPr>
      </w:pPr>
      <w:r>
        <w:rPr>
          <w:rFonts w:hint="eastAsia" w:ascii="宋体" w:hAnsi="宋体" w:eastAsia="宋体" w:cs="宋体"/>
          <w:sz w:val="28"/>
          <w:szCs w:val="28"/>
        </w:rPr>
        <w:t>（一）供应商基本信息</w:t>
      </w:r>
    </w:p>
    <w:tbl>
      <w:tblPr>
        <w:tblStyle w:val="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6"/>
        <w:gridCol w:w="1086"/>
        <w:gridCol w:w="1563"/>
        <w:gridCol w:w="1547"/>
        <w:gridCol w:w="1605"/>
        <w:gridCol w:w="1613"/>
      </w:tblGrid>
      <w:tr w14:paraId="1DC17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6"/>
          </w:tcPr>
          <w:p w14:paraId="209CB550">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单位基本情况</w:t>
            </w:r>
          </w:p>
        </w:tc>
      </w:tr>
      <w:tr w14:paraId="1F03E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15B2037A">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供应商全称</w:t>
            </w:r>
          </w:p>
        </w:tc>
        <w:tc>
          <w:tcPr>
            <w:tcW w:w="3809" w:type="pct"/>
            <w:gridSpan w:val="5"/>
          </w:tcPr>
          <w:p w14:paraId="45344D76">
            <w:pPr>
              <w:ind w:firstLine="0"/>
              <w:jc w:val="both"/>
              <w:rPr>
                <w:rFonts w:hint="eastAsia" w:ascii="宋体" w:hAnsi="宋体" w:eastAsia="宋体" w:cs="宋体"/>
                <w:kern w:val="2"/>
                <w:sz w:val="24"/>
                <w:szCs w:val="24"/>
              </w:rPr>
            </w:pPr>
          </w:p>
        </w:tc>
      </w:tr>
      <w:tr w14:paraId="449C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3CDD489E">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注册地址</w:t>
            </w:r>
          </w:p>
        </w:tc>
        <w:tc>
          <w:tcPr>
            <w:tcW w:w="1361" w:type="pct"/>
            <w:gridSpan w:val="2"/>
          </w:tcPr>
          <w:p w14:paraId="655DA7CD">
            <w:pPr>
              <w:ind w:firstLine="0"/>
              <w:jc w:val="both"/>
              <w:rPr>
                <w:rFonts w:hint="eastAsia" w:ascii="宋体" w:hAnsi="宋体" w:eastAsia="宋体" w:cs="宋体"/>
                <w:kern w:val="2"/>
                <w:sz w:val="24"/>
                <w:szCs w:val="24"/>
              </w:rPr>
            </w:pPr>
          </w:p>
        </w:tc>
        <w:tc>
          <w:tcPr>
            <w:tcW w:w="795" w:type="pct"/>
          </w:tcPr>
          <w:p w14:paraId="68C9CBF8">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成立时间</w:t>
            </w:r>
          </w:p>
        </w:tc>
        <w:tc>
          <w:tcPr>
            <w:tcW w:w="1651" w:type="pct"/>
            <w:gridSpan w:val="2"/>
          </w:tcPr>
          <w:p w14:paraId="1A4D3766">
            <w:pPr>
              <w:ind w:firstLine="0"/>
              <w:jc w:val="both"/>
              <w:rPr>
                <w:rFonts w:hint="eastAsia" w:ascii="宋体" w:hAnsi="宋体" w:eastAsia="宋体" w:cs="宋体"/>
                <w:kern w:val="2"/>
                <w:sz w:val="24"/>
                <w:szCs w:val="24"/>
              </w:rPr>
            </w:pPr>
          </w:p>
        </w:tc>
      </w:tr>
      <w:tr w14:paraId="08404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6B9E6074">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统一社会信用代码</w:t>
            </w:r>
          </w:p>
        </w:tc>
        <w:tc>
          <w:tcPr>
            <w:tcW w:w="1361" w:type="pct"/>
            <w:gridSpan w:val="2"/>
          </w:tcPr>
          <w:p w14:paraId="05D0C99C">
            <w:pPr>
              <w:ind w:firstLine="0"/>
              <w:jc w:val="both"/>
              <w:rPr>
                <w:rFonts w:hint="eastAsia" w:ascii="宋体" w:hAnsi="宋体" w:eastAsia="宋体" w:cs="宋体"/>
                <w:kern w:val="2"/>
                <w:sz w:val="24"/>
                <w:szCs w:val="24"/>
              </w:rPr>
            </w:pPr>
          </w:p>
        </w:tc>
        <w:tc>
          <w:tcPr>
            <w:tcW w:w="795" w:type="pct"/>
          </w:tcPr>
          <w:p w14:paraId="0F0A0070">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单位性质</w:t>
            </w:r>
          </w:p>
        </w:tc>
        <w:tc>
          <w:tcPr>
            <w:tcW w:w="1651" w:type="pct"/>
            <w:gridSpan w:val="2"/>
          </w:tcPr>
          <w:p w14:paraId="7A9CCDA3">
            <w:pPr>
              <w:ind w:firstLine="0"/>
              <w:jc w:val="both"/>
              <w:rPr>
                <w:rFonts w:hint="eastAsia" w:ascii="宋体" w:hAnsi="宋体" w:eastAsia="宋体" w:cs="宋体"/>
                <w:kern w:val="2"/>
                <w:sz w:val="24"/>
                <w:szCs w:val="24"/>
              </w:rPr>
            </w:pPr>
          </w:p>
        </w:tc>
      </w:tr>
      <w:tr w14:paraId="37AAE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00A21BED">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法定代表人</w:t>
            </w:r>
          </w:p>
        </w:tc>
        <w:tc>
          <w:tcPr>
            <w:tcW w:w="1361" w:type="pct"/>
            <w:gridSpan w:val="2"/>
          </w:tcPr>
          <w:p w14:paraId="4DA2AC1D">
            <w:pPr>
              <w:ind w:firstLine="0"/>
              <w:jc w:val="both"/>
              <w:rPr>
                <w:rFonts w:hint="eastAsia" w:ascii="宋体" w:hAnsi="宋体" w:eastAsia="宋体" w:cs="宋体"/>
                <w:kern w:val="2"/>
                <w:sz w:val="24"/>
                <w:szCs w:val="24"/>
              </w:rPr>
            </w:pPr>
          </w:p>
        </w:tc>
        <w:tc>
          <w:tcPr>
            <w:tcW w:w="795" w:type="pct"/>
          </w:tcPr>
          <w:p w14:paraId="2A471A3A">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所属行业</w:t>
            </w:r>
          </w:p>
        </w:tc>
        <w:tc>
          <w:tcPr>
            <w:tcW w:w="1651" w:type="pct"/>
            <w:gridSpan w:val="2"/>
          </w:tcPr>
          <w:p w14:paraId="106C58E0">
            <w:pPr>
              <w:ind w:firstLine="0"/>
              <w:jc w:val="both"/>
              <w:rPr>
                <w:rFonts w:hint="eastAsia" w:ascii="宋体" w:hAnsi="宋体" w:eastAsia="宋体" w:cs="宋体"/>
                <w:kern w:val="2"/>
                <w:sz w:val="24"/>
                <w:szCs w:val="24"/>
              </w:rPr>
            </w:pPr>
          </w:p>
        </w:tc>
      </w:tr>
      <w:tr w14:paraId="324B0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7A66436E">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基本存款账户开户银行</w:t>
            </w:r>
          </w:p>
        </w:tc>
        <w:tc>
          <w:tcPr>
            <w:tcW w:w="1361" w:type="pct"/>
            <w:gridSpan w:val="2"/>
          </w:tcPr>
          <w:p w14:paraId="0B1F4E63">
            <w:pPr>
              <w:ind w:firstLine="0"/>
              <w:jc w:val="both"/>
              <w:rPr>
                <w:rFonts w:hint="eastAsia" w:ascii="宋体" w:hAnsi="宋体" w:eastAsia="宋体" w:cs="宋体"/>
                <w:kern w:val="2"/>
                <w:sz w:val="24"/>
                <w:szCs w:val="24"/>
              </w:rPr>
            </w:pPr>
          </w:p>
        </w:tc>
        <w:tc>
          <w:tcPr>
            <w:tcW w:w="795" w:type="pct"/>
          </w:tcPr>
          <w:p w14:paraId="66F17561">
            <w:pPr>
              <w:ind w:firstLine="0"/>
              <w:jc w:val="both"/>
              <w:rPr>
                <w:rFonts w:hint="eastAsia" w:ascii="宋体" w:hAnsi="宋体" w:eastAsia="宋体" w:cs="宋体"/>
                <w:kern w:val="2"/>
                <w:sz w:val="24"/>
                <w:szCs w:val="24"/>
                <w:lang w:eastAsia="zh-CN"/>
              </w:rPr>
            </w:pPr>
            <w:r>
              <w:rPr>
                <w:rFonts w:hint="eastAsia" w:ascii="宋体" w:hAnsi="宋体" w:eastAsia="宋体" w:cs="宋体"/>
                <w:kern w:val="2"/>
                <w:sz w:val="24"/>
                <w:szCs w:val="24"/>
              </w:rPr>
              <w:t>基本存款</w:t>
            </w:r>
          </w:p>
          <w:p w14:paraId="1FA2CFC2">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账户账号</w:t>
            </w:r>
          </w:p>
        </w:tc>
        <w:tc>
          <w:tcPr>
            <w:tcW w:w="1651" w:type="pct"/>
            <w:gridSpan w:val="2"/>
          </w:tcPr>
          <w:p w14:paraId="37BB8BF5">
            <w:pPr>
              <w:ind w:firstLine="0"/>
              <w:jc w:val="both"/>
              <w:rPr>
                <w:rFonts w:hint="eastAsia" w:ascii="宋体" w:hAnsi="宋体" w:eastAsia="宋体" w:cs="宋体"/>
                <w:kern w:val="2"/>
                <w:sz w:val="24"/>
                <w:szCs w:val="24"/>
              </w:rPr>
            </w:pPr>
          </w:p>
        </w:tc>
      </w:tr>
      <w:tr w14:paraId="36D0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558ECE80">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上年度营业收入*</w:t>
            </w:r>
          </w:p>
        </w:tc>
        <w:tc>
          <w:tcPr>
            <w:tcW w:w="1361" w:type="pct"/>
            <w:gridSpan w:val="2"/>
          </w:tcPr>
          <w:p w14:paraId="5790EDE4">
            <w:pPr>
              <w:ind w:firstLine="0"/>
              <w:jc w:val="both"/>
              <w:rPr>
                <w:rFonts w:hint="eastAsia" w:ascii="宋体" w:hAnsi="宋体" w:eastAsia="宋体" w:cs="宋体"/>
                <w:kern w:val="2"/>
                <w:sz w:val="24"/>
                <w:szCs w:val="24"/>
              </w:rPr>
            </w:pPr>
          </w:p>
        </w:tc>
        <w:tc>
          <w:tcPr>
            <w:tcW w:w="795" w:type="pct"/>
          </w:tcPr>
          <w:p w14:paraId="0C7B2161">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资产总额</w:t>
            </w:r>
          </w:p>
        </w:tc>
        <w:tc>
          <w:tcPr>
            <w:tcW w:w="1651" w:type="pct"/>
            <w:gridSpan w:val="2"/>
          </w:tcPr>
          <w:p w14:paraId="534D73E9">
            <w:pPr>
              <w:ind w:firstLine="0"/>
              <w:jc w:val="both"/>
              <w:rPr>
                <w:rFonts w:hint="eastAsia" w:ascii="宋体" w:hAnsi="宋体" w:eastAsia="宋体" w:cs="宋体"/>
                <w:kern w:val="2"/>
                <w:sz w:val="24"/>
                <w:szCs w:val="24"/>
              </w:rPr>
            </w:pPr>
          </w:p>
        </w:tc>
      </w:tr>
      <w:tr w14:paraId="0D23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44179153">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经营范围</w:t>
            </w:r>
          </w:p>
        </w:tc>
        <w:tc>
          <w:tcPr>
            <w:tcW w:w="3809" w:type="pct"/>
            <w:gridSpan w:val="5"/>
          </w:tcPr>
          <w:p w14:paraId="532D36E9">
            <w:pPr>
              <w:ind w:firstLine="0"/>
              <w:jc w:val="both"/>
              <w:rPr>
                <w:rFonts w:hint="eastAsia" w:ascii="宋体" w:hAnsi="宋体" w:eastAsia="宋体" w:cs="宋体"/>
                <w:kern w:val="2"/>
                <w:sz w:val="24"/>
                <w:szCs w:val="24"/>
              </w:rPr>
            </w:pPr>
          </w:p>
        </w:tc>
      </w:tr>
      <w:tr w14:paraId="50C96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0159E5AD">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资质证书名称</w:t>
            </w:r>
          </w:p>
        </w:tc>
        <w:tc>
          <w:tcPr>
            <w:tcW w:w="1361" w:type="pct"/>
            <w:gridSpan w:val="2"/>
          </w:tcPr>
          <w:p w14:paraId="6CC2C09D">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证书号</w:t>
            </w:r>
          </w:p>
        </w:tc>
        <w:tc>
          <w:tcPr>
            <w:tcW w:w="795" w:type="pct"/>
          </w:tcPr>
          <w:p w14:paraId="78CE036C">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等级</w:t>
            </w:r>
          </w:p>
        </w:tc>
        <w:tc>
          <w:tcPr>
            <w:tcW w:w="1651" w:type="pct"/>
            <w:gridSpan w:val="2"/>
          </w:tcPr>
          <w:p w14:paraId="37D9DF03">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类型</w:t>
            </w:r>
          </w:p>
        </w:tc>
      </w:tr>
      <w:tr w14:paraId="39A39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207BCAF3">
            <w:pPr>
              <w:ind w:firstLine="0"/>
              <w:jc w:val="both"/>
              <w:rPr>
                <w:rFonts w:hint="eastAsia" w:ascii="宋体" w:hAnsi="宋体" w:eastAsia="宋体" w:cs="宋体"/>
                <w:kern w:val="2"/>
                <w:sz w:val="24"/>
                <w:szCs w:val="24"/>
              </w:rPr>
            </w:pPr>
          </w:p>
        </w:tc>
        <w:tc>
          <w:tcPr>
            <w:tcW w:w="1361" w:type="pct"/>
            <w:gridSpan w:val="2"/>
          </w:tcPr>
          <w:p w14:paraId="6CE27F5C">
            <w:pPr>
              <w:ind w:firstLine="0"/>
              <w:jc w:val="both"/>
              <w:rPr>
                <w:rFonts w:hint="eastAsia" w:ascii="宋体" w:hAnsi="宋体" w:eastAsia="宋体" w:cs="宋体"/>
                <w:kern w:val="2"/>
                <w:sz w:val="24"/>
                <w:szCs w:val="24"/>
              </w:rPr>
            </w:pPr>
          </w:p>
        </w:tc>
        <w:tc>
          <w:tcPr>
            <w:tcW w:w="795" w:type="pct"/>
          </w:tcPr>
          <w:p w14:paraId="36EC9A9A">
            <w:pPr>
              <w:ind w:firstLine="0"/>
              <w:jc w:val="both"/>
              <w:rPr>
                <w:rFonts w:hint="eastAsia" w:ascii="宋体" w:hAnsi="宋体" w:eastAsia="宋体" w:cs="宋体"/>
                <w:kern w:val="2"/>
                <w:sz w:val="24"/>
                <w:szCs w:val="24"/>
              </w:rPr>
            </w:pPr>
          </w:p>
        </w:tc>
        <w:tc>
          <w:tcPr>
            <w:tcW w:w="1651" w:type="pct"/>
            <w:gridSpan w:val="2"/>
          </w:tcPr>
          <w:p w14:paraId="5EED47D4">
            <w:pPr>
              <w:ind w:firstLine="0"/>
              <w:jc w:val="both"/>
              <w:rPr>
                <w:rFonts w:hint="eastAsia" w:ascii="宋体" w:hAnsi="宋体" w:eastAsia="宋体" w:cs="宋体"/>
                <w:kern w:val="2"/>
                <w:sz w:val="24"/>
                <w:szCs w:val="24"/>
              </w:rPr>
            </w:pPr>
          </w:p>
        </w:tc>
      </w:tr>
      <w:tr w14:paraId="3CC9A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36845AAA">
            <w:pPr>
              <w:ind w:firstLine="0"/>
              <w:jc w:val="both"/>
              <w:rPr>
                <w:rFonts w:hint="eastAsia" w:ascii="宋体" w:hAnsi="宋体" w:eastAsia="宋体" w:cs="宋体"/>
                <w:kern w:val="2"/>
                <w:sz w:val="24"/>
                <w:szCs w:val="24"/>
              </w:rPr>
            </w:pPr>
          </w:p>
        </w:tc>
        <w:tc>
          <w:tcPr>
            <w:tcW w:w="1361" w:type="pct"/>
            <w:gridSpan w:val="2"/>
          </w:tcPr>
          <w:p w14:paraId="07452BFB">
            <w:pPr>
              <w:ind w:firstLine="0"/>
              <w:jc w:val="both"/>
              <w:rPr>
                <w:rFonts w:hint="eastAsia" w:ascii="宋体" w:hAnsi="宋体" w:eastAsia="宋体" w:cs="宋体"/>
                <w:kern w:val="2"/>
                <w:sz w:val="24"/>
                <w:szCs w:val="24"/>
              </w:rPr>
            </w:pPr>
          </w:p>
        </w:tc>
        <w:tc>
          <w:tcPr>
            <w:tcW w:w="795" w:type="pct"/>
          </w:tcPr>
          <w:p w14:paraId="4103BDCA">
            <w:pPr>
              <w:ind w:firstLine="0"/>
              <w:jc w:val="both"/>
              <w:rPr>
                <w:rFonts w:hint="eastAsia" w:ascii="宋体" w:hAnsi="宋体" w:eastAsia="宋体" w:cs="宋体"/>
                <w:kern w:val="2"/>
                <w:sz w:val="24"/>
                <w:szCs w:val="24"/>
              </w:rPr>
            </w:pPr>
          </w:p>
        </w:tc>
        <w:tc>
          <w:tcPr>
            <w:tcW w:w="1651" w:type="pct"/>
            <w:gridSpan w:val="2"/>
          </w:tcPr>
          <w:p w14:paraId="3F36E6E9">
            <w:pPr>
              <w:ind w:firstLine="0"/>
              <w:jc w:val="both"/>
              <w:rPr>
                <w:rFonts w:hint="eastAsia" w:ascii="宋体" w:hAnsi="宋体" w:eastAsia="宋体" w:cs="宋体"/>
                <w:kern w:val="2"/>
                <w:sz w:val="24"/>
                <w:szCs w:val="24"/>
              </w:rPr>
            </w:pPr>
          </w:p>
        </w:tc>
      </w:tr>
      <w:tr w14:paraId="51D82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6"/>
          </w:tcPr>
          <w:p w14:paraId="215A605D">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从业人员情况</w:t>
            </w:r>
          </w:p>
        </w:tc>
      </w:tr>
      <w:tr w14:paraId="3DC5A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vMerge w:val="restart"/>
          </w:tcPr>
          <w:p w14:paraId="1FBB7047">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从业人员总数</w:t>
            </w:r>
          </w:p>
        </w:tc>
        <w:tc>
          <w:tcPr>
            <w:tcW w:w="558" w:type="pct"/>
            <w:vMerge w:val="restart"/>
          </w:tcPr>
          <w:p w14:paraId="3034C204">
            <w:pPr>
              <w:ind w:firstLine="0"/>
              <w:jc w:val="both"/>
              <w:rPr>
                <w:rFonts w:hint="eastAsia" w:ascii="宋体" w:hAnsi="宋体" w:eastAsia="宋体" w:cs="宋体"/>
                <w:kern w:val="2"/>
                <w:sz w:val="24"/>
                <w:szCs w:val="24"/>
              </w:rPr>
            </w:pPr>
          </w:p>
        </w:tc>
        <w:tc>
          <w:tcPr>
            <w:tcW w:w="803" w:type="pct"/>
          </w:tcPr>
          <w:p w14:paraId="59D9FF50">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管理人员数量</w:t>
            </w:r>
          </w:p>
        </w:tc>
        <w:tc>
          <w:tcPr>
            <w:tcW w:w="795" w:type="pct"/>
          </w:tcPr>
          <w:p w14:paraId="766095BD">
            <w:pPr>
              <w:ind w:firstLine="0"/>
              <w:jc w:val="both"/>
              <w:rPr>
                <w:rFonts w:hint="eastAsia" w:ascii="宋体" w:hAnsi="宋体" w:eastAsia="宋体" w:cs="宋体"/>
                <w:kern w:val="2"/>
                <w:sz w:val="24"/>
                <w:szCs w:val="24"/>
              </w:rPr>
            </w:pPr>
          </w:p>
        </w:tc>
        <w:tc>
          <w:tcPr>
            <w:tcW w:w="825" w:type="pct"/>
          </w:tcPr>
          <w:p w14:paraId="5732BC3F">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专业技术人员数量</w:t>
            </w:r>
          </w:p>
        </w:tc>
        <w:tc>
          <w:tcPr>
            <w:tcW w:w="826" w:type="pct"/>
          </w:tcPr>
          <w:p w14:paraId="0E70E9BA">
            <w:pPr>
              <w:ind w:firstLine="0"/>
              <w:jc w:val="both"/>
              <w:rPr>
                <w:rFonts w:hint="eastAsia" w:ascii="宋体" w:hAnsi="宋体" w:eastAsia="宋体" w:cs="宋体"/>
                <w:kern w:val="2"/>
                <w:sz w:val="24"/>
                <w:szCs w:val="24"/>
              </w:rPr>
            </w:pPr>
          </w:p>
        </w:tc>
      </w:tr>
      <w:tr w14:paraId="21323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vMerge w:val="continue"/>
          </w:tcPr>
          <w:p w14:paraId="1FAB1D7D">
            <w:pPr>
              <w:ind w:firstLine="0"/>
              <w:jc w:val="both"/>
              <w:rPr>
                <w:rFonts w:hint="eastAsia" w:ascii="宋体" w:hAnsi="宋体" w:eastAsia="宋体" w:cs="宋体"/>
                <w:kern w:val="2"/>
                <w:sz w:val="24"/>
                <w:szCs w:val="24"/>
              </w:rPr>
            </w:pPr>
          </w:p>
        </w:tc>
        <w:tc>
          <w:tcPr>
            <w:tcW w:w="558" w:type="pct"/>
            <w:vMerge w:val="continue"/>
          </w:tcPr>
          <w:p w14:paraId="5F78B63B">
            <w:pPr>
              <w:ind w:firstLine="0"/>
              <w:jc w:val="both"/>
              <w:rPr>
                <w:rFonts w:hint="eastAsia" w:ascii="宋体" w:hAnsi="宋体" w:eastAsia="宋体" w:cs="宋体"/>
                <w:kern w:val="2"/>
                <w:sz w:val="24"/>
                <w:szCs w:val="24"/>
              </w:rPr>
            </w:pPr>
          </w:p>
        </w:tc>
        <w:tc>
          <w:tcPr>
            <w:tcW w:w="803" w:type="pct"/>
          </w:tcPr>
          <w:p w14:paraId="4B6A3FD3">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残疾人数量</w:t>
            </w:r>
          </w:p>
        </w:tc>
        <w:tc>
          <w:tcPr>
            <w:tcW w:w="795" w:type="pct"/>
          </w:tcPr>
          <w:p w14:paraId="27541EF9">
            <w:pPr>
              <w:ind w:firstLine="0"/>
              <w:jc w:val="both"/>
              <w:rPr>
                <w:rFonts w:hint="eastAsia" w:ascii="宋体" w:hAnsi="宋体" w:eastAsia="宋体" w:cs="宋体"/>
                <w:kern w:val="2"/>
                <w:sz w:val="24"/>
                <w:szCs w:val="24"/>
              </w:rPr>
            </w:pPr>
          </w:p>
        </w:tc>
        <w:tc>
          <w:tcPr>
            <w:tcW w:w="825" w:type="pct"/>
          </w:tcPr>
          <w:p w14:paraId="4200DF2A">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少数民族数量</w:t>
            </w:r>
          </w:p>
        </w:tc>
        <w:tc>
          <w:tcPr>
            <w:tcW w:w="826" w:type="pct"/>
          </w:tcPr>
          <w:p w14:paraId="69EC83CF">
            <w:pPr>
              <w:ind w:firstLine="0"/>
              <w:jc w:val="both"/>
              <w:rPr>
                <w:rFonts w:hint="eastAsia" w:ascii="宋体" w:hAnsi="宋体" w:eastAsia="宋体" w:cs="宋体"/>
                <w:kern w:val="2"/>
                <w:sz w:val="24"/>
                <w:szCs w:val="24"/>
              </w:rPr>
            </w:pPr>
          </w:p>
        </w:tc>
      </w:tr>
      <w:tr w14:paraId="04191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6"/>
          </w:tcPr>
          <w:p w14:paraId="3794EFD8">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存在直接控股、管理关系的相关供应商</w:t>
            </w:r>
          </w:p>
        </w:tc>
      </w:tr>
      <w:tr w14:paraId="7AC8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11B9059C">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关系</w:t>
            </w:r>
          </w:p>
        </w:tc>
        <w:tc>
          <w:tcPr>
            <w:tcW w:w="3809" w:type="pct"/>
            <w:gridSpan w:val="5"/>
          </w:tcPr>
          <w:p w14:paraId="728D08B7">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供应商名称</w:t>
            </w:r>
          </w:p>
        </w:tc>
      </w:tr>
      <w:tr w14:paraId="559D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454E0381">
            <w:pPr>
              <w:ind w:firstLine="0"/>
              <w:jc w:val="both"/>
              <w:rPr>
                <w:rFonts w:hint="eastAsia" w:ascii="宋体" w:hAnsi="宋体" w:eastAsia="宋体" w:cs="宋体"/>
                <w:kern w:val="2"/>
                <w:sz w:val="24"/>
                <w:szCs w:val="24"/>
              </w:rPr>
            </w:pPr>
          </w:p>
        </w:tc>
        <w:tc>
          <w:tcPr>
            <w:tcW w:w="3809" w:type="pct"/>
            <w:gridSpan w:val="5"/>
          </w:tcPr>
          <w:p w14:paraId="11F5739F">
            <w:pPr>
              <w:ind w:firstLine="0"/>
              <w:jc w:val="both"/>
              <w:rPr>
                <w:rFonts w:hint="eastAsia" w:ascii="宋体" w:hAnsi="宋体" w:eastAsia="宋体" w:cs="宋体"/>
                <w:kern w:val="2"/>
                <w:sz w:val="24"/>
                <w:szCs w:val="24"/>
              </w:rPr>
            </w:pPr>
          </w:p>
        </w:tc>
      </w:tr>
      <w:tr w14:paraId="50BA0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1B50533F">
            <w:pPr>
              <w:ind w:firstLine="0"/>
              <w:jc w:val="both"/>
              <w:rPr>
                <w:rFonts w:hint="eastAsia" w:ascii="宋体" w:hAnsi="宋体" w:eastAsia="宋体" w:cs="宋体"/>
                <w:kern w:val="2"/>
                <w:sz w:val="24"/>
                <w:szCs w:val="24"/>
              </w:rPr>
            </w:pPr>
          </w:p>
        </w:tc>
        <w:tc>
          <w:tcPr>
            <w:tcW w:w="3809" w:type="pct"/>
            <w:gridSpan w:val="5"/>
          </w:tcPr>
          <w:p w14:paraId="7AA8D44A">
            <w:pPr>
              <w:ind w:firstLine="0"/>
              <w:jc w:val="both"/>
              <w:rPr>
                <w:rFonts w:hint="eastAsia" w:ascii="宋体" w:hAnsi="宋体" w:eastAsia="宋体" w:cs="宋体"/>
                <w:kern w:val="2"/>
                <w:sz w:val="24"/>
                <w:szCs w:val="24"/>
              </w:rPr>
            </w:pPr>
          </w:p>
        </w:tc>
      </w:tr>
      <w:tr w14:paraId="33E6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pct"/>
          </w:tcPr>
          <w:p w14:paraId="485FB296">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说明</w:t>
            </w:r>
          </w:p>
        </w:tc>
        <w:tc>
          <w:tcPr>
            <w:tcW w:w="3809" w:type="pct"/>
            <w:gridSpan w:val="5"/>
          </w:tcPr>
          <w:p w14:paraId="263A31FD">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1.成立时间至提交投标文件截止时间不足一年的可不填写“上年度营业收入”；</w:t>
            </w:r>
          </w:p>
          <w:p w14:paraId="6DD09F73">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2.招标文件接受联合体的，联合体各方均应提供；</w:t>
            </w:r>
          </w:p>
          <w:p w14:paraId="55514C79">
            <w:pPr>
              <w:ind w:firstLine="0"/>
              <w:jc w:val="both"/>
              <w:rPr>
                <w:rFonts w:hint="eastAsia" w:ascii="宋体" w:hAnsi="宋体" w:eastAsia="宋体" w:cs="宋体"/>
                <w:kern w:val="2"/>
                <w:sz w:val="24"/>
                <w:szCs w:val="24"/>
              </w:rPr>
            </w:pPr>
            <w:r>
              <w:rPr>
                <w:rFonts w:hint="eastAsia" w:ascii="宋体" w:hAnsi="宋体" w:eastAsia="宋体" w:cs="宋体"/>
                <w:kern w:val="2"/>
                <w:sz w:val="24"/>
                <w:szCs w:val="24"/>
              </w:rPr>
              <w:t>3.表格空间不足时，请自行扩展。</w:t>
            </w:r>
          </w:p>
        </w:tc>
      </w:tr>
    </w:tbl>
    <w:p w14:paraId="6D003156">
      <w:pPr>
        <w:rPr>
          <w:rFonts w:hint="eastAsia" w:ascii="宋体" w:hAnsi="宋体" w:eastAsia="宋体" w:cs="宋体"/>
          <w:sz w:val="32"/>
          <w:szCs w:val="32"/>
        </w:rPr>
      </w:pPr>
      <w:r>
        <w:rPr>
          <w:rFonts w:hint="eastAsia" w:ascii="宋体" w:hAnsi="宋体" w:eastAsia="宋体" w:cs="宋体"/>
        </w:rPr>
        <w:br w:type="page"/>
      </w:r>
    </w:p>
    <w:p w14:paraId="3090D24B">
      <w:pPr>
        <w:pStyle w:val="25"/>
        <w:spacing w:before="0" w:beforeAutospacing="0" w:after="0" w:afterAutospacing="0" w:line="36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（二）</w:t>
      </w:r>
      <w:r>
        <w:rPr>
          <w:rFonts w:hint="eastAsia" w:ascii="宋体" w:hAnsi="宋体" w:eastAsia="宋体" w:cs="宋体"/>
          <w:b/>
          <w:bCs/>
          <w:color w:val="auto"/>
          <w:kern w:val="2"/>
          <w:sz w:val="28"/>
          <w:szCs w:val="28"/>
          <w:highlight w:val="none"/>
          <w:lang w:val="en-US" w:eastAsia="zh-CN" w:bidi="ar-SA"/>
        </w:rPr>
        <w:t>本项目专门面向中小企业采购</w:t>
      </w:r>
    </w:p>
    <w:p w14:paraId="267CD9BC">
      <w:pPr>
        <w:pStyle w:val="17"/>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中小企业声明函（格式）</w:t>
      </w:r>
    </w:p>
    <w:p w14:paraId="7D4993D5">
      <w:pPr>
        <w:keepNext w:val="0"/>
        <w:keepLines w:val="0"/>
        <w:pageBreakBefore w:val="0"/>
        <w:widowControl/>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（单位名称）的（项目名称）</w:t>
      </w:r>
      <w:r>
        <w:rPr>
          <w:rFonts w:hint="eastAsia" w:ascii="宋体" w:hAnsi="宋体" w:eastAsia="宋体" w:cs="宋体"/>
          <w:sz w:val="24"/>
          <w:szCs w:val="24"/>
          <w:highlight w:val="none"/>
        </w:rPr>
        <w:t>采购活动，服务全部由符合政策要求的中小企业承接（或者：工程的施工单位全部为符合政策要求的中小企业）。相关企业（含联合体中的中小企业、签订分包意向协议的中小企业）的具体情况如下：</w:t>
      </w:r>
    </w:p>
    <w:p w14:paraId="06B6AEB5">
      <w:pPr>
        <w:keepNext w:val="0"/>
        <w:keepLines w:val="0"/>
        <w:pageBreakBefore w:val="0"/>
        <w:widowControl/>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val="en-US" w:eastAsia="zh-CN"/>
        </w:rPr>
        <w:t>其他未列明行业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；承接（承建）企业为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fldChar w:fldCharType="begin"/>
      </w:r>
      <w:r>
        <w:rPr>
          <w:rFonts w:hint="eastAsia" w:ascii="宋体" w:hAnsi="宋体" w:eastAsia="宋体" w:cs="宋体"/>
          <w:sz w:val="24"/>
          <w:szCs w:val="24"/>
          <w:highlight w:val="none"/>
          <w:vertAlign w:val="superscript"/>
        </w:rPr>
        <w:instrText xml:space="preserve"> HYPERLINK \l "_bookmark1" </w:instrText>
      </w:r>
      <w:r>
        <w:rPr>
          <w:rFonts w:hint="eastAsia" w:ascii="宋体" w:hAnsi="宋体" w:eastAsia="宋体" w:cs="宋体"/>
          <w:sz w:val="24"/>
          <w:szCs w:val="24"/>
          <w:highlight w:val="none"/>
          <w:vertAlign w:val="superscript"/>
        </w:rPr>
        <w:fldChar w:fldCharType="separate"/>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vertAlign w:val="superscript"/>
        </w:rPr>
        <w:fldChar w:fldCharType="end"/>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52295BF7">
      <w:pPr>
        <w:keepNext w:val="0"/>
        <w:keepLines w:val="0"/>
        <w:pageBreakBefore w:val="0"/>
        <w:widowControl/>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val="en-US" w:eastAsia="zh-CN"/>
        </w:rPr>
        <w:t>其他未列明行业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；承接（承建）企业为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1C07DDE7">
      <w:pPr>
        <w:keepNext w:val="0"/>
        <w:keepLines w:val="0"/>
        <w:pageBreakBefore w:val="0"/>
        <w:widowControl/>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75700450">
      <w:pPr>
        <w:keepNext w:val="0"/>
        <w:keepLines w:val="0"/>
        <w:pageBreakBefore w:val="0"/>
        <w:widowControl/>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165B1C7B">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备注：1.填写前请认真阅读《工业和信息化部 国家统计局 国家发展和改革委员会 财政部关于印发中小企业划型标准规定的通知》(工信部联企业〔2011〕300 号)和《财政部、工业和信息化部关于印发〈政府采购促进中小企业发展管理办法〉的通知》(财库〔2020〕46 号)相关规定。</w:t>
      </w:r>
    </w:p>
    <w:p w14:paraId="1476A47C">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2.从业人员、营业收入、资产总额填报上一年度数据；无上一年度数据的新成立企业可不填报相关数据，参照国务院批准的中小企业划分标准，根据企业自身情况如实判断。   </w:t>
      </w:r>
    </w:p>
    <w:p w14:paraId="22AEE4CB">
      <w:pPr>
        <w:keepNext w:val="0"/>
        <w:keepLines w:val="0"/>
        <w:pageBreakBefore w:val="0"/>
        <w:widowControl/>
        <w:kinsoku/>
        <w:wordWrap/>
        <w:overflowPunct/>
        <w:topLinePunct w:val="0"/>
        <w:autoSpaceDE/>
        <w:autoSpaceDN/>
        <w:bidi w:val="0"/>
        <w:adjustRightInd/>
        <w:snapToGrid/>
        <w:spacing w:line="312"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 中小企业声明函》 随成交结果同时公开。</w:t>
      </w:r>
    </w:p>
    <w:p w14:paraId="0A676C8C">
      <w:pPr>
        <w:keepNext w:val="0"/>
        <w:keepLines w:val="0"/>
        <w:pageBreakBefore w:val="0"/>
        <w:widowControl/>
        <w:kinsoku/>
        <w:wordWrap/>
        <w:overflowPunct/>
        <w:topLinePunct w:val="0"/>
        <w:autoSpaceDE/>
        <w:autoSpaceDN/>
        <w:bidi w:val="0"/>
        <w:adjustRightInd/>
        <w:snapToGrid/>
        <w:spacing w:line="312" w:lineRule="auto"/>
        <w:ind w:firstLine="6000" w:firstLineChars="25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企业名称（盖章）：</w:t>
      </w:r>
    </w:p>
    <w:p w14:paraId="38EAA9A3">
      <w:pPr>
        <w:keepNext w:val="0"/>
        <w:keepLines w:val="0"/>
        <w:pageBreakBefore w:val="0"/>
        <w:widowControl/>
        <w:kinsoku/>
        <w:wordWrap/>
        <w:overflowPunct/>
        <w:topLinePunct w:val="0"/>
        <w:autoSpaceDE/>
        <w:autoSpaceDN/>
        <w:bidi w:val="0"/>
        <w:adjustRightInd/>
        <w:snapToGrid/>
        <w:spacing w:line="312" w:lineRule="auto"/>
        <w:ind w:firstLine="6000" w:firstLineChars="25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55407415">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sz w:val="24"/>
          <w:szCs w:val="24"/>
          <w:highlight w:val="none"/>
        </w:rPr>
      </w:pPr>
      <w:bookmarkStart w:id="24" w:name="_Toc1541"/>
      <w:bookmarkStart w:id="25" w:name="_Toc21356"/>
      <w:bookmarkStart w:id="26" w:name="_Toc499739990"/>
      <w:bookmarkStart w:id="27" w:name="_Toc607"/>
      <w:bookmarkStart w:id="28" w:name="_Toc255"/>
      <w:bookmarkStart w:id="29" w:name="_Toc10913"/>
      <w:bookmarkStart w:id="30" w:name="_Toc24443"/>
      <w:bookmarkStart w:id="31" w:name="_Toc18592"/>
      <w:bookmarkStart w:id="32" w:name="_Toc5155"/>
      <w:r>
        <w:rPr>
          <w:rFonts w:hint="eastAsia" w:ascii="宋体" w:hAnsi="宋体" w:eastAsia="宋体" w:cs="宋体"/>
          <w:b/>
          <w:bCs/>
          <w:sz w:val="24"/>
          <w:szCs w:val="24"/>
          <w:highlight w:val="none"/>
        </w:rPr>
        <w:br w:type="page"/>
      </w:r>
      <w:r>
        <w:rPr>
          <w:rFonts w:hint="eastAsia" w:ascii="宋体" w:hAnsi="宋体" w:eastAsia="宋体" w:cs="宋体"/>
          <w:b/>
          <w:bCs/>
          <w:sz w:val="24"/>
          <w:szCs w:val="24"/>
          <w:highlight w:val="none"/>
        </w:rPr>
        <w:t>附件</w:t>
      </w:r>
      <w:bookmarkEnd w:id="24"/>
      <w:bookmarkEnd w:id="25"/>
      <w:bookmarkEnd w:id="26"/>
      <w:bookmarkEnd w:id="27"/>
      <w:bookmarkEnd w:id="28"/>
      <w:bookmarkEnd w:id="29"/>
      <w:bookmarkEnd w:id="30"/>
      <w:bookmarkEnd w:id="31"/>
      <w:bookmarkEnd w:id="32"/>
      <w:r>
        <w:rPr>
          <w:rFonts w:hint="eastAsia" w:ascii="宋体" w:hAnsi="宋体" w:eastAsia="宋体" w:cs="宋体"/>
          <w:b/>
          <w:bCs/>
          <w:sz w:val="24"/>
          <w:szCs w:val="24"/>
          <w:highlight w:val="none"/>
        </w:rPr>
        <w:t>2</w:t>
      </w:r>
    </w:p>
    <w:p w14:paraId="48DFB05C">
      <w:pPr>
        <w:widowControl/>
        <w:spacing w:after="240" w:line="360" w:lineRule="auto"/>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监狱企业证明文件</w:t>
      </w:r>
    </w:p>
    <w:p w14:paraId="754F5E13">
      <w:pPr>
        <w:widowControl/>
        <w:spacing w:before="100" w:beforeAutospacing="1" w:after="100" w:afterAutospacing="1"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说明根据《关于政府采购支持监狱企业发展有关问题的通知》(财库[2014]68号)规定，监狱企业参加政府采购活动时，应当提供由省级以上监狱管理局、戒毒管理局(含新疆生产建设兵团)出具的属于监狱企业的证明文件。</w:t>
      </w:r>
    </w:p>
    <w:p w14:paraId="528D0B04">
      <w:pPr>
        <w:pStyle w:val="25"/>
        <w:spacing w:line="360" w:lineRule="auto"/>
        <w:ind w:firstLine="480" w:firstLineChars="200"/>
        <w:rPr>
          <w:rFonts w:hint="eastAsia" w:ascii="宋体" w:hAnsi="宋体" w:eastAsia="宋体" w:cs="宋体"/>
          <w:b/>
          <w:sz w:val="24"/>
          <w:szCs w:val="24"/>
          <w:highlight w:val="none"/>
          <w:lang w:eastAsia="zh-CN"/>
        </w:rPr>
      </w:pPr>
      <w:bookmarkStart w:id="33" w:name="_Toc499739991"/>
      <w:r>
        <w:rPr>
          <w:rFonts w:hint="eastAsia" w:ascii="宋体" w:hAnsi="宋体" w:eastAsia="宋体" w:cs="宋体"/>
          <w:b/>
          <w:sz w:val="24"/>
          <w:szCs w:val="24"/>
          <w:highlight w:val="none"/>
          <w:lang w:eastAsia="zh-CN"/>
        </w:rPr>
        <w:t>注：非监狱企业不提供此证明文件</w:t>
      </w:r>
    </w:p>
    <w:p w14:paraId="3719F9B2">
      <w:pPr>
        <w:rPr>
          <w:rFonts w:hint="eastAsia" w:ascii="宋体" w:hAnsi="宋体" w:eastAsia="宋体" w:cs="宋体"/>
          <w:sz w:val="24"/>
          <w:szCs w:val="24"/>
          <w:highlight w:val="none"/>
        </w:rPr>
      </w:pPr>
    </w:p>
    <w:p w14:paraId="7F248B33">
      <w:pPr>
        <w:rPr>
          <w:rFonts w:hint="eastAsia" w:ascii="宋体" w:hAnsi="宋体" w:eastAsia="宋体" w:cs="宋体"/>
          <w:sz w:val="24"/>
          <w:szCs w:val="24"/>
          <w:highlight w:val="none"/>
        </w:rPr>
      </w:pPr>
      <w:bookmarkStart w:id="34" w:name="_Toc30090"/>
      <w:bookmarkStart w:id="35" w:name="_Toc16753"/>
      <w:bookmarkStart w:id="36" w:name="_Toc30838"/>
      <w:bookmarkStart w:id="37" w:name="_Toc2290"/>
      <w:bookmarkStart w:id="38" w:name="_Toc16824"/>
      <w:bookmarkStart w:id="39" w:name="_Toc11296"/>
    </w:p>
    <w:p w14:paraId="5F180A03">
      <w:pPr>
        <w:rPr>
          <w:rFonts w:hint="eastAsia" w:ascii="宋体" w:hAnsi="宋体" w:eastAsia="宋体" w:cs="宋体"/>
          <w:sz w:val="24"/>
          <w:szCs w:val="24"/>
          <w:highlight w:val="none"/>
        </w:rPr>
      </w:pPr>
    </w:p>
    <w:p w14:paraId="531C4BEE">
      <w:pPr>
        <w:rPr>
          <w:rFonts w:hint="eastAsia" w:ascii="宋体" w:hAnsi="宋体" w:eastAsia="宋体" w:cs="宋体"/>
          <w:b/>
          <w:bCs/>
          <w:sz w:val="24"/>
          <w:szCs w:val="24"/>
          <w:highlight w:val="none"/>
        </w:rPr>
      </w:pPr>
      <w:bookmarkStart w:id="40" w:name="_Toc3073"/>
      <w:bookmarkStart w:id="41" w:name="_Toc28279"/>
      <w:r>
        <w:rPr>
          <w:rFonts w:hint="eastAsia" w:ascii="宋体" w:hAnsi="宋体" w:eastAsia="宋体" w:cs="宋体"/>
          <w:b/>
          <w:bCs/>
          <w:sz w:val="24"/>
          <w:szCs w:val="24"/>
          <w:highlight w:val="none"/>
        </w:rPr>
        <w:t>附件</w:t>
      </w:r>
      <w:bookmarkEnd w:id="33"/>
      <w:bookmarkEnd w:id="34"/>
      <w:bookmarkEnd w:id="35"/>
      <w:bookmarkEnd w:id="36"/>
      <w:bookmarkEnd w:id="37"/>
      <w:bookmarkEnd w:id="38"/>
      <w:bookmarkEnd w:id="39"/>
      <w:bookmarkEnd w:id="40"/>
      <w:bookmarkEnd w:id="41"/>
      <w:r>
        <w:rPr>
          <w:rFonts w:hint="eastAsia" w:ascii="宋体" w:hAnsi="宋体" w:eastAsia="宋体" w:cs="宋体"/>
          <w:b/>
          <w:bCs/>
          <w:sz w:val="24"/>
          <w:szCs w:val="24"/>
          <w:highlight w:val="none"/>
        </w:rPr>
        <w:t>3</w:t>
      </w:r>
    </w:p>
    <w:p w14:paraId="350BA809">
      <w:pPr>
        <w:widowControl/>
        <w:spacing w:after="240" w:line="360" w:lineRule="auto"/>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残疾人福利性单位声明函</w:t>
      </w:r>
    </w:p>
    <w:p w14:paraId="512769F7">
      <w:pPr>
        <w:widowControl/>
        <w:spacing w:before="100" w:beforeAutospacing="1" w:after="100" w:afterAutospacing="1"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本单位郑重声明，根据《财政部 民政部 中国残疾人联合会关于促进残疾人就业政府采购政策的通知》（财库〔2017〕141号）的规定，本单位为符合条件的残疾人福利性单位，应当提供规定中满足条件的相关证明文件及《残疾人福利性单位声明函》。</w:t>
      </w:r>
    </w:p>
    <w:p w14:paraId="1E08B562">
      <w:pPr>
        <w:pStyle w:val="25"/>
        <w:spacing w:line="360" w:lineRule="auto"/>
        <w:ind w:firstLine="480"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注：非残疾人福利性单位不填写此声明函。</w:t>
      </w:r>
    </w:p>
    <w:p w14:paraId="519617C1">
      <w:pPr>
        <w:spacing w:line="560" w:lineRule="exact"/>
        <w:ind w:firstLine="480" w:firstLineChars="200"/>
        <w:jc w:val="both"/>
        <w:rPr>
          <w:rFonts w:hint="eastAsia" w:ascii="宋体" w:hAnsi="宋体" w:eastAsia="宋体" w:cs="宋体"/>
          <w:sz w:val="24"/>
          <w:szCs w:val="24"/>
        </w:rPr>
      </w:pPr>
    </w:p>
    <w:p w14:paraId="00FA283F">
      <w:pPr>
        <w:spacing w:line="560" w:lineRule="exact"/>
        <w:ind w:firstLine="480" w:firstLineChars="200"/>
        <w:jc w:val="both"/>
        <w:rPr>
          <w:rFonts w:hint="eastAsia" w:ascii="宋体" w:hAnsi="宋体" w:eastAsia="宋体" w:cs="宋体"/>
          <w:sz w:val="24"/>
          <w:szCs w:val="24"/>
        </w:rPr>
      </w:pPr>
    </w:p>
    <w:p w14:paraId="2B218490">
      <w:pPr>
        <w:spacing w:line="560" w:lineRule="exact"/>
        <w:ind w:firstLine="480" w:firstLineChars="200"/>
        <w:jc w:val="both"/>
        <w:rPr>
          <w:rFonts w:hint="eastAsia" w:ascii="宋体" w:hAnsi="宋体" w:eastAsia="宋体" w:cs="宋体"/>
          <w:sz w:val="24"/>
          <w:szCs w:val="24"/>
        </w:rPr>
      </w:pPr>
    </w:p>
    <w:p w14:paraId="02C40838">
      <w:pPr>
        <w:rPr>
          <w:rFonts w:hint="eastAsia" w:ascii="宋体" w:hAnsi="宋体" w:eastAsia="宋体" w:cs="宋体"/>
        </w:rPr>
      </w:pPr>
      <w:r>
        <w:rPr>
          <w:rFonts w:hint="eastAsia" w:ascii="宋体" w:hAnsi="宋体" w:eastAsia="宋体" w:cs="宋体"/>
          <w:sz w:val="24"/>
          <w:szCs w:val="24"/>
        </w:rPr>
        <w:br w:type="page"/>
      </w:r>
    </w:p>
    <w:p w14:paraId="2E283F45">
      <w:pPr>
        <w:pStyle w:val="3"/>
        <w:ind w:left="0" w:leftChars="0" w:firstLine="0" w:firstLineChars="0"/>
        <w:jc w:val="center"/>
        <w:rPr>
          <w:rFonts w:hint="eastAsia" w:ascii="宋体" w:hAnsi="宋体" w:eastAsia="宋体" w:cs="宋体"/>
          <w:b/>
          <w:bCs/>
        </w:rPr>
      </w:pPr>
      <w:r>
        <w:rPr>
          <w:rFonts w:hint="eastAsia" w:ascii="宋体" w:hAnsi="宋体" w:eastAsia="宋体" w:cs="宋体"/>
          <w:b/>
          <w:bCs/>
        </w:rPr>
        <w:t>第五部分  供应商参加政府采购活动承诺书</w:t>
      </w:r>
    </w:p>
    <w:p w14:paraId="59DF4A01">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未签署下列承诺书的，将被视为无效投标，其责任由供应商自行承担。</w:t>
      </w:r>
    </w:p>
    <w:p w14:paraId="1CBD3F71">
      <w:pPr>
        <w:pStyle w:val="4"/>
        <w:ind w:left="0" w:leftChars="0" w:right="0" w:rightChars="0" w:firstLine="0" w:firstLineChars="0"/>
        <w:jc w:val="center"/>
        <w:rPr>
          <w:rFonts w:hint="eastAsia" w:ascii="宋体" w:hAnsi="宋体" w:eastAsia="宋体" w:cs="宋体"/>
          <w:b/>
          <w:bCs/>
          <w:sz w:val="32"/>
          <w:szCs w:val="32"/>
        </w:rPr>
      </w:pPr>
      <w:r>
        <w:rPr>
          <w:rFonts w:hint="eastAsia" w:ascii="宋体" w:hAnsi="宋体" w:eastAsia="宋体" w:cs="宋体"/>
          <w:b/>
          <w:bCs/>
          <w:sz w:val="28"/>
          <w:szCs w:val="28"/>
        </w:rPr>
        <w:t>（一）质量安全责任承诺书</w:t>
      </w:r>
    </w:p>
    <w:p w14:paraId="7836B48B">
      <w:pPr>
        <w:spacing w:line="560" w:lineRule="exact"/>
        <w:jc w:val="both"/>
        <w:rPr>
          <w:rFonts w:hint="eastAsia" w:ascii="宋体" w:hAnsi="宋体" w:eastAsia="宋体" w:cs="宋体"/>
          <w:sz w:val="24"/>
          <w:szCs w:val="24"/>
        </w:rPr>
      </w:pPr>
      <w:r>
        <w:rPr>
          <w:rFonts w:hint="eastAsia" w:ascii="宋体" w:hAnsi="宋体" w:eastAsia="宋体" w:cs="宋体"/>
          <w:sz w:val="24"/>
          <w:szCs w:val="24"/>
        </w:rPr>
        <w:t>为保证本采购项目顺利进行，作为投标供应商，现郑重承诺：</w:t>
      </w:r>
    </w:p>
    <w:p w14:paraId="0781B367">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1．我方所投产品的生产（包括设计、制造、安装、改造、维修等）、投入使用的材料等均完全符合国家现行质量、安全、环保标准和要求。</w:t>
      </w:r>
    </w:p>
    <w:p w14:paraId="79F9B4FE">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2．我方将严格按照国家现行相关储存、运输、安装调试技术标准及规范、服务标准及规范、施工标准及规范，在规定的时限内，保质、保量完成项目全部内容，并向采购人交付合格产品。</w:t>
      </w:r>
    </w:p>
    <w:p w14:paraId="0F9F34D9">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3．对于因产品生产质量以及储存、运输、安装调试、服务、施工等过程中产生的任何安全事故，我方承担全部责任。</w:t>
      </w:r>
    </w:p>
    <w:p w14:paraId="5479AD52">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4．我方提供的货物、工程、服务等符合现行的国家、行业、地区、企业标准及要求，标准不一致的，以更为严格的为准，我方对提供的货物、工程、服务等的质量、安全、环保等承担全部责任。</w:t>
      </w:r>
    </w:p>
    <w:p w14:paraId="2BECC134">
      <w:pPr>
        <w:spacing w:line="560" w:lineRule="exact"/>
        <w:ind w:firstLine="480" w:firstLineChars="200"/>
        <w:jc w:val="both"/>
        <w:rPr>
          <w:rFonts w:hint="eastAsia" w:ascii="宋体" w:hAnsi="宋体" w:eastAsia="宋体" w:cs="宋体"/>
          <w:sz w:val="24"/>
          <w:szCs w:val="24"/>
        </w:rPr>
      </w:pPr>
    </w:p>
    <w:p w14:paraId="72D7FE45">
      <w:pPr>
        <w:spacing w:line="560" w:lineRule="exact"/>
        <w:ind w:firstLine="2656" w:firstLineChars="1107"/>
        <w:jc w:val="left"/>
        <w:rPr>
          <w:rFonts w:hint="eastAsia" w:ascii="宋体" w:hAnsi="宋体" w:eastAsia="宋体" w:cs="宋体"/>
          <w:sz w:val="24"/>
          <w:szCs w:val="24"/>
        </w:rPr>
      </w:pPr>
      <w:r>
        <w:rPr>
          <w:rFonts w:hint="eastAsia" w:ascii="宋体" w:hAnsi="宋体" w:eastAsia="宋体" w:cs="宋体"/>
          <w:sz w:val="24"/>
          <w:szCs w:val="24"/>
        </w:rPr>
        <w:t>供应商：（供应商全称并加盖公章）</w:t>
      </w:r>
    </w:p>
    <w:p w14:paraId="1ED443CF">
      <w:pPr>
        <w:spacing w:line="560" w:lineRule="exact"/>
        <w:ind w:firstLine="2656" w:firstLineChars="1107"/>
        <w:jc w:val="left"/>
        <w:rPr>
          <w:rFonts w:hint="eastAsia" w:ascii="宋体" w:hAnsi="宋体" w:eastAsia="宋体" w:cs="宋体"/>
          <w:sz w:val="24"/>
          <w:szCs w:val="24"/>
        </w:rPr>
      </w:pPr>
      <w:r>
        <w:rPr>
          <w:rFonts w:hint="eastAsia" w:ascii="宋体" w:hAnsi="宋体" w:eastAsia="宋体" w:cs="宋体"/>
          <w:sz w:val="24"/>
          <w:szCs w:val="24"/>
        </w:rPr>
        <w:t>日  期：    年  月  日</w:t>
      </w:r>
    </w:p>
    <w:p w14:paraId="4781D2FF">
      <w:pPr>
        <w:spacing w:line="560" w:lineRule="exact"/>
        <w:ind w:firstLine="480" w:firstLineChars="200"/>
        <w:jc w:val="both"/>
        <w:rPr>
          <w:rFonts w:hint="eastAsia" w:ascii="宋体" w:hAnsi="宋体" w:eastAsia="宋体" w:cs="宋体"/>
          <w:sz w:val="24"/>
          <w:szCs w:val="24"/>
        </w:rPr>
      </w:pPr>
    </w:p>
    <w:p w14:paraId="5FFDE7AD">
      <w:pPr>
        <w:rPr>
          <w:rFonts w:hint="eastAsia" w:ascii="宋体" w:hAnsi="宋体" w:eastAsia="宋体" w:cs="宋体"/>
        </w:rPr>
      </w:pPr>
      <w:r>
        <w:rPr>
          <w:rFonts w:hint="eastAsia" w:ascii="宋体" w:hAnsi="宋体" w:eastAsia="宋体" w:cs="宋体"/>
        </w:rPr>
        <w:br w:type="page"/>
      </w:r>
    </w:p>
    <w:p w14:paraId="07F36DF7">
      <w:pPr>
        <w:pStyle w:val="4"/>
        <w:rPr>
          <w:rFonts w:hint="eastAsia" w:ascii="宋体" w:hAnsi="宋体" w:eastAsia="宋体" w:cs="宋体"/>
          <w:b/>
          <w:bCs/>
          <w:sz w:val="28"/>
          <w:szCs w:val="28"/>
        </w:rPr>
      </w:pPr>
      <w:r>
        <w:rPr>
          <w:rFonts w:hint="eastAsia" w:ascii="宋体" w:hAnsi="宋体" w:eastAsia="宋体" w:cs="宋体"/>
          <w:b/>
          <w:bCs/>
          <w:sz w:val="28"/>
          <w:szCs w:val="28"/>
        </w:rPr>
        <w:t>（二）参加政府采购活动行为自律承诺书</w:t>
      </w:r>
    </w:p>
    <w:p w14:paraId="5BEB986C">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作为参加本次政府采购项目的供应商，我方郑重承诺在参与政府采购活动中遵纪守法、公平竞争、诚实守信，如有违反愿承担一切责任及后果：</w:t>
      </w:r>
    </w:p>
    <w:p w14:paraId="34960B18">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1．不与采购人、采购代理机构、政府采购评审专家恶意串通，不向其行贿或提供其他不正当利益；</w:t>
      </w:r>
    </w:p>
    <w:p w14:paraId="035E5AF7">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2．不与其他供应商恶意串通，采取“围标、串标、陪标”等商业欺诈手段谋取中标、成交；</w:t>
      </w:r>
    </w:p>
    <w:p w14:paraId="42F36963">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3．不提供虚假或无效证明文件（包括但不限于资格证明文件、合同及验收文件、检验检测报告、从业人员资格证书、机构或所投产品的各类认证证书等）或虚假材料谋取中标、成交；</w:t>
      </w:r>
    </w:p>
    <w:p w14:paraId="2C4C372D">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4．不采取不正当手段诋毁、排挤其他供应商；</w:t>
      </w:r>
    </w:p>
    <w:p w14:paraId="553B5CC0">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5．不以不正当理由拒不与采购人签订政府采购合同，或逾期签订政府采购合同，或不按照采购文件确定的事项签订政府采购合同；</w:t>
      </w:r>
    </w:p>
    <w:p w14:paraId="397342A2">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6．不以不正当理由拒绝履行合同义务，不会擅自变更、中止或者终止政府采购合同或将政府采购合同转包；</w:t>
      </w:r>
    </w:p>
    <w:p w14:paraId="7BAE49C4">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7．不在提供商品、服务或工程施工过程中提供假冒伪劣产品，损害采购人的合法权益或公共利益；</w:t>
      </w:r>
    </w:p>
    <w:p w14:paraId="51B6F7A6">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8．不采取捏造事实、提供虚假材料或者以非法手段取得证明材料进行质疑和投诉；</w:t>
      </w:r>
    </w:p>
    <w:p w14:paraId="7E9AE253">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9．不发生其他有悖于政府采购公开、公平、公正和诚信原则的行为。</w:t>
      </w:r>
    </w:p>
    <w:p w14:paraId="525D2E48">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10．尊重和接受政府采购监督管理部门的监督和采购人、采购代理机构的政府采购工作要求，愿意承担因违约行为给采购人造成的损失。</w:t>
      </w:r>
    </w:p>
    <w:p w14:paraId="1EBCDAAE">
      <w:pPr>
        <w:spacing w:line="560" w:lineRule="exact"/>
        <w:ind w:firstLine="480" w:firstLineChars="200"/>
        <w:jc w:val="both"/>
        <w:rPr>
          <w:rFonts w:hint="eastAsia" w:ascii="宋体" w:hAnsi="宋体" w:eastAsia="宋体" w:cs="宋体"/>
          <w:sz w:val="24"/>
          <w:szCs w:val="24"/>
        </w:rPr>
      </w:pPr>
    </w:p>
    <w:p w14:paraId="714A1EF8">
      <w:pPr>
        <w:spacing w:line="560" w:lineRule="exact"/>
        <w:ind w:firstLine="2656" w:firstLineChars="1107"/>
        <w:jc w:val="both"/>
        <w:rPr>
          <w:rFonts w:hint="eastAsia" w:ascii="宋体" w:hAnsi="宋体" w:eastAsia="宋体" w:cs="宋体"/>
          <w:sz w:val="24"/>
          <w:szCs w:val="24"/>
        </w:rPr>
      </w:pPr>
      <w:r>
        <w:rPr>
          <w:rFonts w:hint="eastAsia" w:ascii="宋体" w:hAnsi="宋体" w:eastAsia="宋体" w:cs="宋体"/>
          <w:sz w:val="24"/>
          <w:szCs w:val="24"/>
        </w:rPr>
        <w:t>供应商：（供应商全称并加盖公章）</w:t>
      </w:r>
    </w:p>
    <w:p w14:paraId="64727E58">
      <w:pPr>
        <w:spacing w:line="560" w:lineRule="exact"/>
        <w:ind w:firstLine="2656" w:firstLineChars="1107"/>
        <w:jc w:val="both"/>
        <w:rPr>
          <w:rFonts w:hint="eastAsia" w:ascii="宋体" w:hAnsi="宋体" w:eastAsia="宋体" w:cs="宋体"/>
          <w:sz w:val="24"/>
          <w:szCs w:val="24"/>
        </w:rPr>
      </w:pPr>
      <w:r>
        <w:rPr>
          <w:rFonts w:hint="eastAsia" w:ascii="宋体" w:hAnsi="宋体" w:eastAsia="宋体" w:cs="宋体"/>
          <w:sz w:val="24"/>
          <w:szCs w:val="24"/>
        </w:rPr>
        <w:t>日  期：    年  月  日</w:t>
      </w:r>
    </w:p>
    <w:p w14:paraId="1E398439">
      <w:pPr>
        <w:rPr>
          <w:rFonts w:hint="eastAsia" w:ascii="宋体" w:hAnsi="宋体" w:eastAsia="宋体" w:cs="宋体"/>
          <w:sz w:val="32"/>
          <w:szCs w:val="32"/>
        </w:rPr>
      </w:pPr>
      <w:r>
        <w:rPr>
          <w:rFonts w:hint="eastAsia" w:ascii="宋体" w:hAnsi="宋体" w:eastAsia="宋体" w:cs="宋体"/>
        </w:rPr>
        <w:br w:type="page"/>
      </w:r>
    </w:p>
    <w:p w14:paraId="7EEEE253">
      <w:pPr>
        <w:pStyle w:val="3"/>
        <w:keepNext w:val="0"/>
        <w:keepLines w:val="0"/>
        <w:pageBreakBefore w:val="0"/>
        <w:widowControl/>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b/>
          <w:bCs/>
        </w:rPr>
      </w:pPr>
      <w:r>
        <w:rPr>
          <w:rFonts w:hint="eastAsia" w:ascii="宋体" w:hAnsi="宋体" w:eastAsia="宋体" w:cs="宋体"/>
          <w:b/>
          <w:bCs/>
        </w:rPr>
        <w:t>第六部分  投标方案</w:t>
      </w:r>
    </w:p>
    <w:p w14:paraId="64A4FA4C">
      <w:pPr>
        <w:pStyle w:val="97"/>
        <w:spacing w:before="210" w:after="210"/>
        <w:ind w:firstLine="640"/>
        <w:rPr>
          <w:rFonts w:hint="eastAsia" w:ascii="宋体" w:hAnsi="宋体" w:eastAsia="宋体" w:cs="宋体"/>
          <w:sz w:val="28"/>
          <w:szCs w:val="28"/>
          <w:highlight w:val="none"/>
        </w:rPr>
      </w:pPr>
      <w:r>
        <w:rPr>
          <w:rFonts w:hint="eastAsia" w:ascii="宋体" w:hAnsi="宋体" w:eastAsia="宋体" w:cs="宋体"/>
          <w:sz w:val="28"/>
          <w:szCs w:val="28"/>
          <w:highlight w:val="none"/>
        </w:rPr>
        <w:t>（一）技术（服务）要求</w:t>
      </w:r>
      <w:r>
        <w:rPr>
          <w:rFonts w:hint="eastAsia" w:ascii="宋体" w:hAnsi="宋体" w:eastAsia="宋体" w:cs="宋体"/>
          <w:sz w:val="28"/>
          <w:szCs w:val="28"/>
          <w:highlight w:val="none"/>
          <w:lang w:eastAsia="zh-CN"/>
        </w:rPr>
        <w:t>偏离表</w:t>
      </w:r>
    </w:p>
    <w:tbl>
      <w:tblPr>
        <w:tblStyle w:val="29"/>
        <w:tblW w:w="4998"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91"/>
        <w:gridCol w:w="1753"/>
        <w:gridCol w:w="2573"/>
        <w:gridCol w:w="2444"/>
        <w:gridCol w:w="1039"/>
        <w:gridCol w:w="1206"/>
      </w:tblGrid>
      <w:tr w14:paraId="125713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tcBorders>
              <w:top w:val="single" w:color="auto" w:sz="12" w:space="0"/>
              <w:bottom w:val="single" w:color="auto" w:sz="2" w:space="0"/>
            </w:tcBorders>
            <w:shd w:val="clear" w:color="auto" w:fill="F1F1F1" w:themeFill="background1" w:themeFillShade="F2"/>
            <w:vAlign w:val="center"/>
          </w:tcPr>
          <w:p w14:paraId="3DF09259">
            <w:pPr>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903" w:type="pct"/>
            <w:tcBorders>
              <w:top w:val="single" w:color="auto" w:sz="12" w:space="0"/>
              <w:bottom w:val="single" w:color="auto" w:sz="2" w:space="0"/>
            </w:tcBorders>
            <w:shd w:val="clear" w:color="auto" w:fill="F1F1F1" w:themeFill="background1" w:themeFillShade="F2"/>
            <w:vAlign w:val="center"/>
          </w:tcPr>
          <w:p w14:paraId="78602E5F">
            <w:pPr>
              <w:spacing w:line="560" w:lineRule="exact"/>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技术条款</w:t>
            </w:r>
          </w:p>
        </w:tc>
        <w:tc>
          <w:tcPr>
            <w:tcW w:w="1325" w:type="pct"/>
            <w:tcBorders>
              <w:top w:val="single" w:color="auto" w:sz="12" w:space="0"/>
              <w:bottom w:val="single" w:color="auto" w:sz="2" w:space="0"/>
            </w:tcBorders>
            <w:shd w:val="clear" w:color="auto" w:fill="F1F1F1" w:themeFill="background1" w:themeFillShade="F2"/>
            <w:vAlign w:val="center"/>
          </w:tcPr>
          <w:p w14:paraId="160465B7">
            <w:pPr>
              <w:spacing w:line="560" w:lineRule="exact"/>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招标文件技术要求</w:t>
            </w:r>
          </w:p>
        </w:tc>
        <w:tc>
          <w:tcPr>
            <w:tcW w:w="1259" w:type="pct"/>
            <w:tcBorders>
              <w:top w:val="single" w:color="auto" w:sz="12" w:space="0"/>
              <w:bottom w:val="single" w:color="auto" w:sz="2" w:space="0"/>
            </w:tcBorders>
            <w:shd w:val="clear" w:color="auto" w:fill="F1F1F1" w:themeFill="background1" w:themeFillShade="F2"/>
            <w:vAlign w:val="center"/>
          </w:tcPr>
          <w:p w14:paraId="1BFB51A0">
            <w:pPr>
              <w:spacing w:line="560" w:lineRule="exact"/>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投标文件技术响应</w:t>
            </w:r>
          </w:p>
        </w:tc>
        <w:tc>
          <w:tcPr>
            <w:tcW w:w="535" w:type="pct"/>
            <w:tcBorders>
              <w:top w:val="single" w:color="auto" w:sz="12" w:space="0"/>
              <w:bottom w:val="single" w:color="auto" w:sz="2" w:space="0"/>
            </w:tcBorders>
            <w:shd w:val="clear" w:color="auto" w:fill="F1F1F1" w:themeFill="background1" w:themeFillShade="F2"/>
            <w:vAlign w:val="center"/>
          </w:tcPr>
          <w:p w14:paraId="3E7C0340">
            <w:pPr>
              <w:spacing w:line="560" w:lineRule="exact"/>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响应说明</w:t>
            </w:r>
          </w:p>
        </w:tc>
        <w:tc>
          <w:tcPr>
            <w:tcW w:w="620" w:type="pct"/>
            <w:tcBorders>
              <w:top w:val="single" w:color="auto" w:sz="12" w:space="0"/>
              <w:bottom w:val="single" w:color="auto" w:sz="2" w:space="0"/>
            </w:tcBorders>
            <w:shd w:val="clear" w:color="auto" w:fill="F1F1F1" w:themeFill="background1" w:themeFillShade="F2"/>
            <w:vAlign w:val="center"/>
          </w:tcPr>
          <w:p w14:paraId="26564E72">
            <w:pPr>
              <w:spacing w:line="560" w:lineRule="exact"/>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偏离</w:t>
            </w:r>
          </w:p>
        </w:tc>
      </w:tr>
      <w:tr w14:paraId="54DCC7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tcBorders>
              <w:top w:val="single" w:color="auto" w:sz="2" w:space="0"/>
            </w:tcBorders>
            <w:vAlign w:val="center"/>
          </w:tcPr>
          <w:p w14:paraId="334A792E">
            <w:pPr>
              <w:spacing w:line="560" w:lineRule="exact"/>
              <w:jc w:val="center"/>
              <w:rPr>
                <w:rFonts w:hint="eastAsia" w:ascii="宋体" w:hAnsi="宋体" w:eastAsia="宋体" w:cs="宋体"/>
                <w:sz w:val="24"/>
                <w:szCs w:val="24"/>
              </w:rPr>
            </w:pPr>
          </w:p>
        </w:tc>
        <w:tc>
          <w:tcPr>
            <w:tcW w:w="903" w:type="pct"/>
            <w:tcBorders>
              <w:top w:val="single" w:color="auto" w:sz="2" w:space="0"/>
            </w:tcBorders>
            <w:vAlign w:val="center"/>
          </w:tcPr>
          <w:p w14:paraId="58455A83">
            <w:pPr>
              <w:spacing w:line="560" w:lineRule="exact"/>
              <w:jc w:val="center"/>
              <w:rPr>
                <w:rFonts w:hint="eastAsia" w:ascii="宋体" w:hAnsi="宋体" w:eastAsia="宋体" w:cs="宋体"/>
                <w:sz w:val="24"/>
                <w:szCs w:val="24"/>
              </w:rPr>
            </w:pPr>
          </w:p>
        </w:tc>
        <w:tc>
          <w:tcPr>
            <w:tcW w:w="1325" w:type="pct"/>
            <w:tcBorders>
              <w:top w:val="single" w:color="auto" w:sz="2" w:space="0"/>
            </w:tcBorders>
            <w:vAlign w:val="center"/>
          </w:tcPr>
          <w:p w14:paraId="17014EB5">
            <w:pPr>
              <w:spacing w:line="560" w:lineRule="exact"/>
              <w:jc w:val="center"/>
              <w:rPr>
                <w:rFonts w:hint="eastAsia" w:ascii="宋体" w:hAnsi="宋体" w:eastAsia="宋体" w:cs="宋体"/>
                <w:sz w:val="24"/>
                <w:szCs w:val="24"/>
              </w:rPr>
            </w:pPr>
          </w:p>
        </w:tc>
        <w:tc>
          <w:tcPr>
            <w:tcW w:w="1259" w:type="pct"/>
            <w:tcBorders>
              <w:top w:val="single" w:color="auto" w:sz="2" w:space="0"/>
            </w:tcBorders>
            <w:vAlign w:val="center"/>
          </w:tcPr>
          <w:p w14:paraId="4EE14671">
            <w:pPr>
              <w:spacing w:line="560" w:lineRule="exact"/>
              <w:jc w:val="center"/>
              <w:rPr>
                <w:rFonts w:hint="eastAsia" w:ascii="宋体" w:hAnsi="宋体" w:eastAsia="宋体" w:cs="宋体"/>
                <w:sz w:val="24"/>
                <w:szCs w:val="24"/>
              </w:rPr>
            </w:pPr>
          </w:p>
        </w:tc>
        <w:tc>
          <w:tcPr>
            <w:tcW w:w="535" w:type="pct"/>
            <w:tcBorders>
              <w:top w:val="single" w:color="auto" w:sz="2" w:space="0"/>
            </w:tcBorders>
            <w:vAlign w:val="center"/>
          </w:tcPr>
          <w:p w14:paraId="43116711">
            <w:pPr>
              <w:spacing w:line="560" w:lineRule="exact"/>
              <w:jc w:val="center"/>
              <w:rPr>
                <w:rFonts w:hint="eastAsia" w:ascii="宋体" w:hAnsi="宋体" w:eastAsia="宋体" w:cs="宋体"/>
                <w:sz w:val="24"/>
                <w:szCs w:val="24"/>
              </w:rPr>
            </w:pPr>
          </w:p>
        </w:tc>
        <w:tc>
          <w:tcPr>
            <w:tcW w:w="620" w:type="pct"/>
            <w:tcBorders>
              <w:top w:val="single" w:color="auto" w:sz="2" w:space="0"/>
            </w:tcBorders>
            <w:vAlign w:val="center"/>
          </w:tcPr>
          <w:p w14:paraId="65826CFF">
            <w:pPr>
              <w:spacing w:line="560" w:lineRule="exact"/>
              <w:jc w:val="center"/>
              <w:rPr>
                <w:rFonts w:hint="eastAsia" w:ascii="宋体" w:hAnsi="宋体" w:eastAsia="宋体" w:cs="宋体"/>
                <w:sz w:val="24"/>
                <w:szCs w:val="24"/>
              </w:rPr>
            </w:pPr>
          </w:p>
        </w:tc>
      </w:tr>
      <w:tr w14:paraId="337ADE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1251BAB5">
            <w:pPr>
              <w:spacing w:line="560" w:lineRule="exact"/>
              <w:jc w:val="center"/>
              <w:rPr>
                <w:rFonts w:hint="eastAsia" w:ascii="宋体" w:hAnsi="宋体" w:eastAsia="宋体" w:cs="宋体"/>
                <w:sz w:val="24"/>
                <w:szCs w:val="24"/>
              </w:rPr>
            </w:pPr>
          </w:p>
        </w:tc>
        <w:tc>
          <w:tcPr>
            <w:tcW w:w="903" w:type="pct"/>
            <w:vAlign w:val="center"/>
          </w:tcPr>
          <w:p w14:paraId="74686B35">
            <w:pPr>
              <w:spacing w:line="560" w:lineRule="exact"/>
              <w:jc w:val="center"/>
              <w:rPr>
                <w:rFonts w:hint="eastAsia" w:ascii="宋体" w:hAnsi="宋体" w:eastAsia="宋体" w:cs="宋体"/>
                <w:sz w:val="24"/>
                <w:szCs w:val="24"/>
              </w:rPr>
            </w:pPr>
          </w:p>
        </w:tc>
        <w:tc>
          <w:tcPr>
            <w:tcW w:w="1325" w:type="pct"/>
            <w:vAlign w:val="center"/>
          </w:tcPr>
          <w:p w14:paraId="415D8F64">
            <w:pPr>
              <w:spacing w:line="560" w:lineRule="exact"/>
              <w:jc w:val="center"/>
              <w:rPr>
                <w:rFonts w:hint="eastAsia" w:ascii="宋体" w:hAnsi="宋体" w:eastAsia="宋体" w:cs="宋体"/>
                <w:sz w:val="24"/>
                <w:szCs w:val="24"/>
              </w:rPr>
            </w:pPr>
          </w:p>
        </w:tc>
        <w:tc>
          <w:tcPr>
            <w:tcW w:w="1259" w:type="pct"/>
            <w:vAlign w:val="center"/>
          </w:tcPr>
          <w:p w14:paraId="51C3D732">
            <w:pPr>
              <w:spacing w:line="560" w:lineRule="exact"/>
              <w:jc w:val="center"/>
              <w:rPr>
                <w:rFonts w:hint="eastAsia" w:ascii="宋体" w:hAnsi="宋体" w:eastAsia="宋体" w:cs="宋体"/>
                <w:sz w:val="24"/>
                <w:szCs w:val="24"/>
              </w:rPr>
            </w:pPr>
          </w:p>
        </w:tc>
        <w:tc>
          <w:tcPr>
            <w:tcW w:w="535" w:type="pct"/>
            <w:vAlign w:val="center"/>
          </w:tcPr>
          <w:p w14:paraId="67F8C489">
            <w:pPr>
              <w:spacing w:line="560" w:lineRule="exact"/>
              <w:jc w:val="center"/>
              <w:rPr>
                <w:rFonts w:hint="eastAsia" w:ascii="宋体" w:hAnsi="宋体" w:eastAsia="宋体" w:cs="宋体"/>
                <w:sz w:val="24"/>
                <w:szCs w:val="24"/>
              </w:rPr>
            </w:pPr>
          </w:p>
        </w:tc>
        <w:tc>
          <w:tcPr>
            <w:tcW w:w="620" w:type="pct"/>
            <w:vAlign w:val="center"/>
          </w:tcPr>
          <w:p w14:paraId="25669FCC">
            <w:pPr>
              <w:spacing w:line="560" w:lineRule="exact"/>
              <w:jc w:val="center"/>
              <w:rPr>
                <w:rFonts w:hint="eastAsia" w:ascii="宋体" w:hAnsi="宋体" w:eastAsia="宋体" w:cs="宋体"/>
                <w:sz w:val="24"/>
                <w:szCs w:val="24"/>
              </w:rPr>
            </w:pPr>
          </w:p>
        </w:tc>
      </w:tr>
      <w:tr w14:paraId="4C00B2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4E385B6C">
            <w:pPr>
              <w:spacing w:line="560" w:lineRule="exact"/>
              <w:jc w:val="center"/>
              <w:rPr>
                <w:rFonts w:hint="eastAsia" w:ascii="宋体" w:hAnsi="宋体" w:eastAsia="宋体" w:cs="宋体"/>
                <w:sz w:val="24"/>
                <w:szCs w:val="24"/>
              </w:rPr>
            </w:pPr>
          </w:p>
        </w:tc>
        <w:tc>
          <w:tcPr>
            <w:tcW w:w="903" w:type="pct"/>
            <w:vAlign w:val="center"/>
          </w:tcPr>
          <w:p w14:paraId="22CBAB02">
            <w:pPr>
              <w:spacing w:line="560" w:lineRule="exact"/>
              <w:jc w:val="center"/>
              <w:rPr>
                <w:rFonts w:hint="eastAsia" w:ascii="宋体" w:hAnsi="宋体" w:eastAsia="宋体" w:cs="宋体"/>
                <w:sz w:val="24"/>
                <w:szCs w:val="24"/>
              </w:rPr>
            </w:pPr>
          </w:p>
        </w:tc>
        <w:tc>
          <w:tcPr>
            <w:tcW w:w="1325" w:type="pct"/>
            <w:vAlign w:val="center"/>
          </w:tcPr>
          <w:p w14:paraId="690DA048">
            <w:pPr>
              <w:spacing w:line="560" w:lineRule="exact"/>
              <w:jc w:val="center"/>
              <w:rPr>
                <w:rFonts w:hint="eastAsia" w:ascii="宋体" w:hAnsi="宋体" w:eastAsia="宋体" w:cs="宋体"/>
                <w:sz w:val="24"/>
                <w:szCs w:val="24"/>
              </w:rPr>
            </w:pPr>
          </w:p>
        </w:tc>
        <w:tc>
          <w:tcPr>
            <w:tcW w:w="1259" w:type="pct"/>
            <w:vAlign w:val="center"/>
          </w:tcPr>
          <w:p w14:paraId="1E74C367">
            <w:pPr>
              <w:spacing w:line="560" w:lineRule="exact"/>
              <w:jc w:val="center"/>
              <w:rPr>
                <w:rFonts w:hint="eastAsia" w:ascii="宋体" w:hAnsi="宋体" w:eastAsia="宋体" w:cs="宋体"/>
                <w:sz w:val="24"/>
                <w:szCs w:val="24"/>
              </w:rPr>
            </w:pPr>
          </w:p>
        </w:tc>
        <w:tc>
          <w:tcPr>
            <w:tcW w:w="535" w:type="pct"/>
            <w:vAlign w:val="center"/>
          </w:tcPr>
          <w:p w14:paraId="779C2930">
            <w:pPr>
              <w:spacing w:line="560" w:lineRule="exact"/>
              <w:jc w:val="center"/>
              <w:rPr>
                <w:rFonts w:hint="eastAsia" w:ascii="宋体" w:hAnsi="宋体" w:eastAsia="宋体" w:cs="宋体"/>
                <w:sz w:val="24"/>
                <w:szCs w:val="24"/>
              </w:rPr>
            </w:pPr>
          </w:p>
        </w:tc>
        <w:tc>
          <w:tcPr>
            <w:tcW w:w="620" w:type="pct"/>
            <w:vAlign w:val="center"/>
          </w:tcPr>
          <w:p w14:paraId="00D92F88">
            <w:pPr>
              <w:spacing w:line="560" w:lineRule="exact"/>
              <w:jc w:val="center"/>
              <w:rPr>
                <w:rFonts w:hint="eastAsia" w:ascii="宋体" w:hAnsi="宋体" w:eastAsia="宋体" w:cs="宋体"/>
                <w:sz w:val="24"/>
                <w:szCs w:val="24"/>
              </w:rPr>
            </w:pPr>
          </w:p>
        </w:tc>
      </w:tr>
      <w:tr w14:paraId="7C5AEC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71531193">
            <w:pPr>
              <w:spacing w:line="560" w:lineRule="exact"/>
              <w:jc w:val="center"/>
              <w:rPr>
                <w:rFonts w:hint="eastAsia" w:ascii="宋体" w:hAnsi="宋体" w:eastAsia="宋体" w:cs="宋体"/>
                <w:sz w:val="24"/>
                <w:szCs w:val="24"/>
              </w:rPr>
            </w:pPr>
          </w:p>
        </w:tc>
        <w:tc>
          <w:tcPr>
            <w:tcW w:w="903" w:type="pct"/>
            <w:vAlign w:val="center"/>
          </w:tcPr>
          <w:p w14:paraId="70E745C7">
            <w:pPr>
              <w:spacing w:line="560" w:lineRule="exact"/>
              <w:jc w:val="center"/>
              <w:rPr>
                <w:rFonts w:hint="eastAsia" w:ascii="宋体" w:hAnsi="宋体" w:eastAsia="宋体" w:cs="宋体"/>
                <w:sz w:val="24"/>
                <w:szCs w:val="24"/>
              </w:rPr>
            </w:pPr>
          </w:p>
        </w:tc>
        <w:tc>
          <w:tcPr>
            <w:tcW w:w="1325" w:type="pct"/>
            <w:vAlign w:val="center"/>
          </w:tcPr>
          <w:p w14:paraId="5E5B0AC6">
            <w:pPr>
              <w:spacing w:line="560" w:lineRule="exact"/>
              <w:jc w:val="center"/>
              <w:rPr>
                <w:rFonts w:hint="eastAsia" w:ascii="宋体" w:hAnsi="宋体" w:eastAsia="宋体" w:cs="宋体"/>
                <w:sz w:val="24"/>
                <w:szCs w:val="24"/>
              </w:rPr>
            </w:pPr>
          </w:p>
        </w:tc>
        <w:tc>
          <w:tcPr>
            <w:tcW w:w="1259" w:type="pct"/>
            <w:vAlign w:val="center"/>
          </w:tcPr>
          <w:p w14:paraId="61743210">
            <w:pPr>
              <w:spacing w:line="560" w:lineRule="exact"/>
              <w:jc w:val="center"/>
              <w:rPr>
                <w:rFonts w:hint="eastAsia" w:ascii="宋体" w:hAnsi="宋体" w:eastAsia="宋体" w:cs="宋体"/>
                <w:sz w:val="24"/>
                <w:szCs w:val="24"/>
              </w:rPr>
            </w:pPr>
          </w:p>
        </w:tc>
        <w:tc>
          <w:tcPr>
            <w:tcW w:w="535" w:type="pct"/>
            <w:vAlign w:val="center"/>
          </w:tcPr>
          <w:p w14:paraId="2794641E">
            <w:pPr>
              <w:spacing w:line="560" w:lineRule="exact"/>
              <w:jc w:val="center"/>
              <w:rPr>
                <w:rFonts w:hint="eastAsia" w:ascii="宋体" w:hAnsi="宋体" w:eastAsia="宋体" w:cs="宋体"/>
                <w:sz w:val="24"/>
                <w:szCs w:val="24"/>
              </w:rPr>
            </w:pPr>
          </w:p>
        </w:tc>
        <w:tc>
          <w:tcPr>
            <w:tcW w:w="620" w:type="pct"/>
            <w:vAlign w:val="center"/>
          </w:tcPr>
          <w:p w14:paraId="74CF6A9D">
            <w:pPr>
              <w:spacing w:line="560" w:lineRule="exact"/>
              <w:jc w:val="center"/>
              <w:rPr>
                <w:rFonts w:hint="eastAsia" w:ascii="宋体" w:hAnsi="宋体" w:eastAsia="宋体" w:cs="宋体"/>
                <w:sz w:val="24"/>
                <w:szCs w:val="24"/>
              </w:rPr>
            </w:pPr>
          </w:p>
        </w:tc>
      </w:tr>
      <w:tr w14:paraId="7DF575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3C039106">
            <w:pPr>
              <w:spacing w:line="560" w:lineRule="exact"/>
              <w:jc w:val="center"/>
              <w:rPr>
                <w:rFonts w:hint="eastAsia" w:ascii="宋体" w:hAnsi="宋体" w:eastAsia="宋体" w:cs="宋体"/>
                <w:sz w:val="24"/>
                <w:szCs w:val="24"/>
              </w:rPr>
            </w:pPr>
          </w:p>
        </w:tc>
        <w:tc>
          <w:tcPr>
            <w:tcW w:w="903" w:type="pct"/>
            <w:vAlign w:val="center"/>
          </w:tcPr>
          <w:p w14:paraId="7C999A1C">
            <w:pPr>
              <w:spacing w:line="560" w:lineRule="exact"/>
              <w:jc w:val="center"/>
              <w:rPr>
                <w:rFonts w:hint="eastAsia" w:ascii="宋体" w:hAnsi="宋体" w:eastAsia="宋体" w:cs="宋体"/>
                <w:sz w:val="24"/>
                <w:szCs w:val="24"/>
              </w:rPr>
            </w:pPr>
          </w:p>
        </w:tc>
        <w:tc>
          <w:tcPr>
            <w:tcW w:w="1325" w:type="pct"/>
            <w:vAlign w:val="center"/>
          </w:tcPr>
          <w:p w14:paraId="765B5EEE">
            <w:pPr>
              <w:spacing w:line="560" w:lineRule="exact"/>
              <w:jc w:val="center"/>
              <w:rPr>
                <w:rFonts w:hint="eastAsia" w:ascii="宋体" w:hAnsi="宋体" w:eastAsia="宋体" w:cs="宋体"/>
                <w:sz w:val="24"/>
                <w:szCs w:val="24"/>
              </w:rPr>
            </w:pPr>
          </w:p>
        </w:tc>
        <w:tc>
          <w:tcPr>
            <w:tcW w:w="1259" w:type="pct"/>
            <w:vAlign w:val="center"/>
          </w:tcPr>
          <w:p w14:paraId="2D986B85">
            <w:pPr>
              <w:spacing w:line="560" w:lineRule="exact"/>
              <w:jc w:val="center"/>
              <w:rPr>
                <w:rFonts w:hint="eastAsia" w:ascii="宋体" w:hAnsi="宋体" w:eastAsia="宋体" w:cs="宋体"/>
                <w:sz w:val="24"/>
                <w:szCs w:val="24"/>
              </w:rPr>
            </w:pPr>
          </w:p>
        </w:tc>
        <w:tc>
          <w:tcPr>
            <w:tcW w:w="535" w:type="pct"/>
            <w:vAlign w:val="center"/>
          </w:tcPr>
          <w:p w14:paraId="3435D8BA">
            <w:pPr>
              <w:spacing w:line="560" w:lineRule="exact"/>
              <w:jc w:val="center"/>
              <w:rPr>
                <w:rFonts w:hint="eastAsia" w:ascii="宋体" w:hAnsi="宋体" w:eastAsia="宋体" w:cs="宋体"/>
                <w:sz w:val="24"/>
                <w:szCs w:val="24"/>
              </w:rPr>
            </w:pPr>
          </w:p>
        </w:tc>
        <w:tc>
          <w:tcPr>
            <w:tcW w:w="620" w:type="pct"/>
            <w:vAlign w:val="center"/>
          </w:tcPr>
          <w:p w14:paraId="3F90C33E">
            <w:pPr>
              <w:spacing w:line="560" w:lineRule="exact"/>
              <w:jc w:val="center"/>
              <w:rPr>
                <w:rFonts w:hint="eastAsia" w:ascii="宋体" w:hAnsi="宋体" w:eastAsia="宋体" w:cs="宋体"/>
                <w:sz w:val="24"/>
                <w:szCs w:val="24"/>
              </w:rPr>
            </w:pPr>
          </w:p>
        </w:tc>
      </w:tr>
      <w:tr w14:paraId="469BFCC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1310DFCF">
            <w:pPr>
              <w:spacing w:line="560" w:lineRule="exact"/>
              <w:jc w:val="center"/>
              <w:rPr>
                <w:rFonts w:hint="eastAsia" w:ascii="宋体" w:hAnsi="宋体" w:eastAsia="宋体" w:cs="宋体"/>
                <w:sz w:val="24"/>
                <w:szCs w:val="24"/>
              </w:rPr>
            </w:pPr>
          </w:p>
        </w:tc>
        <w:tc>
          <w:tcPr>
            <w:tcW w:w="903" w:type="pct"/>
            <w:vAlign w:val="center"/>
          </w:tcPr>
          <w:p w14:paraId="4B6CB943">
            <w:pPr>
              <w:spacing w:line="560" w:lineRule="exact"/>
              <w:jc w:val="center"/>
              <w:rPr>
                <w:rFonts w:hint="eastAsia" w:ascii="宋体" w:hAnsi="宋体" w:eastAsia="宋体" w:cs="宋体"/>
                <w:sz w:val="24"/>
                <w:szCs w:val="24"/>
              </w:rPr>
            </w:pPr>
          </w:p>
        </w:tc>
        <w:tc>
          <w:tcPr>
            <w:tcW w:w="1325" w:type="pct"/>
            <w:vAlign w:val="center"/>
          </w:tcPr>
          <w:p w14:paraId="09D150D6">
            <w:pPr>
              <w:spacing w:line="560" w:lineRule="exact"/>
              <w:jc w:val="center"/>
              <w:rPr>
                <w:rFonts w:hint="eastAsia" w:ascii="宋体" w:hAnsi="宋体" w:eastAsia="宋体" w:cs="宋体"/>
                <w:sz w:val="24"/>
                <w:szCs w:val="24"/>
              </w:rPr>
            </w:pPr>
          </w:p>
        </w:tc>
        <w:tc>
          <w:tcPr>
            <w:tcW w:w="1259" w:type="pct"/>
            <w:vAlign w:val="center"/>
          </w:tcPr>
          <w:p w14:paraId="4A7E6233">
            <w:pPr>
              <w:spacing w:line="560" w:lineRule="exact"/>
              <w:jc w:val="center"/>
              <w:rPr>
                <w:rFonts w:hint="eastAsia" w:ascii="宋体" w:hAnsi="宋体" w:eastAsia="宋体" w:cs="宋体"/>
                <w:sz w:val="24"/>
                <w:szCs w:val="24"/>
              </w:rPr>
            </w:pPr>
          </w:p>
        </w:tc>
        <w:tc>
          <w:tcPr>
            <w:tcW w:w="535" w:type="pct"/>
            <w:vAlign w:val="center"/>
          </w:tcPr>
          <w:p w14:paraId="36FD2DF2">
            <w:pPr>
              <w:spacing w:line="560" w:lineRule="exact"/>
              <w:jc w:val="center"/>
              <w:rPr>
                <w:rFonts w:hint="eastAsia" w:ascii="宋体" w:hAnsi="宋体" w:eastAsia="宋体" w:cs="宋体"/>
                <w:sz w:val="24"/>
                <w:szCs w:val="24"/>
              </w:rPr>
            </w:pPr>
          </w:p>
        </w:tc>
        <w:tc>
          <w:tcPr>
            <w:tcW w:w="620" w:type="pct"/>
            <w:vAlign w:val="center"/>
          </w:tcPr>
          <w:p w14:paraId="1D8EC6E0">
            <w:pPr>
              <w:spacing w:line="560" w:lineRule="exact"/>
              <w:jc w:val="center"/>
              <w:rPr>
                <w:rFonts w:hint="eastAsia" w:ascii="宋体" w:hAnsi="宋体" w:eastAsia="宋体" w:cs="宋体"/>
                <w:sz w:val="24"/>
                <w:szCs w:val="24"/>
              </w:rPr>
            </w:pPr>
          </w:p>
        </w:tc>
      </w:tr>
      <w:tr w14:paraId="59D0D6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09265AC1">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备注</w:t>
            </w:r>
          </w:p>
        </w:tc>
        <w:tc>
          <w:tcPr>
            <w:tcW w:w="4643" w:type="pct"/>
            <w:gridSpan w:val="5"/>
            <w:vAlign w:val="center"/>
          </w:tcPr>
          <w:p w14:paraId="5AF45687">
            <w:pPr>
              <w:spacing w:line="560" w:lineRule="exact"/>
              <w:jc w:val="both"/>
              <w:rPr>
                <w:rFonts w:hint="eastAsia" w:ascii="宋体" w:hAnsi="宋体" w:eastAsia="宋体" w:cs="宋体"/>
                <w:color w:val="FF0000"/>
                <w:sz w:val="24"/>
                <w:szCs w:val="24"/>
              </w:rPr>
            </w:pPr>
            <w:r>
              <w:rPr>
                <w:rFonts w:hint="eastAsia" w:ascii="宋体" w:hAnsi="宋体" w:eastAsia="宋体" w:cs="宋体"/>
                <w:sz w:val="24"/>
                <w:szCs w:val="24"/>
              </w:rPr>
              <w:t>1．</w:t>
            </w:r>
            <w:r>
              <w:rPr>
                <w:rFonts w:hint="eastAsia" w:ascii="宋体" w:hAnsi="宋体" w:eastAsia="宋体" w:cs="宋体"/>
                <w:color w:val="auto"/>
                <w:sz w:val="24"/>
                <w:szCs w:val="24"/>
              </w:rPr>
              <w:t>对第三章</w:t>
            </w:r>
            <w:r>
              <w:rPr>
                <w:rFonts w:hint="eastAsia" w:ascii="宋体" w:hAnsi="宋体" w:eastAsia="宋体" w:cs="宋体"/>
                <w:color w:val="auto"/>
                <w:sz w:val="24"/>
                <w:szCs w:val="24"/>
                <w:lang w:eastAsia="zh-CN"/>
              </w:rPr>
              <w:t>招标内容及</w:t>
            </w:r>
            <w:r>
              <w:rPr>
                <w:rFonts w:hint="eastAsia" w:ascii="宋体" w:hAnsi="宋体" w:eastAsia="宋体" w:cs="宋体"/>
                <w:color w:val="auto"/>
                <w:sz w:val="24"/>
                <w:szCs w:val="24"/>
              </w:rPr>
              <w:t>要求做出响应。</w:t>
            </w:r>
          </w:p>
          <w:p w14:paraId="589614E3">
            <w:pPr>
              <w:spacing w:line="560" w:lineRule="exact"/>
              <w:jc w:val="both"/>
              <w:rPr>
                <w:rFonts w:hint="eastAsia" w:ascii="宋体" w:hAnsi="宋体" w:eastAsia="宋体" w:cs="宋体"/>
                <w:sz w:val="24"/>
                <w:szCs w:val="24"/>
              </w:rPr>
            </w:pPr>
            <w:r>
              <w:rPr>
                <w:rFonts w:hint="eastAsia" w:ascii="宋体" w:hAnsi="宋体" w:eastAsia="宋体" w:cs="宋体"/>
                <w:sz w:val="24"/>
                <w:szCs w:val="24"/>
              </w:rPr>
              <w:t>2．响应说明按实际响应情况填写“优于”、“响应”、“不响应”。</w:t>
            </w:r>
          </w:p>
        </w:tc>
      </w:tr>
    </w:tbl>
    <w:p w14:paraId="11D40D8A">
      <w:pPr>
        <w:spacing w:line="5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14:paraId="758C4308">
      <w:pPr>
        <w:spacing w:line="240" w:lineRule="auto"/>
        <w:ind w:firstLine="480" w:firstLineChars="20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应商可根据项目情况自行增加内容项完善表格，表格不够用，可按此表复制。如果未完整填写偏离表的各项内容则视作供应商已经对招标文件相关要求和内容完全理解并同意，其报价为在此基础上的完全价格。</w:t>
      </w:r>
    </w:p>
    <w:p w14:paraId="2980DE40">
      <w:pPr>
        <w:spacing w:line="24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在采购人与中标供应商签订合同时，如中标供应商未在投标文件“技术（服务）要求偏离表”中列出偏离说明，无论即将发生或已发生任何情形，均视为完全符合招标文件要求，并写入合同。若中标供应商在合同签订前，以上述事项为借口而不履行合同签订手续及执行合同，则视作拒绝与采购人签订合同。</w:t>
      </w:r>
    </w:p>
    <w:p w14:paraId="3F205F1D">
      <w:pPr>
        <w:spacing w:line="560" w:lineRule="exact"/>
        <w:ind w:firstLine="2656" w:firstLineChars="1107"/>
        <w:jc w:val="right"/>
        <w:rPr>
          <w:rFonts w:hint="eastAsia" w:ascii="宋体" w:hAnsi="宋体" w:eastAsia="宋体" w:cs="宋体"/>
          <w:sz w:val="24"/>
          <w:szCs w:val="24"/>
        </w:rPr>
      </w:pPr>
      <w:r>
        <w:rPr>
          <w:rFonts w:hint="eastAsia" w:ascii="宋体" w:hAnsi="宋体" w:eastAsia="宋体" w:cs="宋体"/>
          <w:sz w:val="24"/>
          <w:szCs w:val="24"/>
        </w:rPr>
        <w:t>供应商：（供应商全称并加盖公章）</w:t>
      </w:r>
    </w:p>
    <w:p w14:paraId="0EC32F71">
      <w:pPr>
        <w:spacing w:line="560" w:lineRule="exact"/>
        <w:ind w:firstLine="2656" w:firstLineChars="1107"/>
        <w:jc w:val="right"/>
        <w:rPr>
          <w:rFonts w:hint="eastAsia" w:ascii="宋体" w:hAnsi="宋体" w:eastAsia="宋体" w:cs="宋体"/>
          <w:sz w:val="24"/>
          <w:szCs w:val="24"/>
        </w:rPr>
      </w:pPr>
      <w:r>
        <w:rPr>
          <w:rFonts w:hint="eastAsia" w:ascii="宋体" w:hAnsi="宋体" w:eastAsia="宋体" w:cs="宋体"/>
          <w:sz w:val="24"/>
          <w:szCs w:val="24"/>
        </w:rPr>
        <w:t>日  期：    年  月  日</w:t>
      </w:r>
    </w:p>
    <w:p w14:paraId="566E3220">
      <w:pPr>
        <w:spacing w:line="560" w:lineRule="exact"/>
        <w:ind w:firstLine="600" w:firstLineChars="200"/>
        <w:jc w:val="both"/>
        <w:rPr>
          <w:rFonts w:hint="eastAsia" w:ascii="宋体" w:hAnsi="宋体" w:eastAsia="宋体" w:cs="宋体"/>
          <w:b/>
          <w:bCs/>
          <w:color w:val="auto"/>
          <w:sz w:val="30"/>
          <w:szCs w:val="30"/>
          <w:highlight w:val="none"/>
        </w:rPr>
      </w:pPr>
      <w:r>
        <w:rPr>
          <w:rFonts w:hint="eastAsia" w:ascii="宋体" w:hAnsi="宋体" w:eastAsia="宋体" w:cs="宋体"/>
          <w:b/>
          <w:bCs/>
          <w:sz w:val="30"/>
          <w:szCs w:val="30"/>
          <w:highlight w:val="none"/>
        </w:rPr>
        <w:t>附</w:t>
      </w:r>
      <w:r>
        <w:rPr>
          <w:rFonts w:hint="eastAsia" w:ascii="宋体" w:hAnsi="宋体" w:eastAsia="宋体" w:cs="宋体"/>
          <w:b/>
          <w:bCs/>
          <w:color w:val="auto"/>
          <w:sz w:val="30"/>
          <w:szCs w:val="30"/>
          <w:highlight w:val="none"/>
        </w:rPr>
        <w:t>：技术（服务）响应方案</w:t>
      </w:r>
    </w:p>
    <w:p w14:paraId="677060A6">
      <w:pPr>
        <w:pStyle w:val="16"/>
        <w:keepNext w:val="0"/>
        <w:keepLines w:val="0"/>
        <w:pageBreakBefore w:val="0"/>
        <w:widowControl/>
        <w:kinsoku/>
        <w:wordWrap/>
        <w:overflowPunct/>
        <w:topLinePunct w:val="0"/>
        <w:autoSpaceDE/>
        <w:autoSpaceDN/>
        <w:bidi w:val="0"/>
        <w:adjustRightInd/>
        <w:snapToGrid/>
        <w:ind w:firstLine="600" w:firstLineChars="250"/>
        <w:textAlignment w:val="auto"/>
        <w:rPr>
          <w:rFonts w:hint="eastAsia"/>
          <w:b/>
          <w:bCs/>
          <w:color w:val="auto"/>
          <w:lang w:eastAsia="zh-CN"/>
        </w:rPr>
      </w:pPr>
      <w:r>
        <w:rPr>
          <w:rFonts w:hint="eastAsia"/>
          <w:b/>
          <w:bCs/>
          <w:color w:val="auto"/>
          <w:lang w:eastAsia="zh-CN"/>
        </w:rPr>
        <w:t>根据本项目“第二章 供应商须知”中的〖评审要素及分值一览表〗提供。</w:t>
      </w:r>
    </w:p>
    <w:p w14:paraId="52C6A8B8">
      <w:pPr>
        <w:pStyle w:val="97"/>
        <w:spacing w:before="210" w:after="210"/>
        <w:ind w:firstLine="640"/>
        <w:rPr>
          <w:rFonts w:hint="eastAsia" w:ascii="宋体" w:hAnsi="宋体" w:eastAsia="宋体" w:cs="宋体"/>
          <w:sz w:val="28"/>
          <w:szCs w:val="28"/>
          <w:lang w:val="zh-CN" w:eastAsia="zh-CN"/>
        </w:rPr>
      </w:pPr>
      <w:r>
        <w:rPr>
          <w:rFonts w:hint="eastAsia" w:ascii="宋体" w:hAnsi="宋体" w:eastAsia="宋体" w:cs="宋体"/>
          <w:sz w:val="28"/>
          <w:szCs w:val="28"/>
          <w:lang w:eastAsia="zh-CN"/>
        </w:rPr>
        <w:t>（二）商务要求偏离表</w:t>
      </w:r>
    </w:p>
    <w:tbl>
      <w:tblPr>
        <w:tblStyle w:val="29"/>
        <w:tblW w:w="4998"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91"/>
        <w:gridCol w:w="1753"/>
        <w:gridCol w:w="2573"/>
        <w:gridCol w:w="2444"/>
        <w:gridCol w:w="1039"/>
        <w:gridCol w:w="1206"/>
      </w:tblGrid>
      <w:tr w14:paraId="008DB4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tcBorders>
              <w:top w:val="single" w:color="auto" w:sz="12" w:space="0"/>
              <w:bottom w:val="single" w:color="auto" w:sz="2" w:space="0"/>
            </w:tcBorders>
            <w:shd w:val="clear" w:color="auto" w:fill="F1F1F1" w:themeFill="background1" w:themeFillShade="F2"/>
            <w:vAlign w:val="center"/>
          </w:tcPr>
          <w:p w14:paraId="4B55BE56">
            <w:pPr>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903" w:type="pct"/>
            <w:tcBorders>
              <w:top w:val="single" w:color="auto" w:sz="12" w:space="0"/>
              <w:bottom w:val="single" w:color="auto" w:sz="2" w:space="0"/>
            </w:tcBorders>
            <w:shd w:val="clear" w:color="auto" w:fill="F1F1F1" w:themeFill="background1" w:themeFillShade="F2"/>
            <w:vAlign w:val="center"/>
          </w:tcPr>
          <w:p w14:paraId="7A2A6EDA">
            <w:pPr>
              <w:spacing w:line="560" w:lineRule="exact"/>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商务条款</w:t>
            </w:r>
          </w:p>
        </w:tc>
        <w:tc>
          <w:tcPr>
            <w:tcW w:w="1325" w:type="pct"/>
            <w:tcBorders>
              <w:top w:val="single" w:color="auto" w:sz="12" w:space="0"/>
              <w:bottom w:val="single" w:color="auto" w:sz="2" w:space="0"/>
            </w:tcBorders>
            <w:shd w:val="clear" w:color="auto" w:fill="F1F1F1" w:themeFill="background1" w:themeFillShade="F2"/>
            <w:vAlign w:val="center"/>
          </w:tcPr>
          <w:p w14:paraId="2ADE11E5">
            <w:pPr>
              <w:spacing w:line="560" w:lineRule="exact"/>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招标文件商务要求</w:t>
            </w:r>
          </w:p>
        </w:tc>
        <w:tc>
          <w:tcPr>
            <w:tcW w:w="1259" w:type="pct"/>
            <w:tcBorders>
              <w:top w:val="single" w:color="auto" w:sz="12" w:space="0"/>
              <w:bottom w:val="single" w:color="auto" w:sz="2" w:space="0"/>
            </w:tcBorders>
            <w:shd w:val="clear" w:color="auto" w:fill="F1F1F1" w:themeFill="background1" w:themeFillShade="F2"/>
            <w:vAlign w:val="center"/>
          </w:tcPr>
          <w:p w14:paraId="72D62180">
            <w:pPr>
              <w:spacing w:line="560" w:lineRule="exact"/>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投标文件商务响应</w:t>
            </w:r>
          </w:p>
        </w:tc>
        <w:tc>
          <w:tcPr>
            <w:tcW w:w="535" w:type="pct"/>
            <w:tcBorders>
              <w:top w:val="single" w:color="auto" w:sz="12" w:space="0"/>
              <w:bottom w:val="single" w:color="auto" w:sz="2" w:space="0"/>
            </w:tcBorders>
            <w:shd w:val="clear" w:color="auto" w:fill="F1F1F1" w:themeFill="background1" w:themeFillShade="F2"/>
            <w:vAlign w:val="center"/>
          </w:tcPr>
          <w:p w14:paraId="36ACBA43">
            <w:pPr>
              <w:spacing w:line="560" w:lineRule="exact"/>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响应说明</w:t>
            </w:r>
          </w:p>
        </w:tc>
        <w:tc>
          <w:tcPr>
            <w:tcW w:w="620" w:type="pct"/>
            <w:tcBorders>
              <w:top w:val="single" w:color="auto" w:sz="12" w:space="0"/>
              <w:bottom w:val="single" w:color="auto" w:sz="2" w:space="0"/>
            </w:tcBorders>
            <w:shd w:val="clear" w:color="auto" w:fill="F1F1F1" w:themeFill="background1" w:themeFillShade="F2"/>
            <w:vAlign w:val="center"/>
          </w:tcPr>
          <w:p w14:paraId="6CFE0365">
            <w:pPr>
              <w:spacing w:line="560" w:lineRule="exact"/>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偏离</w:t>
            </w:r>
          </w:p>
        </w:tc>
      </w:tr>
      <w:tr w14:paraId="3E9B7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tcBorders>
              <w:top w:val="single" w:color="auto" w:sz="2" w:space="0"/>
            </w:tcBorders>
            <w:vAlign w:val="center"/>
          </w:tcPr>
          <w:p w14:paraId="76DB2F7E">
            <w:pPr>
              <w:spacing w:line="560" w:lineRule="exact"/>
              <w:jc w:val="center"/>
              <w:rPr>
                <w:rFonts w:hint="eastAsia" w:ascii="宋体" w:hAnsi="宋体" w:eastAsia="宋体" w:cs="宋体"/>
                <w:sz w:val="24"/>
                <w:szCs w:val="24"/>
              </w:rPr>
            </w:pPr>
          </w:p>
        </w:tc>
        <w:tc>
          <w:tcPr>
            <w:tcW w:w="903" w:type="pct"/>
            <w:tcBorders>
              <w:top w:val="single" w:color="auto" w:sz="2" w:space="0"/>
            </w:tcBorders>
            <w:vAlign w:val="center"/>
          </w:tcPr>
          <w:p w14:paraId="6CD79458">
            <w:pPr>
              <w:spacing w:line="560" w:lineRule="exact"/>
              <w:jc w:val="center"/>
              <w:rPr>
                <w:rFonts w:hint="eastAsia" w:ascii="宋体" w:hAnsi="宋体" w:eastAsia="宋体" w:cs="宋体"/>
                <w:sz w:val="24"/>
                <w:szCs w:val="24"/>
              </w:rPr>
            </w:pPr>
          </w:p>
        </w:tc>
        <w:tc>
          <w:tcPr>
            <w:tcW w:w="1325" w:type="pct"/>
            <w:tcBorders>
              <w:top w:val="single" w:color="auto" w:sz="2" w:space="0"/>
            </w:tcBorders>
            <w:vAlign w:val="center"/>
          </w:tcPr>
          <w:p w14:paraId="1B7FCC67">
            <w:pPr>
              <w:spacing w:line="560" w:lineRule="exact"/>
              <w:jc w:val="center"/>
              <w:rPr>
                <w:rFonts w:hint="eastAsia" w:ascii="宋体" w:hAnsi="宋体" w:eastAsia="宋体" w:cs="宋体"/>
                <w:sz w:val="24"/>
                <w:szCs w:val="24"/>
              </w:rPr>
            </w:pPr>
          </w:p>
        </w:tc>
        <w:tc>
          <w:tcPr>
            <w:tcW w:w="1259" w:type="pct"/>
            <w:tcBorders>
              <w:top w:val="single" w:color="auto" w:sz="2" w:space="0"/>
            </w:tcBorders>
            <w:vAlign w:val="center"/>
          </w:tcPr>
          <w:p w14:paraId="652E7290">
            <w:pPr>
              <w:spacing w:line="560" w:lineRule="exact"/>
              <w:jc w:val="center"/>
              <w:rPr>
                <w:rFonts w:hint="eastAsia" w:ascii="宋体" w:hAnsi="宋体" w:eastAsia="宋体" w:cs="宋体"/>
                <w:sz w:val="24"/>
                <w:szCs w:val="24"/>
              </w:rPr>
            </w:pPr>
          </w:p>
        </w:tc>
        <w:tc>
          <w:tcPr>
            <w:tcW w:w="535" w:type="pct"/>
            <w:tcBorders>
              <w:top w:val="single" w:color="auto" w:sz="2" w:space="0"/>
            </w:tcBorders>
            <w:vAlign w:val="center"/>
          </w:tcPr>
          <w:p w14:paraId="040D079F">
            <w:pPr>
              <w:spacing w:line="560" w:lineRule="exact"/>
              <w:jc w:val="center"/>
              <w:rPr>
                <w:rFonts w:hint="eastAsia" w:ascii="宋体" w:hAnsi="宋体" w:eastAsia="宋体" w:cs="宋体"/>
                <w:sz w:val="24"/>
                <w:szCs w:val="24"/>
              </w:rPr>
            </w:pPr>
          </w:p>
        </w:tc>
        <w:tc>
          <w:tcPr>
            <w:tcW w:w="620" w:type="pct"/>
            <w:tcBorders>
              <w:top w:val="single" w:color="auto" w:sz="2" w:space="0"/>
            </w:tcBorders>
            <w:vAlign w:val="center"/>
          </w:tcPr>
          <w:p w14:paraId="4BF6770D">
            <w:pPr>
              <w:spacing w:line="560" w:lineRule="exact"/>
              <w:jc w:val="center"/>
              <w:rPr>
                <w:rFonts w:hint="eastAsia" w:ascii="宋体" w:hAnsi="宋体" w:eastAsia="宋体" w:cs="宋体"/>
                <w:sz w:val="24"/>
                <w:szCs w:val="24"/>
              </w:rPr>
            </w:pPr>
          </w:p>
        </w:tc>
      </w:tr>
      <w:tr w14:paraId="158771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486693E2">
            <w:pPr>
              <w:spacing w:line="560" w:lineRule="exact"/>
              <w:jc w:val="center"/>
              <w:rPr>
                <w:rFonts w:hint="eastAsia" w:ascii="宋体" w:hAnsi="宋体" w:eastAsia="宋体" w:cs="宋体"/>
                <w:sz w:val="24"/>
                <w:szCs w:val="24"/>
              </w:rPr>
            </w:pPr>
          </w:p>
        </w:tc>
        <w:tc>
          <w:tcPr>
            <w:tcW w:w="903" w:type="pct"/>
            <w:vAlign w:val="center"/>
          </w:tcPr>
          <w:p w14:paraId="369E320E">
            <w:pPr>
              <w:spacing w:line="560" w:lineRule="exact"/>
              <w:jc w:val="center"/>
              <w:rPr>
                <w:rFonts w:hint="eastAsia" w:ascii="宋体" w:hAnsi="宋体" w:eastAsia="宋体" w:cs="宋体"/>
                <w:sz w:val="24"/>
                <w:szCs w:val="24"/>
              </w:rPr>
            </w:pPr>
          </w:p>
        </w:tc>
        <w:tc>
          <w:tcPr>
            <w:tcW w:w="1325" w:type="pct"/>
            <w:vAlign w:val="center"/>
          </w:tcPr>
          <w:p w14:paraId="27A5E94A">
            <w:pPr>
              <w:spacing w:line="560" w:lineRule="exact"/>
              <w:jc w:val="center"/>
              <w:rPr>
                <w:rFonts w:hint="eastAsia" w:ascii="宋体" w:hAnsi="宋体" w:eastAsia="宋体" w:cs="宋体"/>
                <w:sz w:val="24"/>
                <w:szCs w:val="24"/>
              </w:rPr>
            </w:pPr>
          </w:p>
        </w:tc>
        <w:tc>
          <w:tcPr>
            <w:tcW w:w="1259" w:type="pct"/>
            <w:vAlign w:val="center"/>
          </w:tcPr>
          <w:p w14:paraId="53534393">
            <w:pPr>
              <w:spacing w:line="560" w:lineRule="exact"/>
              <w:jc w:val="center"/>
              <w:rPr>
                <w:rFonts w:hint="eastAsia" w:ascii="宋体" w:hAnsi="宋体" w:eastAsia="宋体" w:cs="宋体"/>
                <w:sz w:val="24"/>
                <w:szCs w:val="24"/>
              </w:rPr>
            </w:pPr>
          </w:p>
        </w:tc>
        <w:tc>
          <w:tcPr>
            <w:tcW w:w="535" w:type="pct"/>
            <w:vAlign w:val="center"/>
          </w:tcPr>
          <w:p w14:paraId="0558BE22">
            <w:pPr>
              <w:spacing w:line="560" w:lineRule="exact"/>
              <w:jc w:val="center"/>
              <w:rPr>
                <w:rFonts w:hint="eastAsia" w:ascii="宋体" w:hAnsi="宋体" w:eastAsia="宋体" w:cs="宋体"/>
                <w:sz w:val="24"/>
                <w:szCs w:val="24"/>
              </w:rPr>
            </w:pPr>
          </w:p>
        </w:tc>
        <w:tc>
          <w:tcPr>
            <w:tcW w:w="620" w:type="pct"/>
            <w:vAlign w:val="center"/>
          </w:tcPr>
          <w:p w14:paraId="0AB494F7">
            <w:pPr>
              <w:spacing w:line="560" w:lineRule="exact"/>
              <w:jc w:val="center"/>
              <w:rPr>
                <w:rFonts w:hint="eastAsia" w:ascii="宋体" w:hAnsi="宋体" w:eastAsia="宋体" w:cs="宋体"/>
                <w:sz w:val="24"/>
                <w:szCs w:val="24"/>
              </w:rPr>
            </w:pPr>
          </w:p>
        </w:tc>
      </w:tr>
      <w:tr w14:paraId="288745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29D5F6C7">
            <w:pPr>
              <w:spacing w:line="560" w:lineRule="exact"/>
              <w:jc w:val="center"/>
              <w:rPr>
                <w:rFonts w:hint="eastAsia" w:ascii="宋体" w:hAnsi="宋体" w:eastAsia="宋体" w:cs="宋体"/>
                <w:sz w:val="24"/>
                <w:szCs w:val="24"/>
              </w:rPr>
            </w:pPr>
          </w:p>
        </w:tc>
        <w:tc>
          <w:tcPr>
            <w:tcW w:w="903" w:type="pct"/>
            <w:vAlign w:val="center"/>
          </w:tcPr>
          <w:p w14:paraId="2FC912A5">
            <w:pPr>
              <w:spacing w:line="560" w:lineRule="exact"/>
              <w:jc w:val="center"/>
              <w:rPr>
                <w:rFonts w:hint="eastAsia" w:ascii="宋体" w:hAnsi="宋体" w:eastAsia="宋体" w:cs="宋体"/>
                <w:sz w:val="24"/>
                <w:szCs w:val="24"/>
              </w:rPr>
            </w:pPr>
          </w:p>
        </w:tc>
        <w:tc>
          <w:tcPr>
            <w:tcW w:w="1325" w:type="pct"/>
            <w:vAlign w:val="center"/>
          </w:tcPr>
          <w:p w14:paraId="3A4BE8DC">
            <w:pPr>
              <w:spacing w:line="560" w:lineRule="exact"/>
              <w:jc w:val="center"/>
              <w:rPr>
                <w:rFonts w:hint="eastAsia" w:ascii="宋体" w:hAnsi="宋体" w:eastAsia="宋体" w:cs="宋体"/>
                <w:sz w:val="24"/>
                <w:szCs w:val="24"/>
              </w:rPr>
            </w:pPr>
          </w:p>
        </w:tc>
        <w:tc>
          <w:tcPr>
            <w:tcW w:w="1259" w:type="pct"/>
            <w:vAlign w:val="center"/>
          </w:tcPr>
          <w:p w14:paraId="50951C11">
            <w:pPr>
              <w:spacing w:line="560" w:lineRule="exact"/>
              <w:jc w:val="center"/>
              <w:rPr>
                <w:rFonts w:hint="eastAsia" w:ascii="宋体" w:hAnsi="宋体" w:eastAsia="宋体" w:cs="宋体"/>
                <w:sz w:val="24"/>
                <w:szCs w:val="24"/>
              </w:rPr>
            </w:pPr>
          </w:p>
        </w:tc>
        <w:tc>
          <w:tcPr>
            <w:tcW w:w="535" w:type="pct"/>
            <w:vAlign w:val="center"/>
          </w:tcPr>
          <w:p w14:paraId="49BEF0F5">
            <w:pPr>
              <w:spacing w:line="560" w:lineRule="exact"/>
              <w:jc w:val="center"/>
              <w:rPr>
                <w:rFonts w:hint="eastAsia" w:ascii="宋体" w:hAnsi="宋体" w:eastAsia="宋体" w:cs="宋体"/>
                <w:sz w:val="24"/>
                <w:szCs w:val="24"/>
              </w:rPr>
            </w:pPr>
          </w:p>
        </w:tc>
        <w:tc>
          <w:tcPr>
            <w:tcW w:w="620" w:type="pct"/>
            <w:vAlign w:val="center"/>
          </w:tcPr>
          <w:p w14:paraId="08885AD1">
            <w:pPr>
              <w:spacing w:line="560" w:lineRule="exact"/>
              <w:jc w:val="center"/>
              <w:rPr>
                <w:rFonts w:hint="eastAsia" w:ascii="宋体" w:hAnsi="宋体" w:eastAsia="宋体" w:cs="宋体"/>
                <w:sz w:val="24"/>
                <w:szCs w:val="24"/>
              </w:rPr>
            </w:pPr>
          </w:p>
        </w:tc>
      </w:tr>
      <w:tr w14:paraId="168057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0D9B493A">
            <w:pPr>
              <w:spacing w:line="560" w:lineRule="exact"/>
              <w:jc w:val="center"/>
              <w:rPr>
                <w:rFonts w:hint="eastAsia" w:ascii="宋体" w:hAnsi="宋体" w:eastAsia="宋体" w:cs="宋体"/>
                <w:sz w:val="24"/>
                <w:szCs w:val="24"/>
              </w:rPr>
            </w:pPr>
          </w:p>
        </w:tc>
        <w:tc>
          <w:tcPr>
            <w:tcW w:w="903" w:type="pct"/>
            <w:vAlign w:val="center"/>
          </w:tcPr>
          <w:p w14:paraId="301A7B54">
            <w:pPr>
              <w:spacing w:line="560" w:lineRule="exact"/>
              <w:jc w:val="center"/>
              <w:rPr>
                <w:rFonts w:hint="eastAsia" w:ascii="宋体" w:hAnsi="宋体" w:eastAsia="宋体" w:cs="宋体"/>
                <w:sz w:val="24"/>
                <w:szCs w:val="24"/>
              </w:rPr>
            </w:pPr>
          </w:p>
        </w:tc>
        <w:tc>
          <w:tcPr>
            <w:tcW w:w="1325" w:type="pct"/>
            <w:vAlign w:val="center"/>
          </w:tcPr>
          <w:p w14:paraId="7D3E6357">
            <w:pPr>
              <w:spacing w:line="560" w:lineRule="exact"/>
              <w:jc w:val="center"/>
              <w:rPr>
                <w:rFonts w:hint="eastAsia" w:ascii="宋体" w:hAnsi="宋体" w:eastAsia="宋体" w:cs="宋体"/>
                <w:sz w:val="24"/>
                <w:szCs w:val="24"/>
              </w:rPr>
            </w:pPr>
          </w:p>
        </w:tc>
        <w:tc>
          <w:tcPr>
            <w:tcW w:w="1259" w:type="pct"/>
            <w:vAlign w:val="center"/>
          </w:tcPr>
          <w:p w14:paraId="38FAA22C">
            <w:pPr>
              <w:spacing w:line="560" w:lineRule="exact"/>
              <w:jc w:val="center"/>
              <w:rPr>
                <w:rFonts w:hint="eastAsia" w:ascii="宋体" w:hAnsi="宋体" w:eastAsia="宋体" w:cs="宋体"/>
                <w:sz w:val="24"/>
                <w:szCs w:val="24"/>
              </w:rPr>
            </w:pPr>
          </w:p>
        </w:tc>
        <w:tc>
          <w:tcPr>
            <w:tcW w:w="535" w:type="pct"/>
            <w:vAlign w:val="center"/>
          </w:tcPr>
          <w:p w14:paraId="5CB518CF">
            <w:pPr>
              <w:spacing w:line="560" w:lineRule="exact"/>
              <w:jc w:val="center"/>
              <w:rPr>
                <w:rFonts w:hint="eastAsia" w:ascii="宋体" w:hAnsi="宋体" w:eastAsia="宋体" w:cs="宋体"/>
                <w:sz w:val="24"/>
                <w:szCs w:val="24"/>
              </w:rPr>
            </w:pPr>
          </w:p>
        </w:tc>
        <w:tc>
          <w:tcPr>
            <w:tcW w:w="620" w:type="pct"/>
            <w:vAlign w:val="center"/>
          </w:tcPr>
          <w:p w14:paraId="2B09BE96">
            <w:pPr>
              <w:spacing w:line="560" w:lineRule="exact"/>
              <w:jc w:val="center"/>
              <w:rPr>
                <w:rFonts w:hint="eastAsia" w:ascii="宋体" w:hAnsi="宋体" w:eastAsia="宋体" w:cs="宋体"/>
                <w:sz w:val="24"/>
                <w:szCs w:val="24"/>
              </w:rPr>
            </w:pPr>
          </w:p>
        </w:tc>
      </w:tr>
      <w:tr w14:paraId="7CDECD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407F4282">
            <w:pPr>
              <w:spacing w:line="560" w:lineRule="exact"/>
              <w:jc w:val="center"/>
              <w:rPr>
                <w:rFonts w:hint="eastAsia" w:ascii="宋体" w:hAnsi="宋体" w:eastAsia="宋体" w:cs="宋体"/>
                <w:sz w:val="24"/>
                <w:szCs w:val="24"/>
              </w:rPr>
            </w:pPr>
          </w:p>
        </w:tc>
        <w:tc>
          <w:tcPr>
            <w:tcW w:w="903" w:type="pct"/>
            <w:vAlign w:val="center"/>
          </w:tcPr>
          <w:p w14:paraId="0C687C72">
            <w:pPr>
              <w:spacing w:line="560" w:lineRule="exact"/>
              <w:jc w:val="center"/>
              <w:rPr>
                <w:rFonts w:hint="eastAsia" w:ascii="宋体" w:hAnsi="宋体" w:eastAsia="宋体" w:cs="宋体"/>
                <w:sz w:val="24"/>
                <w:szCs w:val="24"/>
              </w:rPr>
            </w:pPr>
          </w:p>
        </w:tc>
        <w:tc>
          <w:tcPr>
            <w:tcW w:w="1325" w:type="pct"/>
            <w:vAlign w:val="center"/>
          </w:tcPr>
          <w:p w14:paraId="10120457">
            <w:pPr>
              <w:spacing w:line="560" w:lineRule="exact"/>
              <w:jc w:val="center"/>
              <w:rPr>
                <w:rFonts w:hint="eastAsia" w:ascii="宋体" w:hAnsi="宋体" w:eastAsia="宋体" w:cs="宋体"/>
                <w:sz w:val="24"/>
                <w:szCs w:val="24"/>
              </w:rPr>
            </w:pPr>
          </w:p>
        </w:tc>
        <w:tc>
          <w:tcPr>
            <w:tcW w:w="1259" w:type="pct"/>
            <w:vAlign w:val="center"/>
          </w:tcPr>
          <w:p w14:paraId="26E991F4">
            <w:pPr>
              <w:spacing w:line="560" w:lineRule="exact"/>
              <w:jc w:val="center"/>
              <w:rPr>
                <w:rFonts w:hint="eastAsia" w:ascii="宋体" w:hAnsi="宋体" w:eastAsia="宋体" w:cs="宋体"/>
                <w:sz w:val="24"/>
                <w:szCs w:val="24"/>
              </w:rPr>
            </w:pPr>
          </w:p>
        </w:tc>
        <w:tc>
          <w:tcPr>
            <w:tcW w:w="535" w:type="pct"/>
            <w:vAlign w:val="center"/>
          </w:tcPr>
          <w:p w14:paraId="7319B3A4">
            <w:pPr>
              <w:spacing w:line="560" w:lineRule="exact"/>
              <w:jc w:val="center"/>
              <w:rPr>
                <w:rFonts w:hint="eastAsia" w:ascii="宋体" w:hAnsi="宋体" w:eastAsia="宋体" w:cs="宋体"/>
                <w:sz w:val="24"/>
                <w:szCs w:val="24"/>
              </w:rPr>
            </w:pPr>
          </w:p>
        </w:tc>
        <w:tc>
          <w:tcPr>
            <w:tcW w:w="620" w:type="pct"/>
            <w:vAlign w:val="center"/>
          </w:tcPr>
          <w:p w14:paraId="4A410636">
            <w:pPr>
              <w:spacing w:line="560" w:lineRule="exact"/>
              <w:jc w:val="center"/>
              <w:rPr>
                <w:rFonts w:hint="eastAsia" w:ascii="宋体" w:hAnsi="宋体" w:eastAsia="宋体" w:cs="宋体"/>
                <w:sz w:val="24"/>
                <w:szCs w:val="24"/>
              </w:rPr>
            </w:pPr>
          </w:p>
        </w:tc>
      </w:tr>
      <w:tr w14:paraId="550539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3EC6840A">
            <w:pPr>
              <w:spacing w:line="560" w:lineRule="exact"/>
              <w:jc w:val="center"/>
              <w:rPr>
                <w:rFonts w:hint="eastAsia" w:ascii="宋体" w:hAnsi="宋体" w:eastAsia="宋体" w:cs="宋体"/>
                <w:sz w:val="24"/>
                <w:szCs w:val="24"/>
              </w:rPr>
            </w:pPr>
          </w:p>
        </w:tc>
        <w:tc>
          <w:tcPr>
            <w:tcW w:w="903" w:type="pct"/>
            <w:vAlign w:val="center"/>
          </w:tcPr>
          <w:p w14:paraId="31DCAD44">
            <w:pPr>
              <w:spacing w:line="560" w:lineRule="exact"/>
              <w:jc w:val="center"/>
              <w:rPr>
                <w:rFonts w:hint="eastAsia" w:ascii="宋体" w:hAnsi="宋体" w:eastAsia="宋体" w:cs="宋体"/>
                <w:sz w:val="24"/>
                <w:szCs w:val="24"/>
              </w:rPr>
            </w:pPr>
          </w:p>
        </w:tc>
        <w:tc>
          <w:tcPr>
            <w:tcW w:w="1325" w:type="pct"/>
            <w:vAlign w:val="center"/>
          </w:tcPr>
          <w:p w14:paraId="58A10030">
            <w:pPr>
              <w:spacing w:line="560" w:lineRule="exact"/>
              <w:jc w:val="center"/>
              <w:rPr>
                <w:rFonts w:hint="eastAsia" w:ascii="宋体" w:hAnsi="宋体" w:eastAsia="宋体" w:cs="宋体"/>
                <w:sz w:val="24"/>
                <w:szCs w:val="24"/>
              </w:rPr>
            </w:pPr>
          </w:p>
        </w:tc>
        <w:tc>
          <w:tcPr>
            <w:tcW w:w="1259" w:type="pct"/>
            <w:vAlign w:val="center"/>
          </w:tcPr>
          <w:p w14:paraId="57238224">
            <w:pPr>
              <w:spacing w:line="560" w:lineRule="exact"/>
              <w:jc w:val="center"/>
              <w:rPr>
                <w:rFonts w:hint="eastAsia" w:ascii="宋体" w:hAnsi="宋体" w:eastAsia="宋体" w:cs="宋体"/>
                <w:sz w:val="24"/>
                <w:szCs w:val="24"/>
              </w:rPr>
            </w:pPr>
          </w:p>
        </w:tc>
        <w:tc>
          <w:tcPr>
            <w:tcW w:w="535" w:type="pct"/>
            <w:vAlign w:val="center"/>
          </w:tcPr>
          <w:p w14:paraId="5E93FF51">
            <w:pPr>
              <w:spacing w:line="560" w:lineRule="exact"/>
              <w:jc w:val="center"/>
              <w:rPr>
                <w:rFonts w:hint="eastAsia" w:ascii="宋体" w:hAnsi="宋体" w:eastAsia="宋体" w:cs="宋体"/>
                <w:sz w:val="24"/>
                <w:szCs w:val="24"/>
              </w:rPr>
            </w:pPr>
          </w:p>
        </w:tc>
        <w:tc>
          <w:tcPr>
            <w:tcW w:w="620" w:type="pct"/>
            <w:vAlign w:val="center"/>
          </w:tcPr>
          <w:p w14:paraId="351DDD59">
            <w:pPr>
              <w:spacing w:line="560" w:lineRule="exact"/>
              <w:jc w:val="center"/>
              <w:rPr>
                <w:rFonts w:hint="eastAsia" w:ascii="宋体" w:hAnsi="宋体" w:eastAsia="宋体" w:cs="宋体"/>
                <w:sz w:val="24"/>
                <w:szCs w:val="24"/>
              </w:rPr>
            </w:pPr>
          </w:p>
        </w:tc>
      </w:tr>
      <w:tr w14:paraId="62FC6F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356" w:type="pct"/>
            <w:vAlign w:val="center"/>
          </w:tcPr>
          <w:p w14:paraId="1F226F14">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备注</w:t>
            </w:r>
          </w:p>
        </w:tc>
        <w:tc>
          <w:tcPr>
            <w:tcW w:w="4643" w:type="pct"/>
            <w:gridSpan w:val="5"/>
            <w:vAlign w:val="center"/>
          </w:tcPr>
          <w:p w14:paraId="63A9A2A6">
            <w:pPr>
              <w:spacing w:line="560" w:lineRule="exact"/>
              <w:jc w:val="both"/>
              <w:rPr>
                <w:rFonts w:hint="eastAsia" w:ascii="宋体" w:hAnsi="宋体" w:eastAsia="宋体" w:cs="宋体"/>
                <w:sz w:val="24"/>
                <w:szCs w:val="24"/>
              </w:rPr>
            </w:pPr>
            <w:r>
              <w:rPr>
                <w:rFonts w:hint="eastAsia" w:ascii="宋体" w:hAnsi="宋体" w:eastAsia="宋体" w:cs="宋体"/>
                <w:sz w:val="24"/>
                <w:szCs w:val="24"/>
              </w:rPr>
              <w:t>1．对</w:t>
            </w:r>
            <w:r>
              <w:rPr>
                <w:rFonts w:hint="eastAsia" w:ascii="宋体" w:hAnsi="宋体" w:eastAsia="宋体" w:cs="宋体"/>
                <w:color w:val="auto"/>
                <w:sz w:val="24"/>
                <w:szCs w:val="24"/>
                <w:lang w:eastAsia="zh-CN"/>
              </w:rPr>
              <w:t>第四章</w:t>
            </w:r>
            <w:r>
              <w:rPr>
                <w:rFonts w:hint="eastAsia" w:ascii="宋体" w:hAnsi="宋体" w:eastAsia="宋体" w:cs="宋体"/>
                <w:color w:val="auto"/>
                <w:sz w:val="24"/>
                <w:szCs w:val="24"/>
              </w:rPr>
              <w:t>的商务要求</w:t>
            </w:r>
            <w:r>
              <w:rPr>
                <w:rFonts w:hint="eastAsia" w:ascii="宋体" w:hAnsi="宋体" w:eastAsia="宋体" w:cs="宋体"/>
                <w:sz w:val="24"/>
                <w:szCs w:val="24"/>
              </w:rPr>
              <w:t>做出响应。</w:t>
            </w:r>
          </w:p>
          <w:p w14:paraId="7DF2DE4E">
            <w:pPr>
              <w:spacing w:line="560" w:lineRule="exact"/>
              <w:jc w:val="both"/>
              <w:rPr>
                <w:rFonts w:hint="eastAsia" w:ascii="宋体" w:hAnsi="宋体" w:eastAsia="宋体" w:cs="宋体"/>
                <w:sz w:val="24"/>
                <w:szCs w:val="24"/>
              </w:rPr>
            </w:pPr>
            <w:r>
              <w:rPr>
                <w:rFonts w:hint="eastAsia" w:ascii="宋体" w:hAnsi="宋体" w:eastAsia="宋体" w:cs="宋体"/>
                <w:sz w:val="24"/>
                <w:szCs w:val="24"/>
              </w:rPr>
              <w:t>2．响应说明按实际响应情况填写“优于”、“响应”、“不响应”。</w:t>
            </w:r>
          </w:p>
        </w:tc>
      </w:tr>
    </w:tbl>
    <w:p w14:paraId="370FDF77">
      <w:pPr>
        <w:pStyle w:val="24"/>
        <w:keepNext w:val="0"/>
        <w:keepLines w:val="0"/>
        <w:pageBreakBefore w:val="0"/>
        <w:widowControl w:val="0"/>
        <w:kinsoku/>
        <w:wordWrap/>
        <w:overflowPunct/>
        <w:topLinePunct w:val="0"/>
        <w:autoSpaceDE/>
        <w:autoSpaceDN/>
        <w:bidi w:val="0"/>
        <w:adjustRightInd/>
        <w:snapToGrid/>
        <w:spacing w:line="500" w:lineRule="exact"/>
        <w:ind w:left="-235" w:leftChars="-98" w:firstLine="720" w:firstLineChars="3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注：1.供应商须完整填写响应表，如果未完整填写本表的各项内容则视作供应商已经对招标文件相关要求和内容完全理解并同意，其报价为在此基础上的完全价格。</w:t>
      </w:r>
    </w:p>
    <w:p w14:paraId="06039698">
      <w:pPr>
        <w:pStyle w:val="24"/>
        <w:keepNext w:val="0"/>
        <w:keepLines w:val="0"/>
        <w:pageBreakBefore w:val="0"/>
        <w:widowControl w:val="0"/>
        <w:kinsoku/>
        <w:wordWrap/>
        <w:overflowPunct/>
        <w:topLinePunct w:val="0"/>
        <w:autoSpaceDE/>
        <w:autoSpaceDN/>
        <w:bidi w:val="0"/>
        <w:adjustRightInd/>
        <w:snapToGrid/>
        <w:spacing w:line="500" w:lineRule="exact"/>
        <w:ind w:left="-235" w:leftChars="-98" w:firstLine="720" w:firstLineChars="3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2.在采购人与中标供应商签订合同时，如中标供应商未在响应文件“商务要求偏离表”中列出偏离说明，无论已发生或即将发生任何情形，均视为完全符合招标文件要求，并写入合同。若中标供应商在合同签订前，以上述事项为借口而不履行合同签订手续及执行合同，则视作拒绝与采购人签订合同。</w:t>
      </w:r>
    </w:p>
    <w:p w14:paraId="68492BED">
      <w:pPr>
        <w:spacing w:line="560" w:lineRule="exact"/>
        <w:ind w:firstLine="2656" w:firstLineChars="1107"/>
        <w:jc w:val="right"/>
        <w:rPr>
          <w:rFonts w:hint="eastAsia" w:ascii="宋体" w:hAnsi="宋体" w:eastAsia="宋体" w:cs="宋体"/>
          <w:sz w:val="24"/>
          <w:szCs w:val="24"/>
        </w:rPr>
      </w:pPr>
      <w:r>
        <w:rPr>
          <w:rFonts w:hint="eastAsia" w:ascii="宋体" w:hAnsi="宋体" w:eastAsia="宋体" w:cs="宋体"/>
          <w:sz w:val="24"/>
          <w:szCs w:val="24"/>
        </w:rPr>
        <w:t>供应商：（供应商全称并加盖公章）</w:t>
      </w:r>
    </w:p>
    <w:p w14:paraId="1A7DFC03">
      <w:pPr>
        <w:spacing w:line="560" w:lineRule="exact"/>
        <w:ind w:firstLine="2656" w:firstLineChars="1107"/>
        <w:jc w:val="right"/>
        <w:rPr>
          <w:rFonts w:hint="eastAsia" w:ascii="宋体" w:hAnsi="宋体" w:eastAsia="宋体" w:cs="宋体"/>
          <w:sz w:val="24"/>
          <w:szCs w:val="24"/>
        </w:rPr>
      </w:pPr>
      <w:r>
        <w:rPr>
          <w:rFonts w:hint="eastAsia" w:ascii="宋体" w:hAnsi="宋体" w:eastAsia="宋体" w:cs="宋体"/>
          <w:sz w:val="24"/>
          <w:szCs w:val="24"/>
        </w:rPr>
        <w:t>日  期：    年  月  日</w:t>
      </w:r>
    </w:p>
    <w:p w14:paraId="316DB66F">
      <w:pPr>
        <w:spacing w:line="560" w:lineRule="exact"/>
        <w:ind w:firstLine="480" w:firstLineChars="200"/>
        <w:jc w:val="both"/>
        <w:rPr>
          <w:rFonts w:hint="eastAsia" w:ascii="宋体" w:hAnsi="宋体" w:eastAsia="宋体" w:cs="宋体"/>
          <w:sz w:val="24"/>
          <w:szCs w:val="24"/>
        </w:rPr>
      </w:pPr>
    </w:p>
    <w:p w14:paraId="4A57C53C">
      <w:pPr>
        <w:spacing w:line="560" w:lineRule="exact"/>
        <w:ind w:firstLine="480" w:firstLineChars="200"/>
        <w:jc w:val="both"/>
        <w:rPr>
          <w:rFonts w:hint="eastAsia" w:ascii="宋体" w:hAnsi="宋体" w:eastAsia="宋体" w:cs="宋体"/>
          <w:sz w:val="24"/>
          <w:szCs w:val="24"/>
        </w:rPr>
      </w:pPr>
    </w:p>
    <w:p w14:paraId="5061BA29">
      <w:pPr>
        <w:spacing w:line="560" w:lineRule="exact"/>
        <w:ind w:firstLine="640" w:firstLineChars="200"/>
        <w:jc w:val="both"/>
        <w:rPr>
          <w:rFonts w:hint="eastAsia" w:ascii="宋体" w:hAnsi="宋体" w:eastAsia="宋体" w:cs="宋体"/>
          <w:sz w:val="32"/>
          <w:szCs w:val="32"/>
        </w:rPr>
      </w:pPr>
    </w:p>
    <w:p w14:paraId="3F6AAD05">
      <w:pPr>
        <w:pStyle w:val="97"/>
        <w:spacing w:before="210" w:after="210"/>
        <w:ind w:firstLine="640"/>
        <w:rPr>
          <w:rFonts w:hint="eastAsia" w:ascii="宋体" w:hAnsi="宋体" w:eastAsia="宋体" w:cs="宋体"/>
          <w:sz w:val="28"/>
          <w:szCs w:val="28"/>
        </w:rPr>
      </w:pPr>
      <w:r>
        <w:rPr>
          <w:rFonts w:hint="eastAsia" w:ascii="宋体" w:hAnsi="宋体" w:eastAsia="宋体" w:cs="宋体"/>
          <w:sz w:val="28"/>
          <w:szCs w:val="28"/>
        </w:rPr>
        <w:t>（三）合同条款响应</w:t>
      </w:r>
    </w:p>
    <w:tbl>
      <w:tblPr>
        <w:tblStyle w:val="29"/>
        <w:tblW w:w="4998"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1081"/>
        <w:gridCol w:w="1695"/>
        <w:gridCol w:w="2755"/>
        <w:gridCol w:w="2771"/>
        <w:gridCol w:w="1404"/>
      </w:tblGrid>
      <w:tr w14:paraId="65E2BF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557" w:type="pct"/>
            <w:tcBorders>
              <w:top w:val="single" w:color="auto" w:sz="12" w:space="0"/>
              <w:bottom w:val="single" w:color="auto" w:sz="2" w:space="0"/>
            </w:tcBorders>
            <w:shd w:val="clear" w:color="auto" w:fill="F1F1F1" w:themeFill="background1" w:themeFillShade="F2"/>
            <w:vAlign w:val="center"/>
          </w:tcPr>
          <w:p w14:paraId="35B5306F">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873" w:type="pct"/>
            <w:tcBorders>
              <w:top w:val="single" w:color="auto" w:sz="12" w:space="0"/>
              <w:bottom w:val="single" w:color="auto" w:sz="2" w:space="0"/>
            </w:tcBorders>
            <w:shd w:val="clear" w:color="auto" w:fill="F1F1F1" w:themeFill="background1" w:themeFillShade="F2"/>
            <w:vAlign w:val="center"/>
          </w:tcPr>
          <w:p w14:paraId="33A37922">
            <w:pPr>
              <w:jc w:val="center"/>
              <w:rPr>
                <w:rFonts w:hint="eastAsia" w:ascii="宋体" w:hAnsi="宋体" w:eastAsia="宋体" w:cs="宋体"/>
                <w:sz w:val="24"/>
                <w:szCs w:val="24"/>
              </w:rPr>
            </w:pPr>
            <w:r>
              <w:rPr>
                <w:rFonts w:hint="eastAsia" w:ascii="宋体" w:hAnsi="宋体" w:eastAsia="宋体" w:cs="宋体"/>
                <w:sz w:val="24"/>
                <w:szCs w:val="24"/>
              </w:rPr>
              <w:t>条款名称</w:t>
            </w:r>
          </w:p>
        </w:tc>
        <w:tc>
          <w:tcPr>
            <w:tcW w:w="1419" w:type="pct"/>
            <w:tcBorders>
              <w:top w:val="single" w:color="auto" w:sz="12" w:space="0"/>
              <w:bottom w:val="single" w:color="auto" w:sz="2" w:space="0"/>
            </w:tcBorders>
            <w:shd w:val="clear" w:color="auto" w:fill="F1F1F1" w:themeFill="background1" w:themeFillShade="F2"/>
            <w:vAlign w:val="center"/>
          </w:tcPr>
          <w:p w14:paraId="026ACF93">
            <w:pPr>
              <w:jc w:val="center"/>
              <w:rPr>
                <w:rFonts w:hint="eastAsia" w:ascii="宋体" w:hAnsi="宋体" w:eastAsia="宋体" w:cs="宋体"/>
                <w:sz w:val="24"/>
                <w:szCs w:val="24"/>
              </w:rPr>
            </w:pPr>
            <w:r>
              <w:rPr>
                <w:rFonts w:hint="eastAsia" w:ascii="宋体" w:hAnsi="宋体" w:eastAsia="宋体" w:cs="宋体"/>
                <w:sz w:val="24"/>
                <w:szCs w:val="24"/>
              </w:rPr>
              <w:t>招标文件合同条款明细</w:t>
            </w:r>
          </w:p>
        </w:tc>
        <w:tc>
          <w:tcPr>
            <w:tcW w:w="1427" w:type="pct"/>
            <w:tcBorders>
              <w:top w:val="single" w:color="auto" w:sz="12" w:space="0"/>
              <w:bottom w:val="single" w:color="auto" w:sz="2" w:space="0"/>
            </w:tcBorders>
            <w:shd w:val="clear" w:color="auto" w:fill="F1F1F1" w:themeFill="background1" w:themeFillShade="F2"/>
            <w:vAlign w:val="center"/>
          </w:tcPr>
          <w:p w14:paraId="4EC71CA4">
            <w:pPr>
              <w:jc w:val="center"/>
              <w:rPr>
                <w:rFonts w:hint="eastAsia" w:ascii="宋体" w:hAnsi="宋体" w:eastAsia="宋体" w:cs="宋体"/>
                <w:sz w:val="24"/>
                <w:szCs w:val="24"/>
              </w:rPr>
            </w:pPr>
            <w:r>
              <w:rPr>
                <w:rFonts w:hint="eastAsia" w:ascii="宋体" w:hAnsi="宋体" w:eastAsia="宋体" w:cs="宋体"/>
                <w:sz w:val="24"/>
                <w:szCs w:val="24"/>
              </w:rPr>
              <w:t>投标文件合同条款响应</w:t>
            </w:r>
          </w:p>
        </w:tc>
        <w:tc>
          <w:tcPr>
            <w:tcW w:w="722" w:type="pct"/>
            <w:tcBorders>
              <w:top w:val="single" w:color="auto" w:sz="12" w:space="0"/>
              <w:bottom w:val="single" w:color="auto" w:sz="2" w:space="0"/>
            </w:tcBorders>
            <w:shd w:val="clear" w:color="auto" w:fill="F1F1F1" w:themeFill="background1" w:themeFillShade="F2"/>
            <w:vAlign w:val="center"/>
          </w:tcPr>
          <w:p w14:paraId="5145BBAB">
            <w:pPr>
              <w:jc w:val="center"/>
              <w:rPr>
                <w:rFonts w:hint="eastAsia" w:ascii="宋体" w:hAnsi="宋体" w:eastAsia="宋体" w:cs="宋体"/>
                <w:sz w:val="24"/>
                <w:szCs w:val="24"/>
              </w:rPr>
            </w:pPr>
            <w:r>
              <w:rPr>
                <w:rFonts w:hint="eastAsia" w:ascii="宋体" w:hAnsi="宋体" w:eastAsia="宋体" w:cs="宋体"/>
                <w:sz w:val="24"/>
                <w:szCs w:val="24"/>
              </w:rPr>
              <w:t>响应说明</w:t>
            </w:r>
          </w:p>
        </w:tc>
      </w:tr>
      <w:tr w14:paraId="761BBF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557" w:type="pct"/>
            <w:tcBorders>
              <w:top w:val="single" w:color="auto" w:sz="2" w:space="0"/>
            </w:tcBorders>
            <w:vAlign w:val="center"/>
          </w:tcPr>
          <w:p w14:paraId="03B2B2C2">
            <w:pPr>
              <w:jc w:val="center"/>
              <w:rPr>
                <w:rFonts w:hint="eastAsia" w:ascii="宋体" w:hAnsi="宋体" w:eastAsia="宋体" w:cs="宋体"/>
                <w:sz w:val="24"/>
                <w:szCs w:val="24"/>
              </w:rPr>
            </w:pPr>
          </w:p>
        </w:tc>
        <w:tc>
          <w:tcPr>
            <w:tcW w:w="873" w:type="pct"/>
            <w:tcBorders>
              <w:top w:val="single" w:color="auto" w:sz="2" w:space="0"/>
            </w:tcBorders>
            <w:vAlign w:val="center"/>
          </w:tcPr>
          <w:p w14:paraId="6EEB190D">
            <w:pPr>
              <w:jc w:val="center"/>
              <w:rPr>
                <w:rFonts w:hint="eastAsia" w:ascii="宋体" w:hAnsi="宋体" w:eastAsia="宋体" w:cs="宋体"/>
                <w:sz w:val="24"/>
                <w:szCs w:val="24"/>
              </w:rPr>
            </w:pPr>
          </w:p>
        </w:tc>
        <w:tc>
          <w:tcPr>
            <w:tcW w:w="1419" w:type="pct"/>
            <w:tcBorders>
              <w:top w:val="single" w:color="auto" w:sz="2" w:space="0"/>
            </w:tcBorders>
            <w:vAlign w:val="center"/>
          </w:tcPr>
          <w:p w14:paraId="7BBB07C4">
            <w:pPr>
              <w:jc w:val="center"/>
              <w:rPr>
                <w:rFonts w:hint="eastAsia" w:ascii="宋体" w:hAnsi="宋体" w:eastAsia="宋体" w:cs="宋体"/>
                <w:sz w:val="24"/>
                <w:szCs w:val="24"/>
              </w:rPr>
            </w:pPr>
          </w:p>
        </w:tc>
        <w:tc>
          <w:tcPr>
            <w:tcW w:w="1427" w:type="pct"/>
            <w:tcBorders>
              <w:top w:val="single" w:color="auto" w:sz="2" w:space="0"/>
            </w:tcBorders>
            <w:vAlign w:val="center"/>
          </w:tcPr>
          <w:p w14:paraId="43D1A581">
            <w:pPr>
              <w:jc w:val="center"/>
              <w:rPr>
                <w:rFonts w:hint="eastAsia" w:ascii="宋体" w:hAnsi="宋体" w:eastAsia="宋体" w:cs="宋体"/>
                <w:sz w:val="24"/>
                <w:szCs w:val="24"/>
              </w:rPr>
            </w:pPr>
          </w:p>
        </w:tc>
        <w:tc>
          <w:tcPr>
            <w:tcW w:w="722" w:type="pct"/>
            <w:tcBorders>
              <w:top w:val="single" w:color="auto" w:sz="2" w:space="0"/>
            </w:tcBorders>
            <w:vAlign w:val="center"/>
          </w:tcPr>
          <w:p w14:paraId="6E0FA60C">
            <w:pPr>
              <w:jc w:val="center"/>
              <w:rPr>
                <w:rFonts w:hint="eastAsia" w:ascii="宋体" w:hAnsi="宋体" w:eastAsia="宋体" w:cs="宋体"/>
                <w:sz w:val="24"/>
                <w:szCs w:val="24"/>
              </w:rPr>
            </w:pPr>
          </w:p>
        </w:tc>
      </w:tr>
      <w:tr w14:paraId="3EADAD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557" w:type="pct"/>
            <w:vAlign w:val="center"/>
          </w:tcPr>
          <w:p w14:paraId="26A25393">
            <w:pPr>
              <w:jc w:val="center"/>
              <w:rPr>
                <w:rFonts w:hint="eastAsia" w:ascii="宋体" w:hAnsi="宋体" w:eastAsia="宋体" w:cs="宋体"/>
                <w:sz w:val="24"/>
                <w:szCs w:val="24"/>
              </w:rPr>
            </w:pPr>
          </w:p>
        </w:tc>
        <w:tc>
          <w:tcPr>
            <w:tcW w:w="873" w:type="pct"/>
            <w:vAlign w:val="center"/>
          </w:tcPr>
          <w:p w14:paraId="4F8C4CED">
            <w:pPr>
              <w:jc w:val="center"/>
              <w:rPr>
                <w:rFonts w:hint="eastAsia" w:ascii="宋体" w:hAnsi="宋体" w:eastAsia="宋体" w:cs="宋体"/>
                <w:sz w:val="24"/>
                <w:szCs w:val="24"/>
              </w:rPr>
            </w:pPr>
          </w:p>
        </w:tc>
        <w:tc>
          <w:tcPr>
            <w:tcW w:w="1419" w:type="pct"/>
            <w:vAlign w:val="center"/>
          </w:tcPr>
          <w:p w14:paraId="2B321FCC">
            <w:pPr>
              <w:jc w:val="center"/>
              <w:rPr>
                <w:rFonts w:hint="eastAsia" w:ascii="宋体" w:hAnsi="宋体" w:eastAsia="宋体" w:cs="宋体"/>
                <w:sz w:val="24"/>
                <w:szCs w:val="24"/>
              </w:rPr>
            </w:pPr>
          </w:p>
        </w:tc>
        <w:tc>
          <w:tcPr>
            <w:tcW w:w="1427" w:type="pct"/>
            <w:vAlign w:val="center"/>
          </w:tcPr>
          <w:p w14:paraId="604F9B8C">
            <w:pPr>
              <w:jc w:val="center"/>
              <w:rPr>
                <w:rFonts w:hint="eastAsia" w:ascii="宋体" w:hAnsi="宋体" w:eastAsia="宋体" w:cs="宋体"/>
                <w:sz w:val="24"/>
                <w:szCs w:val="24"/>
              </w:rPr>
            </w:pPr>
          </w:p>
        </w:tc>
        <w:tc>
          <w:tcPr>
            <w:tcW w:w="722" w:type="pct"/>
            <w:vAlign w:val="center"/>
          </w:tcPr>
          <w:p w14:paraId="60D41914">
            <w:pPr>
              <w:jc w:val="center"/>
              <w:rPr>
                <w:rFonts w:hint="eastAsia" w:ascii="宋体" w:hAnsi="宋体" w:eastAsia="宋体" w:cs="宋体"/>
                <w:sz w:val="24"/>
                <w:szCs w:val="24"/>
              </w:rPr>
            </w:pPr>
          </w:p>
        </w:tc>
      </w:tr>
      <w:tr w14:paraId="464782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557" w:type="pct"/>
            <w:vAlign w:val="center"/>
          </w:tcPr>
          <w:p w14:paraId="04588E12">
            <w:pPr>
              <w:jc w:val="center"/>
              <w:rPr>
                <w:rFonts w:hint="eastAsia" w:ascii="宋体" w:hAnsi="宋体" w:eastAsia="宋体" w:cs="宋体"/>
                <w:sz w:val="24"/>
                <w:szCs w:val="24"/>
              </w:rPr>
            </w:pPr>
          </w:p>
        </w:tc>
        <w:tc>
          <w:tcPr>
            <w:tcW w:w="873" w:type="pct"/>
            <w:vAlign w:val="center"/>
          </w:tcPr>
          <w:p w14:paraId="19B5224D">
            <w:pPr>
              <w:jc w:val="center"/>
              <w:rPr>
                <w:rFonts w:hint="eastAsia" w:ascii="宋体" w:hAnsi="宋体" w:eastAsia="宋体" w:cs="宋体"/>
                <w:sz w:val="24"/>
                <w:szCs w:val="24"/>
              </w:rPr>
            </w:pPr>
          </w:p>
        </w:tc>
        <w:tc>
          <w:tcPr>
            <w:tcW w:w="1419" w:type="pct"/>
            <w:vAlign w:val="center"/>
          </w:tcPr>
          <w:p w14:paraId="1469DFD0">
            <w:pPr>
              <w:jc w:val="center"/>
              <w:rPr>
                <w:rFonts w:hint="eastAsia" w:ascii="宋体" w:hAnsi="宋体" w:eastAsia="宋体" w:cs="宋体"/>
                <w:sz w:val="24"/>
                <w:szCs w:val="24"/>
              </w:rPr>
            </w:pPr>
          </w:p>
        </w:tc>
        <w:tc>
          <w:tcPr>
            <w:tcW w:w="1427" w:type="pct"/>
            <w:vAlign w:val="center"/>
          </w:tcPr>
          <w:p w14:paraId="414F9D01">
            <w:pPr>
              <w:jc w:val="center"/>
              <w:rPr>
                <w:rFonts w:hint="eastAsia" w:ascii="宋体" w:hAnsi="宋体" w:eastAsia="宋体" w:cs="宋体"/>
                <w:sz w:val="24"/>
                <w:szCs w:val="24"/>
              </w:rPr>
            </w:pPr>
          </w:p>
        </w:tc>
        <w:tc>
          <w:tcPr>
            <w:tcW w:w="722" w:type="pct"/>
            <w:vAlign w:val="center"/>
          </w:tcPr>
          <w:p w14:paraId="3F902606">
            <w:pPr>
              <w:jc w:val="center"/>
              <w:rPr>
                <w:rFonts w:hint="eastAsia" w:ascii="宋体" w:hAnsi="宋体" w:eastAsia="宋体" w:cs="宋体"/>
                <w:sz w:val="24"/>
                <w:szCs w:val="24"/>
              </w:rPr>
            </w:pPr>
          </w:p>
        </w:tc>
      </w:tr>
      <w:tr w14:paraId="29B3D11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557" w:type="pct"/>
            <w:vAlign w:val="center"/>
          </w:tcPr>
          <w:p w14:paraId="6956805E">
            <w:pPr>
              <w:jc w:val="center"/>
              <w:rPr>
                <w:rFonts w:hint="eastAsia" w:ascii="宋体" w:hAnsi="宋体" w:eastAsia="宋体" w:cs="宋体"/>
                <w:sz w:val="24"/>
                <w:szCs w:val="24"/>
              </w:rPr>
            </w:pPr>
          </w:p>
        </w:tc>
        <w:tc>
          <w:tcPr>
            <w:tcW w:w="873" w:type="pct"/>
            <w:vAlign w:val="center"/>
          </w:tcPr>
          <w:p w14:paraId="096ABCF7">
            <w:pPr>
              <w:jc w:val="center"/>
              <w:rPr>
                <w:rFonts w:hint="eastAsia" w:ascii="宋体" w:hAnsi="宋体" w:eastAsia="宋体" w:cs="宋体"/>
                <w:sz w:val="24"/>
                <w:szCs w:val="24"/>
              </w:rPr>
            </w:pPr>
          </w:p>
        </w:tc>
        <w:tc>
          <w:tcPr>
            <w:tcW w:w="1419" w:type="pct"/>
            <w:vAlign w:val="center"/>
          </w:tcPr>
          <w:p w14:paraId="07B5B072">
            <w:pPr>
              <w:jc w:val="center"/>
              <w:rPr>
                <w:rFonts w:hint="eastAsia" w:ascii="宋体" w:hAnsi="宋体" w:eastAsia="宋体" w:cs="宋体"/>
                <w:sz w:val="24"/>
                <w:szCs w:val="24"/>
              </w:rPr>
            </w:pPr>
          </w:p>
        </w:tc>
        <w:tc>
          <w:tcPr>
            <w:tcW w:w="1427" w:type="pct"/>
            <w:vAlign w:val="center"/>
          </w:tcPr>
          <w:p w14:paraId="50A9B3F2">
            <w:pPr>
              <w:jc w:val="center"/>
              <w:rPr>
                <w:rFonts w:hint="eastAsia" w:ascii="宋体" w:hAnsi="宋体" w:eastAsia="宋体" w:cs="宋体"/>
                <w:sz w:val="24"/>
                <w:szCs w:val="24"/>
              </w:rPr>
            </w:pPr>
          </w:p>
        </w:tc>
        <w:tc>
          <w:tcPr>
            <w:tcW w:w="722" w:type="pct"/>
            <w:vAlign w:val="center"/>
          </w:tcPr>
          <w:p w14:paraId="48387F71">
            <w:pPr>
              <w:jc w:val="center"/>
              <w:rPr>
                <w:rFonts w:hint="eastAsia" w:ascii="宋体" w:hAnsi="宋体" w:eastAsia="宋体" w:cs="宋体"/>
                <w:sz w:val="24"/>
                <w:szCs w:val="24"/>
              </w:rPr>
            </w:pPr>
          </w:p>
        </w:tc>
      </w:tr>
      <w:tr w14:paraId="028041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557" w:type="pct"/>
            <w:vAlign w:val="center"/>
          </w:tcPr>
          <w:p w14:paraId="2EAEF0B2">
            <w:pPr>
              <w:jc w:val="center"/>
              <w:rPr>
                <w:rFonts w:hint="eastAsia" w:ascii="宋体" w:hAnsi="宋体" w:eastAsia="宋体" w:cs="宋体"/>
                <w:sz w:val="24"/>
                <w:szCs w:val="24"/>
              </w:rPr>
            </w:pPr>
          </w:p>
        </w:tc>
        <w:tc>
          <w:tcPr>
            <w:tcW w:w="873" w:type="pct"/>
            <w:vAlign w:val="center"/>
          </w:tcPr>
          <w:p w14:paraId="697370BD">
            <w:pPr>
              <w:jc w:val="center"/>
              <w:rPr>
                <w:rFonts w:hint="eastAsia" w:ascii="宋体" w:hAnsi="宋体" w:eastAsia="宋体" w:cs="宋体"/>
                <w:sz w:val="24"/>
                <w:szCs w:val="24"/>
              </w:rPr>
            </w:pPr>
          </w:p>
        </w:tc>
        <w:tc>
          <w:tcPr>
            <w:tcW w:w="1419" w:type="pct"/>
            <w:vAlign w:val="center"/>
          </w:tcPr>
          <w:p w14:paraId="2B14A168">
            <w:pPr>
              <w:jc w:val="center"/>
              <w:rPr>
                <w:rFonts w:hint="eastAsia" w:ascii="宋体" w:hAnsi="宋体" w:eastAsia="宋体" w:cs="宋体"/>
                <w:sz w:val="24"/>
                <w:szCs w:val="24"/>
              </w:rPr>
            </w:pPr>
          </w:p>
        </w:tc>
        <w:tc>
          <w:tcPr>
            <w:tcW w:w="1427" w:type="pct"/>
            <w:vAlign w:val="center"/>
          </w:tcPr>
          <w:p w14:paraId="738DF81E">
            <w:pPr>
              <w:jc w:val="center"/>
              <w:rPr>
                <w:rFonts w:hint="eastAsia" w:ascii="宋体" w:hAnsi="宋体" w:eastAsia="宋体" w:cs="宋体"/>
                <w:sz w:val="24"/>
                <w:szCs w:val="24"/>
              </w:rPr>
            </w:pPr>
          </w:p>
        </w:tc>
        <w:tc>
          <w:tcPr>
            <w:tcW w:w="722" w:type="pct"/>
            <w:vAlign w:val="center"/>
          </w:tcPr>
          <w:p w14:paraId="1FC0B0ED">
            <w:pPr>
              <w:jc w:val="center"/>
              <w:rPr>
                <w:rFonts w:hint="eastAsia" w:ascii="宋体" w:hAnsi="宋体" w:eastAsia="宋体" w:cs="宋体"/>
                <w:sz w:val="24"/>
                <w:szCs w:val="24"/>
              </w:rPr>
            </w:pPr>
          </w:p>
        </w:tc>
      </w:tr>
      <w:tr w14:paraId="70AB73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557" w:type="pct"/>
            <w:vAlign w:val="center"/>
          </w:tcPr>
          <w:p w14:paraId="3EB7723C">
            <w:pPr>
              <w:jc w:val="center"/>
              <w:rPr>
                <w:rFonts w:hint="eastAsia" w:ascii="宋体" w:hAnsi="宋体" w:eastAsia="宋体" w:cs="宋体"/>
                <w:sz w:val="24"/>
                <w:szCs w:val="24"/>
              </w:rPr>
            </w:pPr>
          </w:p>
        </w:tc>
        <w:tc>
          <w:tcPr>
            <w:tcW w:w="873" w:type="pct"/>
            <w:vAlign w:val="center"/>
          </w:tcPr>
          <w:p w14:paraId="7503F05C">
            <w:pPr>
              <w:jc w:val="center"/>
              <w:rPr>
                <w:rFonts w:hint="eastAsia" w:ascii="宋体" w:hAnsi="宋体" w:eastAsia="宋体" w:cs="宋体"/>
                <w:sz w:val="24"/>
                <w:szCs w:val="24"/>
              </w:rPr>
            </w:pPr>
          </w:p>
        </w:tc>
        <w:tc>
          <w:tcPr>
            <w:tcW w:w="1419" w:type="pct"/>
            <w:vAlign w:val="center"/>
          </w:tcPr>
          <w:p w14:paraId="57C4B2CD">
            <w:pPr>
              <w:jc w:val="center"/>
              <w:rPr>
                <w:rFonts w:hint="eastAsia" w:ascii="宋体" w:hAnsi="宋体" w:eastAsia="宋体" w:cs="宋体"/>
                <w:sz w:val="24"/>
                <w:szCs w:val="24"/>
              </w:rPr>
            </w:pPr>
          </w:p>
        </w:tc>
        <w:tc>
          <w:tcPr>
            <w:tcW w:w="1427" w:type="pct"/>
            <w:vAlign w:val="center"/>
          </w:tcPr>
          <w:p w14:paraId="75DA4388">
            <w:pPr>
              <w:jc w:val="center"/>
              <w:rPr>
                <w:rFonts w:hint="eastAsia" w:ascii="宋体" w:hAnsi="宋体" w:eastAsia="宋体" w:cs="宋体"/>
                <w:sz w:val="24"/>
                <w:szCs w:val="24"/>
              </w:rPr>
            </w:pPr>
          </w:p>
        </w:tc>
        <w:tc>
          <w:tcPr>
            <w:tcW w:w="722" w:type="pct"/>
            <w:vAlign w:val="center"/>
          </w:tcPr>
          <w:p w14:paraId="1CC7D834">
            <w:pPr>
              <w:jc w:val="center"/>
              <w:rPr>
                <w:rFonts w:hint="eastAsia" w:ascii="宋体" w:hAnsi="宋体" w:eastAsia="宋体" w:cs="宋体"/>
                <w:sz w:val="24"/>
                <w:szCs w:val="24"/>
              </w:rPr>
            </w:pPr>
          </w:p>
        </w:tc>
      </w:tr>
      <w:tr w14:paraId="4E7607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557" w:type="pct"/>
            <w:vAlign w:val="center"/>
          </w:tcPr>
          <w:p w14:paraId="58BA7E85">
            <w:pPr>
              <w:jc w:val="center"/>
              <w:rPr>
                <w:rFonts w:hint="eastAsia" w:ascii="宋体" w:hAnsi="宋体" w:eastAsia="宋体" w:cs="宋体"/>
                <w:sz w:val="24"/>
                <w:szCs w:val="24"/>
              </w:rPr>
            </w:pPr>
          </w:p>
        </w:tc>
        <w:tc>
          <w:tcPr>
            <w:tcW w:w="873" w:type="pct"/>
            <w:vAlign w:val="center"/>
          </w:tcPr>
          <w:p w14:paraId="0E7565AB">
            <w:pPr>
              <w:jc w:val="center"/>
              <w:rPr>
                <w:rFonts w:hint="eastAsia" w:ascii="宋体" w:hAnsi="宋体" w:eastAsia="宋体" w:cs="宋体"/>
                <w:sz w:val="24"/>
                <w:szCs w:val="24"/>
              </w:rPr>
            </w:pPr>
          </w:p>
        </w:tc>
        <w:tc>
          <w:tcPr>
            <w:tcW w:w="1419" w:type="pct"/>
            <w:vAlign w:val="center"/>
          </w:tcPr>
          <w:p w14:paraId="04122EE3">
            <w:pPr>
              <w:jc w:val="center"/>
              <w:rPr>
                <w:rFonts w:hint="eastAsia" w:ascii="宋体" w:hAnsi="宋体" w:eastAsia="宋体" w:cs="宋体"/>
                <w:sz w:val="24"/>
                <w:szCs w:val="24"/>
              </w:rPr>
            </w:pPr>
          </w:p>
        </w:tc>
        <w:tc>
          <w:tcPr>
            <w:tcW w:w="1427" w:type="pct"/>
            <w:vAlign w:val="center"/>
          </w:tcPr>
          <w:p w14:paraId="3EA6F8C4">
            <w:pPr>
              <w:jc w:val="center"/>
              <w:rPr>
                <w:rFonts w:hint="eastAsia" w:ascii="宋体" w:hAnsi="宋体" w:eastAsia="宋体" w:cs="宋体"/>
                <w:sz w:val="24"/>
                <w:szCs w:val="24"/>
              </w:rPr>
            </w:pPr>
          </w:p>
        </w:tc>
        <w:tc>
          <w:tcPr>
            <w:tcW w:w="722" w:type="pct"/>
            <w:vAlign w:val="center"/>
          </w:tcPr>
          <w:p w14:paraId="29141277">
            <w:pPr>
              <w:jc w:val="center"/>
              <w:rPr>
                <w:rFonts w:hint="eastAsia" w:ascii="宋体" w:hAnsi="宋体" w:eastAsia="宋体" w:cs="宋体"/>
                <w:sz w:val="24"/>
                <w:szCs w:val="24"/>
              </w:rPr>
            </w:pPr>
          </w:p>
        </w:tc>
      </w:tr>
      <w:tr w14:paraId="2D0948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557" w:type="pct"/>
            <w:vAlign w:val="center"/>
          </w:tcPr>
          <w:p w14:paraId="28A89EC0">
            <w:pPr>
              <w:jc w:val="center"/>
              <w:rPr>
                <w:rFonts w:hint="eastAsia" w:ascii="宋体" w:hAnsi="宋体" w:eastAsia="宋体" w:cs="宋体"/>
                <w:sz w:val="24"/>
                <w:szCs w:val="24"/>
              </w:rPr>
            </w:pPr>
            <w:r>
              <w:rPr>
                <w:rFonts w:hint="eastAsia" w:ascii="宋体" w:hAnsi="宋体" w:eastAsia="宋体" w:cs="宋体"/>
                <w:sz w:val="24"/>
                <w:szCs w:val="24"/>
              </w:rPr>
              <w:t>备注</w:t>
            </w:r>
          </w:p>
        </w:tc>
        <w:tc>
          <w:tcPr>
            <w:tcW w:w="4442" w:type="pct"/>
            <w:gridSpan w:val="4"/>
            <w:vAlign w:val="center"/>
          </w:tcPr>
          <w:p w14:paraId="0DBC8F1B">
            <w:pPr>
              <w:jc w:val="both"/>
              <w:rPr>
                <w:rFonts w:hint="eastAsia" w:ascii="宋体" w:hAnsi="宋体" w:eastAsia="宋体" w:cs="宋体"/>
                <w:sz w:val="24"/>
                <w:szCs w:val="24"/>
              </w:rPr>
            </w:pPr>
            <w:r>
              <w:rPr>
                <w:rFonts w:hint="eastAsia" w:ascii="宋体" w:hAnsi="宋体" w:eastAsia="宋体" w:cs="宋体"/>
                <w:sz w:val="24"/>
                <w:szCs w:val="24"/>
              </w:rPr>
              <w:t>1．“完全接受”的条款无需在本表中列出，按表下方所做“声明”执行；对于需要供应商填报的内容，以及“不能接受”或“有条件接受”的条款，则应写明该条款名称及条款明细、以及供应商所能接受的条件。</w:t>
            </w:r>
          </w:p>
          <w:p w14:paraId="26B1C70C">
            <w:pPr>
              <w:jc w:val="both"/>
              <w:rPr>
                <w:rFonts w:hint="eastAsia" w:ascii="宋体" w:hAnsi="宋体" w:eastAsia="宋体" w:cs="宋体"/>
                <w:sz w:val="24"/>
                <w:szCs w:val="24"/>
              </w:rPr>
            </w:pPr>
            <w:r>
              <w:rPr>
                <w:rFonts w:hint="eastAsia" w:ascii="宋体" w:hAnsi="宋体" w:eastAsia="宋体" w:cs="宋体"/>
                <w:sz w:val="24"/>
                <w:szCs w:val="24"/>
              </w:rPr>
              <w:t>2．因表格空间因有限，不足以容纳响应内容时，允许在表后进行响应，但须在表中注明引用位置，如“见本表下方3.1.1”。</w:t>
            </w:r>
          </w:p>
        </w:tc>
      </w:tr>
    </w:tbl>
    <w:p w14:paraId="5F2D1677">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声明：除上表所列的合同条款外，招标文件中的其他合同条款我方均完全接受。</w:t>
      </w:r>
    </w:p>
    <w:p w14:paraId="4C2BE995">
      <w:pPr>
        <w:spacing w:line="560" w:lineRule="exact"/>
        <w:ind w:firstLine="480" w:firstLineChars="200"/>
        <w:jc w:val="both"/>
        <w:rPr>
          <w:rFonts w:hint="eastAsia"/>
        </w:rPr>
      </w:pPr>
      <w:r>
        <w:rPr>
          <w:rFonts w:hint="eastAsia" w:ascii="宋体" w:hAnsi="宋体" w:eastAsia="宋体" w:cs="宋体"/>
          <w:b/>
          <w:bCs/>
          <w:sz w:val="24"/>
          <w:szCs w:val="24"/>
          <w:highlight w:val="none"/>
        </w:rPr>
        <w:t>注：如无偏差，供应商不需要填表，但应声明：“本投标文件完全响应</w:t>
      </w:r>
      <w:r>
        <w:rPr>
          <w:rFonts w:hint="eastAsia" w:ascii="宋体" w:hAnsi="宋体" w:eastAsia="宋体" w:cs="宋体"/>
          <w:b/>
          <w:bCs/>
          <w:sz w:val="24"/>
          <w:szCs w:val="24"/>
          <w:highlight w:val="none"/>
          <w:lang w:eastAsia="zh-CN"/>
        </w:rPr>
        <w:t>招</w:t>
      </w:r>
      <w:r>
        <w:rPr>
          <w:rFonts w:hint="eastAsia" w:ascii="宋体" w:hAnsi="宋体" w:eastAsia="宋体" w:cs="宋体"/>
          <w:b/>
          <w:bCs/>
          <w:sz w:val="24"/>
          <w:szCs w:val="24"/>
          <w:highlight w:val="none"/>
        </w:rPr>
        <w:t>标文件所有条款的要求，无偏离。</w:t>
      </w:r>
      <w:r>
        <w:rPr>
          <w:rFonts w:hint="eastAsia" w:ascii="宋体" w:hAnsi="宋体" w:eastAsia="宋体" w:cs="宋体"/>
          <w:sz w:val="24"/>
          <w:szCs w:val="24"/>
          <w:highlight w:val="none"/>
        </w:rPr>
        <w:t>”</w:t>
      </w:r>
    </w:p>
    <w:p w14:paraId="776B1D3B">
      <w:pPr>
        <w:spacing w:line="560" w:lineRule="exact"/>
        <w:ind w:firstLine="2656" w:firstLineChars="1107"/>
        <w:jc w:val="right"/>
        <w:rPr>
          <w:rFonts w:hint="eastAsia" w:ascii="宋体" w:hAnsi="宋体" w:eastAsia="宋体" w:cs="宋体"/>
          <w:sz w:val="24"/>
          <w:szCs w:val="24"/>
        </w:rPr>
      </w:pPr>
      <w:r>
        <w:rPr>
          <w:rFonts w:hint="eastAsia" w:ascii="宋体" w:hAnsi="宋体" w:eastAsia="宋体" w:cs="宋体"/>
          <w:sz w:val="24"/>
          <w:szCs w:val="24"/>
        </w:rPr>
        <w:t>供应商：（供应商全称并加盖公章）</w:t>
      </w:r>
    </w:p>
    <w:p w14:paraId="5D4C2051">
      <w:pPr>
        <w:spacing w:line="560" w:lineRule="exact"/>
        <w:ind w:firstLine="2656" w:firstLineChars="1107"/>
        <w:jc w:val="right"/>
        <w:rPr>
          <w:rFonts w:hint="eastAsia" w:ascii="宋体" w:hAnsi="宋体" w:eastAsia="宋体" w:cs="宋体"/>
          <w:sz w:val="24"/>
          <w:szCs w:val="24"/>
        </w:rPr>
      </w:pPr>
      <w:r>
        <w:rPr>
          <w:rFonts w:hint="eastAsia" w:ascii="宋体" w:hAnsi="宋体" w:eastAsia="宋体" w:cs="宋体"/>
          <w:sz w:val="24"/>
          <w:szCs w:val="24"/>
        </w:rPr>
        <w:t>日  期：    年  月  日</w:t>
      </w:r>
    </w:p>
    <w:p w14:paraId="6089021F">
      <w:pPr>
        <w:spacing w:line="560" w:lineRule="exact"/>
        <w:jc w:val="both"/>
        <w:rPr>
          <w:rFonts w:hint="eastAsia" w:ascii="宋体" w:hAnsi="宋体" w:eastAsia="宋体" w:cs="宋体"/>
          <w:sz w:val="32"/>
          <w:szCs w:val="32"/>
        </w:rPr>
      </w:pPr>
      <w:r>
        <w:rPr>
          <w:rFonts w:hint="eastAsia" w:ascii="宋体" w:hAnsi="宋体" w:eastAsia="宋体" w:cs="宋体"/>
          <w:sz w:val="24"/>
          <w:szCs w:val="24"/>
        </w:rPr>
        <w:br w:type="page"/>
      </w:r>
    </w:p>
    <w:p w14:paraId="38498C3F">
      <w:pPr>
        <w:pStyle w:val="3"/>
        <w:keepNext w:val="0"/>
        <w:keepLines w:val="0"/>
        <w:pageBreakBefore w:val="0"/>
        <w:widowControl/>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b/>
          <w:bCs/>
        </w:rPr>
      </w:pPr>
      <w:r>
        <w:rPr>
          <w:rFonts w:hint="eastAsia" w:ascii="宋体" w:hAnsi="宋体" w:eastAsia="宋体" w:cs="宋体"/>
          <w:b/>
          <w:bCs/>
          <w:lang w:val="en-US" w:eastAsia="zh-CN"/>
        </w:rPr>
        <w:t xml:space="preserve">第七部分 </w:t>
      </w:r>
      <w:r>
        <w:rPr>
          <w:rFonts w:hint="eastAsia" w:ascii="宋体" w:hAnsi="宋体" w:eastAsia="宋体" w:cs="宋体"/>
          <w:b/>
          <w:bCs/>
        </w:rPr>
        <w:t>供应商认为需要提供的其他材料</w:t>
      </w:r>
    </w:p>
    <w:p w14:paraId="1E3CE722">
      <w:pPr>
        <w:spacing w:line="560" w:lineRule="exact"/>
        <w:ind w:firstLine="480" w:firstLineChars="200"/>
        <w:jc w:val="center"/>
        <w:rPr>
          <w:rFonts w:hint="eastAsia" w:ascii="宋体" w:hAnsi="宋体" w:eastAsia="宋体" w:cs="宋体"/>
          <w:b/>
          <w:bCs/>
          <w:sz w:val="24"/>
          <w:szCs w:val="32"/>
          <w:lang w:val="en-US" w:eastAsia="zh-CN"/>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格式自拟</w:t>
      </w:r>
      <w:r>
        <w:rPr>
          <w:rFonts w:hint="eastAsia" w:ascii="宋体" w:hAnsi="宋体" w:eastAsia="宋体" w:cs="宋体"/>
          <w:b/>
          <w:bCs/>
          <w:sz w:val="24"/>
          <w:szCs w:val="24"/>
        </w:rPr>
        <w:t>）</w:t>
      </w:r>
    </w:p>
    <w:p w14:paraId="6BED60E1">
      <w:pPr>
        <w:rPr>
          <w:rFonts w:hint="eastAsia" w:ascii="宋体" w:hAnsi="宋体" w:eastAsia="宋体" w:cs="宋体"/>
        </w:rPr>
      </w:pPr>
    </w:p>
    <w:sectPr>
      <w:headerReference r:id="rId7" w:type="default"/>
      <w:footerReference r:id="rId8" w:type="default"/>
      <w:footerReference r:id="rId9" w:type="even"/>
      <w:pgSz w:w="11906" w:h="16838"/>
      <w:pgMar w:top="1417" w:right="1083" w:bottom="1417" w:left="1083" w:header="851" w:footer="964" w:gutter="0"/>
      <w:pgNumType w:fmt="decimal" w:start="1"/>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MS Gothic">
    <w:panose1 w:val="020B0609070205080204"/>
    <w:charset w:val="80"/>
    <w:family w:val="auto"/>
    <w:pitch w:val="default"/>
    <w:sig w:usb0="E00002FF" w:usb1="6AC7FDFB" w:usb2="08000012" w:usb3="00000000" w:csb0="4002009F" w:csb1="DFD70000"/>
  </w:font>
  <w:font w:name="MS PGothic">
    <w:panose1 w:val="020B0600070205080204"/>
    <w:charset w:val="86"/>
    <w:family w:val="auto"/>
    <w:pitch w:val="default"/>
    <w:sig w:usb0="E00002FF" w:usb1="6AC7FDFB" w:usb2="08000012" w:usb3="00000000" w:csb0="4002009F" w:csb1="DFD70000"/>
  </w:font>
  <w:font w:name="Lucida Sans Unicode">
    <w:panose1 w:val="020B0602030504020204"/>
    <w:charset w:val="00"/>
    <w:family w:val="auto"/>
    <w:pitch w:val="default"/>
    <w:sig w:usb0="80001AFF" w:usb1="0000396B" w:usb2="00000000" w:usb3="00000000" w:csb0="200000BF" w:csb1="D7F70000"/>
  </w:font>
  <w:font w:name="KSOF8080F95D">
    <w:panose1 w:val="020B0503020204020204"/>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15C76">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0B0F7">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F8559">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54E282">
                          <w:pPr>
                            <w:pStyle w:val="2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454E282">
                    <w:pPr>
                      <w:pStyle w:val="2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0E4E0">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93A0AE">
                          <w:pPr>
                            <w:pStyle w:val="2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493A0AE">
                    <w:pPr>
                      <w:pStyle w:val="2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ED7DB">
    <w:pPr>
      <w:pStyle w:val="2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21D56">
    <w:pPr>
      <w:pStyle w:val="21"/>
      <w:pBdr>
        <w:bottom w:val="double" w:color="000000" w:sz="8" w:space="1"/>
      </w:pBdr>
      <w:jc w:val="both"/>
      <w:rPr>
        <w:rFonts w:hint="default"/>
        <w:w w:val="100"/>
        <w:sz w:val="15"/>
        <w:szCs w:val="15"/>
        <w:lang w:val="en-US"/>
      </w:rPr>
    </w:pPr>
    <w:r>
      <w:rPr>
        <w:rFonts w:hint="eastAsia" w:ascii="宋体" w:hAnsi="宋体" w:cs="宋体"/>
        <w:w w:val="100"/>
        <w:sz w:val="20"/>
        <w:szCs w:val="20"/>
        <w:lang w:val="en-US" w:eastAsia="zh-CN"/>
      </w:rPr>
      <w:t xml:space="preserve">项目名称：新筑垃圾压缩站2026-2027年度运维服务项目                       </w:t>
    </w:r>
    <w:r>
      <w:rPr>
        <w:rFonts w:hint="eastAsia" w:ascii="宋体" w:hAnsi="宋体" w:cs="宋体"/>
        <w:w w:val="100"/>
        <w:sz w:val="20"/>
        <w:szCs w:val="20"/>
      </w:rPr>
      <w:t>项目编号：</w:t>
    </w:r>
    <w:r>
      <w:rPr>
        <w:rFonts w:hint="eastAsia" w:ascii="宋体" w:hAnsi="宋体" w:cs="宋体"/>
        <w:w w:val="100"/>
        <w:sz w:val="20"/>
        <w:szCs w:val="20"/>
        <w:lang w:eastAsia="zh-CN"/>
      </w:rPr>
      <w:t>CGZC-2026-028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65F7D">
    <w:pPr>
      <w:pStyle w:val="21"/>
      <w:pBdr>
        <w:bottom w:val="double" w:color="000000" w:sz="8" w:space="1"/>
      </w:pBdr>
      <w:jc w:val="both"/>
      <w:rPr>
        <w:rFonts w:hint="default"/>
        <w:lang w:val="en-US"/>
      </w:rPr>
    </w:pPr>
    <w:r>
      <w:rPr>
        <w:rFonts w:hint="eastAsia" w:ascii="宋体" w:hAnsi="宋体" w:cs="宋体"/>
        <w:w w:val="100"/>
        <w:sz w:val="20"/>
        <w:szCs w:val="20"/>
        <w:lang w:val="en-US" w:eastAsia="zh-CN"/>
      </w:rPr>
      <w:t xml:space="preserve">项目名称：新筑垃圾压缩站2026-2027年度运维服务项目                    </w:t>
    </w:r>
    <w:r>
      <w:rPr>
        <w:rFonts w:hint="eastAsia" w:ascii="宋体" w:hAnsi="宋体" w:cs="宋体"/>
        <w:w w:val="100"/>
        <w:sz w:val="20"/>
        <w:szCs w:val="20"/>
      </w:rPr>
      <w:t>项目编号：</w:t>
    </w:r>
    <w:r>
      <w:rPr>
        <w:rFonts w:hint="eastAsia" w:ascii="宋体" w:hAnsi="宋体" w:cs="宋体"/>
        <w:w w:val="100"/>
        <w:sz w:val="20"/>
        <w:szCs w:val="20"/>
        <w:lang w:val="en-US" w:eastAsia="zh-CN"/>
      </w:rPr>
      <w:t>CGZC-2026-028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7"/>
      <w:lvlText w:val="%1.%2.%3.%4"/>
      <w:lvlJc w:val="left"/>
      <w:pPr>
        <w:ind w:left="864" w:hanging="864"/>
      </w:pPr>
      <w:rPr>
        <w:rFonts w:hint="eastAsia"/>
      </w:rPr>
    </w:lvl>
    <w:lvl w:ilvl="4" w:tentative="0">
      <w:start w:val="1"/>
      <w:numFmt w:val="decimal"/>
      <w:pStyle w:val="8"/>
      <w:lvlText w:val="%1.%2.%3.%4.%5"/>
      <w:lvlJc w:val="left"/>
      <w:pPr>
        <w:ind w:left="1008" w:hanging="1008"/>
      </w:pPr>
      <w:rPr>
        <w:rFonts w:hint="eastAsia"/>
      </w:rPr>
    </w:lvl>
    <w:lvl w:ilvl="5" w:tentative="0">
      <w:start w:val="1"/>
      <w:numFmt w:val="decimal"/>
      <w:pStyle w:val="9"/>
      <w:lvlText w:val="%1.%2.%3.%4.%5.%6"/>
      <w:lvlJc w:val="left"/>
      <w:pPr>
        <w:ind w:left="1152" w:hanging="1152"/>
      </w:pPr>
      <w:rPr>
        <w:rFonts w:hint="eastAsia"/>
      </w:rPr>
    </w:lvl>
    <w:lvl w:ilvl="6" w:tentative="0">
      <w:start w:val="1"/>
      <w:numFmt w:val="decimal"/>
      <w:pStyle w:val="10"/>
      <w:lvlText w:val="%1.%2.%3.%4.%5.%6.%7"/>
      <w:lvlJc w:val="left"/>
      <w:pPr>
        <w:ind w:left="1296" w:hanging="1296"/>
      </w:pPr>
      <w:rPr>
        <w:rFonts w:hint="eastAsia"/>
      </w:rPr>
    </w:lvl>
    <w:lvl w:ilvl="7" w:tentative="0">
      <w:start w:val="1"/>
      <w:numFmt w:val="decimal"/>
      <w:pStyle w:val="11"/>
      <w:lvlText w:val="%1.%2.%3.%4.%5.%6.%7.%8"/>
      <w:lvlJc w:val="left"/>
      <w:pPr>
        <w:ind w:left="1440" w:hanging="1440"/>
      </w:pPr>
      <w:rPr>
        <w:rFonts w:hint="eastAsia"/>
      </w:rPr>
    </w:lvl>
    <w:lvl w:ilvl="8" w:tentative="0">
      <w:start w:val="1"/>
      <w:numFmt w:val="decimal"/>
      <w:pStyle w:val="12"/>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0"/>
  <w:bordersDoNotSurroundFooter w:val="0"/>
  <w:documentProtection w:enforcement="0"/>
  <w:defaultTabStop w:val="420"/>
  <w:evenAndOddHeaders w:val="1"/>
  <w:drawingGridHorizontalSpacing w:val="120"/>
  <w:drawingGridVerticalSpacing w:val="21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NlMmVkYzlmNjU0NDAyZTE3ZGM0NDQ3YmJmYzk4ZDgifQ=="/>
  </w:docVars>
  <w:rsids>
    <w:rsidRoot w:val="006A6B87"/>
    <w:rsid w:val="0000159C"/>
    <w:rsid w:val="000019FA"/>
    <w:rsid w:val="00002BB3"/>
    <w:rsid w:val="00003F53"/>
    <w:rsid w:val="00004F9A"/>
    <w:rsid w:val="00006A52"/>
    <w:rsid w:val="00012137"/>
    <w:rsid w:val="00012844"/>
    <w:rsid w:val="00012F9B"/>
    <w:rsid w:val="000131C6"/>
    <w:rsid w:val="00013929"/>
    <w:rsid w:val="00014DAF"/>
    <w:rsid w:val="00015802"/>
    <w:rsid w:val="00016042"/>
    <w:rsid w:val="000162A2"/>
    <w:rsid w:val="00021AF9"/>
    <w:rsid w:val="00022A4E"/>
    <w:rsid w:val="00022F41"/>
    <w:rsid w:val="00023261"/>
    <w:rsid w:val="000234CF"/>
    <w:rsid w:val="000235C8"/>
    <w:rsid w:val="000251DF"/>
    <w:rsid w:val="00027E6B"/>
    <w:rsid w:val="0003251F"/>
    <w:rsid w:val="00032BB4"/>
    <w:rsid w:val="00033377"/>
    <w:rsid w:val="00033B5A"/>
    <w:rsid w:val="000353DD"/>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2D84"/>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2417"/>
    <w:rsid w:val="00093AD5"/>
    <w:rsid w:val="000951C6"/>
    <w:rsid w:val="000952F2"/>
    <w:rsid w:val="00095A8D"/>
    <w:rsid w:val="00096428"/>
    <w:rsid w:val="00097CDB"/>
    <w:rsid w:val="000A0237"/>
    <w:rsid w:val="000A0EFD"/>
    <w:rsid w:val="000A250B"/>
    <w:rsid w:val="000A2583"/>
    <w:rsid w:val="000A2B11"/>
    <w:rsid w:val="000A7A6A"/>
    <w:rsid w:val="000B5741"/>
    <w:rsid w:val="000B5ACF"/>
    <w:rsid w:val="000B6858"/>
    <w:rsid w:val="000C048C"/>
    <w:rsid w:val="000C078B"/>
    <w:rsid w:val="000C21A4"/>
    <w:rsid w:val="000C4C29"/>
    <w:rsid w:val="000C538D"/>
    <w:rsid w:val="000C59A5"/>
    <w:rsid w:val="000D0AF3"/>
    <w:rsid w:val="000D0DE1"/>
    <w:rsid w:val="000D1277"/>
    <w:rsid w:val="000D12BE"/>
    <w:rsid w:val="000D4097"/>
    <w:rsid w:val="000E3FB5"/>
    <w:rsid w:val="000E5C68"/>
    <w:rsid w:val="000E5DED"/>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3D6B"/>
    <w:rsid w:val="00104D98"/>
    <w:rsid w:val="001059A0"/>
    <w:rsid w:val="00106530"/>
    <w:rsid w:val="001067F9"/>
    <w:rsid w:val="00107B8A"/>
    <w:rsid w:val="001101BD"/>
    <w:rsid w:val="0011093D"/>
    <w:rsid w:val="00111F0F"/>
    <w:rsid w:val="001131D6"/>
    <w:rsid w:val="00113B9B"/>
    <w:rsid w:val="00121FC0"/>
    <w:rsid w:val="00122D76"/>
    <w:rsid w:val="001232E1"/>
    <w:rsid w:val="001240BB"/>
    <w:rsid w:val="001257D4"/>
    <w:rsid w:val="0013005B"/>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2476"/>
    <w:rsid w:val="0015361E"/>
    <w:rsid w:val="00156ED5"/>
    <w:rsid w:val="001630D0"/>
    <w:rsid w:val="00164101"/>
    <w:rsid w:val="00164EE1"/>
    <w:rsid w:val="001664B2"/>
    <w:rsid w:val="00166804"/>
    <w:rsid w:val="00166FD9"/>
    <w:rsid w:val="00167ECE"/>
    <w:rsid w:val="0017054A"/>
    <w:rsid w:val="00171A61"/>
    <w:rsid w:val="00173749"/>
    <w:rsid w:val="00173A35"/>
    <w:rsid w:val="0017410F"/>
    <w:rsid w:val="00174285"/>
    <w:rsid w:val="00175756"/>
    <w:rsid w:val="00176F0E"/>
    <w:rsid w:val="0018316D"/>
    <w:rsid w:val="00184DE0"/>
    <w:rsid w:val="00184F72"/>
    <w:rsid w:val="00187846"/>
    <w:rsid w:val="00191693"/>
    <w:rsid w:val="00191834"/>
    <w:rsid w:val="00191A7E"/>
    <w:rsid w:val="00193B5F"/>
    <w:rsid w:val="001947E8"/>
    <w:rsid w:val="00194890"/>
    <w:rsid w:val="00196A1C"/>
    <w:rsid w:val="001A0C97"/>
    <w:rsid w:val="001A2103"/>
    <w:rsid w:val="001A5309"/>
    <w:rsid w:val="001A5764"/>
    <w:rsid w:val="001B0699"/>
    <w:rsid w:val="001B0C7B"/>
    <w:rsid w:val="001B2019"/>
    <w:rsid w:val="001B49FD"/>
    <w:rsid w:val="001B5302"/>
    <w:rsid w:val="001C0BA3"/>
    <w:rsid w:val="001C0BBD"/>
    <w:rsid w:val="001C1815"/>
    <w:rsid w:val="001C25ED"/>
    <w:rsid w:val="001C5BE5"/>
    <w:rsid w:val="001D1BCB"/>
    <w:rsid w:val="001D22C0"/>
    <w:rsid w:val="001D2CE5"/>
    <w:rsid w:val="001D4171"/>
    <w:rsid w:val="001D576E"/>
    <w:rsid w:val="001D70BC"/>
    <w:rsid w:val="001E0376"/>
    <w:rsid w:val="001E1DFE"/>
    <w:rsid w:val="001E2BB9"/>
    <w:rsid w:val="001E6A70"/>
    <w:rsid w:val="001E7761"/>
    <w:rsid w:val="001E790E"/>
    <w:rsid w:val="001F2059"/>
    <w:rsid w:val="001F23C9"/>
    <w:rsid w:val="001F49A1"/>
    <w:rsid w:val="001F4ACC"/>
    <w:rsid w:val="001F7532"/>
    <w:rsid w:val="001F7B5A"/>
    <w:rsid w:val="00201795"/>
    <w:rsid w:val="0020498C"/>
    <w:rsid w:val="002051A7"/>
    <w:rsid w:val="00207790"/>
    <w:rsid w:val="00210CFC"/>
    <w:rsid w:val="00210FBE"/>
    <w:rsid w:val="00212328"/>
    <w:rsid w:val="002125C8"/>
    <w:rsid w:val="00213205"/>
    <w:rsid w:val="002137AF"/>
    <w:rsid w:val="002174B0"/>
    <w:rsid w:val="00220787"/>
    <w:rsid w:val="002209DE"/>
    <w:rsid w:val="00221727"/>
    <w:rsid w:val="00223EFE"/>
    <w:rsid w:val="00224257"/>
    <w:rsid w:val="0023070C"/>
    <w:rsid w:val="00230C6A"/>
    <w:rsid w:val="00233D53"/>
    <w:rsid w:val="002345B9"/>
    <w:rsid w:val="002378CD"/>
    <w:rsid w:val="00237A3F"/>
    <w:rsid w:val="00237C8C"/>
    <w:rsid w:val="0024210D"/>
    <w:rsid w:val="002434A7"/>
    <w:rsid w:val="00244C29"/>
    <w:rsid w:val="00247B11"/>
    <w:rsid w:val="00250468"/>
    <w:rsid w:val="00250A0D"/>
    <w:rsid w:val="00250B6E"/>
    <w:rsid w:val="002519B6"/>
    <w:rsid w:val="00252050"/>
    <w:rsid w:val="00253B74"/>
    <w:rsid w:val="00254492"/>
    <w:rsid w:val="002547E0"/>
    <w:rsid w:val="00255DBC"/>
    <w:rsid w:val="00256AC1"/>
    <w:rsid w:val="0025777A"/>
    <w:rsid w:val="00257B25"/>
    <w:rsid w:val="00260306"/>
    <w:rsid w:val="00261898"/>
    <w:rsid w:val="00264014"/>
    <w:rsid w:val="0026501F"/>
    <w:rsid w:val="00266611"/>
    <w:rsid w:val="00267AE5"/>
    <w:rsid w:val="00267C8A"/>
    <w:rsid w:val="00267F98"/>
    <w:rsid w:val="00271136"/>
    <w:rsid w:val="00272337"/>
    <w:rsid w:val="00272E7E"/>
    <w:rsid w:val="00273219"/>
    <w:rsid w:val="00273A93"/>
    <w:rsid w:val="002742EA"/>
    <w:rsid w:val="0027449B"/>
    <w:rsid w:val="00275C8F"/>
    <w:rsid w:val="00276641"/>
    <w:rsid w:val="00276C8A"/>
    <w:rsid w:val="002771C6"/>
    <w:rsid w:val="00277949"/>
    <w:rsid w:val="0028033D"/>
    <w:rsid w:val="002827CD"/>
    <w:rsid w:val="00282837"/>
    <w:rsid w:val="00282CF7"/>
    <w:rsid w:val="002848E9"/>
    <w:rsid w:val="00291777"/>
    <w:rsid w:val="0029384E"/>
    <w:rsid w:val="00294428"/>
    <w:rsid w:val="002961E2"/>
    <w:rsid w:val="00296372"/>
    <w:rsid w:val="00297703"/>
    <w:rsid w:val="00297866"/>
    <w:rsid w:val="002A3B25"/>
    <w:rsid w:val="002A62BF"/>
    <w:rsid w:val="002A6815"/>
    <w:rsid w:val="002A703D"/>
    <w:rsid w:val="002A7FF7"/>
    <w:rsid w:val="002B35C4"/>
    <w:rsid w:val="002B36C2"/>
    <w:rsid w:val="002B59BE"/>
    <w:rsid w:val="002B65AB"/>
    <w:rsid w:val="002B696D"/>
    <w:rsid w:val="002B69BA"/>
    <w:rsid w:val="002C05A3"/>
    <w:rsid w:val="002C4511"/>
    <w:rsid w:val="002D2B5F"/>
    <w:rsid w:val="002D327B"/>
    <w:rsid w:val="002D41DD"/>
    <w:rsid w:val="002D65D4"/>
    <w:rsid w:val="002D7418"/>
    <w:rsid w:val="002E1283"/>
    <w:rsid w:val="002E1660"/>
    <w:rsid w:val="002E379C"/>
    <w:rsid w:val="002E43F6"/>
    <w:rsid w:val="002E4813"/>
    <w:rsid w:val="002E7C3E"/>
    <w:rsid w:val="002E7F36"/>
    <w:rsid w:val="002F074B"/>
    <w:rsid w:val="002F1C19"/>
    <w:rsid w:val="002F1C7D"/>
    <w:rsid w:val="002F1EC9"/>
    <w:rsid w:val="002F25EC"/>
    <w:rsid w:val="002F2A10"/>
    <w:rsid w:val="002F2AAA"/>
    <w:rsid w:val="002F2EAB"/>
    <w:rsid w:val="002F30DD"/>
    <w:rsid w:val="002F3224"/>
    <w:rsid w:val="002F3350"/>
    <w:rsid w:val="002F7D7D"/>
    <w:rsid w:val="00300067"/>
    <w:rsid w:val="00300513"/>
    <w:rsid w:val="00300B27"/>
    <w:rsid w:val="0030123B"/>
    <w:rsid w:val="00301E0D"/>
    <w:rsid w:val="00301FAE"/>
    <w:rsid w:val="003024CF"/>
    <w:rsid w:val="00306470"/>
    <w:rsid w:val="00311862"/>
    <w:rsid w:val="00316D60"/>
    <w:rsid w:val="003172BB"/>
    <w:rsid w:val="00322208"/>
    <w:rsid w:val="003245F8"/>
    <w:rsid w:val="00325D47"/>
    <w:rsid w:val="00325EF1"/>
    <w:rsid w:val="00326169"/>
    <w:rsid w:val="00327A6B"/>
    <w:rsid w:val="00330EA4"/>
    <w:rsid w:val="00332A7C"/>
    <w:rsid w:val="00335C58"/>
    <w:rsid w:val="00337CFC"/>
    <w:rsid w:val="0034052E"/>
    <w:rsid w:val="003406B1"/>
    <w:rsid w:val="00343305"/>
    <w:rsid w:val="003443D3"/>
    <w:rsid w:val="003450CD"/>
    <w:rsid w:val="00345F35"/>
    <w:rsid w:val="00346A88"/>
    <w:rsid w:val="003509CA"/>
    <w:rsid w:val="00351734"/>
    <w:rsid w:val="00354FCF"/>
    <w:rsid w:val="003551E0"/>
    <w:rsid w:val="0035572B"/>
    <w:rsid w:val="00357EC3"/>
    <w:rsid w:val="00360830"/>
    <w:rsid w:val="00364896"/>
    <w:rsid w:val="00366A2C"/>
    <w:rsid w:val="003704E3"/>
    <w:rsid w:val="00371456"/>
    <w:rsid w:val="00373AE9"/>
    <w:rsid w:val="00374506"/>
    <w:rsid w:val="0037495D"/>
    <w:rsid w:val="0037531B"/>
    <w:rsid w:val="00375819"/>
    <w:rsid w:val="00375C89"/>
    <w:rsid w:val="00376DAF"/>
    <w:rsid w:val="00377482"/>
    <w:rsid w:val="003833FB"/>
    <w:rsid w:val="00383F8F"/>
    <w:rsid w:val="003872CB"/>
    <w:rsid w:val="00387AFC"/>
    <w:rsid w:val="00390290"/>
    <w:rsid w:val="0039216D"/>
    <w:rsid w:val="00392EBD"/>
    <w:rsid w:val="00393459"/>
    <w:rsid w:val="003943D1"/>
    <w:rsid w:val="0039449C"/>
    <w:rsid w:val="00395695"/>
    <w:rsid w:val="003A0002"/>
    <w:rsid w:val="003A0295"/>
    <w:rsid w:val="003A0D83"/>
    <w:rsid w:val="003A192D"/>
    <w:rsid w:val="003A2A14"/>
    <w:rsid w:val="003B086A"/>
    <w:rsid w:val="003B0D75"/>
    <w:rsid w:val="003B2AF6"/>
    <w:rsid w:val="003B3207"/>
    <w:rsid w:val="003C3325"/>
    <w:rsid w:val="003C61F3"/>
    <w:rsid w:val="003C6AB2"/>
    <w:rsid w:val="003C7C29"/>
    <w:rsid w:val="003D2606"/>
    <w:rsid w:val="003D39C7"/>
    <w:rsid w:val="003D3A50"/>
    <w:rsid w:val="003D45F5"/>
    <w:rsid w:val="003D6B60"/>
    <w:rsid w:val="003E010E"/>
    <w:rsid w:val="003E1D81"/>
    <w:rsid w:val="003E2F34"/>
    <w:rsid w:val="003E5CDB"/>
    <w:rsid w:val="003E7874"/>
    <w:rsid w:val="003F3882"/>
    <w:rsid w:val="003F3B99"/>
    <w:rsid w:val="003F60A3"/>
    <w:rsid w:val="003F7C8E"/>
    <w:rsid w:val="004001BE"/>
    <w:rsid w:val="00400ECF"/>
    <w:rsid w:val="0040124D"/>
    <w:rsid w:val="004017C8"/>
    <w:rsid w:val="0040181A"/>
    <w:rsid w:val="004024C2"/>
    <w:rsid w:val="00405285"/>
    <w:rsid w:val="004068A7"/>
    <w:rsid w:val="00406C11"/>
    <w:rsid w:val="00407BBB"/>
    <w:rsid w:val="004106B2"/>
    <w:rsid w:val="00412CBC"/>
    <w:rsid w:val="00414D38"/>
    <w:rsid w:val="004155E3"/>
    <w:rsid w:val="00415649"/>
    <w:rsid w:val="004156E2"/>
    <w:rsid w:val="00415AB5"/>
    <w:rsid w:val="00416478"/>
    <w:rsid w:val="00420875"/>
    <w:rsid w:val="0042388D"/>
    <w:rsid w:val="00425038"/>
    <w:rsid w:val="0042688F"/>
    <w:rsid w:val="00427ABD"/>
    <w:rsid w:val="004317AB"/>
    <w:rsid w:val="00431DBF"/>
    <w:rsid w:val="00433512"/>
    <w:rsid w:val="0043432D"/>
    <w:rsid w:val="00441423"/>
    <w:rsid w:val="00441D7B"/>
    <w:rsid w:val="00444250"/>
    <w:rsid w:val="00444298"/>
    <w:rsid w:val="004456C5"/>
    <w:rsid w:val="00454666"/>
    <w:rsid w:val="004547F6"/>
    <w:rsid w:val="004574A4"/>
    <w:rsid w:val="00461F1D"/>
    <w:rsid w:val="00463236"/>
    <w:rsid w:val="004657D3"/>
    <w:rsid w:val="0046690A"/>
    <w:rsid w:val="0046782F"/>
    <w:rsid w:val="00471E1E"/>
    <w:rsid w:val="0047278F"/>
    <w:rsid w:val="00473CE1"/>
    <w:rsid w:val="0047590B"/>
    <w:rsid w:val="004846F1"/>
    <w:rsid w:val="00490F98"/>
    <w:rsid w:val="00491349"/>
    <w:rsid w:val="00493684"/>
    <w:rsid w:val="00493E48"/>
    <w:rsid w:val="00496ACE"/>
    <w:rsid w:val="00497530"/>
    <w:rsid w:val="004A00FD"/>
    <w:rsid w:val="004A570C"/>
    <w:rsid w:val="004A5CFF"/>
    <w:rsid w:val="004A61D7"/>
    <w:rsid w:val="004A6B5A"/>
    <w:rsid w:val="004B1026"/>
    <w:rsid w:val="004B13F6"/>
    <w:rsid w:val="004B5992"/>
    <w:rsid w:val="004C093C"/>
    <w:rsid w:val="004C0B7A"/>
    <w:rsid w:val="004C0CA0"/>
    <w:rsid w:val="004C5B48"/>
    <w:rsid w:val="004C6493"/>
    <w:rsid w:val="004C7371"/>
    <w:rsid w:val="004D2147"/>
    <w:rsid w:val="004D2D8E"/>
    <w:rsid w:val="004D2F54"/>
    <w:rsid w:val="004D4879"/>
    <w:rsid w:val="004D7112"/>
    <w:rsid w:val="004D7C23"/>
    <w:rsid w:val="004D7F2C"/>
    <w:rsid w:val="004E07B6"/>
    <w:rsid w:val="004E0B6D"/>
    <w:rsid w:val="004E63AF"/>
    <w:rsid w:val="004F01A5"/>
    <w:rsid w:val="004F04DD"/>
    <w:rsid w:val="004F2CC5"/>
    <w:rsid w:val="004F3159"/>
    <w:rsid w:val="004F411F"/>
    <w:rsid w:val="004F60D3"/>
    <w:rsid w:val="004F7234"/>
    <w:rsid w:val="004F7D8F"/>
    <w:rsid w:val="0050182A"/>
    <w:rsid w:val="00501CED"/>
    <w:rsid w:val="0050264E"/>
    <w:rsid w:val="00502DB5"/>
    <w:rsid w:val="0050431E"/>
    <w:rsid w:val="005053C1"/>
    <w:rsid w:val="00506ECC"/>
    <w:rsid w:val="00510D3F"/>
    <w:rsid w:val="00511E18"/>
    <w:rsid w:val="00512B77"/>
    <w:rsid w:val="00515ADE"/>
    <w:rsid w:val="00515E63"/>
    <w:rsid w:val="005176F4"/>
    <w:rsid w:val="005203BA"/>
    <w:rsid w:val="005220F8"/>
    <w:rsid w:val="00522932"/>
    <w:rsid w:val="0052539A"/>
    <w:rsid w:val="005309DD"/>
    <w:rsid w:val="005330CB"/>
    <w:rsid w:val="0053320F"/>
    <w:rsid w:val="005340C0"/>
    <w:rsid w:val="00534E48"/>
    <w:rsid w:val="0053507D"/>
    <w:rsid w:val="00535F18"/>
    <w:rsid w:val="00537136"/>
    <w:rsid w:val="005406CD"/>
    <w:rsid w:val="00544037"/>
    <w:rsid w:val="00544FDF"/>
    <w:rsid w:val="0054537C"/>
    <w:rsid w:val="00547AD0"/>
    <w:rsid w:val="005509F0"/>
    <w:rsid w:val="00551012"/>
    <w:rsid w:val="00553778"/>
    <w:rsid w:val="00553AC5"/>
    <w:rsid w:val="00554646"/>
    <w:rsid w:val="00554791"/>
    <w:rsid w:val="00555365"/>
    <w:rsid w:val="005555A0"/>
    <w:rsid w:val="0056050F"/>
    <w:rsid w:val="00560BBE"/>
    <w:rsid w:val="005612F2"/>
    <w:rsid w:val="0056216F"/>
    <w:rsid w:val="005627E9"/>
    <w:rsid w:val="005642D3"/>
    <w:rsid w:val="005676F6"/>
    <w:rsid w:val="00572506"/>
    <w:rsid w:val="00573AC9"/>
    <w:rsid w:val="00575980"/>
    <w:rsid w:val="005801CF"/>
    <w:rsid w:val="00581DBA"/>
    <w:rsid w:val="00581F60"/>
    <w:rsid w:val="005829C2"/>
    <w:rsid w:val="00582A46"/>
    <w:rsid w:val="0058322B"/>
    <w:rsid w:val="00583A5C"/>
    <w:rsid w:val="0058471F"/>
    <w:rsid w:val="0058487A"/>
    <w:rsid w:val="00585E3F"/>
    <w:rsid w:val="00592CFD"/>
    <w:rsid w:val="00593C8A"/>
    <w:rsid w:val="00594467"/>
    <w:rsid w:val="00594F66"/>
    <w:rsid w:val="005960B9"/>
    <w:rsid w:val="005A1806"/>
    <w:rsid w:val="005A20E0"/>
    <w:rsid w:val="005A32F2"/>
    <w:rsid w:val="005A3DFC"/>
    <w:rsid w:val="005A43AB"/>
    <w:rsid w:val="005A4B53"/>
    <w:rsid w:val="005A5A7B"/>
    <w:rsid w:val="005A5B0F"/>
    <w:rsid w:val="005A69F8"/>
    <w:rsid w:val="005A6B45"/>
    <w:rsid w:val="005A7B9D"/>
    <w:rsid w:val="005B0579"/>
    <w:rsid w:val="005B1C32"/>
    <w:rsid w:val="005B2863"/>
    <w:rsid w:val="005B314D"/>
    <w:rsid w:val="005B353B"/>
    <w:rsid w:val="005B3CE3"/>
    <w:rsid w:val="005B51A3"/>
    <w:rsid w:val="005B547C"/>
    <w:rsid w:val="005B65A5"/>
    <w:rsid w:val="005B67BE"/>
    <w:rsid w:val="005B7116"/>
    <w:rsid w:val="005C50A4"/>
    <w:rsid w:val="005C6C4F"/>
    <w:rsid w:val="005D000E"/>
    <w:rsid w:val="005D035F"/>
    <w:rsid w:val="005D62E5"/>
    <w:rsid w:val="005D7216"/>
    <w:rsid w:val="005E12F7"/>
    <w:rsid w:val="005E37E1"/>
    <w:rsid w:val="005E548A"/>
    <w:rsid w:val="005E5BCC"/>
    <w:rsid w:val="005E5CCE"/>
    <w:rsid w:val="005E6CCC"/>
    <w:rsid w:val="005F1247"/>
    <w:rsid w:val="005F19BB"/>
    <w:rsid w:val="005F3B5B"/>
    <w:rsid w:val="005F6909"/>
    <w:rsid w:val="005F6C88"/>
    <w:rsid w:val="0060005D"/>
    <w:rsid w:val="006022C0"/>
    <w:rsid w:val="00602E42"/>
    <w:rsid w:val="00603657"/>
    <w:rsid w:val="00603BB4"/>
    <w:rsid w:val="0060479B"/>
    <w:rsid w:val="00606A55"/>
    <w:rsid w:val="00611AC2"/>
    <w:rsid w:val="00611FFE"/>
    <w:rsid w:val="00613BB6"/>
    <w:rsid w:val="0061777B"/>
    <w:rsid w:val="00624066"/>
    <w:rsid w:val="0062454A"/>
    <w:rsid w:val="00624620"/>
    <w:rsid w:val="00624946"/>
    <w:rsid w:val="00625173"/>
    <w:rsid w:val="00630CCB"/>
    <w:rsid w:val="00631E71"/>
    <w:rsid w:val="0063350A"/>
    <w:rsid w:val="006340A0"/>
    <w:rsid w:val="0063581A"/>
    <w:rsid w:val="00635858"/>
    <w:rsid w:val="00636BF4"/>
    <w:rsid w:val="00637FE9"/>
    <w:rsid w:val="00642CB1"/>
    <w:rsid w:val="006431A9"/>
    <w:rsid w:val="006460E3"/>
    <w:rsid w:val="006466DF"/>
    <w:rsid w:val="00646A42"/>
    <w:rsid w:val="006518D0"/>
    <w:rsid w:val="00652393"/>
    <w:rsid w:val="00656003"/>
    <w:rsid w:val="00657150"/>
    <w:rsid w:val="006571DD"/>
    <w:rsid w:val="0065774D"/>
    <w:rsid w:val="0065792C"/>
    <w:rsid w:val="00662E32"/>
    <w:rsid w:val="0066668A"/>
    <w:rsid w:val="00667CAB"/>
    <w:rsid w:val="00675065"/>
    <w:rsid w:val="00675481"/>
    <w:rsid w:val="00675563"/>
    <w:rsid w:val="00675DAD"/>
    <w:rsid w:val="00682389"/>
    <w:rsid w:val="00685346"/>
    <w:rsid w:val="00685390"/>
    <w:rsid w:val="00685B24"/>
    <w:rsid w:val="006870E8"/>
    <w:rsid w:val="00690BC5"/>
    <w:rsid w:val="00690C8E"/>
    <w:rsid w:val="00691341"/>
    <w:rsid w:val="006933DD"/>
    <w:rsid w:val="0069471D"/>
    <w:rsid w:val="00695670"/>
    <w:rsid w:val="00695E20"/>
    <w:rsid w:val="006A2D90"/>
    <w:rsid w:val="006A3BA0"/>
    <w:rsid w:val="006A4EC6"/>
    <w:rsid w:val="006A6B87"/>
    <w:rsid w:val="006A6DF3"/>
    <w:rsid w:val="006A7769"/>
    <w:rsid w:val="006B20D5"/>
    <w:rsid w:val="006B34F6"/>
    <w:rsid w:val="006B4952"/>
    <w:rsid w:val="006B5EA1"/>
    <w:rsid w:val="006B62C2"/>
    <w:rsid w:val="006B6316"/>
    <w:rsid w:val="006B6C2F"/>
    <w:rsid w:val="006B7A21"/>
    <w:rsid w:val="006B7F10"/>
    <w:rsid w:val="006C042B"/>
    <w:rsid w:val="006C2543"/>
    <w:rsid w:val="006C2A45"/>
    <w:rsid w:val="006C4042"/>
    <w:rsid w:val="006C6C85"/>
    <w:rsid w:val="006C6F0B"/>
    <w:rsid w:val="006C700A"/>
    <w:rsid w:val="006C7C59"/>
    <w:rsid w:val="006D0312"/>
    <w:rsid w:val="006D06D5"/>
    <w:rsid w:val="006D214E"/>
    <w:rsid w:val="006D2DEA"/>
    <w:rsid w:val="006D2E9C"/>
    <w:rsid w:val="006D30BC"/>
    <w:rsid w:val="006E1A0E"/>
    <w:rsid w:val="006E6E8B"/>
    <w:rsid w:val="006E7C76"/>
    <w:rsid w:val="006F04CD"/>
    <w:rsid w:val="006F07C9"/>
    <w:rsid w:val="006F0A6B"/>
    <w:rsid w:val="006F0F75"/>
    <w:rsid w:val="006F3496"/>
    <w:rsid w:val="006F4633"/>
    <w:rsid w:val="006F5AC8"/>
    <w:rsid w:val="006F5F50"/>
    <w:rsid w:val="006F721C"/>
    <w:rsid w:val="006F7A75"/>
    <w:rsid w:val="00703F7A"/>
    <w:rsid w:val="00704218"/>
    <w:rsid w:val="00706102"/>
    <w:rsid w:val="00711356"/>
    <w:rsid w:val="00713D33"/>
    <w:rsid w:val="00716375"/>
    <w:rsid w:val="00717B21"/>
    <w:rsid w:val="00721BAC"/>
    <w:rsid w:val="007240F9"/>
    <w:rsid w:val="00724763"/>
    <w:rsid w:val="007303C2"/>
    <w:rsid w:val="0073139F"/>
    <w:rsid w:val="007326D4"/>
    <w:rsid w:val="00733D26"/>
    <w:rsid w:val="00733E96"/>
    <w:rsid w:val="00733F1D"/>
    <w:rsid w:val="00734BE2"/>
    <w:rsid w:val="00734DBA"/>
    <w:rsid w:val="007405AB"/>
    <w:rsid w:val="00740862"/>
    <w:rsid w:val="00740ED2"/>
    <w:rsid w:val="0074169B"/>
    <w:rsid w:val="00742326"/>
    <w:rsid w:val="00743F8B"/>
    <w:rsid w:val="007552A7"/>
    <w:rsid w:val="00757FC1"/>
    <w:rsid w:val="00760265"/>
    <w:rsid w:val="00763522"/>
    <w:rsid w:val="00763B46"/>
    <w:rsid w:val="00767121"/>
    <w:rsid w:val="00770A23"/>
    <w:rsid w:val="00770D89"/>
    <w:rsid w:val="00771FBD"/>
    <w:rsid w:val="00772751"/>
    <w:rsid w:val="00772BFA"/>
    <w:rsid w:val="007732E5"/>
    <w:rsid w:val="00773A1F"/>
    <w:rsid w:val="007750D4"/>
    <w:rsid w:val="00775725"/>
    <w:rsid w:val="00775864"/>
    <w:rsid w:val="00780950"/>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551E"/>
    <w:rsid w:val="007C6103"/>
    <w:rsid w:val="007C7079"/>
    <w:rsid w:val="007C745E"/>
    <w:rsid w:val="007C7E4A"/>
    <w:rsid w:val="007D20D8"/>
    <w:rsid w:val="007D249E"/>
    <w:rsid w:val="007D2EE8"/>
    <w:rsid w:val="007D4745"/>
    <w:rsid w:val="007D5763"/>
    <w:rsid w:val="007D596E"/>
    <w:rsid w:val="007D6288"/>
    <w:rsid w:val="007D7193"/>
    <w:rsid w:val="007D7958"/>
    <w:rsid w:val="007D7D00"/>
    <w:rsid w:val="007E051D"/>
    <w:rsid w:val="007E1576"/>
    <w:rsid w:val="007E2BD2"/>
    <w:rsid w:val="007E5F41"/>
    <w:rsid w:val="007E6CF2"/>
    <w:rsid w:val="007F0B94"/>
    <w:rsid w:val="007F0BE0"/>
    <w:rsid w:val="007F1EB4"/>
    <w:rsid w:val="007F5493"/>
    <w:rsid w:val="007F5B53"/>
    <w:rsid w:val="007F60D5"/>
    <w:rsid w:val="007F6DC7"/>
    <w:rsid w:val="0080075E"/>
    <w:rsid w:val="00802948"/>
    <w:rsid w:val="00802AAC"/>
    <w:rsid w:val="00806FED"/>
    <w:rsid w:val="00811115"/>
    <w:rsid w:val="008122DE"/>
    <w:rsid w:val="008134C7"/>
    <w:rsid w:val="008139EB"/>
    <w:rsid w:val="00813D5F"/>
    <w:rsid w:val="008150A6"/>
    <w:rsid w:val="008151E2"/>
    <w:rsid w:val="00816091"/>
    <w:rsid w:val="00816182"/>
    <w:rsid w:val="00821BA2"/>
    <w:rsid w:val="00822824"/>
    <w:rsid w:val="008228B9"/>
    <w:rsid w:val="00824639"/>
    <w:rsid w:val="00826C95"/>
    <w:rsid w:val="00830FB7"/>
    <w:rsid w:val="00832985"/>
    <w:rsid w:val="008332CE"/>
    <w:rsid w:val="008345B9"/>
    <w:rsid w:val="008354ED"/>
    <w:rsid w:val="00835DAD"/>
    <w:rsid w:val="00836FBF"/>
    <w:rsid w:val="008376EF"/>
    <w:rsid w:val="00837760"/>
    <w:rsid w:val="00837F02"/>
    <w:rsid w:val="00840EF2"/>
    <w:rsid w:val="00842D6E"/>
    <w:rsid w:val="00843A87"/>
    <w:rsid w:val="00843C41"/>
    <w:rsid w:val="0084500E"/>
    <w:rsid w:val="00845138"/>
    <w:rsid w:val="008455FB"/>
    <w:rsid w:val="0084584F"/>
    <w:rsid w:val="00847DB4"/>
    <w:rsid w:val="00850BC8"/>
    <w:rsid w:val="00850E33"/>
    <w:rsid w:val="0085172A"/>
    <w:rsid w:val="00856715"/>
    <w:rsid w:val="00856DC0"/>
    <w:rsid w:val="008607CA"/>
    <w:rsid w:val="00861CE7"/>
    <w:rsid w:val="00862E46"/>
    <w:rsid w:val="00864D01"/>
    <w:rsid w:val="00865BFC"/>
    <w:rsid w:val="00870585"/>
    <w:rsid w:val="0087394A"/>
    <w:rsid w:val="00873EAC"/>
    <w:rsid w:val="00874D32"/>
    <w:rsid w:val="00880D1C"/>
    <w:rsid w:val="00880EB6"/>
    <w:rsid w:val="00881B84"/>
    <w:rsid w:val="00885CC3"/>
    <w:rsid w:val="00886362"/>
    <w:rsid w:val="008876A3"/>
    <w:rsid w:val="00887DFB"/>
    <w:rsid w:val="0089283A"/>
    <w:rsid w:val="00892ADC"/>
    <w:rsid w:val="00893813"/>
    <w:rsid w:val="0089658C"/>
    <w:rsid w:val="00897000"/>
    <w:rsid w:val="008A0739"/>
    <w:rsid w:val="008A2458"/>
    <w:rsid w:val="008A66B8"/>
    <w:rsid w:val="008A7EED"/>
    <w:rsid w:val="008B25E6"/>
    <w:rsid w:val="008B2B1D"/>
    <w:rsid w:val="008B2FDF"/>
    <w:rsid w:val="008B5009"/>
    <w:rsid w:val="008B7E45"/>
    <w:rsid w:val="008C1237"/>
    <w:rsid w:val="008C64FB"/>
    <w:rsid w:val="008C6F63"/>
    <w:rsid w:val="008C771B"/>
    <w:rsid w:val="008C77A4"/>
    <w:rsid w:val="008D0DB7"/>
    <w:rsid w:val="008D2DAF"/>
    <w:rsid w:val="008D4EEC"/>
    <w:rsid w:val="008D5BFC"/>
    <w:rsid w:val="008E1C91"/>
    <w:rsid w:val="008E2EFF"/>
    <w:rsid w:val="008E3B9E"/>
    <w:rsid w:val="008E4E0F"/>
    <w:rsid w:val="008E5935"/>
    <w:rsid w:val="008E738E"/>
    <w:rsid w:val="008F0A84"/>
    <w:rsid w:val="008F0CC3"/>
    <w:rsid w:val="008F44C7"/>
    <w:rsid w:val="008F5035"/>
    <w:rsid w:val="008F5056"/>
    <w:rsid w:val="00900C2F"/>
    <w:rsid w:val="0090408F"/>
    <w:rsid w:val="00906F8A"/>
    <w:rsid w:val="009104E4"/>
    <w:rsid w:val="00910A37"/>
    <w:rsid w:val="00915570"/>
    <w:rsid w:val="0091611D"/>
    <w:rsid w:val="00916267"/>
    <w:rsid w:val="009173A3"/>
    <w:rsid w:val="0092016A"/>
    <w:rsid w:val="00920CEB"/>
    <w:rsid w:val="00921082"/>
    <w:rsid w:val="00922A3C"/>
    <w:rsid w:val="00922DE7"/>
    <w:rsid w:val="00922EFB"/>
    <w:rsid w:val="00923A6C"/>
    <w:rsid w:val="009249C8"/>
    <w:rsid w:val="0093115A"/>
    <w:rsid w:val="00931671"/>
    <w:rsid w:val="00932C0E"/>
    <w:rsid w:val="00933F00"/>
    <w:rsid w:val="00935401"/>
    <w:rsid w:val="0094003A"/>
    <w:rsid w:val="0094004A"/>
    <w:rsid w:val="0094638E"/>
    <w:rsid w:val="00946A82"/>
    <w:rsid w:val="00951071"/>
    <w:rsid w:val="0095333C"/>
    <w:rsid w:val="009544D9"/>
    <w:rsid w:val="00955186"/>
    <w:rsid w:val="00955282"/>
    <w:rsid w:val="00956990"/>
    <w:rsid w:val="00956EE8"/>
    <w:rsid w:val="009570F6"/>
    <w:rsid w:val="00965C09"/>
    <w:rsid w:val="00966B6A"/>
    <w:rsid w:val="0097057C"/>
    <w:rsid w:val="009715C5"/>
    <w:rsid w:val="00971AF2"/>
    <w:rsid w:val="009723B8"/>
    <w:rsid w:val="00976197"/>
    <w:rsid w:val="009817A0"/>
    <w:rsid w:val="0098281C"/>
    <w:rsid w:val="009833A0"/>
    <w:rsid w:val="0098423D"/>
    <w:rsid w:val="009850E9"/>
    <w:rsid w:val="00985DFA"/>
    <w:rsid w:val="00986315"/>
    <w:rsid w:val="00986617"/>
    <w:rsid w:val="009911E3"/>
    <w:rsid w:val="00994B4C"/>
    <w:rsid w:val="00994E42"/>
    <w:rsid w:val="00995178"/>
    <w:rsid w:val="009960E6"/>
    <w:rsid w:val="009A1C33"/>
    <w:rsid w:val="009A2439"/>
    <w:rsid w:val="009A2BFF"/>
    <w:rsid w:val="009A6D30"/>
    <w:rsid w:val="009B206F"/>
    <w:rsid w:val="009B5F6F"/>
    <w:rsid w:val="009B7A7F"/>
    <w:rsid w:val="009B7A90"/>
    <w:rsid w:val="009B7BA4"/>
    <w:rsid w:val="009C1007"/>
    <w:rsid w:val="009C1F6E"/>
    <w:rsid w:val="009C2514"/>
    <w:rsid w:val="009C3C03"/>
    <w:rsid w:val="009C3C6C"/>
    <w:rsid w:val="009C3EBA"/>
    <w:rsid w:val="009C4C61"/>
    <w:rsid w:val="009C5377"/>
    <w:rsid w:val="009C58A2"/>
    <w:rsid w:val="009C7BA0"/>
    <w:rsid w:val="009D1B51"/>
    <w:rsid w:val="009D426B"/>
    <w:rsid w:val="009D43A5"/>
    <w:rsid w:val="009D52BF"/>
    <w:rsid w:val="009D6255"/>
    <w:rsid w:val="009D6DD3"/>
    <w:rsid w:val="009E3F57"/>
    <w:rsid w:val="009E4F8A"/>
    <w:rsid w:val="009E6471"/>
    <w:rsid w:val="009E6771"/>
    <w:rsid w:val="009E67E4"/>
    <w:rsid w:val="009E754B"/>
    <w:rsid w:val="009F0511"/>
    <w:rsid w:val="009F092A"/>
    <w:rsid w:val="009F1DBD"/>
    <w:rsid w:val="009F22FE"/>
    <w:rsid w:val="009F750B"/>
    <w:rsid w:val="00A00435"/>
    <w:rsid w:val="00A01FCD"/>
    <w:rsid w:val="00A025E8"/>
    <w:rsid w:val="00A03071"/>
    <w:rsid w:val="00A044F0"/>
    <w:rsid w:val="00A0582B"/>
    <w:rsid w:val="00A05B11"/>
    <w:rsid w:val="00A06B7F"/>
    <w:rsid w:val="00A06FBD"/>
    <w:rsid w:val="00A07D9C"/>
    <w:rsid w:val="00A109CC"/>
    <w:rsid w:val="00A13EDB"/>
    <w:rsid w:val="00A14C4D"/>
    <w:rsid w:val="00A15845"/>
    <w:rsid w:val="00A17B52"/>
    <w:rsid w:val="00A2141C"/>
    <w:rsid w:val="00A21B16"/>
    <w:rsid w:val="00A22D76"/>
    <w:rsid w:val="00A2438C"/>
    <w:rsid w:val="00A24D47"/>
    <w:rsid w:val="00A30370"/>
    <w:rsid w:val="00A32017"/>
    <w:rsid w:val="00A3527C"/>
    <w:rsid w:val="00A36E1D"/>
    <w:rsid w:val="00A37E7E"/>
    <w:rsid w:val="00A4098F"/>
    <w:rsid w:val="00A4193A"/>
    <w:rsid w:val="00A42D4A"/>
    <w:rsid w:val="00A45C6F"/>
    <w:rsid w:val="00A46DCC"/>
    <w:rsid w:val="00A5014E"/>
    <w:rsid w:val="00A55DD6"/>
    <w:rsid w:val="00A562E3"/>
    <w:rsid w:val="00A569D3"/>
    <w:rsid w:val="00A6062B"/>
    <w:rsid w:val="00A62089"/>
    <w:rsid w:val="00A63264"/>
    <w:rsid w:val="00A64C2B"/>
    <w:rsid w:val="00A654EF"/>
    <w:rsid w:val="00A658F2"/>
    <w:rsid w:val="00A65AFD"/>
    <w:rsid w:val="00A66B78"/>
    <w:rsid w:val="00A6769B"/>
    <w:rsid w:val="00A677C6"/>
    <w:rsid w:val="00A67E25"/>
    <w:rsid w:val="00A72C38"/>
    <w:rsid w:val="00A72FD2"/>
    <w:rsid w:val="00A7420A"/>
    <w:rsid w:val="00A74D3C"/>
    <w:rsid w:val="00A75DB1"/>
    <w:rsid w:val="00A760CB"/>
    <w:rsid w:val="00A761C2"/>
    <w:rsid w:val="00A76BBD"/>
    <w:rsid w:val="00A76D29"/>
    <w:rsid w:val="00A81335"/>
    <w:rsid w:val="00A816E2"/>
    <w:rsid w:val="00A81ADF"/>
    <w:rsid w:val="00A86383"/>
    <w:rsid w:val="00A86960"/>
    <w:rsid w:val="00A86B01"/>
    <w:rsid w:val="00A91A54"/>
    <w:rsid w:val="00A91B7E"/>
    <w:rsid w:val="00A96F13"/>
    <w:rsid w:val="00AA1080"/>
    <w:rsid w:val="00AA16D3"/>
    <w:rsid w:val="00AA18CA"/>
    <w:rsid w:val="00AA1D98"/>
    <w:rsid w:val="00AA3063"/>
    <w:rsid w:val="00AA3BFA"/>
    <w:rsid w:val="00AA4BCE"/>
    <w:rsid w:val="00AA5A0A"/>
    <w:rsid w:val="00AA5E84"/>
    <w:rsid w:val="00AA725C"/>
    <w:rsid w:val="00AB3274"/>
    <w:rsid w:val="00AB3E05"/>
    <w:rsid w:val="00AB7A0E"/>
    <w:rsid w:val="00AC0409"/>
    <w:rsid w:val="00AC0C60"/>
    <w:rsid w:val="00AC178D"/>
    <w:rsid w:val="00AC1897"/>
    <w:rsid w:val="00AC2E63"/>
    <w:rsid w:val="00AC2EA5"/>
    <w:rsid w:val="00AC3A70"/>
    <w:rsid w:val="00AC63F8"/>
    <w:rsid w:val="00AC7144"/>
    <w:rsid w:val="00AC75AF"/>
    <w:rsid w:val="00AD0634"/>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1853"/>
    <w:rsid w:val="00B02758"/>
    <w:rsid w:val="00B02B5A"/>
    <w:rsid w:val="00B0302F"/>
    <w:rsid w:val="00B036CF"/>
    <w:rsid w:val="00B03790"/>
    <w:rsid w:val="00B03CDC"/>
    <w:rsid w:val="00B04B8A"/>
    <w:rsid w:val="00B04BFB"/>
    <w:rsid w:val="00B104AA"/>
    <w:rsid w:val="00B11872"/>
    <w:rsid w:val="00B13758"/>
    <w:rsid w:val="00B13979"/>
    <w:rsid w:val="00B15E4F"/>
    <w:rsid w:val="00B17E7D"/>
    <w:rsid w:val="00B2012B"/>
    <w:rsid w:val="00B20B29"/>
    <w:rsid w:val="00B20CB9"/>
    <w:rsid w:val="00B20D52"/>
    <w:rsid w:val="00B2167C"/>
    <w:rsid w:val="00B22598"/>
    <w:rsid w:val="00B246D3"/>
    <w:rsid w:val="00B262C9"/>
    <w:rsid w:val="00B26A2C"/>
    <w:rsid w:val="00B26BDA"/>
    <w:rsid w:val="00B30526"/>
    <w:rsid w:val="00B3125B"/>
    <w:rsid w:val="00B32F9A"/>
    <w:rsid w:val="00B32FCD"/>
    <w:rsid w:val="00B34577"/>
    <w:rsid w:val="00B34E07"/>
    <w:rsid w:val="00B43464"/>
    <w:rsid w:val="00B45223"/>
    <w:rsid w:val="00B45C7D"/>
    <w:rsid w:val="00B461F3"/>
    <w:rsid w:val="00B46548"/>
    <w:rsid w:val="00B47EFD"/>
    <w:rsid w:val="00B50604"/>
    <w:rsid w:val="00B50C36"/>
    <w:rsid w:val="00B51C5E"/>
    <w:rsid w:val="00B52083"/>
    <w:rsid w:val="00B52525"/>
    <w:rsid w:val="00B52A88"/>
    <w:rsid w:val="00B52B44"/>
    <w:rsid w:val="00B52D72"/>
    <w:rsid w:val="00B56BAC"/>
    <w:rsid w:val="00B56E5B"/>
    <w:rsid w:val="00B571F4"/>
    <w:rsid w:val="00B61F86"/>
    <w:rsid w:val="00B6381E"/>
    <w:rsid w:val="00B64780"/>
    <w:rsid w:val="00B6494B"/>
    <w:rsid w:val="00B64BD5"/>
    <w:rsid w:val="00B64D7D"/>
    <w:rsid w:val="00B658BB"/>
    <w:rsid w:val="00B65E8E"/>
    <w:rsid w:val="00B6622F"/>
    <w:rsid w:val="00B67926"/>
    <w:rsid w:val="00B679FA"/>
    <w:rsid w:val="00B72B4C"/>
    <w:rsid w:val="00B75DE1"/>
    <w:rsid w:val="00B76EAC"/>
    <w:rsid w:val="00B81ECA"/>
    <w:rsid w:val="00B838D7"/>
    <w:rsid w:val="00B83DCC"/>
    <w:rsid w:val="00B86A3E"/>
    <w:rsid w:val="00B903B2"/>
    <w:rsid w:val="00B9113C"/>
    <w:rsid w:val="00B91DE8"/>
    <w:rsid w:val="00B93ECE"/>
    <w:rsid w:val="00B96111"/>
    <w:rsid w:val="00B975ED"/>
    <w:rsid w:val="00B979E2"/>
    <w:rsid w:val="00B97D1F"/>
    <w:rsid w:val="00B97E9D"/>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61C1"/>
    <w:rsid w:val="00BB6B4A"/>
    <w:rsid w:val="00BB7E90"/>
    <w:rsid w:val="00BB7F6A"/>
    <w:rsid w:val="00BC03CC"/>
    <w:rsid w:val="00BC11D7"/>
    <w:rsid w:val="00BC1B9C"/>
    <w:rsid w:val="00BC2C14"/>
    <w:rsid w:val="00BC31EE"/>
    <w:rsid w:val="00BC3C19"/>
    <w:rsid w:val="00BC4B27"/>
    <w:rsid w:val="00BC5C23"/>
    <w:rsid w:val="00BD15BE"/>
    <w:rsid w:val="00BD2E19"/>
    <w:rsid w:val="00BD3BF3"/>
    <w:rsid w:val="00BD5316"/>
    <w:rsid w:val="00BD6613"/>
    <w:rsid w:val="00BE41BE"/>
    <w:rsid w:val="00BE4EBB"/>
    <w:rsid w:val="00BE6F8C"/>
    <w:rsid w:val="00BE735F"/>
    <w:rsid w:val="00BF0B0F"/>
    <w:rsid w:val="00BF150A"/>
    <w:rsid w:val="00BF30A5"/>
    <w:rsid w:val="00BF3210"/>
    <w:rsid w:val="00BF3B09"/>
    <w:rsid w:val="00BF4A06"/>
    <w:rsid w:val="00C00340"/>
    <w:rsid w:val="00C03270"/>
    <w:rsid w:val="00C03937"/>
    <w:rsid w:val="00C048FB"/>
    <w:rsid w:val="00C04CFA"/>
    <w:rsid w:val="00C074A8"/>
    <w:rsid w:val="00C076EF"/>
    <w:rsid w:val="00C15E59"/>
    <w:rsid w:val="00C15E84"/>
    <w:rsid w:val="00C16C84"/>
    <w:rsid w:val="00C21DB4"/>
    <w:rsid w:val="00C224CD"/>
    <w:rsid w:val="00C25539"/>
    <w:rsid w:val="00C25C2B"/>
    <w:rsid w:val="00C2744F"/>
    <w:rsid w:val="00C33D5F"/>
    <w:rsid w:val="00C34648"/>
    <w:rsid w:val="00C34D95"/>
    <w:rsid w:val="00C357EB"/>
    <w:rsid w:val="00C37015"/>
    <w:rsid w:val="00C40072"/>
    <w:rsid w:val="00C408BD"/>
    <w:rsid w:val="00C4213E"/>
    <w:rsid w:val="00C438D5"/>
    <w:rsid w:val="00C45741"/>
    <w:rsid w:val="00C4699F"/>
    <w:rsid w:val="00C472A3"/>
    <w:rsid w:val="00C50C4A"/>
    <w:rsid w:val="00C524B1"/>
    <w:rsid w:val="00C53D6E"/>
    <w:rsid w:val="00C56B9D"/>
    <w:rsid w:val="00C60706"/>
    <w:rsid w:val="00C61A1B"/>
    <w:rsid w:val="00C6464D"/>
    <w:rsid w:val="00C64FE6"/>
    <w:rsid w:val="00C65838"/>
    <w:rsid w:val="00C72DBC"/>
    <w:rsid w:val="00C74041"/>
    <w:rsid w:val="00C76B39"/>
    <w:rsid w:val="00C77891"/>
    <w:rsid w:val="00C80803"/>
    <w:rsid w:val="00C8081E"/>
    <w:rsid w:val="00C8194B"/>
    <w:rsid w:val="00C8510F"/>
    <w:rsid w:val="00C856C4"/>
    <w:rsid w:val="00C8634C"/>
    <w:rsid w:val="00C86F92"/>
    <w:rsid w:val="00C90072"/>
    <w:rsid w:val="00C9533B"/>
    <w:rsid w:val="00CA14A2"/>
    <w:rsid w:val="00CA408B"/>
    <w:rsid w:val="00CA597B"/>
    <w:rsid w:val="00CB0748"/>
    <w:rsid w:val="00CB18BD"/>
    <w:rsid w:val="00CB1B09"/>
    <w:rsid w:val="00CB232C"/>
    <w:rsid w:val="00CB2D79"/>
    <w:rsid w:val="00CB2E90"/>
    <w:rsid w:val="00CB31D0"/>
    <w:rsid w:val="00CB4405"/>
    <w:rsid w:val="00CB4EF4"/>
    <w:rsid w:val="00CB5BD0"/>
    <w:rsid w:val="00CB63F6"/>
    <w:rsid w:val="00CC042F"/>
    <w:rsid w:val="00CC11D6"/>
    <w:rsid w:val="00CC237A"/>
    <w:rsid w:val="00CC2A69"/>
    <w:rsid w:val="00CD2668"/>
    <w:rsid w:val="00CD2B6F"/>
    <w:rsid w:val="00CD2FAC"/>
    <w:rsid w:val="00CD3879"/>
    <w:rsid w:val="00CD495B"/>
    <w:rsid w:val="00CD5C64"/>
    <w:rsid w:val="00CD69A5"/>
    <w:rsid w:val="00CD7C0B"/>
    <w:rsid w:val="00CD7C6C"/>
    <w:rsid w:val="00CE3BDB"/>
    <w:rsid w:val="00CE4305"/>
    <w:rsid w:val="00CE44AB"/>
    <w:rsid w:val="00CE4BC6"/>
    <w:rsid w:val="00CE52BF"/>
    <w:rsid w:val="00CE70DB"/>
    <w:rsid w:val="00CF001E"/>
    <w:rsid w:val="00CF363A"/>
    <w:rsid w:val="00CF50D5"/>
    <w:rsid w:val="00CF5C9B"/>
    <w:rsid w:val="00CF6662"/>
    <w:rsid w:val="00D01058"/>
    <w:rsid w:val="00D01136"/>
    <w:rsid w:val="00D03474"/>
    <w:rsid w:val="00D03476"/>
    <w:rsid w:val="00D03C0F"/>
    <w:rsid w:val="00D06998"/>
    <w:rsid w:val="00D06B71"/>
    <w:rsid w:val="00D06DC1"/>
    <w:rsid w:val="00D105D9"/>
    <w:rsid w:val="00D11FB0"/>
    <w:rsid w:val="00D129B0"/>
    <w:rsid w:val="00D1422B"/>
    <w:rsid w:val="00D1756F"/>
    <w:rsid w:val="00D21893"/>
    <w:rsid w:val="00D21E87"/>
    <w:rsid w:val="00D23DB6"/>
    <w:rsid w:val="00D242FC"/>
    <w:rsid w:val="00D24CEB"/>
    <w:rsid w:val="00D24F90"/>
    <w:rsid w:val="00D26400"/>
    <w:rsid w:val="00D264F9"/>
    <w:rsid w:val="00D31768"/>
    <w:rsid w:val="00D33471"/>
    <w:rsid w:val="00D35E6A"/>
    <w:rsid w:val="00D361F7"/>
    <w:rsid w:val="00D37A4D"/>
    <w:rsid w:val="00D37BDA"/>
    <w:rsid w:val="00D41D8D"/>
    <w:rsid w:val="00D475DD"/>
    <w:rsid w:val="00D50781"/>
    <w:rsid w:val="00D51C08"/>
    <w:rsid w:val="00D51F3E"/>
    <w:rsid w:val="00D55D74"/>
    <w:rsid w:val="00D568D6"/>
    <w:rsid w:val="00D613B2"/>
    <w:rsid w:val="00D61D4F"/>
    <w:rsid w:val="00D62526"/>
    <w:rsid w:val="00D65B3B"/>
    <w:rsid w:val="00D6655A"/>
    <w:rsid w:val="00D73BEF"/>
    <w:rsid w:val="00D75DD7"/>
    <w:rsid w:val="00D8461E"/>
    <w:rsid w:val="00D848AF"/>
    <w:rsid w:val="00D84D41"/>
    <w:rsid w:val="00D85867"/>
    <w:rsid w:val="00D90438"/>
    <w:rsid w:val="00D90F7C"/>
    <w:rsid w:val="00D91BBB"/>
    <w:rsid w:val="00D93BBB"/>
    <w:rsid w:val="00D9483F"/>
    <w:rsid w:val="00D957E5"/>
    <w:rsid w:val="00D9612C"/>
    <w:rsid w:val="00D96B41"/>
    <w:rsid w:val="00DA02CE"/>
    <w:rsid w:val="00DA0DFD"/>
    <w:rsid w:val="00DA26D1"/>
    <w:rsid w:val="00DA7EC9"/>
    <w:rsid w:val="00DB18FC"/>
    <w:rsid w:val="00DB2769"/>
    <w:rsid w:val="00DB4762"/>
    <w:rsid w:val="00DB630A"/>
    <w:rsid w:val="00DB6473"/>
    <w:rsid w:val="00DC3ED2"/>
    <w:rsid w:val="00DC4AE1"/>
    <w:rsid w:val="00DC6B38"/>
    <w:rsid w:val="00DC767D"/>
    <w:rsid w:val="00DC7A15"/>
    <w:rsid w:val="00DD0CDD"/>
    <w:rsid w:val="00DD26EA"/>
    <w:rsid w:val="00DD35BB"/>
    <w:rsid w:val="00DD5EDD"/>
    <w:rsid w:val="00DD6B34"/>
    <w:rsid w:val="00DD7198"/>
    <w:rsid w:val="00DE3B48"/>
    <w:rsid w:val="00DF0FF1"/>
    <w:rsid w:val="00DF1557"/>
    <w:rsid w:val="00DF49C5"/>
    <w:rsid w:val="00DF6B72"/>
    <w:rsid w:val="00DF7223"/>
    <w:rsid w:val="00DF749E"/>
    <w:rsid w:val="00DF7988"/>
    <w:rsid w:val="00E0112E"/>
    <w:rsid w:val="00E02056"/>
    <w:rsid w:val="00E037D5"/>
    <w:rsid w:val="00E07564"/>
    <w:rsid w:val="00E07EB9"/>
    <w:rsid w:val="00E10A87"/>
    <w:rsid w:val="00E114BC"/>
    <w:rsid w:val="00E11D50"/>
    <w:rsid w:val="00E13609"/>
    <w:rsid w:val="00E14B3C"/>
    <w:rsid w:val="00E16067"/>
    <w:rsid w:val="00E212E3"/>
    <w:rsid w:val="00E22505"/>
    <w:rsid w:val="00E226B6"/>
    <w:rsid w:val="00E227F4"/>
    <w:rsid w:val="00E23903"/>
    <w:rsid w:val="00E2465F"/>
    <w:rsid w:val="00E2575E"/>
    <w:rsid w:val="00E25E0D"/>
    <w:rsid w:val="00E27DAA"/>
    <w:rsid w:val="00E27FDC"/>
    <w:rsid w:val="00E303C9"/>
    <w:rsid w:val="00E30E7D"/>
    <w:rsid w:val="00E31BA9"/>
    <w:rsid w:val="00E332F8"/>
    <w:rsid w:val="00E33659"/>
    <w:rsid w:val="00E33734"/>
    <w:rsid w:val="00E4021E"/>
    <w:rsid w:val="00E40872"/>
    <w:rsid w:val="00E41594"/>
    <w:rsid w:val="00E4296F"/>
    <w:rsid w:val="00E46A08"/>
    <w:rsid w:val="00E47BE1"/>
    <w:rsid w:val="00E518FB"/>
    <w:rsid w:val="00E56FE8"/>
    <w:rsid w:val="00E57945"/>
    <w:rsid w:val="00E57C5E"/>
    <w:rsid w:val="00E6057C"/>
    <w:rsid w:val="00E607A7"/>
    <w:rsid w:val="00E60C5E"/>
    <w:rsid w:val="00E63BD1"/>
    <w:rsid w:val="00E6467D"/>
    <w:rsid w:val="00E66BCF"/>
    <w:rsid w:val="00E71342"/>
    <w:rsid w:val="00E728E4"/>
    <w:rsid w:val="00E77471"/>
    <w:rsid w:val="00E777FC"/>
    <w:rsid w:val="00E83DB2"/>
    <w:rsid w:val="00E840FB"/>
    <w:rsid w:val="00E8555A"/>
    <w:rsid w:val="00E85DAF"/>
    <w:rsid w:val="00E86A39"/>
    <w:rsid w:val="00E8703F"/>
    <w:rsid w:val="00E87864"/>
    <w:rsid w:val="00E9170D"/>
    <w:rsid w:val="00E9198A"/>
    <w:rsid w:val="00E92C29"/>
    <w:rsid w:val="00E931C1"/>
    <w:rsid w:val="00E93D73"/>
    <w:rsid w:val="00E94BE1"/>
    <w:rsid w:val="00E94BFD"/>
    <w:rsid w:val="00E94E0E"/>
    <w:rsid w:val="00E97186"/>
    <w:rsid w:val="00E97F6C"/>
    <w:rsid w:val="00EA04D2"/>
    <w:rsid w:val="00EA6401"/>
    <w:rsid w:val="00EA68DB"/>
    <w:rsid w:val="00EB0764"/>
    <w:rsid w:val="00EB1322"/>
    <w:rsid w:val="00EB1A62"/>
    <w:rsid w:val="00EB4FC8"/>
    <w:rsid w:val="00EB6E57"/>
    <w:rsid w:val="00EB7A4C"/>
    <w:rsid w:val="00EC0DD8"/>
    <w:rsid w:val="00EC2A66"/>
    <w:rsid w:val="00EC3672"/>
    <w:rsid w:val="00EC44FF"/>
    <w:rsid w:val="00ED0960"/>
    <w:rsid w:val="00ED3782"/>
    <w:rsid w:val="00ED56C1"/>
    <w:rsid w:val="00ED7D80"/>
    <w:rsid w:val="00EE1F49"/>
    <w:rsid w:val="00EE1F87"/>
    <w:rsid w:val="00EE3720"/>
    <w:rsid w:val="00EE3F92"/>
    <w:rsid w:val="00EE7634"/>
    <w:rsid w:val="00EF271D"/>
    <w:rsid w:val="00EF4228"/>
    <w:rsid w:val="00EF473E"/>
    <w:rsid w:val="00EF4DC8"/>
    <w:rsid w:val="00EF659E"/>
    <w:rsid w:val="00EF6A13"/>
    <w:rsid w:val="00EF6F24"/>
    <w:rsid w:val="00EF7950"/>
    <w:rsid w:val="00F00971"/>
    <w:rsid w:val="00F01751"/>
    <w:rsid w:val="00F02CF2"/>
    <w:rsid w:val="00F0385A"/>
    <w:rsid w:val="00F053D3"/>
    <w:rsid w:val="00F1070F"/>
    <w:rsid w:val="00F10CEC"/>
    <w:rsid w:val="00F13BB5"/>
    <w:rsid w:val="00F14992"/>
    <w:rsid w:val="00F16A50"/>
    <w:rsid w:val="00F21D20"/>
    <w:rsid w:val="00F22674"/>
    <w:rsid w:val="00F22B78"/>
    <w:rsid w:val="00F244F9"/>
    <w:rsid w:val="00F25220"/>
    <w:rsid w:val="00F25309"/>
    <w:rsid w:val="00F25320"/>
    <w:rsid w:val="00F26FA6"/>
    <w:rsid w:val="00F306D7"/>
    <w:rsid w:val="00F308B7"/>
    <w:rsid w:val="00F31501"/>
    <w:rsid w:val="00F3188A"/>
    <w:rsid w:val="00F31BE1"/>
    <w:rsid w:val="00F31CAB"/>
    <w:rsid w:val="00F32A46"/>
    <w:rsid w:val="00F34AD2"/>
    <w:rsid w:val="00F37170"/>
    <w:rsid w:val="00F43040"/>
    <w:rsid w:val="00F440E7"/>
    <w:rsid w:val="00F44520"/>
    <w:rsid w:val="00F44E00"/>
    <w:rsid w:val="00F44EC3"/>
    <w:rsid w:val="00F459DC"/>
    <w:rsid w:val="00F46AFA"/>
    <w:rsid w:val="00F46B72"/>
    <w:rsid w:val="00F474AB"/>
    <w:rsid w:val="00F476F6"/>
    <w:rsid w:val="00F47A28"/>
    <w:rsid w:val="00F5050C"/>
    <w:rsid w:val="00F5134E"/>
    <w:rsid w:val="00F528DD"/>
    <w:rsid w:val="00F52A18"/>
    <w:rsid w:val="00F52C68"/>
    <w:rsid w:val="00F53CC6"/>
    <w:rsid w:val="00F564CD"/>
    <w:rsid w:val="00F61702"/>
    <w:rsid w:val="00F62E71"/>
    <w:rsid w:val="00F6306C"/>
    <w:rsid w:val="00F630C8"/>
    <w:rsid w:val="00F64C12"/>
    <w:rsid w:val="00F6552D"/>
    <w:rsid w:val="00F667F5"/>
    <w:rsid w:val="00F67278"/>
    <w:rsid w:val="00F710E9"/>
    <w:rsid w:val="00F733F0"/>
    <w:rsid w:val="00F76A72"/>
    <w:rsid w:val="00F77340"/>
    <w:rsid w:val="00F8042D"/>
    <w:rsid w:val="00F8355F"/>
    <w:rsid w:val="00F85256"/>
    <w:rsid w:val="00F87572"/>
    <w:rsid w:val="00F87CA2"/>
    <w:rsid w:val="00F91976"/>
    <w:rsid w:val="00F92C8D"/>
    <w:rsid w:val="00F931AD"/>
    <w:rsid w:val="00F95FE5"/>
    <w:rsid w:val="00F9741A"/>
    <w:rsid w:val="00FA18B4"/>
    <w:rsid w:val="00FA1F53"/>
    <w:rsid w:val="00FA2095"/>
    <w:rsid w:val="00FA244D"/>
    <w:rsid w:val="00FA7224"/>
    <w:rsid w:val="00FB01BB"/>
    <w:rsid w:val="00FB1215"/>
    <w:rsid w:val="00FB3D8E"/>
    <w:rsid w:val="00FB4CB0"/>
    <w:rsid w:val="00FB608E"/>
    <w:rsid w:val="00FB6392"/>
    <w:rsid w:val="00FC39BA"/>
    <w:rsid w:val="00FC3DAC"/>
    <w:rsid w:val="00FD1428"/>
    <w:rsid w:val="00FD20C5"/>
    <w:rsid w:val="00FD221D"/>
    <w:rsid w:val="00FD2761"/>
    <w:rsid w:val="00FD309E"/>
    <w:rsid w:val="00FD37B5"/>
    <w:rsid w:val="00FD4568"/>
    <w:rsid w:val="00FD5B5E"/>
    <w:rsid w:val="00FD613E"/>
    <w:rsid w:val="00FD6F4D"/>
    <w:rsid w:val="00FE0559"/>
    <w:rsid w:val="00FE05A0"/>
    <w:rsid w:val="00FE3884"/>
    <w:rsid w:val="00FE3FCF"/>
    <w:rsid w:val="00FF2E19"/>
    <w:rsid w:val="00FF756F"/>
    <w:rsid w:val="01002406"/>
    <w:rsid w:val="0134096F"/>
    <w:rsid w:val="018345E4"/>
    <w:rsid w:val="01852FBD"/>
    <w:rsid w:val="01A06D45"/>
    <w:rsid w:val="01A808A2"/>
    <w:rsid w:val="01BC0965"/>
    <w:rsid w:val="01DB1C83"/>
    <w:rsid w:val="01EA2131"/>
    <w:rsid w:val="01F42D45"/>
    <w:rsid w:val="01FD3B42"/>
    <w:rsid w:val="01FE5971"/>
    <w:rsid w:val="021D08C9"/>
    <w:rsid w:val="022E6257"/>
    <w:rsid w:val="02380249"/>
    <w:rsid w:val="023E7FCC"/>
    <w:rsid w:val="024912E2"/>
    <w:rsid w:val="025A670A"/>
    <w:rsid w:val="02A15559"/>
    <w:rsid w:val="02B756B9"/>
    <w:rsid w:val="03211304"/>
    <w:rsid w:val="03640CC9"/>
    <w:rsid w:val="04161DF0"/>
    <w:rsid w:val="04165EFB"/>
    <w:rsid w:val="04AB57AE"/>
    <w:rsid w:val="05104339"/>
    <w:rsid w:val="051412A1"/>
    <w:rsid w:val="051908A9"/>
    <w:rsid w:val="05365943"/>
    <w:rsid w:val="05441904"/>
    <w:rsid w:val="05481BC6"/>
    <w:rsid w:val="05886C0F"/>
    <w:rsid w:val="05EA1433"/>
    <w:rsid w:val="05F4071B"/>
    <w:rsid w:val="062F73CE"/>
    <w:rsid w:val="064C74E9"/>
    <w:rsid w:val="06724002"/>
    <w:rsid w:val="06B42EA7"/>
    <w:rsid w:val="06F22B07"/>
    <w:rsid w:val="070E664D"/>
    <w:rsid w:val="07121E0C"/>
    <w:rsid w:val="0728596A"/>
    <w:rsid w:val="07382B49"/>
    <w:rsid w:val="076A3DAC"/>
    <w:rsid w:val="077961C6"/>
    <w:rsid w:val="07B22C04"/>
    <w:rsid w:val="07BB0737"/>
    <w:rsid w:val="07C46CC8"/>
    <w:rsid w:val="07EA1DFF"/>
    <w:rsid w:val="07F46244"/>
    <w:rsid w:val="080649A5"/>
    <w:rsid w:val="08290A63"/>
    <w:rsid w:val="082C3238"/>
    <w:rsid w:val="085602B5"/>
    <w:rsid w:val="08594641"/>
    <w:rsid w:val="08686B00"/>
    <w:rsid w:val="08994C82"/>
    <w:rsid w:val="08F16230"/>
    <w:rsid w:val="09173BE2"/>
    <w:rsid w:val="095C4949"/>
    <w:rsid w:val="097924AD"/>
    <w:rsid w:val="098132AC"/>
    <w:rsid w:val="09C54786"/>
    <w:rsid w:val="09CB306A"/>
    <w:rsid w:val="09F2400E"/>
    <w:rsid w:val="0A0D1961"/>
    <w:rsid w:val="0A5A419D"/>
    <w:rsid w:val="0A826F4F"/>
    <w:rsid w:val="0AB94A33"/>
    <w:rsid w:val="0AC413A1"/>
    <w:rsid w:val="0ACC7409"/>
    <w:rsid w:val="0AEC3153"/>
    <w:rsid w:val="0B147F71"/>
    <w:rsid w:val="0B1549D5"/>
    <w:rsid w:val="0B4340AA"/>
    <w:rsid w:val="0B5E7C7B"/>
    <w:rsid w:val="0B5F4097"/>
    <w:rsid w:val="0B651BC6"/>
    <w:rsid w:val="0B6E5AC7"/>
    <w:rsid w:val="0B6F53F1"/>
    <w:rsid w:val="0BA63302"/>
    <w:rsid w:val="0BD555F6"/>
    <w:rsid w:val="0C6133EF"/>
    <w:rsid w:val="0C77413A"/>
    <w:rsid w:val="0CED3C2C"/>
    <w:rsid w:val="0D0335ED"/>
    <w:rsid w:val="0D4D0739"/>
    <w:rsid w:val="0DE85C35"/>
    <w:rsid w:val="0E4B1BB0"/>
    <w:rsid w:val="0E4B4EB3"/>
    <w:rsid w:val="0E7262FB"/>
    <w:rsid w:val="0E811E04"/>
    <w:rsid w:val="0EA0228A"/>
    <w:rsid w:val="0EC3241C"/>
    <w:rsid w:val="0ED14613"/>
    <w:rsid w:val="0F052A35"/>
    <w:rsid w:val="0F1C22E2"/>
    <w:rsid w:val="0F2410E0"/>
    <w:rsid w:val="0F91589E"/>
    <w:rsid w:val="0F9359BF"/>
    <w:rsid w:val="0F98167A"/>
    <w:rsid w:val="0FB32534"/>
    <w:rsid w:val="10037741"/>
    <w:rsid w:val="10097201"/>
    <w:rsid w:val="10152312"/>
    <w:rsid w:val="104C057B"/>
    <w:rsid w:val="104E518D"/>
    <w:rsid w:val="104F742D"/>
    <w:rsid w:val="105A3F0A"/>
    <w:rsid w:val="107101A9"/>
    <w:rsid w:val="107960B1"/>
    <w:rsid w:val="10F0623A"/>
    <w:rsid w:val="10F54AC6"/>
    <w:rsid w:val="114A3B4D"/>
    <w:rsid w:val="11755C50"/>
    <w:rsid w:val="11E31E03"/>
    <w:rsid w:val="12020C04"/>
    <w:rsid w:val="12440EBB"/>
    <w:rsid w:val="12775458"/>
    <w:rsid w:val="127B5307"/>
    <w:rsid w:val="12BB485E"/>
    <w:rsid w:val="12E36E79"/>
    <w:rsid w:val="12EA2F3A"/>
    <w:rsid w:val="12FB3F33"/>
    <w:rsid w:val="1304734C"/>
    <w:rsid w:val="131858BE"/>
    <w:rsid w:val="13257202"/>
    <w:rsid w:val="13734DAF"/>
    <w:rsid w:val="13CC5479"/>
    <w:rsid w:val="13E443CD"/>
    <w:rsid w:val="13EC6659"/>
    <w:rsid w:val="13F13C66"/>
    <w:rsid w:val="146B50E8"/>
    <w:rsid w:val="1472193D"/>
    <w:rsid w:val="147E55D3"/>
    <w:rsid w:val="1499029D"/>
    <w:rsid w:val="14BF17D8"/>
    <w:rsid w:val="14D721DA"/>
    <w:rsid w:val="15126972"/>
    <w:rsid w:val="151A7746"/>
    <w:rsid w:val="15802E15"/>
    <w:rsid w:val="15E52C78"/>
    <w:rsid w:val="15ED7DB6"/>
    <w:rsid w:val="163730CA"/>
    <w:rsid w:val="16705666"/>
    <w:rsid w:val="167209B0"/>
    <w:rsid w:val="16804BD0"/>
    <w:rsid w:val="16995DF6"/>
    <w:rsid w:val="16B0631F"/>
    <w:rsid w:val="16B72867"/>
    <w:rsid w:val="16BD0F74"/>
    <w:rsid w:val="16C50FB2"/>
    <w:rsid w:val="16C67F6C"/>
    <w:rsid w:val="16EE51E3"/>
    <w:rsid w:val="16EF1DD3"/>
    <w:rsid w:val="17207642"/>
    <w:rsid w:val="17231A63"/>
    <w:rsid w:val="175E0C74"/>
    <w:rsid w:val="17766966"/>
    <w:rsid w:val="17914195"/>
    <w:rsid w:val="180D3552"/>
    <w:rsid w:val="182201B4"/>
    <w:rsid w:val="182855F1"/>
    <w:rsid w:val="18F35D67"/>
    <w:rsid w:val="19183BAB"/>
    <w:rsid w:val="193C34F7"/>
    <w:rsid w:val="195938BF"/>
    <w:rsid w:val="195A7AFF"/>
    <w:rsid w:val="197B143D"/>
    <w:rsid w:val="197D366F"/>
    <w:rsid w:val="1A2F4EE2"/>
    <w:rsid w:val="1A5A1D34"/>
    <w:rsid w:val="1A6F21FC"/>
    <w:rsid w:val="1A7F1D1C"/>
    <w:rsid w:val="1A8B01F5"/>
    <w:rsid w:val="1A980A99"/>
    <w:rsid w:val="1A9E5B80"/>
    <w:rsid w:val="1AC251EA"/>
    <w:rsid w:val="1ACB4B33"/>
    <w:rsid w:val="1AE24E9D"/>
    <w:rsid w:val="1BB37B8D"/>
    <w:rsid w:val="1BD46B71"/>
    <w:rsid w:val="1BF14E41"/>
    <w:rsid w:val="1C1B23C7"/>
    <w:rsid w:val="1C4049E1"/>
    <w:rsid w:val="1C8D2AFB"/>
    <w:rsid w:val="1CB57848"/>
    <w:rsid w:val="1CB9601D"/>
    <w:rsid w:val="1D024F4D"/>
    <w:rsid w:val="1D43465E"/>
    <w:rsid w:val="1D450848"/>
    <w:rsid w:val="1D640CB3"/>
    <w:rsid w:val="1DD2622D"/>
    <w:rsid w:val="1E083917"/>
    <w:rsid w:val="1E4B1AC6"/>
    <w:rsid w:val="1E6278A6"/>
    <w:rsid w:val="1E687389"/>
    <w:rsid w:val="1EEF7FE2"/>
    <w:rsid w:val="1F1D5B17"/>
    <w:rsid w:val="1F7A0C65"/>
    <w:rsid w:val="201631A1"/>
    <w:rsid w:val="203A5E3A"/>
    <w:rsid w:val="205611AE"/>
    <w:rsid w:val="205848BD"/>
    <w:rsid w:val="205A5997"/>
    <w:rsid w:val="20C8006E"/>
    <w:rsid w:val="21052421"/>
    <w:rsid w:val="210D2D95"/>
    <w:rsid w:val="21232A10"/>
    <w:rsid w:val="216E1D66"/>
    <w:rsid w:val="2182440F"/>
    <w:rsid w:val="21887344"/>
    <w:rsid w:val="21FD7450"/>
    <w:rsid w:val="220E0B27"/>
    <w:rsid w:val="22316C03"/>
    <w:rsid w:val="22437026"/>
    <w:rsid w:val="229C55F7"/>
    <w:rsid w:val="229C744B"/>
    <w:rsid w:val="22AA4043"/>
    <w:rsid w:val="22E0799A"/>
    <w:rsid w:val="23C019F6"/>
    <w:rsid w:val="24B228BF"/>
    <w:rsid w:val="24D21AAA"/>
    <w:rsid w:val="2500362B"/>
    <w:rsid w:val="25164BFC"/>
    <w:rsid w:val="2535428B"/>
    <w:rsid w:val="25363A4E"/>
    <w:rsid w:val="254259F1"/>
    <w:rsid w:val="25695674"/>
    <w:rsid w:val="258204E4"/>
    <w:rsid w:val="259971DA"/>
    <w:rsid w:val="25A07695"/>
    <w:rsid w:val="25A54C35"/>
    <w:rsid w:val="25B10E34"/>
    <w:rsid w:val="25B86A75"/>
    <w:rsid w:val="25BA7C7E"/>
    <w:rsid w:val="25C1582D"/>
    <w:rsid w:val="25C85ADE"/>
    <w:rsid w:val="25D03E3D"/>
    <w:rsid w:val="262416A4"/>
    <w:rsid w:val="26572D4C"/>
    <w:rsid w:val="26E0627B"/>
    <w:rsid w:val="26E47A85"/>
    <w:rsid w:val="26F33B35"/>
    <w:rsid w:val="271B0BF0"/>
    <w:rsid w:val="27384086"/>
    <w:rsid w:val="27452D6D"/>
    <w:rsid w:val="278B30CD"/>
    <w:rsid w:val="27BC3414"/>
    <w:rsid w:val="28173165"/>
    <w:rsid w:val="281F6A3D"/>
    <w:rsid w:val="28BD138E"/>
    <w:rsid w:val="28D62AF2"/>
    <w:rsid w:val="290556B4"/>
    <w:rsid w:val="29257B04"/>
    <w:rsid w:val="29354DAB"/>
    <w:rsid w:val="299D21BC"/>
    <w:rsid w:val="29A547A1"/>
    <w:rsid w:val="29C430AC"/>
    <w:rsid w:val="29C50F13"/>
    <w:rsid w:val="29C64887"/>
    <w:rsid w:val="29CC115B"/>
    <w:rsid w:val="29E5070F"/>
    <w:rsid w:val="29EF4215"/>
    <w:rsid w:val="2A231CA8"/>
    <w:rsid w:val="2A273E6F"/>
    <w:rsid w:val="2AAE4D9D"/>
    <w:rsid w:val="2ACF55A8"/>
    <w:rsid w:val="2B157704"/>
    <w:rsid w:val="2B164352"/>
    <w:rsid w:val="2B476EFC"/>
    <w:rsid w:val="2BBA1C2C"/>
    <w:rsid w:val="2BC03D34"/>
    <w:rsid w:val="2BC34EC4"/>
    <w:rsid w:val="2BF14EE8"/>
    <w:rsid w:val="2C260F85"/>
    <w:rsid w:val="2C7C7AF4"/>
    <w:rsid w:val="2C8178E0"/>
    <w:rsid w:val="2CF512F3"/>
    <w:rsid w:val="2D363880"/>
    <w:rsid w:val="2D6C3DB8"/>
    <w:rsid w:val="2E1B251B"/>
    <w:rsid w:val="2E23750C"/>
    <w:rsid w:val="2EC76F67"/>
    <w:rsid w:val="2EC92CDF"/>
    <w:rsid w:val="2EF97E15"/>
    <w:rsid w:val="2F453E50"/>
    <w:rsid w:val="2F68739C"/>
    <w:rsid w:val="2FDB1217"/>
    <w:rsid w:val="2FE83EF8"/>
    <w:rsid w:val="2FF344B8"/>
    <w:rsid w:val="30040642"/>
    <w:rsid w:val="301461DC"/>
    <w:rsid w:val="3029612C"/>
    <w:rsid w:val="3056529F"/>
    <w:rsid w:val="3082143F"/>
    <w:rsid w:val="309858E6"/>
    <w:rsid w:val="309A26ED"/>
    <w:rsid w:val="30CC19E5"/>
    <w:rsid w:val="30D35E4E"/>
    <w:rsid w:val="30E72BFB"/>
    <w:rsid w:val="30EE414A"/>
    <w:rsid w:val="31275097"/>
    <w:rsid w:val="313D63DB"/>
    <w:rsid w:val="317662CE"/>
    <w:rsid w:val="319E0B3E"/>
    <w:rsid w:val="31CE7EC4"/>
    <w:rsid w:val="31E7004C"/>
    <w:rsid w:val="32134D79"/>
    <w:rsid w:val="321E2E09"/>
    <w:rsid w:val="322C54FD"/>
    <w:rsid w:val="327B2543"/>
    <w:rsid w:val="327B69E7"/>
    <w:rsid w:val="32C10A18"/>
    <w:rsid w:val="32D92BBC"/>
    <w:rsid w:val="331C20F3"/>
    <w:rsid w:val="332205C8"/>
    <w:rsid w:val="335039CF"/>
    <w:rsid w:val="33585F3A"/>
    <w:rsid w:val="338B1C4D"/>
    <w:rsid w:val="33D53E1A"/>
    <w:rsid w:val="34034483"/>
    <w:rsid w:val="343C3F54"/>
    <w:rsid w:val="346053BA"/>
    <w:rsid w:val="34A3014E"/>
    <w:rsid w:val="34AC1F61"/>
    <w:rsid w:val="34AC650B"/>
    <w:rsid w:val="34C401D1"/>
    <w:rsid w:val="350A3DDD"/>
    <w:rsid w:val="35317453"/>
    <w:rsid w:val="354E4E4E"/>
    <w:rsid w:val="355A4B75"/>
    <w:rsid w:val="355C0AD5"/>
    <w:rsid w:val="359E7435"/>
    <w:rsid w:val="35ED6E95"/>
    <w:rsid w:val="35FC7E3E"/>
    <w:rsid w:val="360A60B7"/>
    <w:rsid w:val="361508C3"/>
    <w:rsid w:val="36323189"/>
    <w:rsid w:val="36586B29"/>
    <w:rsid w:val="3699568D"/>
    <w:rsid w:val="36DB5CA6"/>
    <w:rsid w:val="36F778E7"/>
    <w:rsid w:val="373E2D59"/>
    <w:rsid w:val="375A27C9"/>
    <w:rsid w:val="375B2AA3"/>
    <w:rsid w:val="377A66D7"/>
    <w:rsid w:val="377C2FE5"/>
    <w:rsid w:val="37E70466"/>
    <w:rsid w:val="381B7B07"/>
    <w:rsid w:val="38303DCF"/>
    <w:rsid w:val="38E86458"/>
    <w:rsid w:val="38F37552"/>
    <w:rsid w:val="393C05D6"/>
    <w:rsid w:val="3945087F"/>
    <w:rsid w:val="394C69E7"/>
    <w:rsid w:val="394F0285"/>
    <w:rsid w:val="39505360"/>
    <w:rsid w:val="399432C0"/>
    <w:rsid w:val="39954FDB"/>
    <w:rsid w:val="399670D3"/>
    <w:rsid w:val="39CD186A"/>
    <w:rsid w:val="39D3395B"/>
    <w:rsid w:val="39D709A6"/>
    <w:rsid w:val="39DA2903"/>
    <w:rsid w:val="39DE1D35"/>
    <w:rsid w:val="3A43428E"/>
    <w:rsid w:val="3A461688"/>
    <w:rsid w:val="3A8C21FC"/>
    <w:rsid w:val="3AB46F3A"/>
    <w:rsid w:val="3AD82C28"/>
    <w:rsid w:val="3AD9074E"/>
    <w:rsid w:val="3B5843E1"/>
    <w:rsid w:val="3B660234"/>
    <w:rsid w:val="3BA54E3E"/>
    <w:rsid w:val="3BA76932"/>
    <w:rsid w:val="3BB64C1C"/>
    <w:rsid w:val="3C342D9B"/>
    <w:rsid w:val="3D347473"/>
    <w:rsid w:val="3D400FA1"/>
    <w:rsid w:val="3D4A1818"/>
    <w:rsid w:val="3D9559C0"/>
    <w:rsid w:val="3DA57E9B"/>
    <w:rsid w:val="3DB868D1"/>
    <w:rsid w:val="3DEC17B9"/>
    <w:rsid w:val="3E88226F"/>
    <w:rsid w:val="3E9C5D1B"/>
    <w:rsid w:val="3F586BC5"/>
    <w:rsid w:val="3F5F4CCF"/>
    <w:rsid w:val="3F6F42A9"/>
    <w:rsid w:val="3FD87226"/>
    <w:rsid w:val="3FDD483D"/>
    <w:rsid w:val="3FF86DBE"/>
    <w:rsid w:val="40141BC7"/>
    <w:rsid w:val="40450345"/>
    <w:rsid w:val="40573A9B"/>
    <w:rsid w:val="40A26D62"/>
    <w:rsid w:val="40B01F51"/>
    <w:rsid w:val="40C63523"/>
    <w:rsid w:val="40EF444E"/>
    <w:rsid w:val="40F36398"/>
    <w:rsid w:val="40FE0F0E"/>
    <w:rsid w:val="41087DA2"/>
    <w:rsid w:val="41607EC4"/>
    <w:rsid w:val="416367FB"/>
    <w:rsid w:val="41BC5B41"/>
    <w:rsid w:val="41C87C39"/>
    <w:rsid w:val="41E57FFA"/>
    <w:rsid w:val="4242307D"/>
    <w:rsid w:val="427664C2"/>
    <w:rsid w:val="42AE7D3A"/>
    <w:rsid w:val="42C05DDB"/>
    <w:rsid w:val="42DE4B54"/>
    <w:rsid w:val="42E25FFF"/>
    <w:rsid w:val="42E94F7C"/>
    <w:rsid w:val="4358220E"/>
    <w:rsid w:val="43E45AF4"/>
    <w:rsid w:val="43F82ECA"/>
    <w:rsid w:val="44623DBC"/>
    <w:rsid w:val="44AB201A"/>
    <w:rsid w:val="44D107B7"/>
    <w:rsid w:val="451330CC"/>
    <w:rsid w:val="4518783B"/>
    <w:rsid w:val="453C5F9E"/>
    <w:rsid w:val="456C180F"/>
    <w:rsid w:val="45817B4F"/>
    <w:rsid w:val="461C57A9"/>
    <w:rsid w:val="463F4FE1"/>
    <w:rsid w:val="4642004E"/>
    <w:rsid w:val="46522ED9"/>
    <w:rsid w:val="4660675D"/>
    <w:rsid w:val="46674E60"/>
    <w:rsid w:val="46683089"/>
    <w:rsid w:val="46770F87"/>
    <w:rsid w:val="46B36752"/>
    <w:rsid w:val="46F45FAF"/>
    <w:rsid w:val="47002B44"/>
    <w:rsid w:val="473E5925"/>
    <w:rsid w:val="47530CE0"/>
    <w:rsid w:val="476741EB"/>
    <w:rsid w:val="47F70466"/>
    <w:rsid w:val="48065DB2"/>
    <w:rsid w:val="48621A93"/>
    <w:rsid w:val="48C5709F"/>
    <w:rsid w:val="49514E3C"/>
    <w:rsid w:val="4972319F"/>
    <w:rsid w:val="498A37A7"/>
    <w:rsid w:val="498D150F"/>
    <w:rsid w:val="49F91A85"/>
    <w:rsid w:val="4A4E5109"/>
    <w:rsid w:val="4A4E6A63"/>
    <w:rsid w:val="4A8E048D"/>
    <w:rsid w:val="4AB1135A"/>
    <w:rsid w:val="4AB82869"/>
    <w:rsid w:val="4ACC65DF"/>
    <w:rsid w:val="4B207C5E"/>
    <w:rsid w:val="4B6422B6"/>
    <w:rsid w:val="4B8025FD"/>
    <w:rsid w:val="4B9D1FFC"/>
    <w:rsid w:val="4BA14F5C"/>
    <w:rsid w:val="4BB26B7D"/>
    <w:rsid w:val="4BD0684C"/>
    <w:rsid w:val="4BE83DFC"/>
    <w:rsid w:val="4C625235"/>
    <w:rsid w:val="4C980790"/>
    <w:rsid w:val="4CA02E7A"/>
    <w:rsid w:val="4CB614C5"/>
    <w:rsid w:val="4CF626D0"/>
    <w:rsid w:val="4D1443BD"/>
    <w:rsid w:val="4D2424A4"/>
    <w:rsid w:val="4D9E4CE9"/>
    <w:rsid w:val="4D9E5BA1"/>
    <w:rsid w:val="4DD14735"/>
    <w:rsid w:val="4DF20539"/>
    <w:rsid w:val="4DFC4A28"/>
    <w:rsid w:val="4E0256F8"/>
    <w:rsid w:val="4E4D2E49"/>
    <w:rsid w:val="4E4F73B4"/>
    <w:rsid w:val="4E50267E"/>
    <w:rsid w:val="4E5D3049"/>
    <w:rsid w:val="4E8B0864"/>
    <w:rsid w:val="4E8F31A6"/>
    <w:rsid w:val="4E9E4212"/>
    <w:rsid w:val="4ED85325"/>
    <w:rsid w:val="4EDE7C89"/>
    <w:rsid w:val="4EEA4880"/>
    <w:rsid w:val="4EEB70E8"/>
    <w:rsid w:val="4F2443CB"/>
    <w:rsid w:val="50810E9C"/>
    <w:rsid w:val="50B77F3A"/>
    <w:rsid w:val="50E74D02"/>
    <w:rsid w:val="50FB388D"/>
    <w:rsid w:val="5106188B"/>
    <w:rsid w:val="51110C17"/>
    <w:rsid w:val="512429D2"/>
    <w:rsid w:val="5144628D"/>
    <w:rsid w:val="51702591"/>
    <w:rsid w:val="51D32AE5"/>
    <w:rsid w:val="52045C59"/>
    <w:rsid w:val="520A4D17"/>
    <w:rsid w:val="5217598C"/>
    <w:rsid w:val="52373E8F"/>
    <w:rsid w:val="525536BD"/>
    <w:rsid w:val="52E52FC3"/>
    <w:rsid w:val="52F14A71"/>
    <w:rsid w:val="53387379"/>
    <w:rsid w:val="534D2CEE"/>
    <w:rsid w:val="53887714"/>
    <w:rsid w:val="53BC772E"/>
    <w:rsid w:val="53C438F2"/>
    <w:rsid w:val="53FB2F47"/>
    <w:rsid w:val="54017EEF"/>
    <w:rsid w:val="540F7CC5"/>
    <w:rsid w:val="543D1653"/>
    <w:rsid w:val="54506385"/>
    <w:rsid w:val="54913993"/>
    <w:rsid w:val="54B46D2D"/>
    <w:rsid w:val="54C33C51"/>
    <w:rsid w:val="54EA346C"/>
    <w:rsid w:val="54F40207"/>
    <w:rsid w:val="55550950"/>
    <w:rsid w:val="5555290C"/>
    <w:rsid w:val="55D10548"/>
    <w:rsid w:val="55DB3350"/>
    <w:rsid w:val="55E73FD5"/>
    <w:rsid w:val="5621502B"/>
    <w:rsid w:val="5653730A"/>
    <w:rsid w:val="56607C45"/>
    <w:rsid w:val="569F0011"/>
    <w:rsid w:val="5705216A"/>
    <w:rsid w:val="570D3D70"/>
    <w:rsid w:val="574B719F"/>
    <w:rsid w:val="575625C6"/>
    <w:rsid w:val="575D053A"/>
    <w:rsid w:val="57753B29"/>
    <w:rsid w:val="57AA1051"/>
    <w:rsid w:val="57BC7823"/>
    <w:rsid w:val="57F76DD9"/>
    <w:rsid w:val="58350A83"/>
    <w:rsid w:val="588D53BE"/>
    <w:rsid w:val="58BD6097"/>
    <w:rsid w:val="592E105D"/>
    <w:rsid w:val="593212FE"/>
    <w:rsid w:val="59481573"/>
    <w:rsid w:val="59867087"/>
    <w:rsid w:val="598915A6"/>
    <w:rsid w:val="59D9354F"/>
    <w:rsid w:val="59FE2A1F"/>
    <w:rsid w:val="5A235F34"/>
    <w:rsid w:val="5A5C770E"/>
    <w:rsid w:val="5A625C12"/>
    <w:rsid w:val="5A957D82"/>
    <w:rsid w:val="5AA62968"/>
    <w:rsid w:val="5AD54636"/>
    <w:rsid w:val="5B0B1E06"/>
    <w:rsid w:val="5B4F313F"/>
    <w:rsid w:val="5B7D45EA"/>
    <w:rsid w:val="5BD20B76"/>
    <w:rsid w:val="5BD65D63"/>
    <w:rsid w:val="5C0A6562"/>
    <w:rsid w:val="5C2917C9"/>
    <w:rsid w:val="5CB3733F"/>
    <w:rsid w:val="5CBD4BB2"/>
    <w:rsid w:val="5CE90E9E"/>
    <w:rsid w:val="5D3B1851"/>
    <w:rsid w:val="5D860856"/>
    <w:rsid w:val="5D871691"/>
    <w:rsid w:val="5E6E536B"/>
    <w:rsid w:val="5E9D546B"/>
    <w:rsid w:val="5EA31B38"/>
    <w:rsid w:val="5EEB4428"/>
    <w:rsid w:val="5F0059FA"/>
    <w:rsid w:val="5F3C1128"/>
    <w:rsid w:val="5F5E1B86"/>
    <w:rsid w:val="5F816B3B"/>
    <w:rsid w:val="5F91367F"/>
    <w:rsid w:val="5FBA29C5"/>
    <w:rsid w:val="5FEC6D13"/>
    <w:rsid w:val="60522AAD"/>
    <w:rsid w:val="608F2EE2"/>
    <w:rsid w:val="60C95589"/>
    <w:rsid w:val="612D4D53"/>
    <w:rsid w:val="615F317C"/>
    <w:rsid w:val="617050B9"/>
    <w:rsid w:val="61926DDD"/>
    <w:rsid w:val="61F23D20"/>
    <w:rsid w:val="62175534"/>
    <w:rsid w:val="621F43E9"/>
    <w:rsid w:val="623507B5"/>
    <w:rsid w:val="623B46F0"/>
    <w:rsid w:val="62540044"/>
    <w:rsid w:val="625B223E"/>
    <w:rsid w:val="625C7814"/>
    <w:rsid w:val="62C76F5B"/>
    <w:rsid w:val="636968FC"/>
    <w:rsid w:val="63CD1056"/>
    <w:rsid w:val="63DC7EBB"/>
    <w:rsid w:val="63F10F9A"/>
    <w:rsid w:val="642E1C76"/>
    <w:rsid w:val="64542A70"/>
    <w:rsid w:val="64923598"/>
    <w:rsid w:val="64A31301"/>
    <w:rsid w:val="64BE79CE"/>
    <w:rsid w:val="64F27480"/>
    <w:rsid w:val="657C5222"/>
    <w:rsid w:val="659C46CE"/>
    <w:rsid w:val="65F8635A"/>
    <w:rsid w:val="66363A30"/>
    <w:rsid w:val="66615074"/>
    <w:rsid w:val="666A0329"/>
    <w:rsid w:val="66967370"/>
    <w:rsid w:val="66BB1AFB"/>
    <w:rsid w:val="66E31E89"/>
    <w:rsid w:val="66EF6A80"/>
    <w:rsid w:val="674D3CE9"/>
    <w:rsid w:val="67582877"/>
    <w:rsid w:val="67797A29"/>
    <w:rsid w:val="6792167D"/>
    <w:rsid w:val="6794237B"/>
    <w:rsid w:val="67BD350F"/>
    <w:rsid w:val="683C5CF5"/>
    <w:rsid w:val="68534DEC"/>
    <w:rsid w:val="68A74F49"/>
    <w:rsid w:val="68F3424F"/>
    <w:rsid w:val="692C0E45"/>
    <w:rsid w:val="69454812"/>
    <w:rsid w:val="6951757E"/>
    <w:rsid w:val="6967075D"/>
    <w:rsid w:val="69C550B4"/>
    <w:rsid w:val="69FA13E7"/>
    <w:rsid w:val="6A2B09DC"/>
    <w:rsid w:val="6A2D5A65"/>
    <w:rsid w:val="6A4B47ED"/>
    <w:rsid w:val="6A6376B8"/>
    <w:rsid w:val="6A7755A9"/>
    <w:rsid w:val="6AC84FD1"/>
    <w:rsid w:val="6ADE3AEC"/>
    <w:rsid w:val="6B5B689E"/>
    <w:rsid w:val="6B8C3A28"/>
    <w:rsid w:val="6BED6C60"/>
    <w:rsid w:val="6BEE7306"/>
    <w:rsid w:val="6BFB42D8"/>
    <w:rsid w:val="6C1D7BEB"/>
    <w:rsid w:val="6C28157C"/>
    <w:rsid w:val="6C4611A4"/>
    <w:rsid w:val="6C4B6506"/>
    <w:rsid w:val="6C561B1F"/>
    <w:rsid w:val="6CF43042"/>
    <w:rsid w:val="6CFC73C8"/>
    <w:rsid w:val="6D1E4BE6"/>
    <w:rsid w:val="6D242654"/>
    <w:rsid w:val="6D4F725D"/>
    <w:rsid w:val="6D555865"/>
    <w:rsid w:val="6D70286F"/>
    <w:rsid w:val="6DB93944"/>
    <w:rsid w:val="6DBC675B"/>
    <w:rsid w:val="6DC27506"/>
    <w:rsid w:val="6DD61BC7"/>
    <w:rsid w:val="6DDC0427"/>
    <w:rsid w:val="6E283E10"/>
    <w:rsid w:val="6E3F4BB9"/>
    <w:rsid w:val="6E3F7887"/>
    <w:rsid w:val="6E525EE2"/>
    <w:rsid w:val="6E625D89"/>
    <w:rsid w:val="6E9F3C9F"/>
    <w:rsid w:val="6F101C89"/>
    <w:rsid w:val="6F2B6AD3"/>
    <w:rsid w:val="6F685621"/>
    <w:rsid w:val="6F9C2B61"/>
    <w:rsid w:val="6FEE07C1"/>
    <w:rsid w:val="6FFD3BE6"/>
    <w:rsid w:val="700510C2"/>
    <w:rsid w:val="700649E3"/>
    <w:rsid w:val="702B672C"/>
    <w:rsid w:val="70765881"/>
    <w:rsid w:val="70D53633"/>
    <w:rsid w:val="70D73178"/>
    <w:rsid w:val="70DC7D22"/>
    <w:rsid w:val="710E3FA6"/>
    <w:rsid w:val="71294435"/>
    <w:rsid w:val="713779A1"/>
    <w:rsid w:val="714E01B6"/>
    <w:rsid w:val="71912C7F"/>
    <w:rsid w:val="71C650B7"/>
    <w:rsid w:val="71CF1988"/>
    <w:rsid w:val="72190E55"/>
    <w:rsid w:val="72277E2F"/>
    <w:rsid w:val="72503520"/>
    <w:rsid w:val="72777FE9"/>
    <w:rsid w:val="72E560B4"/>
    <w:rsid w:val="73283F7C"/>
    <w:rsid w:val="73821344"/>
    <w:rsid w:val="73EA5560"/>
    <w:rsid w:val="740A314B"/>
    <w:rsid w:val="74161F51"/>
    <w:rsid w:val="744D3038"/>
    <w:rsid w:val="74516218"/>
    <w:rsid w:val="74644DBD"/>
    <w:rsid w:val="74C36260"/>
    <w:rsid w:val="756107BC"/>
    <w:rsid w:val="75834F63"/>
    <w:rsid w:val="759C7DD3"/>
    <w:rsid w:val="75DF0C59"/>
    <w:rsid w:val="75FD3BFF"/>
    <w:rsid w:val="763D7A3F"/>
    <w:rsid w:val="765A0D7E"/>
    <w:rsid w:val="766A4304"/>
    <w:rsid w:val="769A6A08"/>
    <w:rsid w:val="76A943A2"/>
    <w:rsid w:val="77280754"/>
    <w:rsid w:val="77493ED3"/>
    <w:rsid w:val="775B7CD8"/>
    <w:rsid w:val="77F65547"/>
    <w:rsid w:val="780D4FB8"/>
    <w:rsid w:val="785018A3"/>
    <w:rsid w:val="7855420A"/>
    <w:rsid w:val="786C2262"/>
    <w:rsid w:val="786E0A50"/>
    <w:rsid w:val="787371C8"/>
    <w:rsid w:val="787D49D6"/>
    <w:rsid w:val="789F7F95"/>
    <w:rsid w:val="78C97718"/>
    <w:rsid w:val="78E245E6"/>
    <w:rsid w:val="79350448"/>
    <w:rsid w:val="7945759A"/>
    <w:rsid w:val="795D123B"/>
    <w:rsid w:val="797D2716"/>
    <w:rsid w:val="7987101F"/>
    <w:rsid w:val="79C93160"/>
    <w:rsid w:val="79CC5C0E"/>
    <w:rsid w:val="79D008FA"/>
    <w:rsid w:val="79E36920"/>
    <w:rsid w:val="7A101AB7"/>
    <w:rsid w:val="7A465F7C"/>
    <w:rsid w:val="7A7E219D"/>
    <w:rsid w:val="7AE02DF1"/>
    <w:rsid w:val="7B0F54EB"/>
    <w:rsid w:val="7B252618"/>
    <w:rsid w:val="7B3E72C4"/>
    <w:rsid w:val="7B64029B"/>
    <w:rsid w:val="7BEB4EE8"/>
    <w:rsid w:val="7C163879"/>
    <w:rsid w:val="7C2D544B"/>
    <w:rsid w:val="7C4375A1"/>
    <w:rsid w:val="7C581C2C"/>
    <w:rsid w:val="7C63164A"/>
    <w:rsid w:val="7C921634"/>
    <w:rsid w:val="7CA46A66"/>
    <w:rsid w:val="7CC04412"/>
    <w:rsid w:val="7CF4552D"/>
    <w:rsid w:val="7D07647A"/>
    <w:rsid w:val="7D2D1C58"/>
    <w:rsid w:val="7D43322A"/>
    <w:rsid w:val="7D6C22BD"/>
    <w:rsid w:val="7D6C452F"/>
    <w:rsid w:val="7D791F6C"/>
    <w:rsid w:val="7D90323E"/>
    <w:rsid w:val="7DA74646"/>
    <w:rsid w:val="7DE01D7D"/>
    <w:rsid w:val="7E256D04"/>
    <w:rsid w:val="7E2C609E"/>
    <w:rsid w:val="7ED74932"/>
    <w:rsid w:val="7EE37ECB"/>
    <w:rsid w:val="7EE477AF"/>
    <w:rsid w:val="7F0E3679"/>
    <w:rsid w:val="7F6320EC"/>
    <w:rsid w:val="7FAF16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1"/>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62"/>
    <w:autoRedefine/>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5"/>
    <w:link w:val="63"/>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7">
    <w:name w:val="heading 4"/>
    <w:basedOn w:val="1"/>
    <w:next w:val="1"/>
    <w:link w:val="64"/>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8">
    <w:name w:val="heading 5"/>
    <w:basedOn w:val="1"/>
    <w:next w:val="1"/>
    <w:link w:val="65"/>
    <w:autoRedefine/>
    <w:semiHidden/>
    <w:unhideWhenUsed/>
    <w:qFormat/>
    <w:uiPriority w:val="9"/>
    <w:pPr>
      <w:numPr>
        <w:ilvl w:val="4"/>
        <w:numId w:val="1"/>
      </w:numPr>
      <w:spacing w:before="240" w:after="60"/>
      <w:outlineLvl w:val="4"/>
    </w:pPr>
    <w:rPr>
      <w:b/>
      <w:bCs/>
      <w:i/>
      <w:iCs/>
      <w:sz w:val="26"/>
      <w:szCs w:val="26"/>
    </w:rPr>
  </w:style>
  <w:style w:type="paragraph" w:styleId="9">
    <w:name w:val="heading 6"/>
    <w:basedOn w:val="1"/>
    <w:next w:val="1"/>
    <w:link w:val="66"/>
    <w:autoRedefine/>
    <w:semiHidden/>
    <w:unhideWhenUsed/>
    <w:qFormat/>
    <w:uiPriority w:val="9"/>
    <w:pPr>
      <w:numPr>
        <w:ilvl w:val="5"/>
        <w:numId w:val="1"/>
      </w:numPr>
      <w:spacing w:before="240" w:after="60"/>
      <w:outlineLvl w:val="5"/>
    </w:pPr>
    <w:rPr>
      <w:rFonts w:cstheme="majorBidi"/>
      <w:b/>
      <w:bCs/>
      <w:sz w:val="22"/>
      <w:szCs w:val="22"/>
    </w:rPr>
  </w:style>
  <w:style w:type="paragraph" w:styleId="10">
    <w:name w:val="heading 7"/>
    <w:basedOn w:val="1"/>
    <w:next w:val="1"/>
    <w:link w:val="67"/>
    <w:autoRedefine/>
    <w:semiHidden/>
    <w:unhideWhenUsed/>
    <w:qFormat/>
    <w:uiPriority w:val="9"/>
    <w:pPr>
      <w:numPr>
        <w:ilvl w:val="6"/>
        <w:numId w:val="1"/>
      </w:numPr>
      <w:spacing w:before="240" w:after="60"/>
      <w:outlineLvl w:val="6"/>
    </w:pPr>
  </w:style>
  <w:style w:type="paragraph" w:styleId="11">
    <w:name w:val="heading 8"/>
    <w:basedOn w:val="1"/>
    <w:next w:val="1"/>
    <w:link w:val="68"/>
    <w:autoRedefine/>
    <w:semiHidden/>
    <w:unhideWhenUsed/>
    <w:qFormat/>
    <w:uiPriority w:val="9"/>
    <w:pPr>
      <w:numPr>
        <w:ilvl w:val="7"/>
        <w:numId w:val="1"/>
      </w:numPr>
      <w:spacing w:before="240" w:after="60"/>
      <w:outlineLvl w:val="7"/>
    </w:pPr>
    <w:rPr>
      <w:rFonts w:cstheme="majorBidi"/>
      <w:i/>
      <w:iCs/>
    </w:rPr>
  </w:style>
  <w:style w:type="paragraph" w:styleId="12">
    <w:name w:val="heading 9"/>
    <w:basedOn w:val="1"/>
    <w:next w:val="1"/>
    <w:link w:val="69"/>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next w:val="6"/>
    <w:autoRedefine/>
    <w:qFormat/>
    <w:uiPriority w:val="0"/>
    <w:pPr>
      <w:autoSpaceDE w:val="0"/>
      <w:autoSpaceDN w:val="0"/>
      <w:adjustRightInd w:val="0"/>
      <w:spacing w:line="640" w:lineRule="exact"/>
      <w:ind w:firstLine="585"/>
    </w:pPr>
    <w:rPr>
      <w:rFonts w:ascii="楷体_GB2312" w:hAnsi="Times New Roman" w:eastAsia="楷体_GB2312"/>
      <w:kern w:val="0"/>
      <w:sz w:val="32"/>
      <w:szCs w:val="32"/>
    </w:rPr>
  </w:style>
  <w:style w:type="paragraph" w:styleId="6">
    <w:name w:val="toc 4"/>
    <w:basedOn w:val="1"/>
    <w:next w:val="1"/>
    <w:unhideWhenUsed/>
    <w:qFormat/>
    <w:uiPriority w:val="39"/>
    <w:pPr>
      <w:ind w:left="1260" w:leftChars="600"/>
    </w:pPr>
  </w:style>
  <w:style w:type="paragraph" w:styleId="13">
    <w:name w:val="caption"/>
    <w:basedOn w:val="1"/>
    <w:next w:val="1"/>
    <w:autoRedefine/>
    <w:semiHidden/>
    <w:unhideWhenUsed/>
    <w:qFormat/>
    <w:uiPriority w:val="35"/>
    <w:rPr>
      <w:rFonts w:eastAsia="黑体" w:asciiTheme="majorHAnsi" w:hAnsiTheme="majorHAnsi" w:cstheme="majorBidi"/>
      <w:sz w:val="20"/>
      <w:szCs w:val="20"/>
    </w:rPr>
  </w:style>
  <w:style w:type="paragraph" w:styleId="14">
    <w:name w:val="Document Map"/>
    <w:basedOn w:val="1"/>
    <w:link w:val="93"/>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5">
    <w:name w:val="annotation text"/>
    <w:basedOn w:val="1"/>
    <w:link w:val="85"/>
    <w:autoRedefine/>
    <w:unhideWhenUsed/>
    <w:qFormat/>
    <w:uiPriority w:val="99"/>
    <w:pPr>
      <w:spacing w:line="400" w:lineRule="exact"/>
    </w:pPr>
    <w:rPr>
      <w:rFonts w:ascii="Calibri Light" w:hAnsi="Calibri Light" w:eastAsia="华文仿宋" w:cs="Calibri Light"/>
      <w:kern w:val="2"/>
      <w:sz w:val="28"/>
      <w:szCs w:val="28"/>
    </w:rPr>
  </w:style>
  <w:style w:type="paragraph" w:styleId="16">
    <w:name w:val="Body Text"/>
    <w:basedOn w:val="1"/>
    <w:autoRedefine/>
    <w:qFormat/>
    <w:uiPriority w:val="0"/>
    <w:rPr>
      <w:color w:val="993300"/>
      <w:sz w:val="24"/>
    </w:rPr>
  </w:style>
  <w:style w:type="paragraph" w:styleId="17">
    <w:name w:val="Plain Text"/>
    <w:basedOn w:val="1"/>
    <w:next w:val="1"/>
    <w:autoRedefine/>
    <w:qFormat/>
    <w:uiPriority w:val="0"/>
    <w:rPr>
      <w:rFonts w:ascii="宋体"/>
      <w:szCs w:val="20"/>
    </w:rPr>
  </w:style>
  <w:style w:type="paragraph" w:styleId="18">
    <w:name w:val="Date"/>
    <w:basedOn w:val="1"/>
    <w:next w:val="1"/>
    <w:link w:val="58"/>
    <w:autoRedefine/>
    <w:semiHidden/>
    <w:unhideWhenUsed/>
    <w:qFormat/>
    <w:uiPriority w:val="99"/>
    <w:pPr>
      <w:ind w:left="100" w:leftChars="2500"/>
    </w:pPr>
  </w:style>
  <w:style w:type="paragraph" w:styleId="19">
    <w:name w:val="Balloon Text"/>
    <w:basedOn w:val="1"/>
    <w:link w:val="84"/>
    <w:autoRedefine/>
    <w:semiHidden/>
    <w:unhideWhenUsed/>
    <w:qFormat/>
    <w:uiPriority w:val="99"/>
    <w:rPr>
      <w:sz w:val="18"/>
      <w:szCs w:val="18"/>
    </w:rPr>
  </w:style>
  <w:style w:type="paragraph" w:styleId="20">
    <w:name w:val="footer"/>
    <w:basedOn w:val="1"/>
    <w:link w:val="60"/>
    <w:autoRedefine/>
    <w:unhideWhenUsed/>
    <w:qFormat/>
    <w:uiPriority w:val="99"/>
    <w:pPr>
      <w:tabs>
        <w:tab w:val="center" w:pos="4153"/>
        <w:tab w:val="right" w:pos="8306"/>
      </w:tabs>
      <w:snapToGrid w:val="0"/>
      <w:spacing w:line="240" w:lineRule="atLeast"/>
    </w:pPr>
    <w:rPr>
      <w:sz w:val="18"/>
      <w:szCs w:val="18"/>
    </w:rPr>
  </w:style>
  <w:style w:type="paragraph" w:styleId="21">
    <w:name w:val="header"/>
    <w:basedOn w:val="1"/>
    <w:link w:val="59"/>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2">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3">
    <w:name w:val="Subtitle"/>
    <w:basedOn w:val="1"/>
    <w:next w:val="1"/>
    <w:link w:val="71"/>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4">
    <w:name w:val="Body Text Indent 3"/>
    <w:basedOn w:val="1"/>
    <w:autoRedefine/>
    <w:qFormat/>
    <w:uiPriority w:val="0"/>
    <w:pPr>
      <w:spacing w:after="120"/>
      <w:ind w:left="420" w:leftChars="200"/>
    </w:pPr>
    <w:rPr>
      <w:sz w:val="16"/>
    </w:rPr>
  </w:style>
  <w:style w:type="paragraph" w:styleId="25">
    <w:name w:val="Normal (Web)"/>
    <w:basedOn w:val="1"/>
    <w:autoRedefine/>
    <w:qFormat/>
    <w:uiPriority w:val="0"/>
    <w:pPr>
      <w:widowControl/>
      <w:spacing w:before="100" w:beforeAutospacing="1" w:after="100" w:afterAutospacing="1"/>
    </w:pPr>
    <w:rPr>
      <w:rFonts w:ascii="宋体" w:hAnsi="宋体"/>
      <w:sz w:val="24"/>
    </w:rPr>
  </w:style>
  <w:style w:type="paragraph" w:styleId="26">
    <w:name w:val="Title"/>
    <w:basedOn w:val="1"/>
    <w:next w:val="1"/>
    <w:link w:val="70"/>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7">
    <w:name w:val="annotation subject"/>
    <w:basedOn w:val="15"/>
    <w:next w:val="15"/>
    <w:link w:val="92"/>
    <w:autoRedefine/>
    <w:semiHidden/>
    <w:unhideWhenUsed/>
    <w:qFormat/>
    <w:uiPriority w:val="99"/>
    <w:rPr>
      <w:b/>
      <w:bCs/>
    </w:rPr>
  </w:style>
  <w:style w:type="paragraph" w:styleId="28">
    <w:name w:val="Body Text First Indent"/>
    <w:basedOn w:val="16"/>
    <w:next w:val="1"/>
    <w:autoRedefine/>
    <w:unhideWhenUsed/>
    <w:qFormat/>
    <w:uiPriority w:val="99"/>
    <w:pPr>
      <w:ind w:firstLine="420" w:firstLineChars="100"/>
    </w:pPr>
    <w:rPr>
      <w:szCs w:val="24"/>
    </w:rPr>
  </w:style>
  <w:style w:type="table" w:styleId="30">
    <w:name w:val="Table Grid"/>
    <w:basedOn w:val="2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autoRedefine/>
    <w:qFormat/>
    <w:uiPriority w:val="22"/>
    <w:rPr>
      <w:b/>
      <w:bCs/>
    </w:rPr>
  </w:style>
  <w:style w:type="character" w:styleId="33">
    <w:name w:val="page number"/>
    <w:autoRedefine/>
    <w:qFormat/>
    <w:uiPriority w:val="0"/>
    <w:rPr>
      <w:rFonts w:ascii="Times New Roman" w:hAnsi="Times New Roman" w:eastAsia="宋体" w:cs="Times New Roman"/>
    </w:rPr>
  </w:style>
  <w:style w:type="character" w:styleId="34">
    <w:name w:val="FollowedHyperlink"/>
    <w:basedOn w:val="31"/>
    <w:autoRedefine/>
    <w:semiHidden/>
    <w:unhideWhenUsed/>
    <w:qFormat/>
    <w:uiPriority w:val="99"/>
    <w:rPr>
      <w:color w:val="954F72" w:themeColor="followedHyperlink"/>
      <w:u w:val="single"/>
      <w14:textFill>
        <w14:solidFill>
          <w14:schemeClr w14:val="folHlink"/>
        </w14:solidFill>
      </w14:textFill>
    </w:rPr>
  </w:style>
  <w:style w:type="character" w:styleId="35">
    <w:name w:val="Emphasis"/>
    <w:basedOn w:val="31"/>
    <w:autoRedefine/>
    <w:qFormat/>
    <w:uiPriority w:val="20"/>
    <w:rPr>
      <w:rFonts w:asciiTheme="minorHAnsi" w:hAnsiTheme="minorHAnsi"/>
      <w:b/>
      <w:i/>
      <w:iCs/>
    </w:rPr>
  </w:style>
  <w:style w:type="character" w:styleId="36">
    <w:name w:val="Hyperlink"/>
    <w:basedOn w:val="31"/>
    <w:autoRedefine/>
    <w:unhideWhenUsed/>
    <w:qFormat/>
    <w:uiPriority w:val="99"/>
    <w:rPr>
      <w:color w:val="0563C1" w:themeColor="hyperlink"/>
      <w:u w:val="single"/>
      <w14:textFill>
        <w14:solidFill>
          <w14:schemeClr w14:val="hlink"/>
        </w14:solidFill>
      </w14:textFill>
    </w:rPr>
  </w:style>
  <w:style w:type="character" w:styleId="37">
    <w:name w:val="annotation reference"/>
    <w:basedOn w:val="31"/>
    <w:autoRedefine/>
    <w:semiHidden/>
    <w:unhideWhenUsed/>
    <w:qFormat/>
    <w:uiPriority w:val="99"/>
    <w:rPr>
      <w:sz w:val="21"/>
      <w:szCs w:val="21"/>
    </w:rPr>
  </w:style>
  <w:style w:type="paragraph" w:customStyle="1" w:styleId="38">
    <w:name w:val="※封面大标题"/>
    <w:basedOn w:val="1"/>
    <w:next w:val="1"/>
    <w:autoRedefine/>
    <w:qFormat/>
    <w:uiPriority w:val="0"/>
    <w:pPr>
      <w:jc w:val="center"/>
    </w:pPr>
    <w:rPr>
      <w:rFonts w:ascii="华文中宋" w:hAnsi="华文中宋" w:eastAsia="华文中宋"/>
      <w:sz w:val="96"/>
      <w:szCs w:val="96"/>
    </w:rPr>
  </w:style>
  <w:style w:type="paragraph" w:customStyle="1" w:styleId="39">
    <w:name w:val="※封面题颌"/>
    <w:basedOn w:val="1"/>
    <w:next w:val="1"/>
    <w:autoRedefine/>
    <w:qFormat/>
    <w:uiPriority w:val="0"/>
    <w:pPr>
      <w:jc w:val="center"/>
    </w:pPr>
    <w:rPr>
      <w:rFonts w:ascii="Calibri Light" w:hAnsi="Calibri Light" w:eastAsia="华文仿宋"/>
      <w:sz w:val="36"/>
      <w:szCs w:val="36"/>
    </w:rPr>
  </w:style>
  <w:style w:type="paragraph" w:customStyle="1" w:styleId="40">
    <w:name w:val="※封面题眉"/>
    <w:basedOn w:val="1"/>
    <w:next w:val="38"/>
    <w:autoRedefine/>
    <w:qFormat/>
    <w:uiPriority w:val="0"/>
    <w:pPr>
      <w:jc w:val="center"/>
    </w:pPr>
    <w:rPr>
      <w:rFonts w:ascii="华文仿宋" w:hAnsi="华文仿宋" w:eastAsia="华文仿宋"/>
      <w:sz w:val="52"/>
      <w:szCs w:val="28"/>
    </w:rPr>
  </w:style>
  <w:style w:type="paragraph" w:customStyle="1" w:styleId="41">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42">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3">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4">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5">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46">
    <w:name w:val="※小标题 一"/>
    <w:basedOn w:val="45"/>
    <w:next w:val="45"/>
    <w:autoRedefine/>
    <w:qFormat/>
    <w:uiPriority w:val="0"/>
    <w:pPr>
      <w:spacing w:before="120" w:line="240" w:lineRule="auto"/>
      <w:outlineLvl w:val="2"/>
    </w:pPr>
    <w:rPr>
      <w:b/>
      <w:color w:val="203864" w:themeColor="accent5" w:themeShade="80"/>
      <w:sz w:val="32"/>
    </w:rPr>
  </w:style>
  <w:style w:type="paragraph" w:customStyle="1" w:styleId="47">
    <w:name w:val="※小标题（1）"/>
    <w:basedOn w:val="1"/>
    <w:next w:val="45"/>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8">
    <w:name w:val="※小标题（一）"/>
    <w:basedOn w:val="1"/>
    <w:next w:val="45"/>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9">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50">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51">
    <w:name w:val="※页眉"/>
    <w:basedOn w:val="45"/>
    <w:autoRedefine/>
    <w:qFormat/>
    <w:uiPriority w:val="0"/>
    <w:pPr>
      <w:pBdr>
        <w:bottom w:val="single" w:color="auto" w:sz="4" w:space="1"/>
      </w:pBdr>
      <w:spacing w:line="240" w:lineRule="atLeast"/>
      <w:jc w:val="right"/>
    </w:pPr>
    <w:rPr>
      <w:rFonts w:ascii="宋体" w:hAnsi="宋体" w:eastAsia="宋体"/>
      <w:sz w:val="18"/>
    </w:rPr>
  </w:style>
  <w:style w:type="paragraph" w:customStyle="1" w:styleId="52">
    <w:name w:val="※章节标题（第X章）"/>
    <w:basedOn w:val="1"/>
    <w:autoRedefine/>
    <w:qFormat/>
    <w:uiPriority w:val="0"/>
    <w:pPr>
      <w:jc w:val="center"/>
      <w:outlineLvl w:val="0"/>
    </w:pPr>
    <w:rPr>
      <w:rFonts w:ascii="Calibri Light" w:hAnsi="Calibri Light" w:eastAsia="黑体"/>
      <w:sz w:val="36"/>
      <w:szCs w:val="28"/>
    </w:rPr>
  </w:style>
  <w:style w:type="paragraph" w:customStyle="1" w:styleId="53">
    <w:name w:val="※章节标题（第Y部分）"/>
    <w:basedOn w:val="1"/>
    <w:next w:val="1"/>
    <w:autoRedefine/>
    <w:qFormat/>
    <w:uiPriority w:val="0"/>
    <w:pPr>
      <w:jc w:val="center"/>
      <w:outlineLvl w:val="1"/>
    </w:pPr>
    <w:rPr>
      <w:rFonts w:ascii="Calibri Light" w:hAnsi="Calibri Light" w:eastAsia="黑体"/>
      <w:color w:val="1F4E79" w:themeColor="accent1" w:themeShade="80"/>
      <w:sz w:val="32"/>
      <w:szCs w:val="36"/>
    </w:rPr>
  </w:style>
  <w:style w:type="paragraph" w:customStyle="1" w:styleId="54">
    <w:name w:val="※章节标题（第Z部分分项）"/>
    <w:basedOn w:val="53"/>
    <w:autoRedefine/>
    <w:qFormat/>
    <w:uiPriority w:val="0"/>
    <w:pPr>
      <w:outlineLvl w:val="2"/>
    </w:pPr>
  </w:style>
  <w:style w:type="paragraph" w:customStyle="1" w:styleId="55">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6">
    <w:name w:val="※正文（缩进2）"/>
    <w:basedOn w:val="45"/>
    <w:autoRedefine/>
    <w:qFormat/>
    <w:uiPriority w:val="0"/>
    <w:pPr>
      <w:ind w:firstLine="200" w:firstLineChars="200"/>
    </w:pPr>
  </w:style>
  <w:style w:type="paragraph" w:customStyle="1" w:styleId="57">
    <w:name w:val="※正文（缩进4）"/>
    <w:basedOn w:val="45"/>
    <w:autoRedefine/>
    <w:qFormat/>
    <w:uiPriority w:val="0"/>
    <w:pPr>
      <w:ind w:firstLine="400" w:firstLineChars="400"/>
    </w:pPr>
  </w:style>
  <w:style w:type="character" w:customStyle="1" w:styleId="58">
    <w:name w:val="日期 字符"/>
    <w:basedOn w:val="31"/>
    <w:link w:val="18"/>
    <w:autoRedefine/>
    <w:semiHidden/>
    <w:qFormat/>
    <w:uiPriority w:val="99"/>
    <w:rPr>
      <w:rFonts w:ascii="华文仿宋" w:hAnsi="华文仿宋" w:eastAsia="华文仿宋"/>
      <w:sz w:val="28"/>
      <w:szCs w:val="28"/>
    </w:rPr>
  </w:style>
  <w:style w:type="character" w:customStyle="1" w:styleId="59">
    <w:name w:val="页眉 字符"/>
    <w:basedOn w:val="31"/>
    <w:link w:val="21"/>
    <w:autoRedefine/>
    <w:qFormat/>
    <w:uiPriority w:val="0"/>
    <w:rPr>
      <w:rFonts w:ascii="华文仿宋" w:hAnsi="华文仿宋" w:eastAsia="华文仿宋"/>
      <w:sz w:val="18"/>
      <w:szCs w:val="18"/>
    </w:rPr>
  </w:style>
  <w:style w:type="character" w:customStyle="1" w:styleId="60">
    <w:name w:val="页脚 字符"/>
    <w:basedOn w:val="31"/>
    <w:link w:val="20"/>
    <w:autoRedefine/>
    <w:qFormat/>
    <w:uiPriority w:val="99"/>
    <w:rPr>
      <w:rFonts w:ascii="华文仿宋" w:hAnsi="华文仿宋" w:eastAsia="华文仿宋"/>
      <w:sz w:val="18"/>
      <w:szCs w:val="18"/>
    </w:rPr>
  </w:style>
  <w:style w:type="character" w:customStyle="1" w:styleId="61">
    <w:name w:val="标题 1 字符"/>
    <w:basedOn w:val="31"/>
    <w:link w:val="2"/>
    <w:autoRedefine/>
    <w:qFormat/>
    <w:uiPriority w:val="9"/>
    <w:rPr>
      <w:rFonts w:ascii="方正小标宋_GBK" w:hAnsi="仿宋" w:eastAsia="方正小标宋_GBK"/>
      <w:sz w:val="44"/>
      <w:szCs w:val="44"/>
    </w:rPr>
  </w:style>
  <w:style w:type="character" w:customStyle="1" w:styleId="62">
    <w:name w:val="标题 2 字符"/>
    <w:basedOn w:val="31"/>
    <w:link w:val="3"/>
    <w:autoRedefine/>
    <w:qFormat/>
    <w:uiPriority w:val="9"/>
    <w:rPr>
      <w:rFonts w:ascii="楷体" w:hAnsi="楷体" w:eastAsia="黑体"/>
      <w:sz w:val="32"/>
      <w:szCs w:val="32"/>
    </w:rPr>
  </w:style>
  <w:style w:type="character" w:customStyle="1" w:styleId="63">
    <w:name w:val="标题 3 字符"/>
    <w:basedOn w:val="31"/>
    <w:link w:val="4"/>
    <w:autoRedefine/>
    <w:qFormat/>
    <w:uiPriority w:val="9"/>
    <w:rPr>
      <w:rFonts w:ascii="方正小标宋_GBK" w:hAnsi="仿宋" w:eastAsia="方正小标宋_GBK"/>
      <w:sz w:val="36"/>
      <w:szCs w:val="36"/>
    </w:rPr>
  </w:style>
  <w:style w:type="character" w:customStyle="1" w:styleId="64">
    <w:name w:val="标题 4 字符"/>
    <w:basedOn w:val="31"/>
    <w:link w:val="7"/>
    <w:autoRedefine/>
    <w:semiHidden/>
    <w:qFormat/>
    <w:uiPriority w:val="9"/>
    <w:rPr>
      <w:rFonts w:cstheme="majorBidi"/>
      <w:b/>
      <w:bCs/>
      <w:sz w:val="28"/>
      <w:szCs w:val="28"/>
    </w:rPr>
  </w:style>
  <w:style w:type="character" w:customStyle="1" w:styleId="65">
    <w:name w:val="标题 5 字符"/>
    <w:basedOn w:val="31"/>
    <w:link w:val="8"/>
    <w:autoRedefine/>
    <w:semiHidden/>
    <w:qFormat/>
    <w:uiPriority w:val="9"/>
    <w:rPr>
      <w:b/>
      <w:bCs/>
      <w:i/>
      <w:iCs/>
      <w:sz w:val="26"/>
      <w:szCs w:val="26"/>
    </w:rPr>
  </w:style>
  <w:style w:type="character" w:customStyle="1" w:styleId="66">
    <w:name w:val="标题 6 字符"/>
    <w:basedOn w:val="31"/>
    <w:link w:val="9"/>
    <w:autoRedefine/>
    <w:semiHidden/>
    <w:qFormat/>
    <w:uiPriority w:val="9"/>
    <w:rPr>
      <w:rFonts w:cstheme="majorBidi"/>
      <w:b/>
      <w:bCs/>
    </w:rPr>
  </w:style>
  <w:style w:type="character" w:customStyle="1" w:styleId="67">
    <w:name w:val="标题 7 字符"/>
    <w:basedOn w:val="31"/>
    <w:link w:val="10"/>
    <w:autoRedefine/>
    <w:semiHidden/>
    <w:qFormat/>
    <w:uiPriority w:val="9"/>
    <w:rPr>
      <w:sz w:val="24"/>
      <w:szCs w:val="24"/>
    </w:rPr>
  </w:style>
  <w:style w:type="character" w:customStyle="1" w:styleId="68">
    <w:name w:val="标题 8 字符"/>
    <w:basedOn w:val="31"/>
    <w:link w:val="11"/>
    <w:autoRedefine/>
    <w:semiHidden/>
    <w:qFormat/>
    <w:uiPriority w:val="9"/>
    <w:rPr>
      <w:rFonts w:cstheme="majorBidi"/>
      <w:i/>
      <w:iCs/>
      <w:sz w:val="24"/>
      <w:szCs w:val="24"/>
    </w:rPr>
  </w:style>
  <w:style w:type="character" w:customStyle="1" w:styleId="69">
    <w:name w:val="标题 9 字符"/>
    <w:basedOn w:val="31"/>
    <w:link w:val="12"/>
    <w:autoRedefine/>
    <w:semiHidden/>
    <w:qFormat/>
    <w:uiPriority w:val="9"/>
    <w:rPr>
      <w:rFonts w:asciiTheme="majorHAnsi" w:hAnsiTheme="majorHAnsi" w:eastAsiaTheme="majorEastAsia" w:cstheme="majorBidi"/>
    </w:rPr>
  </w:style>
  <w:style w:type="character" w:customStyle="1" w:styleId="70">
    <w:name w:val="标题 字符"/>
    <w:basedOn w:val="31"/>
    <w:link w:val="26"/>
    <w:autoRedefine/>
    <w:qFormat/>
    <w:uiPriority w:val="10"/>
    <w:rPr>
      <w:rFonts w:asciiTheme="majorHAnsi" w:hAnsiTheme="majorHAnsi" w:eastAsiaTheme="majorEastAsia" w:cstheme="majorBidi"/>
      <w:b/>
      <w:bCs/>
      <w:kern w:val="28"/>
      <w:sz w:val="32"/>
      <w:szCs w:val="32"/>
    </w:rPr>
  </w:style>
  <w:style w:type="character" w:customStyle="1" w:styleId="71">
    <w:name w:val="副标题 字符"/>
    <w:basedOn w:val="31"/>
    <w:link w:val="23"/>
    <w:autoRedefine/>
    <w:qFormat/>
    <w:uiPriority w:val="11"/>
    <w:rPr>
      <w:rFonts w:ascii="Calibri" w:hAnsi="Calibri" w:eastAsia="黑体" w:cstheme="majorBidi"/>
      <w:sz w:val="32"/>
      <w:szCs w:val="24"/>
    </w:rPr>
  </w:style>
  <w:style w:type="paragraph" w:styleId="72">
    <w:name w:val="No Spacing"/>
    <w:basedOn w:val="1"/>
    <w:autoRedefine/>
    <w:qFormat/>
    <w:uiPriority w:val="1"/>
    <w:rPr>
      <w:szCs w:val="32"/>
    </w:rPr>
  </w:style>
  <w:style w:type="paragraph" w:styleId="73">
    <w:name w:val="List Paragraph"/>
    <w:basedOn w:val="1"/>
    <w:autoRedefine/>
    <w:qFormat/>
    <w:uiPriority w:val="0"/>
    <w:pPr>
      <w:ind w:left="720"/>
      <w:contextualSpacing/>
    </w:pPr>
  </w:style>
  <w:style w:type="paragraph" w:styleId="74">
    <w:name w:val="Quote"/>
    <w:basedOn w:val="1"/>
    <w:next w:val="1"/>
    <w:link w:val="75"/>
    <w:autoRedefine/>
    <w:qFormat/>
    <w:uiPriority w:val="29"/>
    <w:rPr>
      <w:i/>
    </w:rPr>
  </w:style>
  <w:style w:type="character" w:customStyle="1" w:styleId="75">
    <w:name w:val="引用 字符"/>
    <w:basedOn w:val="31"/>
    <w:link w:val="74"/>
    <w:autoRedefine/>
    <w:qFormat/>
    <w:uiPriority w:val="29"/>
    <w:rPr>
      <w:i/>
      <w:sz w:val="24"/>
      <w:szCs w:val="24"/>
    </w:rPr>
  </w:style>
  <w:style w:type="paragraph" w:styleId="76">
    <w:name w:val="Intense Quote"/>
    <w:basedOn w:val="1"/>
    <w:next w:val="1"/>
    <w:link w:val="77"/>
    <w:autoRedefine/>
    <w:qFormat/>
    <w:uiPriority w:val="30"/>
    <w:pPr>
      <w:ind w:left="720" w:right="720"/>
    </w:pPr>
    <w:rPr>
      <w:b/>
      <w:i/>
      <w:szCs w:val="22"/>
    </w:rPr>
  </w:style>
  <w:style w:type="character" w:customStyle="1" w:styleId="77">
    <w:name w:val="明显引用 字符"/>
    <w:basedOn w:val="31"/>
    <w:link w:val="76"/>
    <w:autoRedefine/>
    <w:qFormat/>
    <w:uiPriority w:val="30"/>
    <w:rPr>
      <w:b/>
      <w:i/>
      <w:sz w:val="24"/>
    </w:rPr>
  </w:style>
  <w:style w:type="character" w:customStyle="1" w:styleId="78">
    <w:name w:val="Subtle Emphasis"/>
    <w:autoRedefine/>
    <w:qFormat/>
    <w:uiPriority w:val="19"/>
    <w:rPr>
      <w:i/>
      <w:color w:val="595959" w:themeColor="text1" w:themeTint="A6"/>
      <w14:textFill>
        <w14:solidFill>
          <w14:schemeClr w14:val="tx1">
            <w14:lumMod w14:val="65000"/>
            <w14:lumOff w14:val="35000"/>
          </w14:schemeClr>
        </w14:solidFill>
      </w14:textFill>
    </w:rPr>
  </w:style>
  <w:style w:type="character" w:customStyle="1" w:styleId="79">
    <w:name w:val="Intense Emphasis"/>
    <w:basedOn w:val="31"/>
    <w:autoRedefine/>
    <w:qFormat/>
    <w:uiPriority w:val="21"/>
    <w:rPr>
      <w:b/>
      <w:i/>
      <w:sz w:val="24"/>
      <w:szCs w:val="24"/>
      <w:u w:val="single"/>
    </w:rPr>
  </w:style>
  <w:style w:type="character" w:customStyle="1" w:styleId="80">
    <w:name w:val="Subtle Reference"/>
    <w:basedOn w:val="31"/>
    <w:autoRedefine/>
    <w:qFormat/>
    <w:uiPriority w:val="31"/>
    <w:rPr>
      <w:sz w:val="24"/>
      <w:szCs w:val="24"/>
      <w:u w:val="single"/>
    </w:rPr>
  </w:style>
  <w:style w:type="character" w:customStyle="1" w:styleId="81">
    <w:name w:val="Intense Reference"/>
    <w:basedOn w:val="31"/>
    <w:autoRedefine/>
    <w:qFormat/>
    <w:uiPriority w:val="32"/>
    <w:rPr>
      <w:b/>
      <w:sz w:val="24"/>
      <w:u w:val="single"/>
    </w:rPr>
  </w:style>
  <w:style w:type="character" w:customStyle="1" w:styleId="82">
    <w:name w:val="Book Title"/>
    <w:basedOn w:val="31"/>
    <w:autoRedefine/>
    <w:qFormat/>
    <w:uiPriority w:val="33"/>
    <w:rPr>
      <w:rFonts w:asciiTheme="majorHAnsi" w:hAnsiTheme="majorHAnsi" w:eastAsiaTheme="majorEastAsia"/>
      <w:b/>
      <w:i/>
      <w:sz w:val="24"/>
      <w:szCs w:val="24"/>
    </w:rPr>
  </w:style>
  <w:style w:type="paragraph" w:customStyle="1" w:styleId="83">
    <w:name w:val="TOC Heading"/>
    <w:basedOn w:val="2"/>
    <w:next w:val="1"/>
    <w:autoRedefine/>
    <w:semiHidden/>
    <w:unhideWhenUsed/>
    <w:qFormat/>
    <w:uiPriority w:val="39"/>
    <w:pPr>
      <w:outlineLvl w:val="9"/>
    </w:pPr>
  </w:style>
  <w:style w:type="character" w:customStyle="1" w:styleId="84">
    <w:name w:val="批注框文本 字符"/>
    <w:basedOn w:val="31"/>
    <w:link w:val="19"/>
    <w:autoRedefine/>
    <w:semiHidden/>
    <w:qFormat/>
    <w:uiPriority w:val="99"/>
    <w:rPr>
      <w:sz w:val="18"/>
      <w:szCs w:val="18"/>
    </w:rPr>
  </w:style>
  <w:style w:type="character" w:customStyle="1" w:styleId="85">
    <w:name w:val="批注文字 字符"/>
    <w:basedOn w:val="31"/>
    <w:link w:val="15"/>
    <w:autoRedefine/>
    <w:qFormat/>
    <w:uiPriority w:val="99"/>
    <w:rPr>
      <w:rFonts w:ascii="Calibri Light" w:hAnsi="Calibri Light" w:eastAsia="华文仿宋" w:cs="Calibri Light"/>
      <w:kern w:val="2"/>
      <w:sz w:val="28"/>
      <w:szCs w:val="28"/>
    </w:rPr>
  </w:style>
  <w:style w:type="paragraph" w:customStyle="1" w:styleId="86">
    <w:name w:val="@正文"/>
    <w:basedOn w:val="45"/>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7">
    <w:name w:val="@一级小标题"/>
    <w:basedOn w:val="1"/>
    <w:next w:val="86"/>
    <w:autoRedefine/>
    <w:qFormat/>
    <w:uiPriority w:val="0"/>
    <w:pPr>
      <w:keepNext/>
      <w:spacing w:before="120" w:after="60"/>
      <w:outlineLvl w:val="2"/>
    </w:pPr>
    <w:rPr>
      <w:rFonts w:ascii="Calibri" w:hAnsi="Calibri" w:eastAsia="黑体"/>
      <w:kern w:val="28"/>
      <w:sz w:val="28"/>
    </w:rPr>
  </w:style>
  <w:style w:type="paragraph" w:customStyle="1" w:styleId="88">
    <w:name w:val="@标题"/>
    <w:basedOn w:val="1"/>
    <w:next w:val="86"/>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89">
    <w:name w:val="网格型1"/>
    <w:basedOn w:val="29"/>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0">
    <w:name w:val="页眉 Char1"/>
    <w:basedOn w:val="31"/>
    <w:autoRedefine/>
    <w:semiHidden/>
    <w:qFormat/>
    <w:uiPriority w:val="99"/>
    <w:rPr>
      <w:rFonts w:cs="Calibri Light"/>
      <w:sz w:val="18"/>
      <w:szCs w:val="18"/>
    </w:rPr>
  </w:style>
  <w:style w:type="character" w:customStyle="1" w:styleId="91">
    <w:name w:val="页脚 Char1"/>
    <w:basedOn w:val="31"/>
    <w:autoRedefine/>
    <w:semiHidden/>
    <w:qFormat/>
    <w:uiPriority w:val="99"/>
    <w:rPr>
      <w:rFonts w:cs="Calibri Light"/>
      <w:sz w:val="18"/>
      <w:szCs w:val="18"/>
    </w:rPr>
  </w:style>
  <w:style w:type="character" w:customStyle="1" w:styleId="92">
    <w:name w:val="批注主题 字符"/>
    <w:basedOn w:val="85"/>
    <w:link w:val="27"/>
    <w:autoRedefine/>
    <w:semiHidden/>
    <w:qFormat/>
    <w:uiPriority w:val="99"/>
    <w:rPr>
      <w:rFonts w:ascii="Calibri Light" w:hAnsi="Calibri Light" w:eastAsia="华文仿宋" w:cs="Calibri Light"/>
      <w:b/>
      <w:bCs/>
      <w:kern w:val="2"/>
      <w:sz w:val="28"/>
      <w:szCs w:val="28"/>
    </w:rPr>
  </w:style>
  <w:style w:type="character" w:customStyle="1" w:styleId="93">
    <w:name w:val="文档结构图 字符"/>
    <w:basedOn w:val="31"/>
    <w:link w:val="14"/>
    <w:autoRedefine/>
    <w:semiHidden/>
    <w:qFormat/>
    <w:uiPriority w:val="99"/>
    <w:rPr>
      <w:rFonts w:ascii="宋体" w:hAnsi="Calibri Light" w:eastAsia="宋体" w:cs="Calibri Light"/>
      <w:kern w:val="2"/>
      <w:sz w:val="18"/>
      <w:szCs w:val="18"/>
    </w:rPr>
  </w:style>
  <w:style w:type="character" w:styleId="94">
    <w:name w:val="Placeholder Text"/>
    <w:basedOn w:val="31"/>
    <w:autoRedefine/>
    <w:semiHidden/>
    <w:qFormat/>
    <w:uiPriority w:val="99"/>
    <w:rPr>
      <w:color w:val="808080"/>
    </w:rPr>
  </w:style>
  <w:style w:type="character" w:customStyle="1" w:styleId="95">
    <w:name w:val="Unresolved Mention"/>
    <w:basedOn w:val="31"/>
    <w:autoRedefine/>
    <w:semiHidden/>
    <w:unhideWhenUsed/>
    <w:qFormat/>
    <w:uiPriority w:val="99"/>
    <w:rPr>
      <w:color w:val="605E5C"/>
      <w:shd w:val="clear" w:color="auto" w:fill="E1DFDD"/>
    </w:rPr>
  </w:style>
  <w:style w:type="paragraph" w:customStyle="1" w:styleId="96">
    <w:name w:val="样式1"/>
    <w:basedOn w:val="4"/>
    <w:link w:val="98"/>
    <w:autoRedefine/>
    <w:qFormat/>
    <w:uiPriority w:val="0"/>
    <w:pPr>
      <w:jc w:val="left"/>
    </w:pPr>
    <w:rPr>
      <w:rFonts w:eastAsia="楷体"/>
      <w:sz w:val="32"/>
    </w:rPr>
  </w:style>
  <w:style w:type="paragraph" w:customStyle="1" w:styleId="97">
    <w:name w:val="样式2"/>
    <w:basedOn w:val="88"/>
    <w:link w:val="100"/>
    <w:autoRedefine/>
    <w:qFormat/>
    <w:uiPriority w:val="0"/>
    <w:pPr>
      <w:spacing w:line="560" w:lineRule="exact"/>
      <w:ind w:firstLine="643" w:firstLineChars="200"/>
      <w:jc w:val="both"/>
    </w:pPr>
    <w:rPr>
      <w:rFonts w:ascii="仿宋_GB2312" w:hAnsi="仿宋" w:eastAsia="仿宋_GB2312"/>
      <w:b/>
      <w:bCs/>
      <w:szCs w:val="32"/>
    </w:rPr>
  </w:style>
  <w:style w:type="character" w:customStyle="1" w:styleId="98">
    <w:name w:val="样式1 字符"/>
    <w:basedOn w:val="62"/>
    <w:link w:val="96"/>
    <w:autoRedefine/>
    <w:qFormat/>
    <w:uiPriority w:val="0"/>
    <w:rPr>
      <w:rFonts w:ascii="方正小标宋_GBK" w:hAnsi="仿宋" w:eastAsia="楷体"/>
      <w:sz w:val="32"/>
      <w:szCs w:val="36"/>
    </w:rPr>
  </w:style>
  <w:style w:type="paragraph" w:customStyle="1" w:styleId="99">
    <w:name w:val="样式3"/>
    <w:basedOn w:val="1"/>
    <w:link w:val="101"/>
    <w:autoRedefine/>
    <w:qFormat/>
    <w:uiPriority w:val="0"/>
    <w:pPr>
      <w:spacing w:line="560" w:lineRule="exact"/>
      <w:jc w:val="center"/>
    </w:pPr>
    <w:rPr>
      <w:rFonts w:ascii="方正小标宋_GBK" w:hAnsi="仿宋" w:eastAsia="方正小标宋_GBK"/>
      <w:sz w:val="36"/>
      <w:szCs w:val="36"/>
    </w:rPr>
  </w:style>
  <w:style w:type="character" w:customStyle="1" w:styleId="100">
    <w:name w:val="样式2 字符"/>
    <w:basedOn w:val="31"/>
    <w:link w:val="97"/>
    <w:autoRedefine/>
    <w:qFormat/>
    <w:uiPriority w:val="0"/>
    <w:rPr>
      <w:rFonts w:ascii="仿宋_GB2312" w:hAnsi="仿宋" w:eastAsia="仿宋_GB2312"/>
      <w:b/>
      <w:bCs/>
      <w:kern w:val="32"/>
      <w:sz w:val="32"/>
      <w:szCs w:val="32"/>
    </w:rPr>
  </w:style>
  <w:style w:type="character" w:customStyle="1" w:styleId="101">
    <w:name w:val="样式3 字符"/>
    <w:basedOn w:val="31"/>
    <w:link w:val="99"/>
    <w:autoRedefine/>
    <w:qFormat/>
    <w:uiPriority w:val="0"/>
    <w:rPr>
      <w:rFonts w:ascii="方正小标宋_GBK" w:hAnsi="仿宋" w:eastAsia="方正小标宋_GBK"/>
      <w:sz w:val="36"/>
      <w:szCs w:val="36"/>
    </w:rPr>
  </w:style>
  <w:style w:type="paragraph" w:customStyle="1" w:styleId="102">
    <w:name w:val="HTML Preformatted"/>
    <w:basedOn w:val="1"/>
    <w:autoRedefine/>
    <w:qFormat/>
    <w:uiPriority w:val="0"/>
    <w:rPr>
      <w:rFonts w:ascii="Courier New" w:hAnsi="Courier New"/>
      <w:sz w:val="20"/>
    </w:rPr>
  </w:style>
  <w:style w:type="paragraph" w:customStyle="1" w:styleId="103">
    <w:name w:val="Table Paragraph"/>
    <w:basedOn w:val="1"/>
    <w:autoRedefine/>
    <w:qFormat/>
    <w:uiPriority w:val="1"/>
  </w:style>
  <w:style w:type="paragraph" w:customStyle="1" w:styleId="104">
    <w:name w:val="WPSOffice手动目录 1"/>
    <w:autoRedefine/>
    <w:qFormat/>
    <w:uiPriority w:val="0"/>
    <w:pPr>
      <w:ind w:leftChars="0"/>
    </w:pPr>
    <w:rPr>
      <w:rFonts w:ascii="Times New Roman" w:hAnsi="Times New Roman" w:eastAsia="宋体" w:cs="Times New Roman"/>
      <w:sz w:val="20"/>
      <w:szCs w:val="20"/>
    </w:rPr>
  </w:style>
  <w:style w:type="paragraph" w:customStyle="1" w:styleId="105">
    <w:name w:val="正文空2格  1."/>
    <w:basedOn w:val="1"/>
    <w:autoRedefine/>
    <w:qFormat/>
    <w:uiPriority w:val="0"/>
    <w:pPr>
      <w:adjustRightInd w:val="0"/>
      <w:spacing w:line="360" w:lineRule="auto"/>
      <w:ind w:firstLine="480" w:firstLineChars="200"/>
    </w:pPr>
    <w:rPr>
      <w:rFonts w:hint="eastAsia" w:ascii="宋体" w:eastAsia="仿宋" w:cs="宋体"/>
      <w:kern w:val="0"/>
      <w:sz w:val="28"/>
    </w:rPr>
  </w:style>
  <w:style w:type="paragraph" w:customStyle="1" w:styleId="106">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sz w:val="28"/>
      <w:szCs w:val="20"/>
    </w:rPr>
  </w:style>
  <w:style w:type="paragraph" w:customStyle="1" w:styleId="107">
    <w:name w:val="列出段落1"/>
    <w:basedOn w:val="1"/>
    <w:autoRedefine/>
    <w:qFormat/>
    <w:uiPriority w:val="99"/>
    <w:pPr>
      <w:ind w:firstLine="420" w:firstLineChars="200"/>
    </w:pPr>
  </w:style>
  <w:style w:type="paragraph" w:customStyle="1" w:styleId="108">
    <w:name w:val="Other|1"/>
    <w:basedOn w:val="1"/>
    <w:autoRedefine/>
    <w:qFormat/>
    <w:uiPriority w:val="0"/>
    <w:pPr>
      <w:widowControl w:val="0"/>
      <w:shd w:val="clear" w:color="auto" w:fill="auto"/>
      <w:spacing w:line="282" w:lineRule="exact"/>
    </w:pPr>
    <w:rPr>
      <w:rFonts w:ascii="宋体" w:hAnsi="宋体" w:eastAsia="宋体" w:cs="宋体"/>
      <w:sz w:val="22"/>
      <w:szCs w:val="22"/>
      <w:u w:val="none"/>
      <w:shd w:val="clear" w:color="auto" w:fill="auto"/>
      <w:lang w:val="zh-TW" w:eastAsia="zh-TW" w:bidi="zh-TW"/>
    </w:rPr>
  </w:style>
  <w:style w:type="table" w:customStyle="1" w:styleId="109">
    <w:name w:val="Table Normal"/>
    <w:autoRedefine/>
    <w:semiHidden/>
    <w:unhideWhenUsed/>
    <w:qFormat/>
    <w:uiPriority w:val="0"/>
    <w:tblPr>
      <w:tblCellMar>
        <w:top w:w="0" w:type="dxa"/>
        <w:left w:w="0" w:type="dxa"/>
        <w:bottom w:w="0" w:type="dxa"/>
        <w:right w:w="0" w:type="dxa"/>
      </w:tblCellMar>
    </w:tblPr>
  </w:style>
  <w:style w:type="paragraph" w:customStyle="1" w:styleId="110">
    <w:name w:val="Table Text"/>
    <w:basedOn w:val="1"/>
    <w:autoRedefine/>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89</Pages>
  <Words>5868</Words>
  <Characters>6958</Characters>
  <Lines>1035</Lines>
  <Paragraphs>716</Paragraphs>
  <TotalTime>3</TotalTime>
  <ScaleCrop>false</ScaleCrop>
  <LinksUpToDate>false</LinksUpToDate>
  <CharactersWithSpaces>7024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2022-04-07T08:51:00Z</dcterms:created>
  <dc:creator>lenovo</dc:creator>
  <cp:lastModifiedBy>哆啦</cp:lastModifiedBy>
  <cp:lastPrinted>2026-05-09T02:25:00Z</cp:lastPrinted>
  <dcterms:modified xsi:type="dcterms:W3CDTF">2026-05-25T08:22:47Z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2A7B760CB67F4ADCBA06E2DA91C4C5FE_13</vt:lpwstr>
  </property>
  <property fmtid="{D5CDD505-2E9C-101B-9397-08002B2CF9AE}" pid="4" name="KSOTemplateDocerSaveRecord">
    <vt:lpwstr>eyJoZGlkIjoiZjVmMDA1NTM1N2VlYTBlZDI4ZWZkYmQ2Zjg1NzU5NDQiLCJ1c2VySWQiOiI1OTYzODM3NjIifQ==</vt:lpwstr>
  </property>
</Properties>
</file>