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版本号：HHZB2026-CS-03220260604001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档案托管寄存服务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HHZB2026-CS-032</w:t>
      </w:r>
      <w:r>
        <w:br/>
      </w:r>
      <w:r>
        <w:br/>
      </w:r>
      <w:r>
        <w:br/>
      </w:r>
    </w:p>
    <w:p>
      <w:pPr>
        <w:pStyle w:val="null3"/>
        <w:jc w:val="center"/>
        <w:outlineLvl w:val="2"/>
      </w:pPr>
      <w:r>
        <w:rPr>
          <w:rFonts w:ascii="仿宋_GB2312" w:hAnsi="仿宋_GB2312" w:cs="仿宋_GB2312" w:eastAsia="仿宋_GB2312"/>
          <w:sz w:val="28"/>
          <w:b/>
        </w:rPr>
        <w:t>西安市雁塔区人民法院[156]</w:t>
      </w:r>
    </w:p>
    <w:p>
      <w:pPr>
        <w:pStyle w:val="null3"/>
        <w:jc w:val="center"/>
        <w:outlineLvl w:val="2"/>
      </w:pPr>
      <w:r>
        <w:rPr>
          <w:rFonts w:ascii="仿宋_GB2312" w:hAnsi="仿宋_GB2312" w:cs="仿宋_GB2312" w:eastAsia="仿宋_GB2312"/>
          <w:sz w:val="28"/>
          <w:b/>
        </w:rPr>
        <w:t>陕西瀚海昱源企业管理咨询有限公司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陕西瀚海昱源企业管理咨询有限公司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西安市雁塔区人民法院[156]</w:t>
      </w:r>
      <w:r>
        <w:rPr>
          <w:rFonts w:ascii="仿宋_GB2312" w:hAnsi="仿宋_GB2312" w:cs="仿宋_GB2312" w:eastAsia="仿宋_GB2312"/>
        </w:rPr>
        <w:t>委托，拟对</w:t>
      </w:r>
      <w:r>
        <w:rPr>
          <w:rFonts w:ascii="仿宋_GB2312" w:hAnsi="仿宋_GB2312" w:cs="仿宋_GB2312" w:eastAsia="仿宋_GB2312"/>
        </w:rPr>
        <w:t>档案托管寄存服务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HHZB2026-CS-032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档案托管寄存服务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规范我院档案管理工作，筑牢档案安全保管防线，切实保障各类档案资料的安全性、完整性、系统性与可追溯性，全面提升档案查阅、调阅、利用的便捷性与高效性。结合我院档案存量实际情况，现计划对我院共计约20800箱待寄存档案实施集中规范化托管工作。为满足档案长期安全存储、专业保管运维及规范化管理要求，现拟将待寄存的档案统一迁移、寄存并托管至资质齐全、设施完备、管理规范、符合国家档案保管标准的第三方专业档案库房，通过专业化、标准化、智能化的第三方档案托管寄存服务，彻底解决现有档案存储空间不足、保管条件有限、运维管理等问题，全方位提升我院档案管理规范化、精细化、专业化水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采购包1（档案托管寄存服务）：属于专门面向小微企业采购。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2、财务状况报告：供应商需提供具有财务审计资质单位出具的2025年度财务报告或开标前六个月内其基 本账户银行出具的资信证明或财政部门认可的 政府采购专业担保机构出具的担保函，以上形 式的证明资料提供任何一种即可。</w:t>
      </w:r>
    </w:p>
    <w:p>
      <w:pPr>
        <w:pStyle w:val="null3"/>
      </w:pPr>
      <w:r>
        <w:rPr>
          <w:rFonts w:ascii="仿宋_GB2312" w:hAnsi="仿宋_GB2312" w:cs="仿宋_GB2312" w:eastAsia="仿宋_GB2312"/>
        </w:rPr>
        <w:t>3、税收缴纳证明：提供已缴纳的 2025年11月1日以来至少一个月 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4、社保缴纳证明：提供已缴纳的 2025年11月1日以来至少一个月 的社会保障资金缴存单据或社保机构开具的社会保险参保缴费情况证明。成立时间至提交投标文件截止时间不足一个月或依法不需要缴纳社会保障资金的投标人应提供相关文件证明。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6、信用记录：投标供应商不得被“信用中国”（www.creditch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p>
      <w:pPr>
        <w:pStyle w:val="null3"/>
      </w:pPr>
      <w:r>
        <w:rPr>
          <w:rFonts w:ascii="仿宋_GB2312" w:hAnsi="仿宋_GB2312" w:cs="仿宋_GB2312" w:eastAsia="仿宋_GB2312"/>
        </w:rPr>
        <w:t>7、法定代表人授权委托书：法定代表人直接参加投标的须出具法定代表人身份证（须与营业执照上信息一致），法定代表人授权代表参加投标的须出具法定代表人授权书及授权代表身份证。</w:t>
      </w:r>
    </w:p>
    <w:p>
      <w:pPr>
        <w:pStyle w:val="null3"/>
      </w:pPr>
      <w:r>
        <w:rPr>
          <w:rFonts w:ascii="仿宋_GB2312" w:hAnsi="仿宋_GB2312" w:cs="仿宋_GB2312" w:eastAsia="仿宋_GB2312"/>
        </w:rPr>
        <w:t>8、控股、管理关系：单位负责人为同一人或者存在控股、管理关系的不同单位，不得同时参加同一项目的投标。</w:t>
      </w:r>
    </w:p>
    <w:p>
      <w:pPr>
        <w:pStyle w:val="null3"/>
      </w:pPr>
      <w:r>
        <w:rPr>
          <w:rFonts w:ascii="仿宋_GB2312" w:hAnsi="仿宋_GB2312" w:cs="仿宋_GB2312" w:eastAsia="仿宋_GB2312"/>
        </w:rPr>
        <w:t>9、联合体投标及分包：本项目不接受联合体投标，不允许分包。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西安市雁塔区人民法院[156]</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雁塔区翠华路369号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西安市雁塔区人民法院[156]经办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85431623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陕西瀚海昱源企业管理咨询有限公司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陕西省西安市高新区高新路枫叶大厦1幢C1301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陈恺、马超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13359182918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收取参考国家计委颁布的《招标代理服务收费管理暂行办法》（计价格[2002]1980号）和（发改办价格[2003]857号）文收费标准计取，2.单位名称：陕西瀚海昱源企业管理咨询有限公司 开户银行：招商银行股份有限公司西安分行营业部 银行账户：129914053710601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西安市雁塔区人民法院[156]</w:t>
      </w:r>
      <w:r>
        <w:rPr>
          <w:rFonts w:ascii="仿宋_GB2312" w:hAnsi="仿宋_GB2312" w:cs="仿宋_GB2312" w:eastAsia="仿宋_GB2312"/>
        </w:rPr>
        <w:t>和</w:t>
      </w:r>
      <w:r>
        <w:rPr>
          <w:rFonts w:ascii="仿宋_GB2312" w:hAnsi="仿宋_GB2312" w:cs="仿宋_GB2312" w:eastAsia="仿宋_GB2312"/>
        </w:rPr>
        <w:t>陕西瀚海昱源企业管理咨询有限公司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西安市雁塔区人民法院[156]</w:t>
      </w:r>
      <w:r>
        <w:rPr>
          <w:rFonts w:ascii="仿宋_GB2312" w:hAnsi="仿宋_GB2312" w:cs="仿宋_GB2312" w:eastAsia="仿宋_GB2312"/>
        </w:rPr>
        <w:t>负责解释。除上述磋商文件内容，其他内容由</w:t>
      </w:r>
      <w:r>
        <w:rPr>
          <w:rFonts w:ascii="仿宋_GB2312" w:hAnsi="仿宋_GB2312" w:cs="仿宋_GB2312" w:eastAsia="仿宋_GB2312"/>
        </w:rPr>
        <w:t>陕西瀚海昱源企业管理咨询有限公司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西安市雁塔区人民法院[156]</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陕西瀚海昱源企业管理咨询有限公司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以后续签定合同为准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联系人：陈恺</w:t>
      </w:r>
    </w:p>
    <w:p>
      <w:pPr>
        <w:pStyle w:val="null3"/>
      </w:pPr>
      <w:r>
        <w:rPr>
          <w:rFonts w:ascii="仿宋_GB2312" w:hAnsi="仿宋_GB2312" w:cs="仿宋_GB2312" w:eastAsia="仿宋_GB2312"/>
        </w:rPr>
        <w:t>联系电话：13359182918</w:t>
      </w:r>
    </w:p>
    <w:p>
      <w:pPr>
        <w:pStyle w:val="null3"/>
      </w:pPr>
      <w:r>
        <w:rPr>
          <w:rFonts w:ascii="仿宋_GB2312" w:hAnsi="仿宋_GB2312" w:cs="仿宋_GB2312" w:eastAsia="仿宋_GB2312"/>
        </w:rPr>
        <w:t>地址：西安市高新区高新路枫叶大厦C座1301室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规范我院档案管理工作，筑牢档案安全保管防线，切实保障各类档案资料的安全性、完整性、系统性与可追溯性，全面提升档案查阅、调阅、利用的便捷性与高效性。结合我院档案存量实际情况，现计划对我院共计约20800箱待寄存档案实施集中规范化托管工作。为满足档案长期安全存储、专业保管运维及规范化管理要求，现拟将待寄存的档案统一迁移、寄存并托管至资质齐全、设施完备、管理规范、符合国家档案保管标准的第三方专业档案库房，通过专业化、标准化、智能化的第三方档案托管寄存服务，彻底解决现有档案存储空间不足、保管条件有限、运维管理等问题，全方位提升我院档案管理规范化、精细化、专业化水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档案托管寄存服务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仓储业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标的名称：档案托管寄存服务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一、服务概况</w:t>
            </w:r>
          </w:p>
          <w:p>
            <w:pPr>
              <w:pStyle w:val="null3"/>
            </w:pPr>
            <w:r>
              <w:rPr>
                <w:rFonts w:ascii="仿宋_GB2312" w:hAnsi="仿宋_GB2312" w:cs="仿宋_GB2312" w:eastAsia="仿宋_GB2312"/>
                <w:sz w:val="21"/>
              </w:rPr>
              <w:t>为进一步规范我院档案管理工作，筑牢档案安全保管防线，切实保障各类档案资料的安全性、完整性、系统性与可追溯性，全面提升档案查阅、调阅、利用的便捷性与高效性。结合我院档案存量实际情况，现计划对</w:t>
            </w:r>
            <w:r>
              <w:rPr>
                <w:rFonts w:ascii="仿宋_GB2312" w:hAnsi="仿宋_GB2312" w:cs="仿宋_GB2312" w:eastAsia="仿宋_GB2312"/>
                <w:sz w:val="21"/>
              </w:rPr>
              <w:t>我院</w:t>
            </w:r>
            <w:r>
              <w:rPr>
                <w:rFonts w:ascii="仿宋_GB2312" w:hAnsi="仿宋_GB2312" w:cs="仿宋_GB2312" w:eastAsia="仿宋_GB2312"/>
                <w:sz w:val="21"/>
              </w:rPr>
              <w:t>共计约</w:t>
            </w:r>
            <w:r>
              <w:rPr>
                <w:rFonts w:ascii="仿宋_GB2312" w:hAnsi="仿宋_GB2312" w:cs="仿宋_GB2312" w:eastAsia="仿宋_GB2312"/>
                <w:sz w:val="21"/>
              </w:rPr>
              <w:t>20800</w:t>
            </w:r>
            <w:r>
              <w:rPr>
                <w:rFonts w:ascii="仿宋_GB2312" w:hAnsi="仿宋_GB2312" w:cs="仿宋_GB2312" w:eastAsia="仿宋_GB2312"/>
                <w:sz w:val="21"/>
              </w:rPr>
              <w:t>箱待寄存档案实施集中规范化托管工作。为满足档案长期安全存储、专业保管运维及规范化管理要求，</w:t>
            </w:r>
            <w:r>
              <w:rPr>
                <w:rFonts w:ascii="仿宋_GB2312" w:hAnsi="仿宋_GB2312" w:cs="仿宋_GB2312" w:eastAsia="仿宋_GB2312"/>
                <w:sz w:val="21"/>
              </w:rPr>
              <w:t>现</w:t>
            </w:r>
            <w:r>
              <w:rPr>
                <w:rFonts w:ascii="仿宋_GB2312" w:hAnsi="仿宋_GB2312" w:cs="仿宋_GB2312" w:eastAsia="仿宋_GB2312"/>
                <w:sz w:val="21"/>
              </w:rPr>
              <w:t>拟将</w:t>
            </w:r>
            <w:r>
              <w:rPr>
                <w:rFonts w:ascii="仿宋_GB2312" w:hAnsi="仿宋_GB2312" w:cs="仿宋_GB2312" w:eastAsia="仿宋_GB2312"/>
                <w:sz w:val="21"/>
              </w:rPr>
              <w:t>待寄存的</w:t>
            </w:r>
            <w:r>
              <w:rPr>
                <w:rFonts w:ascii="仿宋_GB2312" w:hAnsi="仿宋_GB2312" w:cs="仿宋_GB2312" w:eastAsia="仿宋_GB2312"/>
                <w:sz w:val="21"/>
              </w:rPr>
              <w:t>档案统一迁移、寄存并托管至资质齐全、设施完备、管理规范、符合国家档案保管标准的第三方专业档案库房，通过专业化、标准化、智能化的第三方档案托管服务，彻底解决现有档案存储空间不足、保管条件有限、运维管理等问题，全方位提升我院档案管理规范化、精细化、专业化水平。</w:t>
            </w:r>
          </w:p>
          <w:p>
            <w:pPr>
              <w:pStyle w:val="null3"/>
            </w:pPr>
            <w:r>
              <w:rPr>
                <w:rFonts w:ascii="仿宋_GB2312" w:hAnsi="仿宋_GB2312" w:cs="仿宋_GB2312" w:eastAsia="仿宋_GB2312"/>
                <w:sz w:val="21"/>
              </w:rPr>
              <w:t>本项目采购预算为人民币</w:t>
            </w:r>
            <w:r>
              <w:rPr>
                <w:rFonts w:ascii="仿宋_GB2312" w:hAnsi="仿宋_GB2312" w:cs="仿宋_GB2312" w:eastAsia="仿宋_GB2312"/>
                <w:sz w:val="21"/>
              </w:rPr>
              <w:t>100，0000元（大写：壹佰万元整），本项目采用固定单价合同模式，供应商最终报价不得超过本项目设定的最高</w:t>
            </w:r>
            <w:r>
              <w:rPr>
                <w:rFonts w:ascii="仿宋_GB2312" w:hAnsi="仿宋_GB2312" w:cs="仿宋_GB2312" w:eastAsia="仿宋_GB2312"/>
                <w:sz w:val="21"/>
              </w:rPr>
              <w:t>单价</w:t>
            </w:r>
            <w:r>
              <w:rPr>
                <w:rFonts w:ascii="仿宋_GB2312" w:hAnsi="仿宋_GB2312" w:cs="仿宋_GB2312" w:eastAsia="仿宋_GB2312"/>
                <w:sz w:val="21"/>
              </w:rPr>
              <w:t>限价。采购人结合本项目档案托管</w:t>
            </w:r>
            <w:r>
              <w:rPr>
                <w:rFonts w:ascii="仿宋_GB2312" w:hAnsi="仿宋_GB2312" w:cs="仿宋_GB2312" w:eastAsia="仿宋_GB2312"/>
                <w:sz w:val="21"/>
              </w:rPr>
              <w:t>数</w:t>
            </w:r>
            <w:r>
              <w:rPr>
                <w:rFonts w:ascii="仿宋_GB2312" w:hAnsi="仿宋_GB2312" w:cs="仿宋_GB2312" w:eastAsia="仿宋_GB2312"/>
                <w:sz w:val="21"/>
              </w:rPr>
              <w:t>量（约</w:t>
            </w:r>
            <w:r>
              <w:rPr>
                <w:rFonts w:ascii="仿宋_GB2312" w:hAnsi="仿宋_GB2312" w:cs="仿宋_GB2312" w:eastAsia="仿宋_GB2312"/>
                <w:sz w:val="21"/>
              </w:rPr>
              <w:t>20800</w:t>
            </w:r>
            <w:r>
              <w:rPr>
                <w:rFonts w:ascii="仿宋_GB2312" w:hAnsi="仿宋_GB2312" w:cs="仿宋_GB2312" w:eastAsia="仿宋_GB2312"/>
                <w:sz w:val="21"/>
              </w:rPr>
              <w:t>箱），设定档案托管单箱单价最高限价为</w:t>
            </w:r>
            <w:r>
              <w:rPr>
                <w:rFonts w:ascii="仿宋_GB2312" w:hAnsi="仿宋_GB2312" w:cs="仿宋_GB2312" w:eastAsia="仿宋_GB2312"/>
                <w:sz w:val="21"/>
              </w:rPr>
              <w:t>48</w:t>
            </w:r>
            <w:r>
              <w:rPr>
                <w:rFonts w:ascii="仿宋_GB2312" w:hAnsi="仿宋_GB2312" w:cs="仿宋_GB2312" w:eastAsia="仿宋_GB2312"/>
                <w:sz w:val="21"/>
              </w:rPr>
              <w:t>元</w:t>
            </w:r>
            <w:r>
              <w:rPr>
                <w:rFonts w:ascii="仿宋_GB2312" w:hAnsi="仿宋_GB2312" w:cs="仿宋_GB2312" w:eastAsia="仿宋_GB2312"/>
                <w:sz w:val="21"/>
              </w:rPr>
              <w:t>/箱</w:t>
            </w:r>
            <w:r>
              <w:rPr>
                <w:rFonts w:ascii="仿宋_GB2312" w:hAnsi="仿宋_GB2312" w:cs="仿宋_GB2312" w:eastAsia="仿宋_GB2312"/>
                <w:sz w:val="21"/>
              </w:rPr>
              <w:t>/年</w:t>
            </w:r>
            <w:r>
              <w:rPr>
                <w:rFonts w:ascii="仿宋_GB2312" w:hAnsi="仿宋_GB2312" w:cs="仿宋_GB2312" w:eastAsia="仿宋_GB2312"/>
                <w:sz w:val="21"/>
              </w:rPr>
              <w:t>（人民币）。</w:t>
            </w:r>
          </w:p>
          <w:p>
            <w:pPr>
              <w:pStyle w:val="null3"/>
            </w:pPr>
            <w:r>
              <w:rPr>
                <w:rFonts w:ascii="仿宋_GB2312" w:hAnsi="仿宋_GB2312" w:cs="仿宋_GB2312" w:eastAsia="仿宋_GB2312"/>
                <w:sz w:val="21"/>
              </w:rPr>
              <w:t>供应商须在上述单价限价范围内，结合项目实际服务内容及全部服务需求自主合理报价。本次报价为全费用综合单价，包含完成本项目全部服务内容所需的一切费用，采购人不再另行支付任何其他费用。</w:t>
            </w:r>
          </w:p>
          <w:p>
            <w:pPr>
              <w:pStyle w:val="null3"/>
            </w:pPr>
            <w:r>
              <w:rPr>
                <w:rFonts w:ascii="仿宋_GB2312" w:hAnsi="仿宋_GB2312" w:cs="仿宋_GB2312" w:eastAsia="仿宋_GB2312"/>
                <w:sz w:val="21"/>
              </w:rPr>
              <w:t>合同签订后，按照中标</w:t>
            </w:r>
            <w:r>
              <w:rPr>
                <w:rFonts w:ascii="仿宋_GB2312" w:hAnsi="仿宋_GB2312" w:cs="仿宋_GB2312" w:eastAsia="仿宋_GB2312"/>
                <w:sz w:val="21"/>
              </w:rPr>
              <w:t>单价</w:t>
            </w:r>
            <w:r>
              <w:rPr>
                <w:rFonts w:ascii="仿宋_GB2312" w:hAnsi="仿宋_GB2312" w:cs="仿宋_GB2312" w:eastAsia="仿宋_GB2312"/>
                <w:sz w:val="21"/>
              </w:rPr>
              <w:t>据实结算，直至本项目预算额度使用完毕，项目服务终止。</w:t>
            </w:r>
          </w:p>
          <w:p>
            <w:pPr>
              <w:pStyle w:val="null3"/>
            </w:pPr>
            <w:r>
              <w:rPr>
                <w:rFonts w:ascii="仿宋_GB2312" w:hAnsi="仿宋_GB2312" w:cs="仿宋_GB2312" w:eastAsia="仿宋_GB2312"/>
                <w:sz w:val="28"/>
                <w:b/>
              </w:rPr>
              <w:t>二、</w:t>
            </w:r>
            <w:r>
              <w:rPr>
                <w:rFonts w:ascii="仿宋_GB2312" w:hAnsi="仿宋_GB2312" w:cs="仿宋_GB2312" w:eastAsia="仿宋_GB2312"/>
                <w:sz w:val="28"/>
                <w:b/>
              </w:rPr>
              <w:t>服务内容</w:t>
            </w:r>
          </w:p>
          <w:p>
            <w:pPr>
              <w:pStyle w:val="null3"/>
              <w:jc w:val="both"/>
            </w:pPr>
            <w:r>
              <w:rPr>
                <w:rFonts w:ascii="仿宋_GB2312" w:hAnsi="仿宋_GB2312" w:cs="仿宋_GB2312" w:eastAsia="仿宋_GB2312"/>
                <w:sz w:val="21"/>
              </w:rPr>
              <w:t>1.工作区域：距西安市雁塔区人民法院车程两小时范围内。</w:t>
            </w:r>
          </w:p>
          <w:p>
            <w:pPr>
              <w:pStyle w:val="null3"/>
              <w:jc w:val="both"/>
            </w:pPr>
            <w:r>
              <w:rPr>
                <w:rFonts w:ascii="仿宋_GB2312" w:hAnsi="仿宋_GB2312" w:cs="仿宋_GB2312" w:eastAsia="仿宋_GB2312"/>
                <w:sz w:val="21"/>
              </w:rPr>
              <w:t>2.工作内容：</w:t>
            </w:r>
          </w:p>
          <w:p>
            <w:pPr>
              <w:pStyle w:val="null3"/>
              <w:jc w:val="both"/>
            </w:pPr>
            <w:r>
              <w:rPr>
                <w:rFonts w:ascii="仿宋_GB2312" w:hAnsi="仿宋_GB2312" w:cs="仿宋_GB2312" w:eastAsia="仿宋_GB2312"/>
                <w:sz w:val="21"/>
              </w:rPr>
              <w:t>2.1档案清理</w:t>
            </w:r>
          </w:p>
          <w:p>
            <w:pPr>
              <w:pStyle w:val="null3"/>
              <w:ind w:firstLine="420"/>
              <w:jc w:val="both"/>
            </w:pPr>
            <w:r>
              <w:rPr>
                <w:rFonts w:ascii="仿宋_GB2312" w:hAnsi="仿宋_GB2312" w:cs="仿宋_GB2312" w:eastAsia="仿宋_GB2312"/>
                <w:sz w:val="21"/>
              </w:rPr>
              <w:t>对原存放地点的大批量档案开展集中清点、整理、分类，对残损、混乱、重复的档案进行初步处理，确保档案内容齐全、条目清晰，符合统一保管标准。</w:t>
            </w:r>
          </w:p>
          <w:p>
            <w:pPr>
              <w:pStyle w:val="null3"/>
              <w:spacing w:before="255" w:after="255"/>
              <w:jc w:val="both"/>
              <w:outlineLvl w:val="1"/>
            </w:pPr>
            <w:r>
              <w:rPr>
                <w:rFonts w:ascii="仿宋_GB2312" w:hAnsi="仿宋_GB2312" w:cs="仿宋_GB2312" w:eastAsia="仿宋_GB2312"/>
                <w:sz w:val="21"/>
                <w:b/>
              </w:rPr>
              <w:t>2.2档案装箱</w:t>
            </w:r>
          </w:p>
          <w:p>
            <w:pPr>
              <w:pStyle w:val="null3"/>
              <w:ind w:firstLine="420"/>
              <w:jc w:val="both"/>
            </w:pPr>
            <w:r>
              <w:rPr>
                <w:rFonts w:ascii="仿宋_GB2312" w:hAnsi="仿宋_GB2312" w:cs="仿宋_GB2312" w:eastAsia="仿宋_GB2312"/>
                <w:sz w:val="21"/>
              </w:rPr>
              <w:t>将整理完毕的档案按照分类编号规则装入专业档案箱，粘贴档案箱标签，并建立对应档案目录清单，确保装箱有序、可追溯。</w:t>
            </w:r>
          </w:p>
          <w:p>
            <w:pPr>
              <w:pStyle w:val="null3"/>
              <w:numPr>
                <w:ilvl w:val="0"/>
                <w:numId w:val="1"/>
              </w:numPr>
              <w:jc w:val="both"/>
            </w:pPr>
            <w:r>
              <w:rPr>
                <w:rFonts w:ascii="仿宋_GB2312" w:hAnsi="仿宋_GB2312" w:cs="仿宋_GB2312" w:eastAsia="仿宋_GB2312"/>
                <w:sz w:val="21"/>
              </w:rPr>
              <w:t>档案存储</w:t>
            </w:r>
          </w:p>
          <w:p>
            <w:pPr>
              <w:pStyle w:val="null3"/>
              <w:ind w:firstLine="420"/>
              <w:jc w:val="both"/>
            </w:pPr>
            <w:r>
              <w:rPr>
                <w:rFonts w:ascii="仿宋_GB2312" w:hAnsi="仿宋_GB2312" w:cs="仿宋_GB2312" w:eastAsia="仿宋_GB2312"/>
                <w:sz w:val="21"/>
              </w:rPr>
              <w:t>使用标准专业档案箱存放至专用库房的密集架或货架中，完成集中批量上架管理。库房应满足</w:t>
            </w:r>
            <w:r>
              <w:rPr>
                <w:rFonts w:ascii="仿宋_GB2312" w:hAnsi="仿宋_GB2312" w:cs="仿宋_GB2312" w:eastAsia="仿宋_GB2312"/>
                <w:sz w:val="21"/>
              </w:rPr>
              <w:t>“十防”要求，确保长期存放安全。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档案调阅</w:t>
            </w:r>
          </w:p>
          <w:p>
            <w:pPr>
              <w:pStyle w:val="null3"/>
              <w:ind w:firstLine="210"/>
              <w:jc w:val="both"/>
            </w:pPr>
            <w:r>
              <w:rPr>
                <w:rFonts w:ascii="仿宋_GB2312" w:hAnsi="仿宋_GB2312" w:cs="仿宋_GB2312" w:eastAsia="仿宋_GB2312"/>
                <w:sz w:val="21"/>
              </w:rPr>
              <w:t>为采购人提供集中入库档案的查阅服务，按照调阅申请提供调出、查阅、归还等全流程记录，保证调阅便捷、可控、留痕。</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档案箱规格</w:t>
            </w:r>
          </w:p>
          <w:p>
            <w:pPr>
              <w:pStyle w:val="null3"/>
              <w:jc w:val="both"/>
            </w:pPr>
            <w:r>
              <w:rPr>
                <w:rFonts w:ascii="仿宋_GB2312" w:hAnsi="仿宋_GB2312" w:cs="仿宋_GB2312" w:eastAsia="仿宋_GB2312"/>
                <w:sz w:val="21"/>
              </w:rPr>
              <w:t>不小于</w:t>
            </w:r>
            <w:r>
              <w:rPr>
                <w:rFonts w:ascii="仿宋_GB2312" w:hAnsi="仿宋_GB2312" w:cs="仿宋_GB2312" w:eastAsia="仿宋_GB2312"/>
                <w:sz w:val="21"/>
              </w:rPr>
              <w:t>41*33*25立方厘米。免费实体配送借阅服务每年不少于60次</w:t>
            </w:r>
          </w:p>
          <w:p>
            <w:pPr>
              <w:pStyle w:val="null3"/>
            </w:pPr>
            <w:r>
              <w:rPr>
                <w:rFonts w:ascii="仿宋_GB2312" w:hAnsi="仿宋_GB2312" w:cs="仿宋_GB2312" w:eastAsia="仿宋_GB2312"/>
                <w:sz w:val="28"/>
                <w:b/>
              </w:rPr>
              <w:t>三、</w:t>
            </w:r>
            <w:r>
              <w:rPr>
                <w:rFonts w:ascii="仿宋_GB2312" w:hAnsi="仿宋_GB2312" w:cs="仿宋_GB2312" w:eastAsia="仿宋_GB2312"/>
                <w:sz w:val="28"/>
                <w:b/>
              </w:rPr>
              <w:t>技术要求</w:t>
            </w:r>
          </w:p>
          <w:p>
            <w:pPr>
              <w:pStyle w:val="null3"/>
              <w:jc w:val="left"/>
            </w:pPr>
            <w:r>
              <w:rPr>
                <w:rFonts w:ascii="仿宋_GB2312" w:hAnsi="仿宋_GB2312" w:cs="仿宋_GB2312" w:eastAsia="仿宋_GB2312"/>
                <w:sz w:val="21"/>
              </w:rPr>
              <w:t>1、库房符合国家相关法律法规要求</w:t>
            </w:r>
          </w:p>
          <w:p>
            <w:pPr>
              <w:pStyle w:val="null3"/>
              <w:jc w:val="left"/>
            </w:pPr>
            <w:r>
              <w:rPr>
                <w:rFonts w:ascii="仿宋_GB2312" w:hAnsi="仿宋_GB2312" w:cs="仿宋_GB2312" w:eastAsia="仿宋_GB2312"/>
                <w:sz w:val="21"/>
              </w:rPr>
              <w:t>1.1《社会保管服务机构管理规范》</w:t>
            </w:r>
          </w:p>
          <w:p>
            <w:pPr>
              <w:pStyle w:val="null3"/>
              <w:jc w:val="left"/>
            </w:pPr>
            <w:r>
              <w:rPr>
                <w:rFonts w:ascii="仿宋_GB2312" w:hAnsi="仿宋_GB2312" w:cs="仿宋_GB2312" w:eastAsia="仿宋_GB2312"/>
                <w:sz w:val="21"/>
              </w:rPr>
              <w:t>1.2.《档案服务外包工作规范》DA/T68-2017</w:t>
            </w:r>
          </w:p>
          <w:p>
            <w:pPr>
              <w:pStyle w:val="null3"/>
              <w:jc w:val="left"/>
            </w:pPr>
            <w:r>
              <w:rPr>
                <w:rFonts w:ascii="仿宋_GB2312" w:hAnsi="仿宋_GB2312" w:cs="仿宋_GB2312" w:eastAsia="仿宋_GB2312"/>
                <w:sz w:val="21"/>
              </w:rPr>
              <w:t>1.3.《档案保管外包服务管理规范》</w:t>
            </w:r>
          </w:p>
          <w:p>
            <w:pPr>
              <w:pStyle w:val="null3"/>
              <w:jc w:val="left"/>
            </w:pPr>
            <w:r>
              <w:rPr>
                <w:rFonts w:ascii="仿宋_GB2312" w:hAnsi="仿宋_GB2312" w:cs="仿宋_GB2312" w:eastAsia="仿宋_GB2312"/>
                <w:sz w:val="21"/>
              </w:rPr>
              <w:t>2、库房存放标准要求</w:t>
            </w:r>
          </w:p>
          <w:p>
            <w:pPr>
              <w:pStyle w:val="null3"/>
              <w:jc w:val="left"/>
            </w:pPr>
            <w:r>
              <w:rPr>
                <w:rFonts w:ascii="仿宋_GB2312" w:hAnsi="仿宋_GB2312" w:cs="仿宋_GB2312" w:eastAsia="仿宋_GB2312"/>
                <w:sz w:val="21"/>
              </w:rPr>
              <w:t>①档案存放要求密集架或货架保存。</w:t>
            </w:r>
          </w:p>
          <w:p>
            <w:pPr>
              <w:pStyle w:val="null3"/>
              <w:jc w:val="left"/>
            </w:pPr>
            <w:r>
              <w:rPr>
                <w:rFonts w:ascii="仿宋_GB2312" w:hAnsi="仿宋_GB2312" w:cs="仿宋_GB2312" w:eastAsia="仿宋_GB2312"/>
                <w:sz w:val="21"/>
              </w:rPr>
              <w:t>②档案存放库房达到“十防”安全防护标准：防火、防潮、防高低温、防尘、防鼠、防盗、防光、防虫、防水、防污染。</w:t>
            </w:r>
          </w:p>
          <w:p>
            <w:pPr>
              <w:pStyle w:val="null3"/>
              <w:jc w:val="left"/>
            </w:pPr>
            <w:r>
              <w:rPr>
                <w:rFonts w:ascii="仿宋_GB2312" w:hAnsi="仿宋_GB2312" w:cs="仿宋_GB2312" w:eastAsia="仿宋_GB2312"/>
                <w:sz w:val="21"/>
              </w:rPr>
              <w:t>3、库房智能安全防护系统管理要求</w:t>
            </w:r>
          </w:p>
          <w:p>
            <w:pPr>
              <w:pStyle w:val="null3"/>
              <w:jc w:val="left"/>
            </w:pPr>
            <w:r>
              <w:rPr>
                <w:rFonts w:ascii="仿宋_GB2312" w:hAnsi="仿宋_GB2312" w:cs="仿宋_GB2312" w:eastAsia="仿宋_GB2312"/>
                <w:sz w:val="21"/>
              </w:rPr>
              <w:t>①自动防火报警系统</w:t>
            </w:r>
          </w:p>
          <w:p>
            <w:pPr>
              <w:pStyle w:val="null3"/>
              <w:jc w:val="left"/>
            </w:pPr>
            <w:r>
              <w:rPr>
                <w:rFonts w:ascii="仿宋_GB2312" w:hAnsi="仿宋_GB2312" w:cs="仿宋_GB2312" w:eastAsia="仿宋_GB2312"/>
                <w:sz w:val="21"/>
              </w:rPr>
              <w:t>②温湿度自动控制系统</w:t>
            </w:r>
          </w:p>
          <w:p>
            <w:pPr>
              <w:pStyle w:val="null3"/>
              <w:jc w:val="left"/>
            </w:pPr>
            <w:r>
              <w:rPr>
                <w:rFonts w:ascii="仿宋_GB2312" w:hAnsi="仿宋_GB2312" w:cs="仿宋_GB2312" w:eastAsia="仿宋_GB2312"/>
                <w:sz w:val="21"/>
              </w:rPr>
              <w:t>③自动防盗报警系统</w:t>
            </w:r>
          </w:p>
          <w:p>
            <w:pPr>
              <w:pStyle w:val="null3"/>
              <w:jc w:val="left"/>
            </w:pPr>
            <w:r>
              <w:rPr>
                <w:rFonts w:ascii="仿宋_GB2312" w:hAnsi="仿宋_GB2312" w:cs="仿宋_GB2312" w:eastAsia="仿宋_GB2312"/>
                <w:sz w:val="21"/>
              </w:rPr>
              <w:t>④门禁系统</w:t>
            </w:r>
          </w:p>
          <w:p>
            <w:pPr>
              <w:pStyle w:val="null3"/>
              <w:jc w:val="left"/>
            </w:pPr>
            <w:r>
              <w:rPr>
                <w:rFonts w:ascii="仿宋_GB2312" w:hAnsi="仿宋_GB2312" w:cs="仿宋_GB2312" w:eastAsia="仿宋_GB2312"/>
                <w:b/>
              </w:rPr>
              <w:t>四、服务要求</w:t>
            </w:r>
          </w:p>
          <w:p>
            <w:pPr>
              <w:pStyle w:val="null3"/>
              <w:jc w:val="left"/>
            </w:pPr>
            <w:r>
              <w:rPr>
                <w:rFonts w:ascii="仿宋_GB2312" w:hAnsi="仿宋_GB2312" w:cs="仿宋_GB2312" w:eastAsia="仿宋_GB2312"/>
                <w:sz w:val="21"/>
              </w:rPr>
              <w:t>1.人员配备</w:t>
            </w:r>
          </w:p>
          <w:p>
            <w:pPr>
              <w:pStyle w:val="null3"/>
              <w:jc w:val="left"/>
            </w:pPr>
            <w:r>
              <w:rPr>
                <w:rFonts w:ascii="仿宋_GB2312" w:hAnsi="仿宋_GB2312" w:cs="仿宋_GB2312" w:eastAsia="仿宋_GB2312"/>
                <w:sz w:val="21"/>
              </w:rPr>
              <w:t>投标人应结合本项目档案数量大、整理工作量集中的特点，组建一支具备档案整理、数据编目、运输和库房管理等全流程经验的专业服务团队。</w:t>
            </w:r>
          </w:p>
          <w:p>
            <w:pPr>
              <w:pStyle w:val="null3"/>
              <w:jc w:val="left"/>
            </w:pPr>
            <w:r>
              <w:rPr>
                <w:rFonts w:ascii="仿宋_GB2312" w:hAnsi="仿宋_GB2312" w:cs="仿宋_GB2312" w:eastAsia="仿宋_GB2312"/>
                <w:sz w:val="21"/>
              </w:rPr>
              <w:t>1.1项目负责人应具备丰富的档案管理经验和协调能力，负责统筹项目整体推进。</w:t>
            </w:r>
          </w:p>
          <w:p>
            <w:pPr>
              <w:pStyle w:val="null3"/>
              <w:jc w:val="left"/>
            </w:pPr>
            <w:r>
              <w:rPr>
                <w:rFonts w:ascii="仿宋_GB2312" w:hAnsi="仿宋_GB2312" w:cs="仿宋_GB2312" w:eastAsia="仿宋_GB2312"/>
                <w:sz w:val="21"/>
              </w:rPr>
              <w:t>1.2配备充足的档案整理人员，确保在规定时间内完成档案清理、装箱和入库。</w:t>
            </w:r>
          </w:p>
          <w:p>
            <w:pPr>
              <w:pStyle w:val="null3"/>
              <w:jc w:val="left"/>
            </w:pPr>
            <w:r>
              <w:rPr>
                <w:rFonts w:ascii="仿宋_GB2312" w:hAnsi="仿宋_GB2312" w:cs="仿宋_GB2312" w:eastAsia="仿宋_GB2312"/>
                <w:sz w:val="21"/>
              </w:rPr>
              <w:t>1.3所有人员应熟悉档案管理规范，具备良好的保密意识和职业素养。2.制度标准</w:t>
            </w:r>
          </w:p>
          <w:p>
            <w:pPr>
              <w:pStyle w:val="null3"/>
              <w:jc w:val="left"/>
            </w:pPr>
            <w:r>
              <w:rPr>
                <w:rFonts w:ascii="仿宋_GB2312" w:hAnsi="仿宋_GB2312" w:cs="仿宋_GB2312" w:eastAsia="仿宋_GB2312"/>
                <w:sz w:val="21"/>
              </w:rPr>
              <w:t>1.1《社会保管服务机构管理规范》</w:t>
            </w:r>
          </w:p>
          <w:p>
            <w:pPr>
              <w:pStyle w:val="null3"/>
              <w:jc w:val="left"/>
            </w:pPr>
            <w:r>
              <w:rPr>
                <w:rFonts w:ascii="仿宋_GB2312" w:hAnsi="仿宋_GB2312" w:cs="仿宋_GB2312" w:eastAsia="仿宋_GB2312"/>
                <w:sz w:val="21"/>
              </w:rPr>
              <w:t>1.2.《档案服务外包工作规范》DA/T68-2017</w:t>
            </w:r>
          </w:p>
          <w:p>
            <w:pPr>
              <w:pStyle w:val="null3"/>
              <w:jc w:val="left"/>
            </w:pPr>
            <w:r>
              <w:rPr>
                <w:rFonts w:ascii="仿宋_GB2312" w:hAnsi="仿宋_GB2312" w:cs="仿宋_GB2312" w:eastAsia="仿宋_GB2312"/>
                <w:sz w:val="21"/>
              </w:rPr>
              <w:t>1.3.《档案保管外包服务管理规范》</w:t>
            </w:r>
          </w:p>
          <w:p>
            <w:pPr>
              <w:pStyle w:val="null3"/>
              <w:jc w:val="left"/>
            </w:pPr>
            <w:r>
              <w:rPr>
                <w:rFonts w:ascii="仿宋_GB2312" w:hAnsi="仿宋_GB2312" w:cs="仿宋_GB2312" w:eastAsia="仿宋_GB2312"/>
                <w:sz w:val="21"/>
              </w:rPr>
              <w:t>制定与本项目匹配的工作流程制度，包括档案清点验收制度、整理与装箱操作规程、库房管理制度、安全巡检制度、档案调阅登记制度等，确保服务全过程规范有序、质量可控。</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进度要求：1.合同签订后十五日内完成档案的清理装箱工作； 2.合同签订后一个月完成档案的入库保存。 成果交付要求：1.原始材料 ①装箱清单 ②档案出库确认单 ③档案交接文据 ④档案递送服务清单 合同执行以中标单价结合实际产生量核算，本合同以项目预算总金额用完为止作为合同到期的核心标准。预计服务期时长约为1年(根据实际托管数量、托管单价确认)，自合同签订生效之日起计算，至项目预算总金额使用完毕既合同终止(即使未满1年亦视为到期)。若服务期满1年但项目预算总金额仍有剩余，双方可协商签订补充协议或按实际结算终止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合同服务期约为一年，按照中标单价据实结算，直至项目预算金额用完为止。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符合《档案保管外包服务管理规范》《人民法院诉讼档案管理办法》等相关法律、法规标准要求。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进度款，项目实施过程中，根据实施进度验收，验收由乙方提出书面申请报告，甲方确认签字后进行结算，达到付款条件起15个工作日内，支付合同总金额的40.0%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按《中华人民共和国民法典》《中华人民共和国档案法》等相关法律条款执行。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1.供应商最后报价时同步上传“最后分项报价表”至附件。 2.中标供应商在采购结果发布后3个工作日内向代理机构提交纸质版响应文件以便于存档，响应文件正本1份，副本1份，电子版文件2份（以U盘为载体，电子版内容包括Word版本、签字盖章扫描后的PDF版本响应文件）。纸质响应文件均须A4纸打印，分别各自装订成册并编制目录和页码并加盖鲜章。 3.线下递交响应文件地点：西安市雁塔区高新路枫叶大厦C座1301室。 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供应商需提供具有财务审计资质单位出具的2025年度财务报告或开标前六个月内其基 本账户银行出具的资信证明或财政部门认可的 政府采购专业担保机构出具的担保函，以上形 式的证明资料提供任何一种即可。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 2025年11月1日以来至少一个月 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提供已缴纳的 2025年11月1日以来至少一个月 的社会保障资金缴存单据或社保机构开具的社会保险参保缴费情况证明。成立时间至提交投标文件截止时间不足一个月或依法不需要缴纳社会保障资金的投标人应提供相关文件证明。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法定代表人直接参加投标的须出具法定代表人身份证（须与营业执照上信息一致），法定代表人授权代表参加投标的须出具法定代表人授权书及授权代表身份证。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单位负责人为同一人或者存在控股、管理关系的不同单位，不得同时参加同一项目的投标。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联合体投标及分包</w:t>
            </w:r>
          </w:p>
        </w:tc>
        <w:tc>
          <w:tcPr>
            <w:tcW w:type="dxa" w:w="3322"/>
          </w:tcPr>
          <w:p>
            <w:pPr>
              <w:pStyle w:val="null3"/>
            </w:pPr>
            <w:r>
              <w:rPr>
                <w:rFonts w:ascii="仿宋_GB2312" w:hAnsi="仿宋_GB2312" w:cs="仿宋_GB2312" w:eastAsia="仿宋_GB2312"/>
              </w:rPr>
              <w:t>本项目不接受联合体投标，不允许分包。</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响应文件应按要求加盖公章或签字</w:t>
            </w:r>
          </w:p>
        </w:tc>
        <w:tc>
          <w:tcPr>
            <w:tcW w:type="dxa" w:w="1661"/>
          </w:tcPr>
          <w:p>
            <w:pPr>
              <w:pStyle w:val="null3"/>
            </w:pPr>
            <w:r>
              <w:rPr>
                <w:rFonts w:ascii="仿宋_GB2312" w:hAnsi="仿宋_GB2312" w:cs="仿宋_GB2312" w:eastAsia="仿宋_GB2312"/>
              </w:rPr>
              <w:t>投标方案.docx 业绩一览表.docx 偏离表..docx 中小企业声明函 报价表 首次分项报价表.docx 响应文件封面 最后分项报价表.docx 残疾人福利性单位声明函 标的清单 供应商应提交的相关资格证明材料..docx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投标报价不能超出采购预算</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监狱企业的证明文件 首次分项报价表.docx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响应文件有效期满足招标文件的要求</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满足服务期要求且服务方案能达到采购要求</w:t>
            </w:r>
          </w:p>
        </w:tc>
        <w:tc>
          <w:tcPr>
            <w:tcW w:type="dxa" w:w="1661"/>
          </w:tcPr>
          <w:p>
            <w:pPr>
              <w:pStyle w:val="null3"/>
            </w:pPr>
            <w:r>
              <w:rPr>
                <w:rFonts w:ascii="仿宋_GB2312" w:hAnsi="仿宋_GB2312" w:cs="仿宋_GB2312" w:eastAsia="仿宋_GB2312"/>
              </w:rPr>
              <w:t>响应文件封面 投标方案.docx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不得存在的情形</w:t>
            </w:r>
          </w:p>
        </w:tc>
        <w:tc>
          <w:tcPr>
            <w:tcW w:type="dxa" w:w="3322"/>
          </w:tcPr>
          <w:p>
            <w:pPr>
              <w:pStyle w:val="null3"/>
            </w:pPr>
            <w:r>
              <w:rPr>
                <w:rFonts w:ascii="仿宋_GB2312" w:hAnsi="仿宋_GB2312" w:cs="仿宋_GB2312" w:eastAsia="仿宋_GB2312"/>
              </w:rPr>
              <w:t>供应商无相关法律法规及招标文件规定的不得存在的情形</w:t>
            </w:r>
          </w:p>
        </w:tc>
        <w:tc>
          <w:tcPr>
            <w:tcW w:type="dxa" w:w="1661"/>
          </w:tcPr>
          <w:p>
            <w:pPr>
              <w:pStyle w:val="null3"/>
            </w:pPr>
            <w:r>
              <w:rPr>
                <w:rFonts w:ascii="仿宋_GB2312" w:hAnsi="仿宋_GB2312" w:cs="仿宋_GB2312" w:eastAsia="仿宋_GB2312"/>
              </w:rPr>
              <w:t>响应文件封面 投标方案.docx 业绩一览表.docx 偏离表..docx 中小企业声明函 残疾人福利性单位声明函 标的清单 报价表 供应商应提交的相关资格证明材料..docx 响应函 监狱企业的证明文件 首次分项报价表.docx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供应商需具有近三年（2023年5月1日至今），具有档案托管类业绩，每个计1分，最高计5分。（需提供合同复印件加盖公章及中标通知书）</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1.参与本项目的项目经理具备高级及以上档案管理职称证书，得2分。 2.项目经理具有类似项目经验，每提供1个得1分，最高2分； 3.服务人员具有档案或保密相关证书，每个1分，最高3分； 4.服务人员具有档案初级及以上职称，每个0.5分，最高3分。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偏离表..docx</w:t>
            </w:r>
          </w:p>
        </w:tc>
      </w:tr>
      <w:tr>
        <w:tc>
          <w:tcPr>
            <w:tcW w:type="dxa" w:w="831"/>
            <w:vMerge/>
          </w:tcPr>
          <w:p/>
        </w:tc>
        <w:tc>
          <w:tcPr>
            <w:tcW w:type="dxa" w:w="1661"/>
          </w:tcPr>
          <w:p>
            <w:pPr>
              <w:pStyle w:val="null3"/>
            </w:pPr>
            <w:r>
              <w:rPr>
                <w:rFonts w:ascii="仿宋_GB2312" w:hAnsi="仿宋_GB2312" w:cs="仿宋_GB2312" w:eastAsia="仿宋_GB2312"/>
              </w:rPr>
              <w:t>整理编目方案</w:t>
            </w:r>
          </w:p>
        </w:tc>
        <w:tc>
          <w:tcPr>
            <w:tcW w:type="dxa" w:w="2492"/>
          </w:tcPr>
          <w:p>
            <w:pPr>
              <w:pStyle w:val="null3"/>
            </w:pPr>
            <w:r>
              <w:rPr>
                <w:rFonts w:ascii="仿宋_GB2312" w:hAnsi="仿宋_GB2312" w:cs="仿宋_GB2312" w:eastAsia="仿宋_GB2312"/>
              </w:rPr>
              <w:t>1.包含清理、分类、编目、装箱完整步骤得 1分； 2.明确分类标准及编目规范得 1分； 3.明确装箱方式及编号规则得 1分； 4.目录制作与数据对接方案可行得 1分； 5.具有质量自检机制得 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偏离表..docx</w:t>
            </w:r>
          </w:p>
        </w:tc>
      </w:tr>
      <w:tr>
        <w:tc>
          <w:tcPr>
            <w:tcW w:type="dxa" w:w="831"/>
            <w:vMerge/>
          </w:tcPr>
          <w:p/>
        </w:tc>
        <w:tc>
          <w:tcPr>
            <w:tcW w:type="dxa" w:w="1661"/>
          </w:tcPr>
          <w:p>
            <w:pPr>
              <w:pStyle w:val="null3"/>
            </w:pPr>
            <w:r>
              <w:rPr>
                <w:rFonts w:ascii="仿宋_GB2312" w:hAnsi="仿宋_GB2312" w:cs="仿宋_GB2312" w:eastAsia="仿宋_GB2312"/>
              </w:rPr>
              <w:t>库房环境</w:t>
            </w:r>
          </w:p>
        </w:tc>
        <w:tc>
          <w:tcPr>
            <w:tcW w:type="dxa" w:w="2492"/>
          </w:tcPr>
          <w:p>
            <w:pPr>
              <w:pStyle w:val="null3"/>
            </w:pPr>
            <w:r>
              <w:rPr>
                <w:rFonts w:ascii="仿宋_GB2312" w:hAnsi="仿宋_GB2312" w:cs="仿宋_GB2312" w:eastAsia="仿宋_GB2312"/>
              </w:rPr>
              <w:t>1.温湿度管理有专业设备（精密空调/除湿机等）及自动监测手段计 2分； 2.防火、防潮、防霉、防尘、防鼠、防盗、防光、防虫、防水、防有害气体“十防”有具体设施及制度，每缺一防扣0.3分，扣完为止，计 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接收运输方案</w:t>
            </w:r>
          </w:p>
        </w:tc>
        <w:tc>
          <w:tcPr>
            <w:tcW w:type="dxa" w:w="2492"/>
          </w:tcPr>
          <w:p>
            <w:pPr>
              <w:pStyle w:val="null3"/>
            </w:pPr>
            <w:r>
              <w:rPr>
                <w:rFonts w:ascii="仿宋_GB2312" w:hAnsi="仿宋_GB2312" w:cs="仿宋_GB2312" w:eastAsia="仿宋_GB2312"/>
              </w:rPr>
              <w:t>1.流程包含收箱、封箱及双人交接签收计 2分； 2.运输使用全封闭厢式车，具备防潮、防遗失措施计 2分； 3.明确运输过程中的安全责任边界计 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1.对法院档案现状、敏感性及风险点分析准确计 4分； 2.整体服务目标分阶段明确、思路清晰计 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偏离表..docx</w:t>
            </w:r>
          </w:p>
        </w:tc>
      </w:tr>
      <w:tr>
        <w:tc>
          <w:tcPr>
            <w:tcW w:type="dxa" w:w="831"/>
            <w:vMerge/>
          </w:tcPr>
          <w:p/>
        </w:tc>
        <w:tc>
          <w:tcPr>
            <w:tcW w:type="dxa" w:w="1661"/>
          </w:tcPr>
          <w:p>
            <w:pPr>
              <w:pStyle w:val="null3"/>
            </w:pPr>
            <w:r>
              <w:rPr>
                <w:rFonts w:ascii="仿宋_GB2312" w:hAnsi="仿宋_GB2312" w:cs="仿宋_GB2312" w:eastAsia="仿宋_GB2312"/>
              </w:rPr>
              <w:t>流程与实施</w:t>
            </w:r>
          </w:p>
        </w:tc>
        <w:tc>
          <w:tcPr>
            <w:tcW w:type="dxa" w:w="2492"/>
          </w:tcPr>
          <w:p>
            <w:pPr>
              <w:pStyle w:val="null3"/>
            </w:pPr>
            <w:r>
              <w:rPr>
                <w:rFonts w:ascii="仿宋_GB2312" w:hAnsi="仿宋_GB2312" w:cs="仿宋_GB2312" w:eastAsia="仿宋_GB2312"/>
              </w:rPr>
              <w:t>1.包含前期整理的资源投入（工具、耗材清单）计 3分； 2.时间进度安排具体到周/日且有横道图计 3分； 质量控制点（QC）及各工序责任人明确计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应急处置能力</w:t>
            </w:r>
          </w:p>
        </w:tc>
        <w:tc>
          <w:tcPr>
            <w:tcW w:type="dxa" w:w="2492"/>
          </w:tcPr>
          <w:p>
            <w:pPr>
              <w:pStyle w:val="null3"/>
            </w:pPr>
            <w:r>
              <w:rPr>
                <w:rFonts w:ascii="仿宋_GB2312" w:hAnsi="仿宋_GB2312" w:cs="仿宋_GB2312" w:eastAsia="仿宋_GB2312"/>
              </w:rPr>
              <w:t>1.针对档案虫蛀、发霉、水渍损毁有专项修复及紧急隔离抢救流程计 6分； 2.突发事件响应时间（如：1小时内响应）及应急人员专项配置 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保密与安全</w:t>
            </w:r>
          </w:p>
        </w:tc>
        <w:tc>
          <w:tcPr>
            <w:tcW w:type="dxa" w:w="2492"/>
          </w:tcPr>
          <w:p>
            <w:pPr>
              <w:pStyle w:val="null3"/>
            </w:pPr>
            <w:r>
              <w:rPr>
                <w:rFonts w:ascii="仿宋_GB2312" w:hAnsi="仿宋_GB2312" w:cs="仿宋_GB2312" w:eastAsia="仿宋_GB2312"/>
              </w:rPr>
              <w:t>1.提供保密协议模板及拟派人员背景调查管理制度计 4分； 2.信息系统存取权限设置及操作痕迹留存机制计 4分； 3.档案物理存放的独立隔离措施及视频监控存储期限计 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团队组织与监控</w:t>
            </w:r>
          </w:p>
        </w:tc>
        <w:tc>
          <w:tcPr>
            <w:tcW w:type="dxa" w:w="2492"/>
          </w:tcPr>
          <w:p>
            <w:pPr>
              <w:pStyle w:val="null3"/>
            </w:pPr>
            <w:r>
              <w:rPr>
                <w:rFonts w:ascii="仿宋_GB2312" w:hAnsi="仿宋_GB2312" w:cs="仿宋_GB2312" w:eastAsia="仿宋_GB2312"/>
              </w:rPr>
              <w:t>1.分组明确（整理组、管理组、安保组等）且职责清晰计 2分； 2.提供详细的库房日常巡检及驻点服务计划计 2分； 3.具备多级质量监控审核机制计 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售后与维护</w:t>
            </w:r>
          </w:p>
        </w:tc>
        <w:tc>
          <w:tcPr>
            <w:tcW w:type="dxa" w:w="2492"/>
          </w:tcPr>
          <w:p>
            <w:pPr>
              <w:pStyle w:val="null3"/>
            </w:pPr>
            <w:r>
              <w:rPr>
                <w:rFonts w:ascii="仿宋_GB2312" w:hAnsi="仿宋_GB2312" w:cs="仿宋_GB2312" w:eastAsia="仿宋_GB2312"/>
              </w:rPr>
              <w:t>1.档案接收后有定期的实物盘点机制得 1.5分； 2.库房设施设备有巡检维保计划得 1.5分； 3.明确档案调阅、出库、归还的响应流程及时限得 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核心服务承诺</w:t>
            </w:r>
          </w:p>
        </w:tc>
        <w:tc>
          <w:tcPr>
            <w:tcW w:type="dxa" w:w="2492"/>
          </w:tcPr>
          <w:p>
            <w:pPr>
              <w:pStyle w:val="null3"/>
            </w:pPr>
            <w:r>
              <w:rPr>
                <w:rFonts w:ascii="仿宋_GB2312" w:hAnsi="仿宋_GB2312" w:cs="仿宋_GB2312" w:eastAsia="仿宋_GB2312"/>
              </w:rPr>
              <w:t>1.承诺档案实体完好率100%计 1分； 2.承诺温湿度环境波动在国家标准范围内计 1分； 3. 提供年度安全检查报告及调阅响应时限承诺计 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1.提出分阶段入库优化建议计1分； 2.档案清点抽查或快速查找机制建议计 1分； 3.库容预警或数字化管理建议计 1分； 4.针对档案全生命周期的其他便捷建议计 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满足磋商文件要求且最终报价最低的供应商的价格为磋商基准价，其价格分为满分。其他供应商的价格分统一按照下列公式计算：磋商报价得分=（磋商基准价/最终磋商报价）×价格权值； 本项目专门面向中小企业采购、不再给予价格优惠。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详见附件：首次分项报价表.docx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详见附件：最后分项报价表.docx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