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20BF1">
      <w:pPr>
        <w:autoSpaceDE w:val="0"/>
        <w:autoSpaceDN w:val="0"/>
        <w:adjustRightInd w:val="0"/>
        <w:snapToGrid w:val="0"/>
        <w:spacing w:line="360" w:lineRule="auto"/>
        <w:rPr>
          <w:rFonts w:hint="eastAsia" w:ascii="仿宋" w:hAnsi="仿宋" w:eastAsia="仿宋" w:cs="仿宋"/>
          <w:color w:val="auto"/>
          <w:highlight w:val="none"/>
          <w:lang w:val="en-US" w:eastAsia="zh-CN"/>
        </w:rPr>
      </w:pPr>
    </w:p>
    <w:p w14:paraId="1BB68537">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政府采购项目</w:t>
      </w:r>
    </w:p>
    <w:p w14:paraId="657ADF84">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采购项目编号：SCZD2026-ZB-1877</w:t>
      </w:r>
      <w:r>
        <w:rPr>
          <w:rFonts w:hint="eastAsia" w:ascii="仿宋" w:hAnsi="仿宋" w:eastAsia="仿宋" w:cs="仿宋"/>
          <w:b/>
          <w:bCs/>
          <w:color w:val="auto"/>
          <w:sz w:val="30"/>
          <w:szCs w:val="30"/>
          <w:highlight w:val="none"/>
          <w:lang w:val="en-US" w:eastAsia="zh-CN"/>
        </w:rPr>
        <w:t>-</w:t>
      </w:r>
      <w:r>
        <w:rPr>
          <w:rFonts w:hint="eastAsia" w:ascii="仿宋" w:hAnsi="仿宋" w:eastAsia="仿宋" w:cs="仿宋"/>
          <w:b/>
          <w:bCs/>
          <w:color w:val="auto"/>
          <w:sz w:val="30"/>
          <w:szCs w:val="30"/>
          <w:highlight w:val="none"/>
          <w:lang w:val="zh-CN"/>
        </w:rPr>
        <w:t>001</w:t>
      </w:r>
    </w:p>
    <w:p w14:paraId="5A32F969">
      <w:pPr>
        <w:autoSpaceDE w:val="0"/>
        <w:autoSpaceDN w:val="0"/>
        <w:adjustRightInd w:val="0"/>
        <w:snapToGrid w:val="0"/>
        <w:spacing w:line="360" w:lineRule="auto"/>
        <w:rPr>
          <w:rFonts w:hint="eastAsia" w:ascii="仿宋" w:hAnsi="仿宋" w:eastAsia="仿宋" w:cs="仿宋"/>
          <w:b/>
          <w:bCs/>
          <w:color w:val="auto"/>
          <w:sz w:val="30"/>
          <w:szCs w:val="30"/>
          <w:highlight w:val="none"/>
          <w:lang w:val="zh-CN"/>
        </w:rPr>
      </w:pPr>
    </w:p>
    <w:p w14:paraId="3274DB01">
      <w:pPr>
        <w:spacing w:line="240" w:lineRule="atLeast"/>
        <w:ind w:left="1079" w:leftChars="257" w:hanging="540"/>
        <w:jc w:val="center"/>
        <w:rPr>
          <w:rFonts w:hint="eastAsia" w:ascii="仿宋" w:hAnsi="仿宋" w:eastAsia="仿宋" w:cs="仿宋"/>
          <w:b/>
          <w:color w:val="auto"/>
          <w:sz w:val="52"/>
          <w:szCs w:val="52"/>
          <w:highlight w:val="none"/>
        </w:rPr>
      </w:pPr>
    </w:p>
    <w:p w14:paraId="4F79ED33">
      <w:pPr>
        <w:spacing w:line="240" w:lineRule="atLeast"/>
        <w:ind w:left="1079" w:leftChars="257" w:hanging="540"/>
        <w:jc w:val="center"/>
        <w:rPr>
          <w:rFonts w:hint="eastAsia" w:ascii="仿宋" w:hAnsi="仿宋" w:eastAsia="仿宋" w:cs="仿宋"/>
          <w:b/>
          <w:color w:val="auto"/>
          <w:sz w:val="52"/>
          <w:szCs w:val="52"/>
          <w:highlight w:val="none"/>
        </w:rPr>
      </w:pPr>
    </w:p>
    <w:p w14:paraId="0123A8A1">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靖边县人民医院医疗设备购置与基础设施改造项目(一期)</w:t>
      </w:r>
    </w:p>
    <w:p w14:paraId="035F6F54">
      <w:pPr>
        <w:autoSpaceDE w:val="0"/>
        <w:autoSpaceDN w:val="0"/>
        <w:adjustRightInd w:val="0"/>
        <w:snapToGrid w:val="0"/>
        <w:spacing w:line="360" w:lineRule="auto"/>
        <w:jc w:val="center"/>
        <w:rPr>
          <w:rFonts w:hint="eastAsia" w:ascii="仿宋" w:hAnsi="仿宋" w:eastAsia="仿宋" w:cs="仿宋"/>
          <w:b/>
          <w:bCs/>
          <w:color w:val="auto"/>
          <w:sz w:val="44"/>
          <w:szCs w:val="44"/>
          <w:highlight w:val="none"/>
          <w:lang w:eastAsia="zh-CN"/>
        </w:rPr>
      </w:pPr>
    </w:p>
    <w:p w14:paraId="412E9D83">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p>
    <w:p w14:paraId="79A0210E">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招 标 文 件</w:t>
      </w:r>
    </w:p>
    <w:p w14:paraId="58C6167A">
      <w:pPr>
        <w:spacing w:line="240" w:lineRule="atLeast"/>
        <w:ind w:left="1079" w:leftChars="257" w:hanging="540"/>
        <w:jc w:val="center"/>
        <w:rPr>
          <w:rFonts w:hint="eastAsia" w:ascii="仿宋" w:hAnsi="仿宋" w:eastAsia="仿宋" w:cs="仿宋"/>
          <w:b/>
          <w:color w:val="auto"/>
          <w:sz w:val="32"/>
          <w:szCs w:val="32"/>
          <w:highlight w:val="none"/>
        </w:rPr>
      </w:pPr>
    </w:p>
    <w:p w14:paraId="2DD690C4">
      <w:pPr>
        <w:spacing w:line="240" w:lineRule="atLeast"/>
        <w:ind w:left="1079" w:leftChars="257" w:hanging="540"/>
        <w:rPr>
          <w:rFonts w:hint="eastAsia" w:ascii="仿宋" w:hAnsi="仿宋" w:eastAsia="仿宋" w:cs="仿宋"/>
          <w:b/>
          <w:color w:val="auto"/>
          <w:sz w:val="28"/>
          <w:highlight w:val="none"/>
        </w:rPr>
      </w:pPr>
    </w:p>
    <w:p w14:paraId="26F1F3A0">
      <w:pPr>
        <w:spacing w:line="240" w:lineRule="atLeast"/>
        <w:ind w:left="1079" w:leftChars="257" w:hanging="540"/>
        <w:jc w:val="center"/>
        <w:rPr>
          <w:rFonts w:hint="eastAsia" w:ascii="仿宋" w:hAnsi="仿宋" w:eastAsia="仿宋" w:cs="仿宋"/>
          <w:b/>
          <w:color w:val="auto"/>
          <w:sz w:val="48"/>
          <w:szCs w:val="48"/>
          <w:highlight w:val="none"/>
        </w:rPr>
      </w:pPr>
    </w:p>
    <w:p w14:paraId="3B14A801">
      <w:pPr>
        <w:spacing w:line="240" w:lineRule="atLeast"/>
        <w:ind w:left="1079" w:leftChars="257" w:hanging="540"/>
        <w:jc w:val="center"/>
        <w:rPr>
          <w:rFonts w:hint="eastAsia" w:ascii="仿宋" w:hAnsi="仿宋" w:eastAsia="仿宋" w:cs="仿宋"/>
          <w:b/>
          <w:color w:val="auto"/>
          <w:sz w:val="52"/>
          <w:highlight w:val="none"/>
        </w:rPr>
      </w:pPr>
    </w:p>
    <w:p w14:paraId="5B58D369">
      <w:pPr>
        <w:spacing w:line="240" w:lineRule="atLeast"/>
        <w:ind w:left="1079" w:leftChars="257" w:hanging="540"/>
        <w:jc w:val="center"/>
        <w:rPr>
          <w:rFonts w:hint="eastAsia" w:ascii="仿宋" w:hAnsi="仿宋" w:eastAsia="仿宋" w:cs="仿宋"/>
          <w:b/>
          <w:color w:val="auto"/>
          <w:sz w:val="52"/>
          <w:highlight w:val="none"/>
        </w:rPr>
      </w:pPr>
    </w:p>
    <w:p w14:paraId="56EB5867">
      <w:pPr>
        <w:tabs>
          <w:tab w:val="left" w:pos="567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陕西省采购招标有限责任公司</w:t>
      </w:r>
    </w:p>
    <w:p w14:paraId="3FA55915">
      <w:pPr>
        <w:tabs>
          <w:tab w:val="left" w:pos="546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二〇</w:t>
      </w:r>
      <w:r>
        <w:rPr>
          <w:rFonts w:hint="eastAsia" w:ascii="仿宋" w:hAnsi="仿宋" w:eastAsia="仿宋" w:cs="仿宋"/>
          <w:b/>
          <w:bCs/>
          <w:color w:val="auto"/>
          <w:sz w:val="32"/>
          <w:szCs w:val="32"/>
          <w:highlight w:val="none"/>
          <w:lang w:val="en-US" w:eastAsia="zh-CN"/>
        </w:rPr>
        <w:t>二六</w:t>
      </w:r>
      <w:r>
        <w:rPr>
          <w:rFonts w:hint="eastAsia" w:ascii="仿宋" w:hAnsi="仿宋" w:eastAsia="仿宋" w:cs="仿宋"/>
          <w:b/>
          <w:bCs/>
          <w:color w:val="auto"/>
          <w:sz w:val="32"/>
          <w:szCs w:val="32"/>
          <w:highlight w:val="none"/>
          <w:lang w:val="zh-CN"/>
        </w:rPr>
        <w:t>年</w:t>
      </w:r>
      <w:r>
        <w:rPr>
          <w:rFonts w:hint="eastAsia" w:ascii="仿宋" w:hAnsi="仿宋" w:eastAsia="仿宋" w:cs="仿宋"/>
          <w:b/>
          <w:bCs/>
          <w:color w:val="auto"/>
          <w:sz w:val="32"/>
          <w:szCs w:val="32"/>
          <w:highlight w:val="none"/>
          <w:lang w:val="en-US" w:eastAsia="zh-CN"/>
        </w:rPr>
        <w:t>七</w:t>
      </w:r>
      <w:r>
        <w:rPr>
          <w:rFonts w:hint="eastAsia" w:ascii="仿宋" w:hAnsi="仿宋" w:eastAsia="仿宋" w:cs="仿宋"/>
          <w:b/>
          <w:bCs/>
          <w:color w:val="auto"/>
          <w:sz w:val="32"/>
          <w:szCs w:val="32"/>
          <w:highlight w:val="none"/>
          <w:lang w:val="zh-CN"/>
        </w:rPr>
        <w:t>月</w:t>
      </w:r>
    </w:p>
    <w:p w14:paraId="29031FCE">
      <w:pPr>
        <w:tabs>
          <w:tab w:val="left" w:pos="5460"/>
        </w:tabs>
        <w:autoSpaceDE w:val="0"/>
        <w:autoSpaceDN w:val="0"/>
        <w:adjustRightInd w:val="0"/>
        <w:snapToGrid w:val="0"/>
        <w:spacing w:line="360" w:lineRule="auto"/>
        <w:jc w:val="center"/>
        <w:rPr>
          <w:rFonts w:hint="eastAsia" w:ascii="仿宋" w:hAnsi="仿宋" w:eastAsia="仿宋" w:cs="仿宋"/>
          <w:b/>
          <w:bCs/>
          <w:color w:val="auto"/>
          <w:sz w:val="32"/>
          <w:szCs w:val="32"/>
          <w:highlight w:val="none"/>
          <w:lang w:val="zh-CN"/>
        </w:rPr>
        <w:sectPr>
          <w:footerReference r:id="rId3" w:type="default"/>
          <w:pgSz w:w="11906" w:h="16838"/>
          <w:pgMar w:top="1418" w:right="1418" w:bottom="1418" w:left="1418" w:header="851" w:footer="992" w:gutter="0"/>
          <w:pgNumType w:fmt="decimal"/>
          <w:cols w:space="720" w:num="1"/>
          <w:docGrid w:type="linesAndChars" w:linePitch="312" w:charSpace="0"/>
        </w:sectPr>
      </w:pPr>
    </w:p>
    <w:p w14:paraId="69817864">
      <w:pPr>
        <w:tabs>
          <w:tab w:val="left" w:pos="5460"/>
        </w:tabs>
        <w:autoSpaceDE w:val="0"/>
        <w:autoSpaceDN w:val="0"/>
        <w:adjustRightInd w:val="0"/>
        <w:snapToGrid w:val="0"/>
        <w:spacing w:line="360" w:lineRule="auto"/>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目  录</w:t>
      </w:r>
    </w:p>
    <w:p w14:paraId="6D36867A">
      <w:pPr>
        <w:pStyle w:val="22"/>
        <w:tabs>
          <w:tab w:val="right" w:leader="dot" w:pos="9070"/>
        </w:tabs>
        <w:rPr>
          <w:color w:val="auto"/>
          <w:sz w:val="28"/>
          <w:szCs w:val="36"/>
          <w:highlight w:val="none"/>
        </w:rPr>
      </w:pPr>
      <w:r>
        <w:rPr>
          <w:rFonts w:hint="eastAsia" w:ascii="仿宋" w:hAnsi="仿宋" w:eastAsia="仿宋" w:cs="仿宋"/>
          <w:b w:val="0"/>
          <w:bCs w:val="0"/>
          <w:color w:val="auto"/>
          <w:kern w:val="0"/>
          <w:sz w:val="96"/>
          <w:szCs w:val="96"/>
          <w:highlight w:val="none"/>
        </w:rPr>
        <w:fldChar w:fldCharType="begin"/>
      </w:r>
      <w:r>
        <w:rPr>
          <w:rFonts w:hint="eastAsia" w:ascii="仿宋" w:hAnsi="仿宋" w:eastAsia="仿宋" w:cs="仿宋"/>
          <w:b w:val="0"/>
          <w:bCs w:val="0"/>
          <w:color w:val="auto"/>
          <w:kern w:val="0"/>
          <w:sz w:val="96"/>
          <w:szCs w:val="96"/>
          <w:highlight w:val="none"/>
        </w:rPr>
        <w:instrText xml:space="preserve"> TOC \o "1-3" \h \z \u </w:instrText>
      </w:r>
      <w:r>
        <w:rPr>
          <w:rFonts w:hint="eastAsia" w:ascii="仿宋" w:hAnsi="仿宋" w:eastAsia="仿宋" w:cs="仿宋"/>
          <w:b w:val="0"/>
          <w:bCs w:val="0"/>
          <w:color w:val="auto"/>
          <w:kern w:val="0"/>
          <w:sz w:val="96"/>
          <w:szCs w:val="96"/>
          <w:highlight w:val="none"/>
        </w:rPr>
        <w:fldChar w:fldCharType="separate"/>
      </w: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_Toc23115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第一章  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_Toc23115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4D00360F">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_Toc21378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_Toc21378 \h </w:instrText>
      </w:r>
      <w:r>
        <w:rPr>
          <w:color w:val="auto"/>
          <w:sz w:val="28"/>
          <w:szCs w:val="36"/>
          <w:highlight w:val="none"/>
        </w:rPr>
        <w:fldChar w:fldCharType="separate"/>
      </w:r>
      <w:r>
        <w:rPr>
          <w:color w:val="auto"/>
          <w:sz w:val="28"/>
          <w:szCs w:val="36"/>
          <w:highlight w:val="none"/>
        </w:rPr>
        <w:t>12</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33A8FEBD">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_Toc13441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第三章  评标方法和标准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_Toc13441 \h </w:instrText>
      </w:r>
      <w:r>
        <w:rPr>
          <w:color w:val="auto"/>
          <w:sz w:val="28"/>
          <w:szCs w:val="36"/>
          <w:highlight w:val="none"/>
        </w:rPr>
        <w:fldChar w:fldCharType="separate"/>
      </w:r>
      <w:r>
        <w:rPr>
          <w:color w:val="auto"/>
          <w:sz w:val="28"/>
          <w:szCs w:val="36"/>
          <w:highlight w:val="none"/>
        </w:rPr>
        <w:t>34</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5BCBEA7F">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_Toc12319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44"/>
          <w:highlight w:val="none"/>
        </w:rPr>
        <w:t>第四章  拟签订的合同文本</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_Toc12319 \h </w:instrText>
      </w:r>
      <w:r>
        <w:rPr>
          <w:color w:val="auto"/>
          <w:sz w:val="28"/>
          <w:szCs w:val="36"/>
          <w:highlight w:val="none"/>
        </w:rPr>
        <w:fldChar w:fldCharType="separate"/>
      </w:r>
      <w:r>
        <w:rPr>
          <w:color w:val="auto"/>
          <w:sz w:val="28"/>
          <w:szCs w:val="36"/>
          <w:highlight w:val="none"/>
        </w:rPr>
        <w:t>51</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64FA2C1E">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_Toc6106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第五章  采购需求及</w:t>
      </w:r>
      <w:r>
        <w:rPr>
          <w:rFonts w:hint="eastAsia" w:ascii="仿宋" w:hAnsi="仿宋" w:eastAsia="仿宋" w:cs="仿宋"/>
          <w:color w:val="auto"/>
          <w:sz w:val="28"/>
          <w:szCs w:val="36"/>
          <w:highlight w:val="none"/>
          <w:lang w:val="en-US" w:eastAsia="zh-CN"/>
        </w:rPr>
        <w:t>参数</w:t>
      </w:r>
      <w:r>
        <w:rPr>
          <w:rFonts w:hint="eastAsia" w:ascii="仿宋" w:hAnsi="仿宋" w:eastAsia="仿宋" w:cs="仿宋"/>
          <w:color w:val="auto"/>
          <w:sz w:val="28"/>
          <w:szCs w:val="36"/>
          <w:highlight w:val="none"/>
        </w:rPr>
        <w:t>要求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_Toc6106 \h </w:instrText>
      </w:r>
      <w:r>
        <w:rPr>
          <w:color w:val="auto"/>
          <w:sz w:val="28"/>
          <w:szCs w:val="36"/>
          <w:highlight w:val="none"/>
        </w:rPr>
        <w:fldChar w:fldCharType="separate"/>
      </w:r>
      <w:r>
        <w:rPr>
          <w:color w:val="auto"/>
          <w:sz w:val="28"/>
          <w:szCs w:val="36"/>
          <w:highlight w:val="none"/>
        </w:rPr>
        <w:t>60</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6F2BCE41">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_Toc1299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 xml:space="preserve">第六章 </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投标文件格式</w:t>
      </w:r>
      <w:r>
        <w:rPr>
          <w:rFonts w:hint="eastAsia" w:ascii="仿宋" w:hAnsi="仿宋" w:eastAsia="仿宋" w:cs="仿宋"/>
          <w:color w:val="auto"/>
          <w:sz w:val="28"/>
          <w:szCs w:val="36"/>
          <w:highlight w:val="none"/>
          <w:lang w:eastAsia="zh-CN"/>
        </w:rPr>
        <w:t>（</w:t>
      </w:r>
      <w:r>
        <w:rPr>
          <w:rFonts w:hint="eastAsia" w:ascii="仿宋" w:hAnsi="仿宋" w:eastAsia="仿宋" w:cs="仿宋"/>
          <w:color w:val="auto"/>
          <w:sz w:val="28"/>
          <w:szCs w:val="36"/>
          <w:highlight w:val="none"/>
          <w:lang w:val="en-US" w:eastAsia="zh-CN"/>
        </w:rPr>
        <w:t>合同包1-7</w:t>
      </w:r>
      <w:r>
        <w:rPr>
          <w:rFonts w:hint="eastAsia" w:ascii="仿宋" w:hAnsi="仿宋" w:eastAsia="仿宋" w:cs="仿宋"/>
          <w:color w:val="auto"/>
          <w:sz w:val="28"/>
          <w:szCs w:val="36"/>
          <w:highlight w:val="none"/>
          <w:lang w:eastAsia="zh-CN"/>
        </w:rPr>
        <w:t>）</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_Toc1299 \h </w:instrText>
      </w:r>
      <w:r>
        <w:rPr>
          <w:color w:val="auto"/>
          <w:sz w:val="28"/>
          <w:szCs w:val="36"/>
          <w:highlight w:val="none"/>
        </w:rPr>
        <w:fldChar w:fldCharType="separate"/>
      </w:r>
      <w:r>
        <w:rPr>
          <w:color w:val="auto"/>
          <w:sz w:val="28"/>
          <w:szCs w:val="36"/>
          <w:highlight w:val="none"/>
        </w:rPr>
        <w:t>170</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29BBBA12">
      <w:pPr>
        <w:pStyle w:val="22"/>
        <w:tabs>
          <w:tab w:val="right" w:leader="dot" w:pos="9070"/>
        </w:tabs>
        <w:rPr>
          <w:color w:val="auto"/>
          <w:sz w:val="28"/>
          <w:szCs w:val="36"/>
          <w:highlight w:val="none"/>
        </w:rPr>
      </w:pPr>
      <w:r>
        <w:rPr>
          <w:rFonts w:hint="eastAsia" w:ascii="仿宋" w:hAnsi="仿宋" w:eastAsia="仿宋" w:cs="仿宋"/>
          <w:bCs w:val="0"/>
          <w:color w:val="auto"/>
          <w:kern w:val="0"/>
          <w:sz w:val="28"/>
          <w:szCs w:val="96"/>
          <w:highlight w:val="none"/>
        </w:rPr>
        <w:fldChar w:fldCharType="begin"/>
      </w:r>
      <w:r>
        <w:rPr>
          <w:rFonts w:hint="eastAsia" w:ascii="仿宋" w:hAnsi="仿宋" w:eastAsia="仿宋" w:cs="仿宋"/>
          <w:bCs w:val="0"/>
          <w:color w:val="auto"/>
          <w:kern w:val="0"/>
          <w:sz w:val="28"/>
          <w:szCs w:val="96"/>
          <w:highlight w:val="none"/>
        </w:rPr>
        <w:instrText xml:space="preserve"> HYPERLINK \l _Toc9385 </w:instrText>
      </w:r>
      <w:r>
        <w:rPr>
          <w:rFonts w:hint="eastAsia" w:ascii="仿宋" w:hAnsi="仿宋" w:eastAsia="仿宋" w:cs="仿宋"/>
          <w:bCs w:val="0"/>
          <w:color w:val="auto"/>
          <w:kern w:val="0"/>
          <w:sz w:val="28"/>
          <w:szCs w:val="96"/>
          <w:highlight w:val="none"/>
        </w:rPr>
        <w:fldChar w:fldCharType="separate"/>
      </w:r>
      <w:r>
        <w:rPr>
          <w:rFonts w:hint="eastAsia" w:ascii="仿宋" w:hAnsi="仿宋" w:eastAsia="仿宋" w:cs="仿宋"/>
          <w:color w:val="auto"/>
          <w:sz w:val="28"/>
          <w:szCs w:val="36"/>
          <w:highlight w:val="none"/>
        </w:rPr>
        <w:t xml:space="preserve">第六章 </w:t>
      </w:r>
      <w:r>
        <w:rPr>
          <w:rFonts w:hint="eastAsia" w:ascii="仿宋" w:hAnsi="仿宋" w:eastAsia="仿宋" w:cs="仿宋"/>
          <w:color w:val="auto"/>
          <w:sz w:val="28"/>
          <w:szCs w:val="36"/>
          <w:highlight w:val="none"/>
          <w:lang w:val="en-US" w:eastAsia="zh-CN"/>
        </w:rPr>
        <w:t xml:space="preserve"> </w:t>
      </w:r>
      <w:r>
        <w:rPr>
          <w:rFonts w:hint="eastAsia" w:ascii="仿宋" w:hAnsi="仿宋" w:eastAsia="仿宋" w:cs="仿宋"/>
          <w:color w:val="auto"/>
          <w:sz w:val="28"/>
          <w:szCs w:val="36"/>
          <w:highlight w:val="none"/>
        </w:rPr>
        <w:t>投标文件格式</w:t>
      </w:r>
      <w:r>
        <w:rPr>
          <w:rFonts w:hint="eastAsia" w:ascii="仿宋" w:hAnsi="仿宋" w:eastAsia="仿宋" w:cs="仿宋"/>
          <w:color w:val="auto"/>
          <w:sz w:val="28"/>
          <w:szCs w:val="36"/>
          <w:highlight w:val="none"/>
          <w:lang w:eastAsia="zh-CN"/>
        </w:rPr>
        <w:t>（</w:t>
      </w:r>
      <w:r>
        <w:rPr>
          <w:rFonts w:hint="eastAsia" w:ascii="仿宋" w:hAnsi="仿宋" w:eastAsia="仿宋" w:cs="仿宋"/>
          <w:color w:val="auto"/>
          <w:sz w:val="28"/>
          <w:szCs w:val="36"/>
          <w:highlight w:val="none"/>
          <w:lang w:val="en-US" w:eastAsia="zh-CN"/>
        </w:rPr>
        <w:t>合同包8</w:t>
      </w:r>
      <w:r>
        <w:rPr>
          <w:rFonts w:hint="eastAsia" w:ascii="仿宋" w:hAnsi="仿宋" w:eastAsia="仿宋" w:cs="仿宋"/>
          <w:color w:val="auto"/>
          <w:sz w:val="28"/>
          <w:szCs w:val="36"/>
          <w:highlight w:val="none"/>
          <w:lang w:eastAsia="zh-CN"/>
        </w:rPr>
        <w:t>）</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_Toc9385 \h </w:instrText>
      </w:r>
      <w:r>
        <w:rPr>
          <w:color w:val="auto"/>
          <w:sz w:val="28"/>
          <w:szCs w:val="36"/>
          <w:highlight w:val="none"/>
        </w:rPr>
        <w:fldChar w:fldCharType="separate"/>
      </w:r>
      <w:r>
        <w:rPr>
          <w:color w:val="auto"/>
          <w:sz w:val="28"/>
          <w:szCs w:val="36"/>
          <w:highlight w:val="none"/>
        </w:rPr>
        <w:t>198</w:t>
      </w:r>
      <w:r>
        <w:rPr>
          <w:color w:val="auto"/>
          <w:sz w:val="28"/>
          <w:szCs w:val="36"/>
          <w:highlight w:val="none"/>
        </w:rPr>
        <w:fldChar w:fldCharType="end"/>
      </w:r>
      <w:r>
        <w:rPr>
          <w:rFonts w:hint="eastAsia" w:ascii="仿宋" w:hAnsi="仿宋" w:eastAsia="仿宋" w:cs="仿宋"/>
          <w:bCs w:val="0"/>
          <w:color w:val="auto"/>
          <w:kern w:val="0"/>
          <w:sz w:val="28"/>
          <w:szCs w:val="96"/>
          <w:highlight w:val="none"/>
        </w:rPr>
        <w:fldChar w:fldCharType="end"/>
      </w:r>
    </w:p>
    <w:p w14:paraId="0FA113EF">
      <w:pPr>
        <w:pStyle w:val="31"/>
        <w:spacing w:line="500" w:lineRule="exact"/>
        <w:ind w:firstLine="420" w:firstLineChars="0"/>
        <w:outlineLvl w:val="9"/>
        <w:rPr>
          <w:rFonts w:hint="eastAsia" w:ascii="仿宋" w:hAnsi="仿宋" w:eastAsia="仿宋" w:cs="仿宋"/>
          <w:color w:val="auto"/>
          <w:kern w:val="0"/>
          <w:sz w:val="36"/>
          <w:szCs w:val="44"/>
          <w:highlight w:val="none"/>
        </w:rPr>
      </w:pPr>
      <w:r>
        <w:rPr>
          <w:rFonts w:hint="eastAsia" w:ascii="仿宋" w:hAnsi="仿宋" w:eastAsia="仿宋" w:cs="仿宋"/>
          <w:bCs w:val="0"/>
          <w:color w:val="auto"/>
          <w:kern w:val="0"/>
          <w:sz w:val="44"/>
          <w:szCs w:val="96"/>
          <w:highlight w:val="none"/>
        </w:rPr>
        <w:fldChar w:fldCharType="end"/>
      </w:r>
      <w:bookmarkStart w:id="0" w:name="_Toc216582804"/>
      <w:bookmarkStart w:id="1" w:name="_Toc22782"/>
      <w:bookmarkStart w:id="2" w:name="_Toc17230"/>
      <w:r>
        <w:rPr>
          <w:rFonts w:hint="eastAsia" w:ascii="仿宋" w:hAnsi="仿宋" w:eastAsia="仿宋" w:cs="仿宋"/>
          <w:color w:val="auto"/>
          <w:kern w:val="0"/>
          <w:sz w:val="36"/>
          <w:szCs w:val="44"/>
          <w:highlight w:val="none"/>
        </w:rPr>
        <w:t xml:space="preserve">       </w:t>
      </w:r>
    </w:p>
    <w:p w14:paraId="454CDF59">
      <w:pPr>
        <w:pStyle w:val="31"/>
        <w:rPr>
          <w:rFonts w:hint="eastAsia" w:ascii="仿宋" w:hAnsi="仿宋" w:eastAsia="仿宋" w:cs="仿宋"/>
          <w:color w:val="auto"/>
          <w:highlight w:val="none"/>
        </w:rPr>
        <w:sectPr>
          <w:footerReference r:id="rId4" w:type="default"/>
          <w:pgSz w:w="11906" w:h="16838"/>
          <w:pgMar w:top="1418" w:right="1418" w:bottom="1418" w:left="1418" w:header="851" w:footer="992" w:gutter="0"/>
          <w:pgNumType w:fmt="decimal" w:start="1"/>
          <w:cols w:space="720" w:num="1"/>
          <w:docGrid w:type="linesAndChars" w:linePitch="312" w:charSpace="0"/>
        </w:sectPr>
      </w:pPr>
    </w:p>
    <w:p w14:paraId="20E73BA4">
      <w:pPr>
        <w:pStyle w:val="31"/>
        <w:rPr>
          <w:rFonts w:hint="eastAsia" w:ascii="仿宋" w:hAnsi="仿宋" w:eastAsia="仿宋" w:cs="仿宋"/>
          <w:color w:val="auto"/>
          <w:highlight w:val="none"/>
        </w:rPr>
      </w:pPr>
      <w:bookmarkStart w:id="3" w:name="_Toc23115"/>
      <w:r>
        <w:rPr>
          <w:rFonts w:hint="eastAsia" w:ascii="仿宋" w:hAnsi="仿宋" w:eastAsia="仿宋" w:cs="仿宋"/>
          <w:color w:val="auto"/>
          <w:highlight w:val="none"/>
        </w:rPr>
        <w:t>第一章  招标公告</w:t>
      </w:r>
      <w:bookmarkEnd w:id="3"/>
    </w:p>
    <w:p w14:paraId="0A6B45AF">
      <w:pPr>
        <w:jc w:val="center"/>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u w:val="single"/>
          <w:lang w:eastAsia="zh-CN"/>
        </w:rPr>
        <w:t>靖边县人民医院医疗设备购置与基础设施改造项目(一期)</w:t>
      </w:r>
      <w:r>
        <w:rPr>
          <w:rFonts w:hint="eastAsia" w:ascii="仿宋" w:hAnsi="仿宋" w:eastAsia="仿宋" w:cs="仿宋"/>
          <w:b/>
          <w:bCs/>
          <w:color w:val="auto"/>
          <w:sz w:val="24"/>
          <w:szCs w:val="32"/>
          <w:highlight w:val="none"/>
        </w:rPr>
        <w:t>招标公告</w:t>
      </w:r>
    </w:p>
    <w:p w14:paraId="7161C6D6">
      <w:pPr>
        <w:pStyle w:val="11"/>
        <w:rPr>
          <w:rFonts w:hint="eastAsia" w:ascii="仿宋" w:hAnsi="仿宋" w:eastAsia="仿宋" w:cs="仿宋"/>
          <w:color w:val="auto"/>
          <w:highlight w:val="none"/>
        </w:rPr>
      </w:pPr>
    </w:p>
    <w:p w14:paraId="063C983E">
      <w:pPr>
        <w:pStyle w:val="7"/>
        <w:widowControl/>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30" w:lineRule="atLeast"/>
        <w:rPr>
          <w:rFonts w:hint="eastAsia" w:ascii="仿宋" w:hAnsi="仿宋" w:eastAsia="仿宋" w:cs="仿宋"/>
          <w:b w:val="0"/>
          <w:bCs w:val="0"/>
          <w:color w:val="auto"/>
          <w:sz w:val="24"/>
          <w:szCs w:val="24"/>
          <w:highlight w:val="none"/>
        </w:rPr>
      </w:pPr>
      <w:r>
        <w:rPr>
          <w:rStyle w:val="37"/>
          <w:rFonts w:hint="eastAsia" w:ascii="仿宋" w:hAnsi="仿宋" w:eastAsia="仿宋" w:cs="仿宋"/>
          <w:b w:val="0"/>
          <w:bCs w:val="0"/>
          <w:color w:val="auto"/>
          <w:sz w:val="24"/>
          <w:szCs w:val="24"/>
          <w:highlight w:val="none"/>
          <w:shd w:val="clear" w:color="auto" w:fill="FFFFFF"/>
        </w:rPr>
        <w:t>项目概况</w:t>
      </w:r>
    </w:p>
    <w:p w14:paraId="16AE4723">
      <w:pPr>
        <w:pStyle w:val="29"/>
        <w:pBdr>
          <w:top w:val="single" w:color="auto" w:sz="4" w:space="0"/>
          <w:left w:val="single" w:color="auto" w:sz="4" w:space="0"/>
          <w:bottom w:val="single" w:color="auto" w:sz="4" w:space="0"/>
          <w:right w:val="single" w:color="auto" w:sz="4" w:space="0"/>
        </w:pBdr>
        <w:shd w:val="clear" w:color="auto" w:fill="FFFFFF"/>
        <w:spacing w:before="0" w:beforeAutospacing="0" w:after="0" w:afterAutospacing="0" w:line="480" w:lineRule="atLeast"/>
        <w:ind w:firstLine="480"/>
        <w:jc w:val="both"/>
        <w:rPr>
          <w:rFonts w:hint="eastAsia" w:ascii="仿宋" w:hAnsi="仿宋" w:eastAsia="仿宋" w:cs="仿宋"/>
          <w:color w:val="auto"/>
          <w:highlight w:val="none"/>
        </w:rPr>
      </w:pPr>
      <w:r>
        <w:rPr>
          <w:rFonts w:hint="eastAsia" w:ascii="仿宋" w:hAnsi="仿宋" w:eastAsia="仿宋" w:cs="仿宋"/>
          <w:color w:val="auto"/>
          <w:highlight w:val="none"/>
          <w:u w:val="single"/>
          <w:shd w:val="clear" w:color="auto" w:fill="FFFFFF"/>
          <w:lang w:eastAsia="zh-CN"/>
        </w:rPr>
        <w:t>靖边县人民医院医疗设备购置与基础设施改造项目(一期)</w:t>
      </w:r>
      <w:r>
        <w:rPr>
          <w:rFonts w:hint="eastAsia" w:ascii="仿宋" w:hAnsi="仿宋" w:eastAsia="仿宋" w:cs="仿宋"/>
          <w:color w:val="auto"/>
          <w:highlight w:val="none"/>
          <w:shd w:val="clear" w:color="auto" w:fill="FFFFFF"/>
        </w:rPr>
        <w:t>的潜在投标人应在</w:t>
      </w:r>
      <w:r>
        <w:rPr>
          <w:rFonts w:hint="eastAsia" w:ascii="仿宋" w:hAnsi="仿宋" w:eastAsia="仿宋" w:cs="仿宋"/>
          <w:color w:val="auto"/>
          <w:highlight w:val="none"/>
          <w:u w:val="single"/>
          <w:shd w:val="clear" w:color="auto" w:fill="FFFFFF"/>
        </w:rPr>
        <w:t xml:space="preserve"> 全国公共资源交易中心平台（陕西省</w:t>
      </w:r>
      <w:r>
        <w:rPr>
          <w:rFonts w:hint="eastAsia" w:ascii="仿宋" w:hAnsi="仿宋" w:eastAsia="仿宋" w:cs="仿宋"/>
          <w:color w:val="auto"/>
          <w:highlight w:val="none"/>
          <w:u w:val="single"/>
          <w:shd w:val="clear" w:color="auto" w:fill="FFFFFF"/>
          <w:lang w:val="en-US" w:eastAsia="zh-CN"/>
        </w:rPr>
        <w:t>·</w:t>
      </w:r>
      <w:r>
        <w:rPr>
          <w:rFonts w:hint="eastAsia" w:ascii="仿宋" w:hAnsi="仿宋" w:eastAsia="仿宋" w:cs="仿宋"/>
          <w:color w:val="auto"/>
          <w:highlight w:val="none"/>
          <w:u w:val="single"/>
          <w:shd w:val="clear" w:color="auto" w:fill="FFFFFF"/>
        </w:rPr>
        <w:t xml:space="preserve">榆林市）使用CA锁 </w:t>
      </w:r>
      <w:r>
        <w:rPr>
          <w:rFonts w:hint="eastAsia" w:ascii="仿宋" w:hAnsi="仿宋" w:eastAsia="仿宋" w:cs="仿宋"/>
          <w:color w:val="auto"/>
          <w:highlight w:val="none"/>
          <w:shd w:val="clear" w:color="auto" w:fill="FFFFFF"/>
        </w:rPr>
        <w:t>获取招标文件，并于</w:t>
      </w:r>
      <w:r>
        <w:rPr>
          <w:rFonts w:hint="eastAsia" w:ascii="仿宋" w:hAnsi="仿宋" w:eastAsia="仿宋" w:cs="仿宋"/>
          <w:color w:val="auto"/>
          <w:highlight w:val="none"/>
          <w:u w:val="single"/>
          <w:shd w:val="clear" w:color="auto" w:fill="FFFFFF"/>
        </w:rPr>
        <w:t xml:space="preserve"> 2026年</w:t>
      </w:r>
      <w:r>
        <w:rPr>
          <w:rFonts w:hint="eastAsia" w:ascii="仿宋" w:hAnsi="仿宋" w:eastAsia="仿宋" w:cs="仿宋"/>
          <w:color w:val="auto"/>
          <w:highlight w:val="none"/>
          <w:u w:val="single"/>
          <w:shd w:val="clear" w:color="auto" w:fill="FFFFFF"/>
          <w:lang w:val="en-US" w:eastAsia="zh-CN"/>
        </w:rPr>
        <w:t>08月20日09</w:t>
      </w:r>
      <w:r>
        <w:rPr>
          <w:rFonts w:hint="eastAsia" w:ascii="仿宋" w:hAnsi="仿宋" w:eastAsia="仿宋" w:cs="仿宋"/>
          <w:color w:val="auto"/>
          <w:highlight w:val="none"/>
          <w:u w:val="single"/>
          <w:shd w:val="clear" w:color="auto" w:fill="FFFFFF"/>
        </w:rPr>
        <w:t>时</w:t>
      </w:r>
      <w:r>
        <w:rPr>
          <w:rFonts w:hint="eastAsia" w:ascii="仿宋" w:hAnsi="仿宋" w:eastAsia="仿宋" w:cs="仿宋"/>
          <w:color w:val="auto"/>
          <w:highlight w:val="none"/>
          <w:u w:val="single"/>
          <w:shd w:val="clear" w:color="auto" w:fill="FFFFFF"/>
          <w:lang w:val="en-US" w:eastAsia="zh-CN"/>
        </w:rPr>
        <w:t>30</w:t>
      </w:r>
      <w:r>
        <w:rPr>
          <w:rFonts w:hint="eastAsia" w:ascii="仿宋" w:hAnsi="仿宋" w:eastAsia="仿宋" w:cs="仿宋"/>
          <w:color w:val="auto"/>
          <w:highlight w:val="none"/>
          <w:u w:val="single"/>
          <w:shd w:val="clear" w:color="auto" w:fill="FFFFFF"/>
        </w:rPr>
        <w:t xml:space="preserve">分 </w:t>
      </w:r>
      <w:r>
        <w:rPr>
          <w:rFonts w:hint="eastAsia" w:ascii="仿宋" w:hAnsi="仿宋" w:eastAsia="仿宋" w:cs="仿宋"/>
          <w:color w:val="auto"/>
          <w:highlight w:val="none"/>
          <w:shd w:val="clear" w:color="auto" w:fill="FFFFFF"/>
        </w:rPr>
        <w:t>（北京时间）前递交投标文件。</w:t>
      </w:r>
    </w:p>
    <w:p w14:paraId="5C331297">
      <w:pPr>
        <w:spacing w:line="520" w:lineRule="exact"/>
        <w:ind w:firstLine="480" w:firstLineChars="200"/>
        <w:outlineLvl w:val="1"/>
        <w:rPr>
          <w:rFonts w:hint="eastAsia" w:ascii="仿宋" w:hAnsi="仿宋" w:eastAsia="仿宋" w:cs="仿宋"/>
          <w:b/>
          <w:bCs/>
          <w:color w:val="auto"/>
          <w:sz w:val="24"/>
          <w:highlight w:val="none"/>
        </w:rPr>
      </w:pPr>
      <w:bookmarkStart w:id="4" w:name="_Toc25766"/>
      <w:bookmarkStart w:id="5" w:name="_Toc2944"/>
      <w:bookmarkStart w:id="6" w:name="_Toc10085"/>
      <w:r>
        <w:rPr>
          <w:rFonts w:hint="eastAsia" w:ascii="仿宋" w:hAnsi="仿宋" w:eastAsia="仿宋" w:cs="仿宋"/>
          <w:b/>
          <w:bCs/>
          <w:color w:val="auto"/>
          <w:sz w:val="24"/>
          <w:highlight w:val="none"/>
        </w:rPr>
        <w:t>一、项目基本情况</w:t>
      </w:r>
      <w:bookmarkEnd w:id="4"/>
      <w:bookmarkEnd w:id="5"/>
      <w:bookmarkEnd w:id="6"/>
    </w:p>
    <w:p w14:paraId="373EF340">
      <w:pPr>
        <w:spacing w:line="52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SCZD2026-ZB-1877</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001</w:t>
      </w:r>
    </w:p>
    <w:p w14:paraId="4131CCD5">
      <w:pPr>
        <w:spacing w:line="520" w:lineRule="exact"/>
        <w:ind w:left="1678" w:leftChars="228" w:hanging="1200" w:hangingChars="5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靖边县人民医院医疗设备购置与基础设施改造项目(一期)</w:t>
      </w:r>
    </w:p>
    <w:p w14:paraId="1DF951D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采购方式：公开招标</w:t>
      </w:r>
    </w:p>
    <w:p w14:paraId="3257DD5D">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预算金额：3934.6</w:t>
      </w:r>
      <w:r>
        <w:rPr>
          <w:rFonts w:hint="eastAsia" w:ascii="仿宋" w:hAnsi="仿宋" w:eastAsia="仿宋" w:cs="仿宋"/>
          <w:color w:val="auto"/>
          <w:sz w:val="24"/>
          <w:highlight w:val="none"/>
          <w:lang w:val="en-US" w:eastAsia="zh-CN"/>
        </w:rPr>
        <w:t>万元</w:t>
      </w:r>
    </w:p>
    <w:p w14:paraId="6DF651C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采购需求：</w:t>
      </w:r>
    </w:p>
    <w:p w14:paraId="5882FB74">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1</w:t>
      </w:r>
      <w:r>
        <w:rPr>
          <w:rFonts w:hint="eastAsia" w:ascii="仿宋" w:hAnsi="仿宋" w:eastAsia="仿宋" w:cs="仿宋"/>
          <w:color w:val="auto"/>
          <w:sz w:val="24"/>
          <w:highlight w:val="none"/>
        </w:rPr>
        <w:t xml:space="preserve"> </w:t>
      </w:r>
    </w:p>
    <w:p w14:paraId="3964FFD7">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3600000.00元</w:t>
      </w:r>
    </w:p>
    <w:p w14:paraId="25342DF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3600000.00元</w:t>
      </w:r>
    </w:p>
    <w:tbl>
      <w:tblPr>
        <w:tblStyle w:val="34"/>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357"/>
        <w:gridCol w:w="1618"/>
        <w:gridCol w:w="664"/>
        <w:gridCol w:w="756"/>
        <w:gridCol w:w="1429"/>
        <w:gridCol w:w="1416"/>
        <w:gridCol w:w="1417"/>
      </w:tblGrid>
      <w:tr w14:paraId="0FAF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631" w:type="dxa"/>
            <w:noWrap w:val="0"/>
            <w:vAlign w:val="center"/>
          </w:tcPr>
          <w:p w14:paraId="085717F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482" w:type="dxa"/>
            <w:noWrap w:val="0"/>
            <w:vAlign w:val="center"/>
          </w:tcPr>
          <w:p w14:paraId="065EA76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780" w:type="dxa"/>
            <w:noWrap w:val="0"/>
            <w:vAlign w:val="center"/>
          </w:tcPr>
          <w:p w14:paraId="58EC79B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93" w:type="dxa"/>
            <w:noWrap w:val="0"/>
            <w:vAlign w:val="center"/>
          </w:tcPr>
          <w:p w14:paraId="63F0DE9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98" w:type="dxa"/>
            <w:noWrap w:val="0"/>
            <w:vAlign w:val="center"/>
          </w:tcPr>
          <w:p w14:paraId="4A0843C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31" w:type="dxa"/>
            <w:noWrap w:val="0"/>
            <w:vAlign w:val="center"/>
          </w:tcPr>
          <w:p w14:paraId="40B5C97F">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183" w:type="dxa"/>
            <w:noWrap w:val="0"/>
            <w:vAlign w:val="center"/>
          </w:tcPr>
          <w:p w14:paraId="4EBAB5D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183" w:type="dxa"/>
            <w:noWrap w:val="0"/>
            <w:vAlign w:val="center"/>
          </w:tcPr>
          <w:p w14:paraId="24A27CB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72FF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31" w:type="dxa"/>
            <w:noWrap w:val="0"/>
            <w:vAlign w:val="center"/>
          </w:tcPr>
          <w:p w14:paraId="6BC5678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-1</w:t>
            </w:r>
          </w:p>
        </w:tc>
        <w:tc>
          <w:tcPr>
            <w:tcW w:w="1482" w:type="dxa"/>
            <w:noWrap w:val="0"/>
            <w:vAlign w:val="center"/>
          </w:tcPr>
          <w:p w14:paraId="2E32663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780" w:type="dxa"/>
            <w:noWrap w:val="0"/>
            <w:vAlign w:val="center"/>
          </w:tcPr>
          <w:p w14:paraId="51BE643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血液透析机</w:t>
            </w:r>
          </w:p>
        </w:tc>
        <w:tc>
          <w:tcPr>
            <w:tcW w:w="693" w:type="dxa"/>
            <w:noWrap w:val="0"/>
            <w:vAlign w:val="center"/>
          </w:tcPr>
          <w:p w14:paraId="144FADF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798" w:type="dxa"/>
            <w:noWrap w:val="0"/>
            <w:vAlign w:val="center"/>
          </w:tcPr>
          <w:p w14:paraId="634CF3F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台</w:t>
            </w:r>
          </w:p>
        </w:tc>
        <w:tc>
          <w:tcPr>
            <w:tcW w:w="1531" w:type="dxa"/>
            <w:noWrap w:val="0"/>
            <w:vAlign w:val="center"/>
          </w:tcPr>
          <w:p w14:paraId="5B759EA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183" w:type="dxa"/>
            <w:noWrap w:val="0"/>
            <w:vAlign w:val="center"/>
          </w:tcPr>
          <w:p w14:paraId="227BB8C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2470000.00 </w:t>
            </w:r>
          </w:p>
        </w:tc>
        <w:tc>
          <w:tcPr>
            <w:tcW w:w="1183" w:type="dxa"/>
            <w:noWrap w:val="0"/>
            <w:vAlign w:val="center"/>
          </w:tcPr>
          <w:p w14:paraId="69907F6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2470000.00 </w:t>
            </w:r>
          </w:p>
        </w:tc>
      </w:tr>
      <w:tr w14:paraId="709E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31" w:type="dxa"/>
            <w:noWrap w:val="0"/>
            <w:vAlign w:val="center"/>
          </w:tcPr>
          <w:p w14:paraId="09ACED1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1482" w:type="dxa"/>
            <w:noWrap w:val="0"/>
            <w:vAlign w:val="center"/>
          </w:tcPr>
          <w:p w14:paraId="47C660D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780" w:type="dxa"/>
            <w:noWrap w:val="0"/>
            <w:vAlign w:val="center"/>
          </w:tcPr>
          <w:p w14:paraId="2C81CDF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血液透析滤过机</w:t>
            </w:r>
          </w:p>
        </w:tc>
        <w:tc>
          <w:tcPr>
            <w:tcW w:w="693" w:type="dxa"/>
            <w:noWrap w:val="0"/>
            <w:vAlign w:val="center"/>
          </w:tcPr>
          <w:p w14:paraId="643BE25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798" w:type="dxa"/>
            <w:noWrap w:val="0"/>
            <w:vAlign w:val="center"/>
          </w:tcPr>
          <w:p w14:paraId="505277A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台</w:t>
            </w:r>
          </w:p>
        </w:tc>
        <w:tc>
          <w:tcPr>
            <w:tcW w:w="1531" w:type="dxa"/>
            <w:noWrap w:val="0"/>
            <w:vAlign w:val="center"/>
          </w:tcPr>
          <w:p w14:paraId="7853E42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183" w:type="dxa"/>
            <w:noWrap w:val="0"/>
            <w:vAlign w:val="center"/>
          </w:tcPr>
          <w:p w14:paraId="1C0C244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1130000.00 </w:t>
            </w:r>
          </w:p>
        </w:tc>
        <w:tc>
          <w:tcPr>
            <w:tcW w:w="1183" w:type="dxa"/>
            <w:noWrap w:val="0"/>
            <w:vAlign w:val="center"/>
          </w:tcPr>
          <w:p w14:paraId="034ECCC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1130000.00 </w:t>
            </w:r>
          </w:p>
        </w:tc>
      </w:tr>
    </w:tbl>
    <w:p w14:paraId="52AAB406">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2</w:t>
      </w:r>
      <w:r>
        <w:rPr>
          <w:rFonts w:hint="eastAsia" w:ascii="仿宋" w:hAnsi="仿宋" w:eastAsia="仿宋" w:cs="仿宋"/>
          <w:color w:val="auto"/>
          <w:sz w:val="24"/>
          <w:highlight w:val="none"/>
        </w:rPr>
        <w:t xml:space="preserve"> </w:t>
      </w:r>
    </w:p>
    <w:p w14:paraId="73322CD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12910850.00元</w:t>
      </w:r>
    </w:p>
    <w:p w14:paraId="1DFC369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12910850.00元</w:t>
      </w:r>
    </w:p>
    <w:tbl>
      <w:tblPr>
        <w:tblStyle w:val="34"/>
        <w:tblW w:w="9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424"/>
        <w:gridCol w:w="1531"/>
        <w:gridCol w:w="660"/>
        <w:gridCol w:w="735"/>
        <w:gridCol w:w="1575"/>
        <w:gridCol w:w="1358"/>
        <w:gridCol w:w="1350"/>
      </w:tblGrid>
      <w:tr w14:paraId="2B61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696" w:type="dxa"/>
            <w:noWrap w:val="0"/>
            <w:vAlign w:val="center"/>
          </w:tcPr>
          <w:p w14:paraId="49DDAB8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424" w:type="dxa"/>
            <w:noWrap w:val="0"/>
            <w:vAlign w:val="center"/>
          </w:tcPr>
          <w:p w14:paraId="5BA79154">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531" w:type="dxa"/>
            <w:noWrap w:val="0"/>
            <w:vAlign w:val="center"/>
          </w:tcPr>
          <w:p w14:paraId="3E5ACAF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60" w:type="dxa"/>
            <w:noWrap w:val="0"/>
            <w:vAlign w:val="center"/>
          </w:tcPr>
          <w:p w14:paraId="334C9811">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35" w:type="dxa"/>
            <w:noWrap w:val="0"/>
            <w:vAlign w:val="center"/>
          </w:tcPr>
          <w:p w14:paraId="7E652F05">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75" w:type="dxa"/>
            <w:noWrap w:val="0"/>
            <w:vAlign w:val="center"/>
          </w:tcPr>
          <w:p w14:paraId="729CAFD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58" w:type="dxa"/>
            <w:noWrap w:val="0"/>
            <w:vAlign w:val="center"/>
          </w:tcPr>
          <w:p w14:paraId="32C763E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50" w:type="dxa"/>
            <w:noWrap w:val="0"/>
            <w:vAlign w:val="center"/>
          </w:tcPr>
          <w:p w14:paraId="757505C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27818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2B968A9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w:t>
            </w:r>
          </w:p>
        </w:tc>
        <w:tc>
          <w:tcPr>
            <w:tcW w:w="1424" w:type="dxa"/>
            <w:noWrap w:val="0"/>
            <w:vAlign w:val="center"/>
          </w:tcPr>
          <w:p w14:paraId="09FDB61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45980E7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麻醉机</w:t>
            </w:r>
          </w:p>
        </w:tc>
        <w:tc>
          <w:tcPr>
            <w:tcW w:w="660" w:type="dxa"/>
            <w:noWrap w:val="0"/>
            <w:vAlign w:val="center"/>
          </w:tcPr>
          <w:p w14:paraId="761BF7C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4</w:t>
            </w:r>
          </w:p>
        </w:tc>
        <w:tc>
          <w:tcPr>
            <w:tcW w:w="735" w:type="dxa"/>
            <w:noWrap w:val="0"/>
            <w:vAlign w:val="center"/>
          </w:tcPr>
          <w:p w14:paraId="67241AB2">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44230BC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391604D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2600000.00</w:t>
            </w:r>
          </w:p>
        </w:tc>
        <w:tc>
          <w:tcPr>
            <w:tcW w:w="1350" w:type="dxa"/>
            <w:shd w:val="clear" w:color="auto" w:fill="auto"/>
            <w:noWrap w:val="0"/>
            <w:vAlign w:val="center"/>
          </w:tcPr>
          <w:p w14:paraId="6EB75327">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2600000.00</w:t>
            </w:r>
          </w:p>
        </w:tc>
      </w:tr>
      <w:tr w14:paraId="3D40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54A51E9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1424" w:type="dxa"/>
            <w:noWrap w:val="0"/>
            <w:vAlign w:val="center"/>
          </w:tcPr>
          <w:p w14:paraId="1981C7C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7F6CB12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高端监护仪</w:t>
            </w:r>
          </w:p>
        </w:tc>
        <w:tc>
          <w:tcPr>
            <w:tcW w:w="660" w:type="dxa"/>
            <w:noWrap w:val="0"/>
            <w:vAlign w:val="center"/>
          </w:tcPr>
          <w:p w14:paraId="0AEA423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w:t>
            </w:r>
          </w:p>
        </w:tc>
        <w:tc>
          <w:tcPr>
            <w:tcW w:w="735" w:type="dxa"/>
            <w:noWrap w:val="0"/>
            <w:vAlign w:val="center"/>
          </w:tcPr>
          <w:p w14:paraId="04F704D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1AAC550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07367E5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500000.00</w:t>
            </w:r>
          </w:p>
        </w:tc>
        <w:tc>
          <w:tcPr>
            <w:tcW w:w="1350" w:type="dxa"/>
            <w:shd w:val="clear" w:color="auto" w:fill="auto"/>
            <w:noWrap w:val="0"/>
            <w:vAlign w:val="center"/>
          </w:tcPr>
          <w:p w14:paraId="15EAF416">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500000.00</w:t>
            </w:r>
          </w:p>
        </w:tc>
      </w:tr>
      <w:tr w14:paraId="2368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0BAA7AC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2-3</w:t>
            </w:r>
          </w:p>
        </w:tc>
        <w:tc>
          <w:tcPr>
            <w:tcW w:w="1424" w:type="dxa"/>
            <w:noWrap w:val="0"/>
            <w:vAlign w:val="center"/>
          </w:tcPr>
          <w:p w14:paraId="37584F5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5A11501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母婴监护仪</w:t>
            </w:r>
          </w:p>
        </w:tc>
        <w:tc>
          <w:tcPr>
            <w:tcW w:w="660" w:type="dxa"/>
            <w:noWrap w:val="0"/>
            <w:vAlign w:val="center"/>
          </w:tcPr>
          <w:p w14:paraId="1877D86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6</w:t>
            </w:r>
          </w:p>
        </w:tc>
        <w:tc>
          <w:tcPr>
            <w:tcW w:w="735" w:type="dxa"/>
            <w:noWrap w:val="0"/>
            <w:vAlign w:val="center"/>
          </w:tcPr>
          <w:p w14:paraId="3C13520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74C1038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2426049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180000.00</w:t>
            </w:r>
          </w:p>
        </w:tc>
        <w:tc>
          <w:tcPr>
            <w:tcW w:w="1350" w:type="dxa"/>
            <w:shd w:val="clear" w:color="auto" w:fill="auto"/>
            <w:noWrap w:val="0"/>
            <w:vAlign w:val="center"/>
          </w:tcPr>
          <w:p w14:paraId="1F8C1B7C">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180000.00</w:t>
            </w:r>
          </w:p>
        </w:tc>
      </w:tr>
      <w:tr w14:paraId="152E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1FAC84F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2-4</w:t>
            </w:r>
          </w:p>
        </w:tc>
        <w:tc>
          <w:tcPr>
            <w:tcW w:w="1424" w:type="dxa"/>
            <w:noWrap w:val="0"/>
            <w:vAlign w:val="center"/>
          </w:tcPr>
          <w:p w14:paraId="63E7017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0F3899B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输液泵</w:t>
            </w:r>
          </w:p>
        </w:tc>
        <w:tc>
          <w:tcPr>
            <w:tcW w:w="660" w:type="dxa"/>
            <w:noWrap w:val="0"/>
            <w:vAlign w:val="center"/>
          </w:tcPr>
          <w:p w14:paraId="25A0B9D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15</w:t>
            </w:r>
          </w:p>
        </w:tc>
        <w:tc>
          <w:tcPr>
            <w:tcW w:w="735" w:type="dxa"/>
            <w:noWrap w:val="0"/>
            <w:vAlign w:val="center"/>
          </w:tcPr>
          <w:p w14:paraId="6A214A52">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14B3530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520C81E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101250.00</w:t>
            </w:r>
          </w:p>
        </w:tc>
        <w:tc>
          <w:tcPr>
            <w:tcW w:w="1350" w:type="dxa"/>
            <w:shd w:val="clear" w:color="auto" w:fill="auto"/>
            <w:noWrap w:val="0"/>
            <w:vAlign w:val="center"/>
          </w:tcPr>
          <w:p w14:paraId="75FB502A">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101250.00</w:t>
            </w:r>
          </w:p>
        </w:tc>
      </w:tr>
      <w:tr w14:paraId="70DA6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630FB05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2-5</w:t>
            </w:r>
          </w:p>
        </w:tc>
        <w:tc>
          <w:tcPr>
            <w:tcW w:w="1424" w:type="dxa"/>
            <w:noWrap w:val="0"/>
            <w:vAlign w:val="center"/>
          </w:tcPr>
          <w:p w14:paraId="35162EC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427B5FE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输液泵，注射泵检测仪</w:t>
            </w:r>
          </w:p>
        </w:tc>
        <w:tc>
          <w:tcPr>
            <w:tcW w:w="660" w:type="dxa"/>
            <w:noWrap w:val="0"/>
            <w:vAlign w:val="center"/>
          </w:tcPr>
          <w:p w14:paraId="70F0133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344468F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5809160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467233B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100000.00</w:t>
            </w:r>
          </w:p>
        </w:tc>
        <w:tc>
          <w:tcPr>
            <w:tcW w:w="1350" w:type="dxa"/>
            <w:shd w:val="clear" w:color="auto" w:fill="auto"/>
            <w:noWrap w:val="0"/>
            <w:vAlign w:val="center"/>
          </w:tcPr>
          <w:p w14:paraId="7333C7B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100000.00</w:t>
            </w:r>
          </w:p>
        </w:tc>
      </w:tr>
      <w:tr w14:paraId="25D70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0B15659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2-6</w:t>
            </w:r>
          </w:p>
        </w:tc>
        <w:tc>
          <w:tcPr>
            <w:tcW w:w="1424" w:type="dxa"/>
            <w:noWrap w:val="0"/>
            <w:vAlign w:val="center"/>
          </w:tcPr>
          <w:p w14:paraId="7709935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22D8D4F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病人转运监护仪</w:t>
            </w:r>
          </w:p>
        </w:tc>
        <w:tc>
          <w:tcPr>
            <w:tcW w:w="660" w:type="dxa"/>
            <w:noWrap w:val="0"/>
            <w:vAlign w:val="center"/>
          </w:tcPr>
          <w:p w14:paraId="1BB5A0A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w:t>
            </w:r>
          </w:p>
        </w:tc>
        <w:tc>
          <w:tcPr>
            <w:tcW w:w="735" w:type="dxa"/>
            <w:noWrap w:val="0"/>
            <w:vAlign w:val="center"/>
          </w:tcPr>
          <w:p w14:paraId="69185142">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7252A84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36B964F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57500.00</w:t>
            </w:r>
          </w:p>
        </w:tc>
        <w:tc>
          <w:tcPr>
            <w:tcW w:w="1350" w:type="dxa"/>
            <w:shd w:val="clear" w:color="auto" w:fill="auto"/>
            <w:noWrap w:val="0"/>
            <w:vAlign w:val="center"/>
          </w:tcPr>
          <w:p w14:paraId="6E9F824C">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57500.00</w:t>
            </w:r>
          </w:p>
        </w:tc>
      </w:tr>
      <w:tr w14:paraId="2B61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12CDFBF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2-7</w:t>
            </w:r>
          </w:p>
        </w:tc>
        <w:tc>
          <w:tcPr>
            <w:tcW w:w="1424" w:type="dxa"/>
            <w:noWrap w:val="0"/>
            <w:vAlign w:val="center"/>
          </w:tcPr>
          <w:p w14:paraId="6E197EF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6E1CC6C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呼吸机</w:t>
            </w:r>
          </w:p>
        </w:tc>
        <w:tc>
          <w:tcPr>
            <w:tcW w:w="660" w:type="dxa"/>
            <w:noWrap w:val="0"/>
            <w:vAlign w:val="center"/>
          </w:tcPr>
          <w:p w14:paraId="47B9610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3759A06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091F4CA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7AF57A4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182100.00</w:t>
            </w:r>
          </w:p>
        </w:tc>
        <w:tc>
          <w:tcPr>
            <w:tcW w:w="1350" w:type="dxa"/>
            <w:shd w:val="clear" w:color="auto" w:fill="auto"/>
            <w:noWrap w:val="0"/>
            <w:vAlign w:val="center"/>
          </w:tcPr>
          <w:p w14:paraId="2D9A5BDB">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182100.00</w:t>
            </w:r>
          </w:p>
        </w:tc>
      </w:tr>
      <w:tr w14:paraId="0757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36F5832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2-8</w:t>
            </w:r>
          </w:p>
        </w:tc>
        <w:tc>
          <w:tcPr>
            <w:tcW w:w="1424" w:type="dxa"/>
            <w:noWrap w:val="0"/>
            <w:vAlign w:val="center"/>
          </w:tcPr>
          <w:p w14:paraId="098717D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1B2E436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心电监护仪</w:t>
            </w:r>
          </w:p>
        </w:tc>
        <w:tc>
          <w:tcPr>
            <w:tcW w:w="660" w:type="dxa"/>
            <w:noWrap w:val="0"/>
            <w:vAlign w:val="center"/>
          </w:tcPr>
          <w:p w14:paraId="429B257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17</w:t>
            </w:r>
          </w:p>
        </w:tc>
        <w:tc>
          <w:tcPr>
            <w:tcW w:w="735" w:type="dxa"/>
            <w:noWrap w:val="0"/>
            <w:vAlign w:val="center"/>
          </w:tcPr>
          <w:p w14:paraId="02CEECA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4E0A2C7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4409079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425000.00</w:t>
            </w:r>
          </w:p>
        </w:tc>
        <w:tc>
          <w:tcPr>
            <w:tcW w:w="1350" w:type="dxa"/>
            <w:shd w:val="clear" w:color="auto" w:fill="auto"/>
            <w:noWrap w:val="0"/>
            <w:vAlign w:val="center"/>
          </w:tcPr>
          <w:p w14:paraId="7D3E3182">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425000.00</w:t>
            </w:r>
          </w:p>
        </w:tc>
      </w:tr>
      <w:tr w14:paraId="3119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057F6E4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2-9</w:t>
            </w:r>
          </w:p>
        </w:tc>
        <w:tc>
          <w:tcPr>
            <w:tcW w:w="1424" w:type="dxa"/>
            <w:noWrap w:val="0"/>
            <w:vAlign w:val="center"/>
          </w:tcPr>
          <w:p w14:paraId="50DE8B9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6252275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临时起搏器</w:t>
            </w:r>
          </w:p>
        </w:tc>
        <w:tc>
          <w:tcPr>
            <w:tcW w:w="660" w:type="dxa"/>
            <w:noWrap w:val="0"/>
            <w:vAlign w:val="center"/>
          </w:tcPr>
          <w:p w14:paraId="0E9154A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0B1157F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23AC594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60E1753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75000.00</w:t>
            </w:r>
          </w:p>
        </w:tc>
        <w:tc>
          <w:tcPr>
            <w:tcW w:w="1350" w:type="dxa"/>
            <w:shd w:val="clear" w:color="auto" w:fill="auto"/>
            <w:noWrap w:val="0"/>
            <w:vAlign w:val="center"/>
          </w:tcPr>
          <w:p w14:paraId="76831AF8">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75000.00</w:t>
            </w:r>
          </w:p>
        </w:tc>
      </w:tr>
      <w:tr w14:paraId="317A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5B2A53B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2-10</w:t>
            </w:r>
          </w:p>
        </w:tc>
        <w:tc>
          <w:tcPr>
            <w:tcW w:w="1424" w:type="dxa"/>
            <w:noWrap w:val="0"/>
            <w:vAlign w:val="center"/>
          </w:tcPr>
          <w:p w14:paraId="46C7660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64B9E31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六通道注射泵</w:t>
            </w:r>
          </w:p>
        </w:tc>
        <w:tc>
          <w:tcPr>
            <w:tcW w:w="660" w:type="dxa"/>
            <w:noWrap w:val="0"/>
            <w:vAlign w:val="center"/>
          </w:tcPr>
          <w:p w14:paraId="11BC7B0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w:t>
            </w:r>
          </w:p>
        </w:tc>
        <w:tc>
          <w:tcPr>
            <w:tcW w:w="735" w:type="dxa"/>
            <w:noWrap w:val="0"/>
            <w:vAlign w:val="center"/>
          </w:tcPr>
          <w:p w14:paraId="40CA1FF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5C1A9D8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4819903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180000.00</w:t>
            </w:r>
          </w:p>
        </w:tc>
        <w:tc>
          <w:tcPr>
            <w:tcW w:w="1350" w:type="dxa"/>
            <w:shd w:val="clear" w:color="auto" w:fill="auto"/>
            <w:noWrap w:val="0"/>
            <w:vAlign w:val="center"/>
          </w:tcPr>
          <w:p w14:paraId="5060CBF1">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180000.00</w:t>
            </w:r>
          </w:p>
        </w:tc>
      </w:tr>
      <w:tr w14:paraId="4C64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vMerge w:val="restart"/>
            <w:noWrap w:val="0"/>
            <w:vAlign w:val="center"/>
          </w:tcPr>
          <w:p w14:paraId="2515505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2-11</w:t>
            </w:r>
          </w:p>
        </w:tc>
        <w:tc>
          <w:tcPr>
            <w:tcW w:w="1424" w:type="dxa"/>
            <w:noWrap w:val="0"/>
            <w:vAlign w:val="center"/>
          </w:tcPr>
          <w:p w14:paraId="614B154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医用超声波仪器及设备</w:t>
            </w:r>
          </w:p>
        </w:tc>
        <w:tc>
          <w:tcPr>
            <w:tcW w:w="1531" w:type="dxa"/>
            <w:noWrap w:val="0"/>
            <w:vAlign w:val="center"/>
          </w:tcPr>
          <w:p w14:paraId="61427FFF">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超高端心血管彩色多普勒超声诊断仪</w:t>
            </w:r>
          </w:p>
        </w:tc>
        <w:tc>
          <w:tcPr>
            <w:tcW w:w="660" w:type="dxa"/>
            <w:noWrap w:val="0"/>
            <w:vAlign w:val="center"/>
          </w:tcPr>
          <w:p w14:paraId="4F7776F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74303EB5">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42E9F45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vMerge w:val="restart"/>
            <w:noWrap w:val="0"/>
            <w:vAlign w:val="center"/>
          </w:tcPr>
          <w:p w14:paraId="620A1FB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5200000.00</w:t>
            </w:r>
          </w:p>
        </w:tc>
        <w:tc>
          <w:tcPr>
            <w:tcW w:w="1350" w:type="dxa"/>
            <w:vMerge w:val="restart"/>
            <w:shd w:val="clear" w:color="auto" w:fill="auto"/>
            <w:noWrap w:val="0"/>
            <w:vAlign w:val="center"/>
          </w:tcPr>
          <w:p w14:paraId="2CAA8671">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5200000.00</w:t>
            </w:r>
          </w:p>
        </w:tc>
      </w:tr>
      <w:tr w14:paraId="487F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vMerge w:val="continue"/>
            <w:noWrap w:val="0"/>
            <w:vAlign w:val="center"/>
          </w:tcPr>
          <w:p w14:paraId="2477CA23">
            <w:pPr>
              <w:jc w:val="center"/>
              <w:rPr>
                <w:rFonts w:hint="eastAsia" w:ascii="仿宋" w:hAnsi="仿宋" w:eastAsia="仿宋" w:cs="仿宋"/>
                <w:color w:val="auto"/>
                <w:sz w:val="24"/>
                <w:highlight w:val="none"/>
                <w:lang w:val="en-US" w:eastAsia="zh-CN"/>
              </w:rPr>
            </w:pPr>
          </w:p>
        </w:tc>
        <w:tc>
          <w:tcPr>
            <w:tcW w:w="1424" w:type="dxa"/>
            <w:noWrap w:val="0"/>
            <w:vAlign w:val="center"/>
          </w:tcPr>
          <w:p w14:paraId="3E3659C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医用超声波仪器及设备</w:t>
            </w:r>
          </w:p>
        </w:tc>
        <w:tc>
          <w:tcPr>
            <w:tcW w:w="1531" w:type="dxa"/>
            <w:noWrap w:val="0"/>
            <w:vAlign w:val="center"/>
          </w:tcPr>
          <w:p w14:paraId="121D2C0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全数字化高端彩色多普勒超声诊断仪</w:t>
            </w:r>
          </w:p>
        </w:tc>
        <w:tc>
          <w:tcPr>
            <w:tcW w:w="660" w:type="dxa"/>
            <w:noWrap w:val="0"/>
            <w:vAlign w:val="center"/>
          </w:tcPr>
          <w:p w14:paraId="691CDC6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17539FE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36A8CD8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vMerge w:val="continue"/>
            <w:noWrap w:val="0"/>
            <w:vAlign w:val="center"/>
          </w:tcPr>
          <w:p w14:paraId="5F65AD6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c>
          <w:tcPr>
            <w:tcW w:w="1350" w:type="dxa"/>
            <w:vMerge w:val="continue"/>
            <w:shd w:val="clear" w:color="auto" w:fill="auto"/>
            <w:noWrap w:val="0"/>
            <w:vAlign w:val="center"/>
          </w:tcPr>
          <w:p w14:paraId="571A2561">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r>
      <w:tr w14:paraId="0BC08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367EE9D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2-12</w:t>
            </w:r>
          </w:p>
        </w:tc>
        <w:tc>
          <w:tcPr>
            <w:tcW w:w="1424" w:type="dxa"/>
            <w:noWrap w:val="0"/>
            <w:vAlign w:val="center"/>
          </w:tcPr>
          <w:p w14:paraId="18B6A92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62CC9DE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视频眼震图仪</w:t>
            </w:r>
          </w:p>
        </w:tc>
        <w:tc>
          <w:tcPr>
            <w:tcW w:w="660" w:type="dxa"/>
            <w:noWrap w:val="0"/>
            <w:vAlign w:val="center"/>
          </w:tcPr>
          <w:p w14:paraId="34BC10F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303AD2F5">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293F290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5A28601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600000.00</w:t>
            </w:r>
          </w:p>
        </w:tc>
        <w:tc>
          <w:tcPr>
            <w:tcW w:w="1350" w:type="dxa"/>
            <w:shd w:val="clear" w:color="auto" w:fill="auto"/>
            <w:noWrap w:val="0"/>
            <w:vAlign w:val="center"/>
          </w:tcPr>
          <w:p w14:paraId="72ED24C9">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600000.00</w:t>
            </w:r>
          </w:p>
        </w:tc>
      </w:tr>
      <w:tr w14:paraId="3CD6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vMerge w:val="restart"/>
            <w:noWrap w:val="0"/>
            <w:vAlign w:val="center"/>
          </w:tcPr>
          <w:p w14:paraId="7B4757B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2-13</w:t>
            </w:r>
          </w:p>
        </w:tc>
        <w:tc>
          <w:tcPr>
            <w:tcW w:w="1424" w:type="dxa"/>
            <w:noWrap w:val="0"/>
            <w:vAlign w:val="center"/>
          </w:tcPr>
          <w:p w14:paraId="1B6E787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0F860517">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生物显微镜</w:t>
            </w:r>
          </w:p>
        </w:tc>
        <w:tc>
          <w:tcPr>
            <w:tcW w:w="660" w:type="dxa"/>
            <w:noWrap w:val="0"/>
            <w:vAlign w:val="center"/>
          </w:tcPr>
          <w:p w14:paraId="25341CB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1002186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21AB1264">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详见采购文件</w:t>
            </w:r>
          </w:p>
        </w:tc>
        <w:tc>
          <w:tcPr>
            <w:tcW w:w="1358" w:type="dxa"/>
            <w:vMerge w:val="restart"/>
            <w:noWrap w:val="0"/>
            <w:vAlign w:val="center"/>
          </w:tcPr>
          <w:p w14:paraId="40AAE82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180000.00</w:t>
            </w:r>
          </w:p>
        </w:tc>
        <w:tc>
          <w:tcPr>
            <w:tcW w:w="1350" w:type="dxa"/>
            <w:vMerge w:val="restart"/>
            <w:shd w:val="clear" w:color="auto" w:fill="auto"/>
            <w:noWrap w:val="0"/>
            <w:vAlign w:val="center"/>
          </w:tcPr>
          <w:p w14:paraId="0055568F">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180000.00</w:t>
            </w:r>
          </w:p>
        </w:tc>
      </w:tr>
      <w:tr w14:paraId="2470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vMerge w:val="continue"/>
            <w:noWrap w:val="0"/>
            <w:vAlign w:val="center"/>
          </w:tcPr>
          <w:p w14:paraId="4C30692E">
            <w:pPr>
              <w:jc w:val="center"/>
              <w:rPr>
                <w:rFonts w:hint="eastAsia" w:ascii="仿宋" w:hAnsi="仿宋" w:eastAsia="仿宋" w:cs="仿宋"/>
                <w:color w:val="auto"/>
                <w:sz w:val="24"/>
                <w:highlight w:val="none"/>
                <w:lang w:val="en-US" w:eastAsia="zh-CN"/>
              </w:rPr>
            </w:pPr>
          </w:p>
        </w:tc>
        <w:tc>
          <w:tcPr>
            <w:tcW w:w="1424" w:type="dxa"/>
            <w:noWrap w:val="0"/>
            <w:vAlign w:val="center"/>
          </w:tcPr>
          <w:p w14:paraId="5B69FFB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2497A41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普通光学显微镜</w:t>
            </w:r>
          </w:p>
        </w:tc>
        <w:tc>
          <w:tcPr>
            <w:tcW w:w="660" w:type="dxa"/>
            <w:noWrap w:val="0"/>
            <w:vAlign w:val="center"/>
          </w:tcPr>
          <w:p w14:paraId="3A1A0D77">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73921B0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04BD02E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详见采购文件</w:t>
            </w:r>
          </w:p>
        </w:tc>
        <w:tc>
          <w:tcPr>
            <w:tcW w:w="1358" w:type="dxa"/>
            <w:vMerge w:val="continue"/>
            <w:noWrap w:val="0"/>
            <w:vAlign w:val="center"/>
          </w:tcPr>
          <w:p w14:paraId="73AFFF2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c>
          <w:tcPr>
            <w:tcW w:w="1350" w:type="dxa"/>
            <w:vMerge w:val="continue"/>
            <w:shd w:val="clear" w:color="auto" w:fill="auto"/>
            <w:noWrap w:val="0"/>
            <w:vAlign w:val="center"/>
          </w:tcPr>
          <w:p w14:paraId="05958DDB">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r>
      <w:tr w14:paraId="6CE7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vMerge w:val="continue"/>
            <w:noWrap w:val="0"/>
            <w:vAlign w:val="center"/>
          </w:tcPr>
          <w:p w14:paraId="41F35C80">
            <w:pPr>
              <w:jc w:val="center"/>
              <w:rPr>
                <w:rFonts w:hint="eastAsia" w:ascii="仿宋" w:hAnsi="仿宋" w:eastAsia="仿宋" w:cs="仿宋"/>
                <w:color w:val="auto"/>
                <w:sz w:val="24"/>
                <w:highlight w:val="none"/>
                <w:lang w:val="en-US" w:eastAsia="zh-CN"/>
              </w:rPr>
            </w:pPr>
          </w:p>
        </w:tc>
        <w:tc>
          <w:tcPr>
            <w:tcW w:w="1424" w:type="dxa"/>
            <w:noWrap w:val="0"/>
            <w:vAlign w:val="center"/>
          </w:tcPr>
          <w:p w14:paraId="6D71F68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3B4BB2E3">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生物显微成像系统</w:t>
            </w:r>
          </w:p>
        </w:tc>
        <w:tc>
          <w:tcPr>
            <w:tcW w:w="660" w:type="dxa"/>
            <w:noWrap w:val="0"/>
            <w:vAlign w:val="center"/>
          </w:tcPr>
          <w:p w14:paraId="4ECE8FD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07F3B55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37D7082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详见采购文件</w:t>
            </w:r>
          </w:p>
        </w:tc>
        <w:tc>
          <w:tcPr>
            <w:tcW w:w="1358" w:type="dxa"/>
            <w:vMerge w:val="continue"/>
            <w:noWrap w:val="0"/>
            <w:vAlign w:val="center"/>
          </w:tcPr>
          <w:p w14:paraId="07034E4E">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c>
          <w:tcPr>
            <w:tcW w:w="1350" w:type="dxa"/>
            <w:vMerge w:val="continue"/>
            <w:shd w:val="clear" w:color="auto" w:fill="auto"/>
            <w:noWrap w:val="0"/>
            <w:vAlign w:val="center"/>
          </w:tcPr>
          <w:p w14:paraId="0464A11F">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p>
        </w:tc>
      </w:tr>
      <w:tr w14:paraId="6388A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08A1617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2-14</w:t>
            </w:r>
          </w:p>
        </w:tc>
        <w:tc>
          <w:tcPr>
            <w:tcW w:w="1424" w:type="dxa"/>
            <w:noWrap w:val="0"/>
            <w:vAlign w:val="center"/>
          </w:tcPr>
          <w:p w14:paraId="5186FB1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0A6227A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超声治疗仪</w:t>
            </w:r>
          </w:p>
        </w:tc>
        <w:tc>
          <w:tcPr>
            <w:tcW w:w="660" w:type="dxa"/>
            <w:noWrap w:val="0"/>
            <w:vAlign w:val="center"/>
          </w:tcPr>
          <w:p w14:paraId="1247DCC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35A26DB3">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0AFF97E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76489AC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1200000.00</w:t>
            </w:r>
          </w:p>
        </w:tc>
        <w:tc>
          <w:tcPr>
            <w:tcW w:w="1350" w:type="dxa"/>
            <w:shd w:val="clear" w:color="auto" w:fill="auto"/>
            <w:noWrap w:val="0"/>
            <w:vAlign w:val="center"/>
          </w:tcPr>
          <w:p w14:paraId="059C0DC3">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1200000.00</w:t>
            </w:r>
          </w:p>
        </w:tc>
      </w:tr>
      <w:tr w14:paraId="362F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7391C13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2-15</w:t>
            </w:r>
          </w:p>
        </w:tc>
        <w:tc>
          <w:tcPr>
            <w:tcW w:w="1424" w:type="dxa"/>
            <w:noWrap w:val="0"/>
            <w:vAlign w:val="center"/>
          </w:tcPr>
          <w:p w14:paraId="02DC5A1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40177441">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超声疼痛治疗仪</w:t>
            </w:r>
          </w:p>
        </w:tc>
        <w:tc>
          <w:tcPr>
            <w:tcW w:w="660" w:type="dxa"/>
            <w:noWrap w:val="0"/>
            <w:vAlign w:val="center"/>
          </w:tcPr>
          <w:p w14:paraId="08969BF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08BA7811">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313767D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4D8049D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50000.00</w:t>
            </w:r>
          </w:p>
        </w:tc>
        <w:tc>
          <w:tcPr>
            <w:tcW w:w="1350" w:type="dxa"/>
            <w:shd w:val="clear" w:color="auto" w:fill="auto"/>
            <w:noWrap w:val="0"/>
            <w:vAlign w:val="center"/>
          </w:tcPr>
          <w:p w14:paraId="4096D6D3">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50000.00</w:t>
            </w:r>
          </w:p>
        </w:tc>
      </w:tr>
      <w:tr w14:paraId="619B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22E8337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2-16</w:t>
            </w:r>
          </w:p>
        </w:tc>
        <w:tc>
          <w:tcPr>
            <w:tcW w:w="1424" w:type="dxa"/>
            <w:noWrap w:val="0"/>
            <w:vAlign w:val="center"/>
          </w:tcPr>
          <w:p w14:paraId="3E55A2A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7A65F4B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血管内超声系统</w:t>
            </w:r>
          </w:p>
        </w:tc>
        <w:tc>
          <w:tcPr>
            <w:tcW w:w="660" w:type="dxa"/>
            <w:noWrap w:val="0"/>
            <w:vAlign w:val="center"/>
          </w:tcPr>
          <w:p w14:paraId="4E31231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312A519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2C62167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18AB425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800000.00</w:t>
            </w:r>
          </w:p>
        </w:tc>
        <w:tc>
          <w:tcPr>
            <w:tcW w:w="1350" w:type="dxa"/>
            <w:shd w:val="clear" w:color="auto" w:fill="auto"/>
            <w:noWrap w:val="0"/>
            <w:vAlign w:val="center"/>
          </w:tcPr>
          <w:p w14:paraId="3E87AD22">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800000.00</w:t>
            </w:r>
          </w:p>
        </w:tc>
      </w:tr>
      <w:tr w14:paraId="43E7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5F2C81D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2-17</w:t>
            </w:r>
          </w:p>
        </w:tc>
        <w:tc>
          <w:tcPr>
            <w:tcW w:w="1424" w:type="dxa"/>
            <w:noWrap w:val="0"/>
            <w:vAlign w:val="center"/>
          </w:tcPr>
          <w:p w14:paraId="1ACCE5D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04FF683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B超心脏探头</w:t>
            </w:r>
          </w:p>
        </w:tc>
        <w:tc>
          <w:tcPr>
            <w:tcW w:w="660" w:type="dxa"/>
            <w:noWrap w:val="0"/>
            <w:vAlign w:val="center"/>
          </w:tcPr>
          <w:p w14:paraId="3AE20BA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7DC2346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3B57C10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5B6CBB3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80000.00</w:t>
            </w:r>
          </w:p>
        </w:tc>
        <w:tc>
          <w:tcPr>
            <w:tcW w:w="1350" w:type="dxa"/>
            <w:shd w:val="clear" w:color="auto" w:fill="auto"/>
            <w:noWrap w:val="0"/>
            <w:vAlign w:val="center"/>
          </w:tcPr>
          <w:p w14:paraId="2B154C6F">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80000.00</w:t>
            </w:r>
          </w:p>
        </w:tc>
      </w:tr>
      <w:tr w14:paraId="596F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96" w:type="dxa"/>
            <w:noWrap w:val="0"/>
            <w:vAlign w:val="center"/>
          </w:tcPr>
          <w:p w14:paraId="2E44A4C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2-18</w:t>
            </w:r>
          </w:p>
        </w:tc>
        <w:tc>
          <w:tcPr>
            <w:tcW w:w="1424" w:type="dxa"/>
            <w:noWrap w:val="0"/>
            <w:vAlign w:val="center"/>
          </w:tcPr>
          <w:p w14:paraId="1E398A4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1" w:type="dxa"/>
            <w:noWrap w:val="0"/>
            <w:vAlign w:val="center"/>
          </w:tcPr>
          <w:p w14:paraId="3A3776B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CT脑灌注智能分析系统</w:t>
            </w:r>
          </w:p>
        </w:tc>
        <w:tc>
          <w:tcPr>
            <w:tcW w:w="660" w:type="dxa"/>
            <w:noWrap w:val="0"/>
            <w:vAlign w:val="center"/>
          </w:tcPr>
          <w:p w14:paraId="18B612F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35" w:type="dxa"/>
            <w:noWrap w:val="0"/>
            <w:vAlign w:val="center"/>
          </w:tcPr>
          <w:p w14:paraId="1FBFADA8">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32B78DB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7D411F6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400000.00</w:t>
            </w:r>
          </w:p>
        </w:tc>
        <w:tc>
          <w:tcPr>
            <w:tcW w:w="1350" w:type="dxa"/>
            <w:shd w:val="clear" w:color="auto" w:fill="auto"/>
            <w:noWrap w:val="0"/>
            <w:vAlign w:val="center"/>
          </w:tcPr>
          <w:p w14:paraId="157E475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400000.00</w:t>
            </w:r>
          </w:p>
        </w:tc>
      </w:tr>
    </w:tbl>
    <w:p w14:paraId="6D7E113E">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3</w:t>
      </w:r>
      <w:r>
        <w:rPr>
          <w:rFonts w:hint="eastAsia" w:ascii="仿宋" w:hAnsi="仿宋" w:eastAsia="仿宋" w:cs="仿宋"/>
          <w:color w:val="auto"/>
          <w:sz w:val="24"/>
          <w:highlight w:val="none"/>
        </w:rPr>
        <w:t xml:space="preserve"> </w:t>
      </w:r>
    </w:p>
    <w:p w14:paraId="778569B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3010000.00元</w:t>
      </w:r>
    </w:p>
    <w:p w14:paraId="38B86DF0">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3010000.00元</w:t>
      </w:r>
    </w:p>
    <w:tbl>
      <w:tblPr>
        <w:tblStyle w:val="34"/>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396"/>
        <w:gridCol w:w="1529"/>
        <w:gridCol w:w="638"/>
        <w:gridCol w:w="727"/>
        <w:gridCol w:w="1544"/>
        <w:gridCol w:w="1366"/>
        <w:gridCol w:w="1366"/>
      </w:tblGrid>
      <w:tr w14:paraId="37FC8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716" w:type="dxa"/>
            <w:noWrap w:val="0"/>
            <w:vAlign w:val="center"/>
          </w:tcPr>
          <w:p w14:paraId="7AE61A2C">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396" w:type="dxa"/>
            <w:noWrap w:val="0"/>
            <w:vAlign w:val="center"/>
          </w:tcPr>
          <w:p w14:paraId="316CB8C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529" w:type="dxa"/>
            <w:noWrap w:val="0"/>
            <w:vAlign w:val="center"/>
          </w:tcPr>
          <w:p w14:paraId="18AB12F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38" w:type="dxa"/>
            <w:noWrap w:val="0"/>
            <w:vAlign w:val="center"/>
          </w:tcPr>
          <w:p w14:paraId="6BB7A92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27" w:type="dxa"/>
            <w:noWrap w:val="0"/>
            <w:vAlign w:val="center"/>
          </w:tcPr>
          <w:p w14:paraId="346F9F38">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44" w:type="dxa"/>
            <w:noWrap w:val="0"/>
            <w:vAlign w:val="center"/>
          </w:tcPr>
          <w:p w14:paraId="0EA8AAD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66" w:type="dxa"/>
            <w:noWrap w:val="0"/>
            <w:vAlign w:val="center"/>
          </w:tcPr>
          <w:p w14:paraId="51098C9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66" w:type="dxa"/>
            <w:noWrap w:val="0"/>
            <w:vAlign w:val="center"/>
          </w:tcPr>
          <w:p w14:paraId="29F14C9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64B0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30A7019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w:t>
            </w:r>
          </w:p>
        </w:tc>
        <w:tc>
          <w:tcPr>
            <w:tcW w:w="1396" w:type="dxa"/>
            <w:noWrap w:val="0"/>
            <w:vAlign w:val="center"/>
          </w:tcPr>
          <w:p w14:paraId="36B99DF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2A353D5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腹腔镜系统</w:t>
            </w:r>
          </w:p>
        </w:tc>
        <w:tc>
          <w:tcPr>
            <w:tcW w:w="638" w:type="dxa"/>
            <w:noWrap w:val="0"/>
            <w:vAlign w:val="center"/>
          </w:tcPr>
          <w:p w14:paraId="179E5F3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1AC67A1B">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44" w:type="dxa"/>
            <w:noWrap w:val="0"/>
            <w:vAlign w:val="center"/>
          </w:tcPr>
          <w:p w14:paraId="1CD370A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2D3E368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2210000.00</w:t>
            </w:r>
          </w:p>
        </w:tc>
        <w:tc>
          <w:tcPr>
            <w:tcW w:w="1366" w:type="dxa"/>
            <w:shd w:val="clear" w:color="auto" w:fill="auto"/>
            <w:noWrap w:val="0"/>
            <w:vAlign w:val="center"/>
          </w:tcPr>
          <w:p w14:paraId="2E944EF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2210000.00</w:t>
            </w:r>
          </w:p>
        </w:tc>
      </w:tr>
      <w:tr w14:paraId="4F74E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1DFB1D7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3-2</w:t>
            </w:r>
          </w:p>
        </w:tc>
        <w:tc>
          <w:tcPr>
            <w:tcW w:w="1396" w:type="dxa"/>
            <w:noWrap w:val="0"/>
            <w:vAlign w:val="center"/>
          </w:tcPr>
          <w:p w14:paraId="4ACE069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5A80EB31">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钬激光剜除镜</w:t>
            </w:r>
          </w:p>
        </w:tc>
        <w:tc>
          <w:tcPr>
            <w:tcW w:w="638" w:type="dxa"/>
            <w:noWrap w:val="0"/>
            <w:vAlign w:val="center"/>
          </w:tcPr>
          <w:p w14:paraId="3D6E719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2DB501A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条</w:t>
            </w:r>
          </w:p>
        </w:tc>
        <w:tc>
          <w:tcPr>
            <w:tcW w:w="1544" w:type="dxa"/>
            <w:noWrap w:val="0"/>
            <w:vAlign w:val="center"/>
          </w:tcPr>
          <w:p w14:paraId="08287BE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0EAA6F4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80000.00</w:t>
            </w:r>
          </w:p>
        </w:tc>
        <w:tc>
          <w:tcPr>
            <w:tcW w:w="1366" w:type="dxa"/>
            <w:shd w:val="clear" w:color="auto" w:fill="auto"/>
            <w:noWrap w:val="0"/>
            <w:vAlign w:val="center"/>
          </w:tcPr>
          <w:p w14:paraId="14FC3D41">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80000.00</w:t>
            </w:r>
          </w:p>
        </w:tc>
      </w:tr>
      <w:tr w14:paraId="7B61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30C347F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w:t>
            </w:r>
          </w:p>
        </w:tc>
        <w:tc>
          <w:tcPr>
            <w:tcW w:w="1396" w:type="dxa"/>
            <w:noWrap w:val="0"/>
            <w:vAlign w:val="center"/>
          </w:tcPr>
          <w:p w14:paraId="00BB856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73479FB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硬性电子膀胱肾盂镜</w:t>
            </w:r>
          </w:p>
        </w:tc>
        <w:tc>
          <w:tcPr>
            <w:tcW w:w="638" w:type="dxa"/>
            <w:noWrap w:val="0"/>
            <w:vAlign w:val="center"/>
          </w:tcPr>
          <w:p w14:paraId="6A969FA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0250208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条</w:t>
            </w:r>
          </w:p>
        </w:tc>
        <w:tc>
          <w:tcPr>
            <w:tcW w:w="1544" w:type="dxa"/>
            <w:noWrap w:val="0"/>
            <w:vAlign w:val="center"/>
          </w:tcPr>
          <w:p w14:paraId="7032CEE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495F7D3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200000.00</w:t>
            </w:r>
          </w:p>
        </w:tc>
        <w:tc>
          <w:tcPr>
            <w:tcW w:w="1366" w:type="dxa"/>
            <w:shd w:val="clear" w:color="auto" w:fill="auto"/>
            <w:noWrap w:val="0"/>
            <w:vAlign w:val="center"/>
          </w:tcPr>
          <w:p w14:paraId="21AC6FF4">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200000.00</w:t>
            </w:r>
          </w:p>
        </w:tc>
      </w:tr>
      <w:tr w14:paraId="324F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09D82BF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w:t>
            </w:r>
          </w:p>
        </w:tc>
        <w:tc>
          <w:tcPr>
            <w:tcW w:w="1396" w:type="dxa"/>
            <w:noWrap w:val="0"/>
            <w:vAlign w:val="center"/>
          </w:tcPr>
          <w:p w14:paraId="4D2B5B4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21E4CCB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纤维支气管镜</w:t>
            </w:r>
          </w:p>
        </w:tc>
        <w:tc>
          <w:tcPr>
            <w:tcW w:w="638" w:type="dxa"/>
            <w:noWrap w:val="0"/>
            <w:vAlign w:val="center"/>
          </w:tcPr>
          <w:p w14:paraId="4DDB1D8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42F83145">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44" w:type="dxa"/>
            <w:noWrap w:val="0"/>
            <w:vAlign w:val="center"/>
          </w:tcPr>
          <w:p w14:paraId="305C431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39FCF4F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120000.00</w:t>
            </w:r>
          </w:p>
        </w:tc>
        <w:tc>
          <w:tcPr>
            <w:tcW w:w="1366" w:type="dxa"/>
            <w:shd w:val="clear" w:color="auto" w:fill="auto"/>
            <w:noWrap w:val="0"/>
            <w:vAlign w:val="center"/>
          </w:tcPr>
          <w:p w14:paraId="2EC08E9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120000.00</w:t>
            </w:r>
          </w:p>
        </w:tc>
      </w:tr>
      <w:tr w14:paraId="60F5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2646C9F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w:t>
            </w:r>
          </w:p>
        </w:tc>
        <w:tc>
          <w:tcPr>
            <w:tcW w:w="1396" w:type="dxa"/>
            <w:noWrap w:val="0"/>
            <w:vAlign w:val="center"/>
          </w:tcPr>
          <w:p w14:paraId="39B57C0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1283745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子镜系统</w:t>
            </w:r>
          </w:p>
        </w:tc>
        <w:tc>
          <w:tcPr>
            <w:tcW w:w="638" w:type="dxa"/>
            <w:noWrap w:val="0"/>
            <w:vAlign w:val="center"/>
          </w:tcPr>
          <w:p w14:paraId="7C48CD8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6437D011">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44" w:type="dxa"/>
            <w:noWrap w:val="0"/>
            <w:vAlign w:val="center"/>
          </w:tcPr>
          <w:p w14:paraId="6EF79A1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39E9CB5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200000.00</w:t>
            </w:r>
          </w:p>
        </w:tc>
        <w:tc>
          <w:tcPr>
            <w:tcW w:w="1366" w:type="dxa"/>
            <w:shd w:val="clear" w:color="auto" w:fill="auto"/>
            <w:noWrap w:val="0"/>
            <w:vAlign w:val="center"/>
          </w:tcPr>
          <w:p w14:paraId="1C03237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200000.00</w:t>
            </w:r>
          </w:p>
        </w:tc>
      </w:tr>
      <w:tr w14:paraId="04EC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16" w:type="dxa"/>
            <w:noWrap w:val="0"/>
            <w:vAlign w:val="center"/>
          </w:tcPr>
          <w:p w14:paraId="4793797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w:t>
            </w:r>
          </w:p>
        </w:tc>
        <w:tc>
          <w:tcPr>
            <w:tcW w:w="1396" w:type="dxa"/>
            <w:noWrap w:val="0"/>
            <w:vAlign w:val="center"/>
          </w:tcPr>
          <w:p w14:paraId="0232897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29" w:type="dxa"/>
            <w:noWrap w:val="0"/>
            <w:vAlign w:val="center"/>
          </w:tcPr>
          <w:p w14:paraId="29382CC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内镜侦探</w:t>
            </w:r>
          </w:p>
        </w:tc>
        <w:tc>
          <w:tcPr>
            <w:tcW w:w="638" w:type="dxa"/>
            <w:noWrap w:val="0"/>
            <w:vAlign w:val="center"/>
          </w:tcPr>
          <w:p w14:paraId="05C4432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27" w:type="dxa"/>
            <w:noWrap w:val="0"/>
            <w:vAlign w:val="center"/>
          </w:tcPr>
          <w:p w14:paraId="4929006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44" w:type="dxa"/>
            <w:noWrap w:val="0"/>
            <w:vAlign w:val="center"/>
          </w:tcPr>
          <w:p w14:paraId="257BE13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6" w:type="dxa"/>
            <w:noWrap w:val="0"/>
            <w:vAlign w:val="center"/>
          </w:tcPr>
          <w:p w14:paraId="14769C8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200000.00</w:t>
            </w:r>
          </w:p>
        </w:tc>
        <w:tc>
          <w:tcPr>
            <w:tcW w:w="1366" w:type="dxa"/>
            <w:shd w:val="clear" w:color="auto" w:fill="auto"/>
            <w:noWrap w:val="0"/>
            <w:vAlign w:val="center"/>
          </w:tcPr>
          <w:p w14:paraId="678832D2">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200000.00</w:t>
            </w:r>
          </w:p>
        </w:tc>
      </w:tr>
    </w:tbl>
    <w:p w14:paraId="4B51623C">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4</w:t>
      </w:r>
      <w:r>
        <w:rPr>
          <w:rFonts w:hint="eastAsia" w:ascii="仿宋" w:hAnsi="仿宋" w:eastAsia="仿宋" w:cs="仿宋"/>
          <w:color w:val="auto"/>
          <w:sz w:val="24"/>
          <w:highlight w:val="none"/>
        </w:rPr>
        <w:t xml:space="preserve"> </w:t>
      </w:r>
    </w:p>
    <w:p w14:paraId="6FB183B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4080000.00元</w:t>
      </w:r>
    </w:p>
    <w:p w14:paraId="7D5F66E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4080000.00元</w:t>
      </w:r>
    </w:p>
    <w:tbl>
      <w:tblPr>
        <w:tblStyle w:val="34"/>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1373"/>
        <w:gridCol w:w="1545"/>
        <w:gridCol w:w="630"/>
        <w:gridCol w:w="750"/>
        <w:gridCol w:w="1530"/>
        <w:gridCol w:w="1365"/>
        <w:gridCol w:w="1365"/>
      </w:tblGrid>
      <w:tr w14:paraId="0C01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24" w:type="dxa"/>
            <w:noWrap w:val="0"/>
            <w:vAlign w:val="center"/>
          </w:tcPr>
          <w:p w14:paraId="7169B728">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373" w:type="dxa"/>
            <w:noWrap w:val="0"/>
            <w:vAlign w:val="center"/>
          </w:tcPr>
          <w:p w14:paraId="30AA90F2">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545" w:type="dxa"/>
            <w:noWrap w:val="0"/>
            <w:vAlign w:val="center"/>
          </w:tcPr>
          <w:p w14:paraId="0F77356D">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30" w:type="dxa"/>
            <w:noWrap w:val="0"/>
            <w:vAlign w:val="center"/>
          </w:tcPr>
          <w:p w14:paraId="186654F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50" w:type="dxa"/>
            <w:noWrap w:val="0"/>
            <w:vAlign w:val="center"/>
          </w:tcPr>
          <w:p w14:paraId="66DFDA5E">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30" w:type="dxa"/>
            <w:noWrap w:val="0"/>
            <w:vAlign w:val="center"/>
          </w:tcPr>
          <w:p w14:paraId="59FE966D">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65" w:type="dxa"/>
            <w:noWrap w:val="0"/>
            <w:vAlign w:val="center"/>
          </w:tcPr>
          <w:p w14:paraId="421BFC7D">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65" w:type="dxa"/>
            <w:noWrap w:val="0"/>
            <w:vAlign w:val="center"/>
          </w:tcPr>
          <w:p w14:paraId="4C1D1E5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4183D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4" w:type="dxa"/>
            <w:noWrap w:val="0"/>
            <w:vAlign w:val="center"/>
          </w:tcPr>
          <w:p w14:paraId="7267281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-1</w:t>
            </w:r>
          </w:p>
        </w:tc>
        <w:tc>
          <w:tcPr>
            <w:tcW w:w="1373" w:type="dxa"/>
            <w:noWrap w:val="0"/>
            <w:vAlign w:val="center"/>
          </w:tcPr>
          <w:p w14:paraId="1362E28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45" w:type="dxa"/>
            <w:noWrap w:val="0"/>
            <w:vAlign w:val="center"/>
          </w:tcPr>
          <w:p w14:paraId="11C2CE3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强脉冲光与激光系统</w:t>
            </w:r>
          </w:p>
        </w:tc>
        <w:tc>
          <w:tcPr>
            <w:tcW w:w="630" w:type="dxa"/>
            <w:noWrap w:val="0"/>
            <w:vAlign w:val="center"/>
          </w:tcPr>
          <w:p w14:paraId="474136C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50" w:type="dxa"/>
            <w:noWrap w:val="0"/>
            <w:vAlign w:val="center"/>
          </w:tcPr>
          <w:p w14:paraId="5C87193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套</w:t>
            </w:r>
          </w:p>
        </w:tc>
        <w:tc>
          <w:tcPr>
            <w:tcW w:w="1530" w:type="dxa"/>
            <w:noWrap w:val="0"/>
            <w:vAlign w:val="center"/>
          </w:tcPr>
          <w:p w14:paraId="35B5E6C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5" w:type="dxa"/>
            <w:noWrap w:val="0"/>
            <w:vAlign w:val="center"/>
          </w:tcPr>
          <w:p w14:paraId="0A34911B">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1700000.00 </w:t>
            </w:r>
          </w:p>
        </w:tc>
        <w:tc>
          <w:tcPr>
            <w:tcW w:w="1365" w:type="dxa"/>
            <w:shd w:val="clear" w:color="auto" w:fill="auto"/>
            <w:noWrap w:val="0"/>
            <w:vAlign w:val="center"/>
          </w:tcPr>
          <w:p w14:paraId="55408FA9">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1700000.00 </w:t>
            </w:r>
          </w:p>
        </w:tc>
      </w:tr>
      <w:tr w14:paraId="65ED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4" w:type="dxa"/>
            <w:noWrap w:val="0"/>
            <w:vAlign w:val="center"/>
          </w:tcPr>
          <w:p w14:paraId="68297CA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4-2</w:t>
            </w:r>
          </w:p>
        </w:tc>
        <w:tc>
          <w:tcPr>
            <w:tcW w:w="1373" w:type="dxa"/>
            <w:noWrap w:val="0"/>
            <w:vAlign w:val="center"/>
          </w:tcPr>
          <w:p w14:paraId="7724BF1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45" w:type="dxa"/>
            <w:noWrap w:val="0"/>
            <w:vAlign w:val="center"/>
          </w:tcPr>
          <w:p w14:paraId="2E0A2AA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半导体激光治疗机</w:t>
            </w:r>
          </w:p>
        </w:tc>
        <w:tc>
          <w:tcPr>
            <w:tcW w:w="630" w:type="dxa"/>
            <w:noWrap w:val="0"/>
            <w:vAlign w:val="center"/>
          </w:tcPr>
          <w:p w14:paraId="79260FB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50" w:type="dxa"/>
            <w:noWrap w:val="0"/>
            <w:vAlign w:val="center"/>
          </w:tcPr>
          <w:p w14:paraId="1302B12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台</w:t>
            </w:r>
          </w:p>
        </w:tc>
        <w:tc>
          <w:tcPr>
            <w:tcW w:w="1530" w:type="dxa"/>
            <w:noWrap w:val="0"/>
            <w:vAlign w:val="center"/>
          </w:tcPr>
          <w:p w14:paraId="4D4C228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5" w:type="dxa"/>
            <w:noWrap w:val="0"/>
            <w:vAlign w:val="center"/>
          </w:tcPr>
          <w:p w14:paraId="2181547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2000000.00 </w:t>
            </w:r>
          </w:p>
        </w:tc>
        <w:tc>
          <w:tcPr>
            <w:tcW w:w="1365" w:type="dxa"/>
            <w:shd w:val="clear" w:color="auto" w:fill="auto"/>
            <w:noWrap w:val="0"/>
            <w:vAlign w:val="center"/>
          </w:tcPr>
          <w:p w14:paraId="644F4612">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2000000.00 </w:t>
            </w:r>
          </w:p>
        </w:tc>
      </w:tr>
      <w:tr w14:paraId="053A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4" w:type="dxa"/>
            <w:noWrap w:val="0"/>
            <w:vAlign w:val="center"/>
          </w:tcPr>
          <w:p w14:paraId="036CE86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4-3</w:t>
            </w:r>
          </w:p>
        </w:tc>
        <w:tc>
          <w:tcPr>
            <w:tcW w:w="1373" w:type="dxa"/>
            <w:noWrap w:val="0"/>
            <w:vAlign w:val="center"/>
          </w:tcPr>
          <w:p w14:paraId="1809031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45" w:type="dxa"/>
            <w:noWrap w:val="0"/>
            <w:vAlign w:val="center"/>
          </w:tcPr>
          <w:p w14:paraId="70EF848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全自动手术床</w:t>
            </w:r>
          </w:p>
        </w:tc>
        <w:tc>
          <w:tcPr>
            <w:tcW w:w="630" w:type="dxa"/>
            <w:noWrap w:val="0"/>
            <w:vAlign w:val="center"/>
          </w:tcPr>
          <w:p w14:paraId="45D2BAB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50" w:type="dxa"/>
            <w:noWrap w:val="0"/>
            <w:vAlign w:val="center"/>
          </w:tcPr>
          <w:p w14:paraId="74BC9D4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台</w:t>
            </w:r>
          </w:p>
        </w:tc>
        <w:tc>
          <w:tcPr>
            <w:tcW w:w="1530" w:type="dxa"/>
            <w:noWrap w:val="0"/>
            <w:vAlign w:val="center"/>
          </w:tcPr>
          <w:p w14:paraId="6A8234D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5" w:type="dxa"/>
            <w:noWrap w:val="0"/>
            <w:vAlign w:val="center"/>
          </w:tcPr>
          <w:p w14:paraId="4E2CCBFE">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220000.00 </w:t>
            </w:r>
          </w:p>
        </w:tc>
        <w:tc>
          <w:tcPr>
            <w:tcW w:w="1365" w:type="dxa"/>
            <w:shd w:val="clear" w:color="auto" w:fill="auto"/>
            <w:noWrap w:val="0"/>
            <w:vAlign w:val="center"/>
          </w:tcPr>
          <w:p w14:paraId="0530F34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220000.00 </w:t>
            </w:r>
          </w:p>
        </w:tc>
      </w:tr>
      <w:tr w14:paraId="5161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4" w:type="dxa"/>
            <w:noWrap w:val="0"/>
            <w:vAlign w:val="center"/>
          </w:tcPr>
          <w:p w14:paraId="1724E11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4-4</w:t>
            </w:r>
          </w:p>
        </w:tc>
        <w:tc>
          <w:tcPr>
            <w:tcW w:w="1373" w:type="dxa"/>
            <w:shd w:val="clear" w:color="auto" w:fill="auto"/>
            <w:noWrap w:val="0"/>
            <w:vAlign w:val="center"/>
          </w:tcPr>
          <w:p w14:paraId="212AFDB3">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其他医疗设备</w:t>
            </w:r>
          </w:p>
        </w:tc>
        <w:tc>
          <w:tcPr>
            <w:tcW w:w="1545" w:type="dxa"/>
            <w:noWrap w:val="0"/>
            <w:vAlign w:val="center"/>
          </w:tcPr>
          <w:p w14:paraId="04EEB7A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多功能经皮肾镜</w:t>
            </w:r>
          </w:p>
        </w:tc>
        <w:tc>
          <w:tcPr>
            <w:tcW w:w="630" w:type="dxa"/>
            <w:noWrap w:val="0"/>
            <w:vAlign w:val="center"/>
          </w:tcPr>
          <w:p w14:paraId="489E49C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50" w:type="dxa"/>
            <w:noWrap w:val="0"/>
            <w:vAlign w:val="center"/>
          </w:tcPr>
          <w:p w14:paraId="1CF0DA3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条</w:t>
            </w:r>
          </w:p>
        </w:tc>
        <w:tc>
          <w:tcPr>
            <w:tcW w:w="1530" w:type="dxa"/>
            <w:shd w:val="clear" w:color="auto" w:fill="auto"/>
            <w:noWrap w:val="0"/>
            <w:vAlign w:val="center"/>
          </w:tcPr>
          <w:p w14:paraId="2E6EC090">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详见采购文件</w:t>
            </w:r>
          </w:p>
        </w:tc>
        <w:tc>
          <w:tcPr>
            <w:tcW w:w="1365" w:type="dxa"/>
            <w:noWrap w:val="0"/>
            <w:vAlign w:val="center"/>
          </w:tcPr>
          <w:p w14:paraId="30C7EE27">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160000.00 </w:t>
            </w:r>
          </w:p>
        </w:tc>
        <w:tc>
          <w:tcPr>
            <w:tcW w:w="1365" w:type="dxa"/>
            <w:shd w:val="clear" w:color="auto" w:fill="auto"/>
            <w:noWrap w:val="0"/>
            <w:vAlign w:val="center"/>
          </w:tcPr>
          <w:p w14:paraId="3EC6E04E">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160000.00 </w:t>
            </w:r>
          </w:p>
        </w:tc>
      </w:tr>
    </w:tbl>
    <w:p w14:paraId="4DAA765D">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5</w:t>
      </w:r>
      <w:r>
        <w:rPr>
          <w:rFonts w:hint="eastAsia" w:ascii="仿宋" w:hAnsi="仿宋" w:eastAsia="仿宋" w:cs="仿宋"/>
          <w:color w:val="auto"/>
          <w:sz w:val="24"/>
          <w:highlight w:val="none"/>
        </w:rPr>
        <w:t xml:space="preserve"> </w:t>
      </w:r>
    </w:p>
    <w:p w14:paraId="27892222">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2709500.00元</w:t>
      </w:r>
    </w:p>
    <w:p w14:paraId="2167CEC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2709500.00元</w:t>
      </w:r>
    </w:p>
    <w:tbl>
      <w:tblPr>
        <w:tblStyle w:val="34"/>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358"/>
        <w:gridCol w:w="1530"/>
        <w:gridCol w:w="675"/>
        <w:gridCol w:w="705"/>
        <w:gridCol w:w="1575"/>
        <w:gridCol w:w="1358"/>
        <w:gridCol w:w="1380"/>
      </w:tblGrid>
      <w:tr w14:paraId="35E4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58" w:type="dxa"/>
            <w:noWrap w:val="0"/>
            <w:vAlign w:val="center"/>
          </w:tcPr>
          <w:p w14:paraId="7CBB818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358" w:type="dxa"/>
            <w:noWrap w:val="0"/>
            <w:vAlign w:val="center"/>
          </w:tcPr>
          <w:p w14:paraId="0119E037">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530" w:type="dxa"/>
            <w:noWrap w:val="0"/>
            <w:vAlign w:val="center"/>
          </w:tcPr>
          <w:p w14:paraId="2334D47F">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75" w:type="dxa"/>
            <w:noWrap w:val="0"/>
            <w:vAlign w:val="center"/>
          </w:tcPr>
          <w:p w14:paraId="425370A2">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05" w:type="dxa"/>
            <w:noWrap w:val="0"/>
            <w:vAlign w:val="center"/>
          </w:tcPr>
          <w:p w14:paraId="26B17B1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75" w:type="dxa"/>
            <w:noWrap w:val="0"/>
            <w:vAlign w:val="center"/>
          </w:tcPr>
          <w:p w14:paraId="5033EB05">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58" w:type="dxa"/>
            <w:noWrap w:val="0"/>
            <w:vAlign w:val="center"/>
          </w:tcPr>
          <w:p w14:paraId="0DA8599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80" w:type="dxa"/>
            <w:noWrap w:val="0"/>
            <w:vAlign w:val="center"/>
          </w:tcPr>
          <w:p w14:paraId="3B2896B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11455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58" w:type="dxa"/>
            <w:noWrap w:val="0"/>
            <w:vAlign w:val="center"/>
          </w:tcPr>
          <w:p w14:paraId="16D172B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w:t>
            </w:r>
          </w:p>
        </w:tc>
        <w:tc>
          <w:tcPr>
            <w:tcW w:w="1358" w:type="dxa"/>
            <w:noWrap w:val="0"/>
            <w:vAlign w:val="center"/>
          </w:tcPr>
          <w:p w14:paraId="0333B62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0" w:type="dxa"/>
            <w:noWrap w:val="0"/>
            <w:vAlign w:val="center"/>
          </w:tcPr>
          <w:p w14:paraId="1754509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胃肠镜系统</w:t>
            </w:r>
          </w:p>
        </w:tc>
        <w:tc>
          <w:tcPr>
            <w:tcW w:w="675" w:type="dxa"/>
            <w:noWrap w:val="0"/>
            <w:vAlign w:val="center"/>
          </w:tcPr>
          <w:p w14:paraId="0265BEF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05" w:type="dxa"/>
            <w:noWrap w:val="0"/>
            <w:vAlign w:val="center"/>
          </w:tcPr>
          <w:p w14:paraId="0AF04A3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0E8E2E8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7A1EBAB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2580000.00</w:t>
            </w:r>
          </w:p>
        </w:tc>
        <w:tc>
          <w:tcPr>
            <w:tcW w:w="1380" w:type="dxa"/>
            <w:shd w:val="clear" w:color="auto" w:fill="auto"/>
            <w:noWrap w:val="0"/>
            <w:vAlign w:val="center"/>
          </w:tcPr>
          <w:p w14:paraId="62026365">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2580000.00</w:t>
            </w:r>
          </w:p>
        </w:tc>
      </w:tr>
      <w:tr w14:paraId="02B9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58" w:type="dxa"/>
            <w:noWrap w:val="0"/>
            <w:vAlign w:val="center"/>
          </w:tcPr>
          <w:p w14:paraId="2F4D3B4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5-2</w:t>
            </w:r>
          </w:p>
        </w:tc>
        <w:tc>
          <w:tcPr>
            <w:tcW w:w="1358" w:type="dxa"/>
            <w:noWrap w:val="0"/>
            <w:vAlign w:val="center"/>
          </w:tcPr>
          <w:p w14:paraId="592DAA0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0" w:type="dxa"/>
            <w:noWrap w:val="0"/>
            <w:vAlign w:val="center"/>
          </w:tcPr>
          <w:p w14:paraId="4AA40BC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静脉腔内射频闭合发生</w:t>
            </w:r>
            <w:r>
              <w:rPr>
                <w:rFonts w:hint="eastAsia" w:ascii="仿宋" w:hAnsi="仿宋" w:eastAsia="仿宋" w:cs="仿宋"/>
                <w:i w:val="0"/>
                <w:iCs w:val="0"/>
                <w:color w:val="auto"/>
                <w:kern w:val="0"/>
                <w:sz w:val="22"/>
                <w:szCs w:val="22"/>
                <w:highlight w:val="none"/>
                <w:u w:val="none"/>
                <w:lang w:val="en-US" w:eastAsia="zh-CN" w:bidi="ar"/>
              </w:rPr>
              <w:br w:type="textWrapping"/>
            </w:r>
            <w:r>
              <w:rPr>
                <w:rFonts w:hint="eastAsia" w:ascii="仿宋" w:hAnsi="仿宋" w:eastAsia="仿宋" w:cs="仿宋"/>
                <w:i w:val="0"/>
                <w:iCs w:val="0"/>
                <w:color w:val="auto"/>
                <w:kern w:val="0"/>
                <w:sz w:val="22"/>
                <w:szCs w:val="22"/>
                <w:highlight w:val="none"/>
                <w:u w:val="none"/>
                <w:lang w:val="en-US" w:eastAsia="zh-CN" w:bidi="ar"/>
              </w:rPr>
              <w:t>器</w:t>
            </w:r>
          </w:p>
        </w:tc>
        <w:tc>
          <w:tcPr>
            <w:tcW w:w="675" w:type="dxa"/>
            <w:noWrap w:val="0"/>
            <w:vAlign w:val="center"/>
          </w:tcPr>
          <w:p w14:paraId="2C42398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05" w:type="dxa"/>
            <w:noWrap w:val="0"/>
            <w:vAlign w:val="center"/>
          </w:tcPr>
          <w:p w14:paraId="2146E6F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293E7A3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2FCF0A9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60000.00</w:t>
            </w:r>
          </w:p>
        </w:tc>
        <w:tc>
          <w:tcPr>
            <w:tcW w:w="1380" w:type="dxa"/>
            <w:shd w:val="clear" w:color="auto" w:fill="auto"/>
            <w:noWrap w:val="0"/>
            <w:vAlign w:val="center"/>
          </w:tcPr>
          <w:p w14:paraId="13543480">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60000.00</w:t>
            </w:r>
          </w:p>
        </w:tc>
      </w:tr>
      <w:tr w14:paraId="08D2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58" w:type="dxa"/>
            <w:noWrap w:val="0"/>
            <w:vAlign w:val="center"/>
          </w:tcPr>
          <w:p w14:paraId="0085454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5-3</w:t>
            </w:r>
          </w:p>
        </w:tc>
        <w:tc>
          <w:tcPr>
            <w:tcW w:w="1358" w:type="dxa"/>
            <w:noWrap w:val="0"/>
            <w:vAlign w:val="center"/>
          </w:tcPr>
          <w:p w14:paraId="616603F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30" w:type="dxa"/>
            <w:noWrap w:val="0"/>
            <w:vAlign w:val="center"/>
          </w:tcPr>
          <w:p w14:paraId="6B9E7DA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膀胱镜及碎石钳</w:t>
            </w:r>
          </w:p>
        </w:tc>
        <w:tc>
          <w:tcPr>
            <w:tcW w:w="675" w:type="dxa"/>
            <w:noWrap w:val="0"/>
            <w:vAlign w:val="center"/>
          </w:tcPr>
          <w:p w14:paraId="7E58580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05" w:type="dxa"/>
            <w:noWrap w:val="0"/>
            <w:vAlign w:val="center"/>
          </w:tcPr>
          <w:p w14:paraId="65EE126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条</w:t>
            </w:r>
          </w:p>
        </w:tc>
        <w:tc>
          <w:tcPr>
            <w:tcW w:w="1575" w:type="dxa"/>
            <w:noWrap w:val="0"/>
            <w:vAlign w:val="center"/>
          </w:tcPr>
          <w:p w14:paraId="2E22B61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8" w:type="dxa"/>
            <w:noWrap w:val="0"/>
            <w:vAlign w:val="center"/>
          </w:tcPr>
          <w:p w14:paraId="7C90EC4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69500.00</w:t>
            </w:r>
          </w:p>
        </w:tc>
        <w:tc>
          <w:tcPr>
            <w:tcW w:w="1380" w:type="dxa"/>
            <w:shd w:val="clear" w:color="auto" w:fill="auto"/>
            <w:noWrap w:val="0"/>
            <w:vAlign w:val="center"/>
          </w:tcPr>
          <w:p w14:paraId="35F6029E">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69500.00</w:t>
            </w:r>
          </w:p>
        </w:tc>
      </w:tr>
    </w:tbl>
    <w:p w14:paraId="2D6855ED">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6</w:t>
      </w:r>
      <w:r>
        <w:rPr>
          <w:rFonts w:hint="eastAsia" w:ascii="仿宋" w:hAnsi="仿宋" w:eastAsia="仿宋" w:cs="仿宋"/>
          <w:color w:val="auto"/>
          <w:sz w:val="24"/>
          <w:highlight w:val="none"/>
        </w:rPr>
        <w:t xml:space="preserve"> </w:t>
      </w:r>
    </w:p>
    <w:p w14:paraId="798AE823">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5871500.00元</w:t>
      </w:r>
    </w:p>
    <w:p w14:paraId="2C196277">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5871500.00元</w:t>
      </w:r>
    </w:p>
    <w:tbl>
      <w:tblPr>
        <w:tblStyle w:val="34"/>
        <w:tblW w:w="9526"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1164"/>
        <w:gridCol w:w="1688"/>
        <w:gridCol w:w="639"/>
        <w:gridCol w:w="794"/>
        <w:gridCol w:w="1575"/>
        <w:gridCol w:w="1364"/>
        <w:gridCol w:w="1362"/>
      </w:tblGrid>
      <w:tr w14:paraId="761B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940" w:type="dxa"/>
            <w:noWrap w:val="0"/>
            <w:vAlign w:val="center"/>
          </w:tcPr>
          <w:p w14:paraId="6A12A85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164" w:type="dxa"/>
            <w:noWrap w:val="0"/>
            <w:vAlign w:val="center"/>
          </w:tcPr>
          <w:p w14:paraId="2DE331B5">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688" w:type="dxa"/>
            <w:noWrap w:val="0"/>
            <w:vAlign w:val="center"/>
          </w:tcPr>
          <w:p w14:paraId="2A3E7345">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39" w:type="dxa"/>
            <w:noWrap w:val="0"/>
            <w:vAlign w:val="center"/>
          </w:tcPr>
          <w:p w14:paraId="6BCBEC5E">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794" w:type="dxa"/>
            <w:noWrap w:val="0"/>
            <w:vAlign w:val="center"/>
          </w:tcPr>
          <w:p w14:paraId="2074F85F">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75" w:type="dxa"/>
            <w:noWrap w:val="0"/>
            <w:vAlign w:val="center"/>
          </w:tcPr>
          <w:p w14:paraId="6AEB82E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64" w:type="dxa"/>
            <w:noWrap w:val="0"/>
            <w:vAlign w:val="center"/>
          </w:tcPr>
          <w:p w14:paraId="3C879F04">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62" w:type="dxa"/>
            <w:noWrap w:val="0"/>
            <w:vAlign w:val="center"/>
          </w:tcPr>
          <w:p w14:paraId="5FBCA6E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1B0C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696A193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w:t>
            </w:r>
          </w:p>
        </w:tc>
        <w:tc>
          <w:tcPr>
            <w:tcW w:w="1164" w:type="dxa"/>
            <w:noWrap w:val="0"/>
            <w:vAlign w:val="center"/>
          </w:tcPr>
          <w:p w14:paraId="454E92C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2ED0115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远红外线治疗仪</w:t>
            </w:r>
          </w:p>
        </w:tc>
        <w:tc>
          <w:tcPr>
            <w:tcW w:w="639" w:type="dxa"/>
            <w:noWrap w:val="0"/>
            <w:vAlign w:val="center"/>
          </w:tcPr>
          <w:p w14:paraId="11AB026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29C4039B">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0C6D839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312F1DCF">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c>
          <w:tcPr>
            <w:tcW w:w="1362" w:type="dxa"/>
            <w:shd w:val="clear" w:color="auto" w:fill="auto"/>
            <w:noWrap w:val="0"/>
            <w:vAlign w:val="center"/>
          </w:tcPr>
          <w:p w14:paraId="267ADC4F">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r>
      <w:tr w14:paraId="11C1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2BD6D49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6-2</w:t>
            </w:r>
          </w:p>
        </w:tc>
        <w:tc>
          <w:tcPr>
            <w:tcW w:w="1164" w:type="dxa"/>
            <w:noWrap w:val="0"/>
            <w:vAlign w:val="center"/>
          </w:tcPr>
          <w:p w14:paraId="3C7B210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5C4446C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磁刺激仪</w:t>
            </w:r>
          </w:p>
        </w:tc>
        <w:tc>
          <w:tcPr>
            <w:tcW w:w="639" w:type="dxa"/>
            <w:noWrap w:val="0"/>
            <w:vAlign w:val="center"/>
          </w:tcPr>
          <w:p w14:paraId="679DF3B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162A915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0F9D6ED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365C2ED">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460000.00 </w:t>
            </w:r>
          </w:p>
        </w:tc>
        <w:tc>
          <w:tcPr>
            <w:tcW w:w="1362" w:type="dxa"/>
            <w:shd w:val="clear" w:color="auto" w:fill="auto"/>
            <w:noWrap w:val="0"/>
            <w:vAlign w:val="center"/>
          </w:tcPr>
          <w:p w14:paraId="3FFE70C1">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460000.00 </w:t>
            </w:r>
          </w:p>
        </w:tc>
      </w:tr>
      <w:tr w14:paraId="05E1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2519BB1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6-3</w:t>
            </w:r>
          </w:p>
        </w:tc>
        <w:tc>
          <w:tcPr>
            <w:tcW w:w="1164" w:type="dxa"/>
            <w:noWrap w:val="0"/>
            <w:vAlign w:val="center"/>
          </w:tcPr>
          <w:p w14:paraId="2FBAD22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33C7690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生物刺激反馈系统</w:t>
            </w:r>
          </w:p>
        </w:tc>
        <w:tc>
          <w:tcPr>
            <w:tcW w:w="639" w:type="dxa"/>
            <w:noWrap w:val="0"/>
            <w:vAlign w:val="center"/>
          </w:tcPr>
          <w:p w14:paraId="72CADAB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16E2F903">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524432A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7CEAD38E">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260000.00 </w:t>
            </w:r>
          </w:p>
        </w:tc>
        <w:tc>
          <w:tcPr>
            <w:tcW w:w="1362" w:type="dxa"/>
            <w:shd w:val="clear" w:color="auto" w:fill="auto"/>
            <w:noWrap w:val="0"/>
            <w:vAlign w:val="center"/>
          </w:tcPr>
          <w:p w14:paraId="51F89286">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260000.00 </w:t>
            </w:r>
          </w:p>
        </w:tc>
      </w:tr>
      <w:tr w14:paraId="4DE1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47749B9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6-4</w:t>
            </w:r>
          </w:p>
        </w:tc>
        <w:tc>
          <w:tcPr>
            <w:tcW w:w="1164" w:type="dxa"/>
            <w:noWrap w:val="0"/>
            <w:vAlign w:val="center"/>
          </w:tcPr>
          <w:p w14:paraId="6CDAA0E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3F2C0F6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经颅重复磁刺激仪</w:t>
            </w:r>
          </w:p>
        </w:tc>
        <w:tc>
          <w:tcPr>
            <w:tcW w:w="639" w:type="dxa"/>
            <w:noWrap w:val="0"/>
            <w:vAlign w:val="center"/>
          </w:tcPr>
          <w:p w14:paraId="4415074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0AB9A1A7">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7E1F943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C8AF86E">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280000.00 </w:t>
            </w:r>
          </w:p>
        </w:tc>
        <w:tc>
          <w:tcPr>
            <w:tcW w:w="1362" w:type="dxa"/>
            <w:shd w:val="clear" w:color="auto" w:fill="auto"/>
            <w:noWrap w:val="0"/>
            <w:vAlign w:val="center"/>
          </w:tcPr>
          <w:p w14:paraId="05EE2D11">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280000.00 </w:t>
            </w:r>
          </w:p>
        </w:tc>
      </w:tr>
      <w:tr w14:paraId="2117A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673E2CC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6-5</w:t>
            </w:r>
          </w:p>
        </w:tc>
        <w:tc>
          <w:tcPr>
            <w:tcW w:w="1164" w:type="dxa"/>
            <w:noWrap w:val="0"/>
            <w:vAlign w:val="center"/>
          </w:tcPr>
          <w:p w14:paraId="3D43CB1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C1C924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生物反馈仪</w:t>
            </w:r>
          </w:p>
        </w:tc>
        <w:tc>
          <w:tcPr>
            <w:tcW w:w="639" w:type="dxa"/>
            <w:noWrap w:val="0"/>
            <w:vAlign w:val="center"/>
          </w:tcPr>
          <w:p w14:paraId="31826F0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3BE03162">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4A237B3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97B27E1">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380000.00 </w:t>
            </w:r>
          </w:p>
        </w:tc>
        <w:tc>
          <w:tcPr>
            <w:tcW w:w="1362" w:type="dxa"/>
            <w:shd w:val="clear" w:color="auto" w:fill="auto"/>
            <w:noWrap w:val="0"/>
            <w:vAlign w:val="center"/>
          </w:tcPr>
          <w:p w14:paraId="10FA87B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380000.00 </w:t>
            </w:r>
          </w:p>
        </w:tc>
      </w:tr>
      <w:tr w14:paraId="4D2B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3BCBBF9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6-6</w:t>
            </w:r>
          </w:p>
        </w:tc>
        <w:tc>
          <w:tcPr>
            <w:tcW w:w="1164" w:type="dxa"/>
            <w:noWrap w:val="0"/>
            <w:vAlign w:val="center"/>
          </w:tcPr>
          <w:p w14:paraId="2C0B406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083C8B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空气波压力循环治疗仪</w:t>
            </w:r>
          </w:p>
        </w:tc>
        <w:tc>
          <w:tcPr>
            <w:tcW w:w="639" w:type="dxa"/>
            <w:noWrap w:val="0"/>
            <w:vAlign w:val="center"/>
          </w:tcPr>
          <w:p w14:paraId="2617553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4</w:t>
            </w:r>
          </w:p>
        </w:tc>
        <w:tc>
          <w:tcPr>
            <w:tcW w:w="794" w:type="dxa"/>
            <w:noWrap w:val="0"/>
            <w:vAlign w:val="center"/>
          </w:tcPr>
          <w:p w14:paraId="321A5A18">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3428D13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07C8FA60">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180000.00 </w:t>
            </w:r>
          </w:p>
        </w:tc>
        <w:tc>
          <w:tcPr>
            <w:tcW w:w="1362" w:type="dxa"/>
            <w:shd w:val="clear" w:color="auto" w:fill="auto"/>
            <w:noWrap w:val="0"/>
            <w:vAlign w:val="center"/>
          </w:tcPr>
          <w:p w14:paraId="178F51FB">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180000.00 </w:t>
            </w:r>
          </w:p>
        </w:tc>
      </w:tr>
      <w:tr w14:paraId="1B6B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3BCF406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6-7</w:t>
            </w:r>
          </w:p>
        </w:tc>
        <w:tc>
          <w:tcPr>
            <w:tcW w:w="1164" w:type="dxa"/>
            <w:noWrap w:val="0"/>
            <w:vAlign w:val="center"/>
          </w:tcPr>
          <w:p w14:paraId="3B41052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47D1C8F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下肢关节康复器</w:t>
            </w:r>
          </w:p>
        </w:tc>
        <w:tc>
          <w:tcPr>
            <w:tcW w:w="639" w:type="dxa"/>
            <w:noWrap w:val="0"/>
            <w:vAlign w:val="center"/>
          </w:tcPr>
          <w:p w14:paraId="014C6D2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42A4A59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7D62DAD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54169CC7">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24000.00 </w:t>
            </w:r>
          </w:p>
        </w:tc>
        <w:tc>
          <w:tcPr>
            <w:tcW w:w="1362" w:type="dxa"/>
            <w:shd w:val="clear" w:color="auto" w:fill="auto"/>
            <w:noWrap w:val="0"/>
            <w:vAlign w:val="center"/>
          </w:tcPr>
          <w:p w14:paraId="0E7B84BC">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24000.00 </w:t>
            </w:r>
          </w:p>
        </w:tc>
      </w:tr>
      <w:tr w14:paraId="0CD8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72C4158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6-8</w:t>
            </w:r>
          </w:p>
        </w:tc>
        <w:tc>
          <w:tcPr>
            <w:tcW w:w="1164" w:type="dxa"/>
            <w:noWrap w:val="0"/>
            <w:vAlign w:val="center"/>
          </w:tcPr>
          <w:p w14:paraId="51E4202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BB1CEB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红光治疗仪</w:t>
            </w:r>
          </w:p>
        </w:tc>
        <w:tc>
          <w:tcPr>
            <w:tcW w:w="639" w:type="dxa"/>
            <w:noWrap w:val="0"/>
            <w:vAlign w:val="center"/>
          </w:tcPr>
          <w:p w14:paraId="58B91B3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212B864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4E01E77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2D43B7F9">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35000.00 </w:t>
            </w:r>
          </w:p>
        </w:tc>
        <w:tc>
          <w:tcPr>
            <w:tcW w:w="1362" w:type="dxa"/>
            <w:shd w:val="clear" w:color="auto" w:fill="auto"/>
            <w:noWrap w:val="0"/>
            <w:vAlign w:val="center"/>
          </w:tcPr>
          <w:p w14:paraId="0ED10976">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35000.00 </w:t>
            </w:r>
          </w:p>
        </w:tc>
      </w:tr>
      <w:tr w14:paraId="75E5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1E7167E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6-9</w:t>
            </w:r>
          </w:p>
        </w:tc>
        <w:tc>
          <w:tcPr>
            <w:tcW w:w="1164" w:type="dxa"/>
            <w:noWrap w:val="0"/>
            <w:vAlign w:val="center"/>
          </w:tcPr>
          <w:p w14:paraId="0DBC2F2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B15BB57">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短波紫外线治疗仪</w:t>
            </w:r>
          </w:p>
        </w:tc>
        <w:tc>
          <w:tcPr>
            <w:tcW w:w="639" w:type="dxa"/>
            <w:noWrap w:val="0"/>
            <w:vAlign w:val="center"/>
          </w:tcPr>
          <w:p w14:paraId="2D06251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58B33434">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7B14A5E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340B8D2">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38500.00 </w:t>
            </w:r>
          </w:p>
        </w:tc>
        <w:tc>
          <w:tcPr>
            <w:tcW w:w="1362" w:type="dxa"/>
            <w:shd w:val="clear" w:color="auto" w:fill="auto"/>
            <w:noWrap w:val="0"/>
            <w:vAlign w:val="center"/>
          </w:tcPr>
          <w:p w14:paraId="38F80014">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38500.00 </w:t>
            </w:r>
          </w:p>
        </w:tc>
      </w:tr>
      <w:tr w14:paraId="783A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0958E9B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6-10</w:t>
            </w:r>
          </w:p>
        </w:tc>
        <w:tc>
          <w:tcPr>
            <w:tcW w:w="1164" w:type="dxa"/>
            <w:noWrap w:val="0"/>
            <w:vAlign w:val="center"/>
          </w:tcPr>
          <w:p w14:paraId="4A5EAC6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74316E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体外反搏装置</w:t>
            </w:r>
          </w:p>
        </w:tc>
        <w:tc>
          <w:tcPr>
            <w:tcW w:w="639" w:type="dxa"/>
            <w:noWrap w:val="0"/>
            <w:vAlign w:val="center"/>
          </w:tcPr>
          <w:p w14:paraId="3BAD2716">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5E452AEA">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0D2B76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2F3DF549">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209000.00 </w:t>
            </w:r>
          </w:p>
        </w:tc>
        <w:tc>
          <w:tcPr>
            <w:tcW w:w="1362" w:type="dxa"/>
            <w:shd w:val="clear" w:color="auto" w:fill="auto"/>
            <w:noWrap w:val="0"/>
            <w:vAlign w:val="center"/>
          </w:tcPr>
          <w:p w14:paraId="33457FB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209000.00 </w:t>
            </w:r>
          </w:p>
        </w:tc>
      </w:tr>
      <w:tr w14:paraId="36CE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602DEC2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6-11</w:t>
            </w:r>
          </w:p>
        </w:tc>
        <w:tc>
          <w:tcPr>
            <w:tcW w:w="1164" w:type="dxa"/>
            <w:noWrap w:val="0"/>
            <w:vAlign w:val="center"/>
          </w:tcPr>
          <w:p w14:paraId="45EF7C5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5A04932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语言功能检测处理系统</w:t>
            </w:r>
          </w:p>
        </w:tc>
        <w:tc>
          <w:tcPr>
            <w:tcW w:w="639" w:type="dxa"/>
            <w:noWrap w:val="0"/>
            <w:vAlign w:val="center"/>
          </w:tcPr>
          <w:p w14:paraId="7EA8BF5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637AB62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360F34C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4BF26AAC">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c>
          <w:tcPr>
            <w:tcW w:w="1362" w:type="dxa"/>
            <w:shd w:val="clear" w:color="auto" w:fill="auto"/>
            <w:noWrap w:val="0"/>
            <w:vAlign w:val="center"/>
          </w:tcPr>
          <w:p w14:paraId="105A77A5">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r>
      <w:tr w14:paraId="36B2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5C94315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6-12</w:t>
            </w:r>
          </w:p>
        </w:tc>
        <w:tc>
          <w:tcPr>
            <w:tcW w:w="1164" w:type="dxa"/>
            <w:noWrap w:val="0"/>
            <w:vAlign w:val="center"/>
          </w:tcPr>
          <w:p w14:paraId="4DA842D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1B3BA6C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全自动微生物质谱系统</w:t>
            </w:r>
          </w:p>
        </w:tc>
        <w:tc>
          <w:tcPr>
            <w:tcW w:w="639" w:type="dxa"/>
            <w:noWrap w:val="0"/>
            <w:vAlign w:val="center"/>
          </w:tcPr>
          <w:p w14:paraId="603F47A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108E322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75" w:type="dxa"/>
            <w:noWrap w:val="0"/>
            <w:vAlign w:val="center"/>
          </w:tcPr>
          <w:p w14:paraId="12B00B8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58EEC35E">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1400000.00 </w:t>
            </w:r>
          </w:p>
        </w:tc>
        <w:tc>
          <w:tcPr>
            <w:tcW w:w="1362" w:type="dxa"/>
            <w:shd w:val="clear" w:color="auto" w:fill="auto"/>
            <w:noWrap w:val="0"/>
            <w:vAlign w:val="center"/>
          </w:tcPr>
          <w:p w14:paraId="271C02A9">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1400000.00 </w:t>
            </w:r>
          </w:p>
        </w:tc>
      </w:tr>
      <w:tr w14:paraId="6F839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0D07CFC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6-13</w:t>
            </w:r>
          </w:p>
        </w:tc>
        <w:tc>
          <w:tcPr>
            <w:tcW w:w="1164" w:type="dxa"/>
            <w:noWrap w:val="0"/>
            <w:vAlign w:val="center"/>
          </w:tcPr>
          <w:p w14:paraId="72AE41E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1CEC88C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血气分析仪</w:t>
            </w:r>
          </w:p>
        </w:tc>
        <w:tc>
          <w:tcPr>
            <w:tcW w:w="639" w:type="dxa"/>
            <w:noWrap w:val="0"/>
            <w:vAlign w:val="center"/>
          </w:tcPr>
          <w:p w14:paraId="6E9647C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047D43C0">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76363B8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E53E91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90000.00 </w:t>
            </w:r>
          </w:p>
        </w:tc>
        <w:tc>
          <w:tcPr>
            <w:tcW w:w="1362" w:type="dxa"/>
            <w:shd w:val="clear" w:color="auto" w:fill="auto"/>
            <w:noWrap w:val="0"/>
            <w:vAlign w:val="center"/>
          </w:tcPr>
          <w:p w14:paraId="531FF328">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90000.00 </w:t>
            </w:r>
          </w:p>
        </w:tc>
      </w:tr>
      <w:tr w14:paraId="399D6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3474EA9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6-14</w:t>
            </w:r>
          </w:p>
        </w:tc>
        <w:tc>
          <w:tcPr>
            <w:tcW w:w="1164" w:type="dxa"/>
            <w:noWrap w:val="0"/>
            <w:vAlign w:val="center"/>
          </w:tcPr>
          <w:p w14:paraId="3CA2859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2998527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微生物滤膜过滤器(自动抽滤机)</w:t>
            </w:r>
          </w:p>
        </w:tc>
        <w:tc>
          <w:tcPr>
            <w:tcW w:w="639" w:type="dxa"/>
            <w:noWrap w:val="0"/>
            <w:vAlign w:val="center"/>
          </w:tcPr>
          <w:p w14:paraId="35CBC28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6968725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1F67A63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3CB56541">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60000.00 </w:t>
            </w:r>
          </w:p>
        </w:tc>
        <w:tc>
          <w:tcPr>
            <w:tcW w:w="1362" w:type="dxa"/>
            <w:shd w:val="clear" w:color="auto" w:fill="auto"/>
            <w:noWrap w:val="0"/>
            <w:vAlign w:val="center"/>
          </w:tcPr>
          <w:p w14:paraId="3D02BB9C">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60000.00 </w:t>
            </w:r>
          </w:p>
        </w:tc>
      </w:tr>
      <w:tr w14:paraId="25EA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1E1FB5E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6-15</w:t>
            </w:r>
          </w:p>
        </w:tc>
        <w:tc>
          <w:tcPr>
            <w:tcW w:w="1164" w:type="dxa"/>
            <w:noWrap w:val="0"/>
            <w:vAlign w:val="center"/>
          </w:tcPr>
          <w:p w14:paraId="085FDF4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72B0009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全自动生化分析仪</w:t>
            </w:r>
          </w:p>
        </w:tc>
        <w:tc>
          <w:tcPr>
            <w:tcW w:w="639" w:type="dxa"/>
            <w:noWrap w:val="0"/>
            <w:vAlign w:val="center"/>
          </w:tcPr>
          <w:p w14:paraId="500E09B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55C835E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439C0B4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65E8A74F">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1700000.00 </w:t>
            </w:r>
          </w:p>
        </w:tc>
        <w:tc>
          <w:tcPr>
            <w:tcW w:w="1362" w:type="dxa"/>
            <w:shd w:val="clear" w:color="auto" w:fill="auto"/>
            <w:noWrap w:val="0"/>
            <w:vAlign w:val="center"/>
          </w:tcPr>
          <w:p w14:paraId="425F37F1">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1700000.00 </w:t>
            </w:r>
          </w:p>
        </w:tc>
      </w:tr>
      <w:tr w14:paraId="5B6E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noWrap w:val="0"/>
            <w:vAlign w:val="center"/>
          </w:tcPr>
          <w:p w14:paraId="032364B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6-16</w:t>
            </w:r>
          </w:p>
        </w:tc>
        <w:tc>
          <w:tcPr>
            <w:tcW w:w="1164" w:type="dxa"/>
            <w:noWrap w:val="0"/>
            <w:vAlign w:val="center"/>
          </w:tcPr>
          <w:p w14:paraId="0A27D94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4DECF53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心率变异分析系统</w:t>
            </w:r>
          </w:p>
        </w:tc>
        <w:tc>
          <w:tcPr>
            <w:tcW w:w="639" w:type="dxa"/>
            <w:noWrap w:val="0"/>
            <w:vAlign w:val="center"/>
          </w:tcPr>
          <w:p w14:paraId="5117267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noWrap w:val="0"/>
            <w:vAlign w:val="center"/>
          </w:tcPr>
          <w:p w14:paraId="071A7708">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18A47EA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noWrap w:val="0"/>
            <w:vAlign w:val="center"/>
          </w:tcPr>
          <w:p w14:paraId="194837DD">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350000.00 </w:t>
            </w:r>
          </w:p>
        </w:tc>
        <w:tc>
          <w:tcPr>
            <w:tcW w:w="1362" w:type="dxa"/>
            <w:shd w:val="clear" w:color="auto" w:fill="auto"/>
            <w:noWrap w:val="0"/>
            <w:vAlign w:val="center"/>
          </w:tcPr>
          <w:p w14:paraId="1B2482F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350000.00 </w:t>
            </w:r>
          </w:p>
        </w:tc>
      </w:tr>
      <w:tr w14:paraId="1E69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vMerge w:val="restart"/>
            <w:noWrap w:val="0"/>
            <w:vAlign w:val="center"/>
          </w:tcPr>
          <w:p w14:paraId="1EA6B80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6-17</w:t>
            </w:r>
          </w:p>
        </w:tc>
        <w:tc>
          <w:tcPr>
            <w:tcW w:w="1164" w:type="dxa"/>
            <w:vMerge w:val="restart"/>
            <w:noWrap w:val="0"/>
            <w:vAlign w:val="center"/>
          </w:tcPr>
          <w:p w14:paraId="41058A2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688" w:type="dxa"/>
            <w:noWrap w:val="0"/>
            <w:vAlign w:val="center"/>
          </w:tcPr>
          <w:p w14:paraId="4C29EFF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低速冷冻离心机</w:t>
            </w:r>
          </w:p>
        </w:tc>
        <w:tc>
          <w:tcPr>
            <w:tcW w:w="639" w:type="dxa"/>
            <w:noWrap w:val="0"/>
            <w:vAlign w:val="center"/>
          </w:tcPr>
          <w:p w14:paraId="732AAA7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2</w:t>
            </w:r>
          </w:p>
        </w:tc>
        <w:tc>
          <w:tcPr>
            <w:tcW w:w="794" w:type="dxa"/>
            <w:noWrap w:val="0"/>
            <w:vAlign w:val="center"/>
          </w:tcPr>
          <w:p w14:paraId="488A0E17">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noWrap w:val="0"/>
            <w:vAlign w:val="center"/>
          </w:tcPr>
          <w:p w14:paraId="22044CA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64" w:type="dxa"/>
            <w:vMerge w:val="restart"/>
            <w:noWrap w:val="0"/>
            <w:vAlign w:val="center"/>
          </w:tcPr>
          <w:p w14:paraId="22A2838D">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105000.00 </w:t>
            </w:r>
          </w:p>
        </w:tc>
        <w:tc>
          <w:tcPr>
            <w:tcW w:w="1362" w:type="dxa"/>
            <w:vMerge w:val="restart"/>
            <w:shd w:val="clear" w:color="auto" w:fill="auto"/>
            <w:noWrap w:val="0"/>
            <w:vAlign w:val="center"/>
          </w:tcPr>
          <w:p w14:paraId="587536EB">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105000.00 </w:t>
            </w:r>
          </w:p>
        </w:tc>
      </w:tr>
      <w:tr w14:paraId="1B54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40" w:type="dxa"/>
            <w:vMerge w:val="continue"/>
            <w:noWrap w:val="0"/>
            <w:vAlign w:val="center"/>
          </w:tcPr>
          <w:p w14:paraId="282125F0">
            <w:pPr>
              <w:jc w:val="center"/>
              <w:rPr>
                <w:rFonts w:hint="eastAsia" w:ascii="仿宋" w:hAnsi="仿宋" w:eastAsia="仿宋" w:cs="仿宋"/>
                <w:color w:val="auto"/>
                <w:sz w:val="24"/>
                <w:highlight w:val="none"/>
                <w:lang w:val="en-US" w:eastAsia="zh-CN"/>
              </w:rPr>
            </w:pPr>
          </w:p>
        </w:tc>
        <w:tc>
          <w:tcPr>
            <w:tcW w:w="1164" w:type="dxa"/>
            <w:vMerge w:val="continue"/>
            <w:noWrap w:val="0"/>
            <w:vAlign w:val="center"/>
          </w:tcPr>
          <w:p w14:paraId="3B3A3871">
            <w:pPr>
              <w:jc w:val="center"/>
              <w:rPr>
                <w:rFonts w:hint="eastAsia" w:ascii="仿宋" w:hAnsi="仿宋" w:eastAsia="仿宋" w:cs="仿宋"/>
                <w:color w:val="auto"/>
                <w:sz w:val="24"/>
                <w:highlight w:val="none"/>
                <w:lang w:val="en-US" w:eastAsia="zh-CN"/>
              </w:rPr>
            </w:pPr>
          </w:p>
        </w:tc>
        <w:tc>
          <w:tcPr>
            <w:tcW w:w="1688" w:type="dxa"/>
            <w:noWrap w:val="0"/>
            <w:vAlign w:val="center"/>
          </w:tcPr>
          <w:p w14:paraId="2DFFFD05">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低速离心机</w:t>
            </w:r>
          </w:p>
        </w:tc>
        <w:tc>
          <w:tcPr>
            <w:tcW w:w="639" w:type="dxa"/>
            <w:shd w:val="clear" w:color="auto" w:fill="auto"/>
            <w:noWrap w:val="0"/>
            <w:vAlign w:val="center"/>
          </w:tcPr>
          <w:p w14:paraId="6F4D68BE">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w:t>
            </w:r>
          </w:p>
        </w:tc>
        <w:tc>
          <w:tcPr>
            <w:tcW w:w="794" w:type="dxa"/>
            <w:shd w:val="clear" w:color="auto" w:fill="auto"/>
            <w:noWrap w:val="0"/>
            <w:vAlign w:val="center"/>
          </w:tcPr>
          <w:p w14:paraId="2F170A01">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75" w:type="dxa"/>
            <w:shd w:val="clear" w:color="auto" w:fill="auto"/>
            <w:noWrap w:val="0"/>
            <w:vAlign w:val="center"/>
          </w:tcPr>
          <w:p w14:paraId="24869C23">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详见采购文件</w:t>
            </w:r>
          </w:p>
        </w:tc>
        <w:tc>
          <w:tcPr>
            <w:tcW w:w="1364" w:type="dxa"/>
            <w:vMerge w:val="continue"/>
            <w:noWrap w:val="0"/>
            <w:vAlign w:val="center"/>
          </w:tcPr>
          <w:p w14:paraId="61B8F210">
            <w:pPr>
              <w:keepNext w:val="0"/>
              <w:keepLines w:val="0"/>
              <w:widowControl/>
              <w:suppressLineNumbers w:val="0"/>
              <w:jc w:val="right"/>
              <w:textAlignment w:val="center"/>
              <w:rPr>
                <w:rFonts w:hint="eastAsia" w:ascii="仿宋" w:hAnsi="仿宋" w:eastAsia="仿宋" w:cs="仿宋"/>
                <w:i w:val="0"/>
                <w:iCs w:val="0"/>
                <w:color w:val="auto"/>
                <w:kern w:val="0"/>
                <w:sz w:val="22"/>
                <w:szCs w:val="22"/>
                <w:highlight w:val="none"/>
                <w:u w:val="none"/>
                <w:lang w:val="en-US" w:eastAsia="zh-CN" w:bidi="ar"/>
              </w:rPr>
            </w:pPr>
          </w:p>
        </w:tc>
        <w:tc>
          <w:tcPr>
            <w:tcW w:w="1362" w:type="dxa"/>
            <w:vMerge w:val="continue"/>
            <w:shd w:val="clear" w:color="auto" w:fill="auto"/>
            <w:noWrap w:val="0"/>
            <w:vAlign w:val="center"/>
          </w:tcPr>
          <w:p w14:paraId="56C072D7">
            <w:pPr>
              <w:keepNext w:val="0"/>
              <w:keepLines w:val="0"/>
              <w:widowControl/>
              <w:suppressLineNumbers w:val="0"/>
              <w:jc w:val="right"/>
              <w:textAlignment w:val="center"/>
              <w:rPr>
                <w:rFonts w:hint="eastAsia" w:ascii="仿宋" w:hAnsi="仿宋" w:eastAsia="仿宋" w:cs="仿宋"/>
                <w:i w:val="0"/>
                <w:iCs w:val="0"/>
                <w:color w:val="auto"/>
                <w:kern w:val="0"/>
                <w:sz w:val="22"/>
                <w:szCs w:val="22"/>
                <w:highlight w:val="none"/>
                <w:u w:val="none"/>
                <w:lang w:val="en-US" w:eastAsia="zh-CN" w:bidi="ar"/>
              </w:rPr>
            </w:pPr>
          </w:p>
        </w:tc>
      </w:tr>
    </w:tbl>
    <w:p w14:paraId="7D9EEE88">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7</w:t>
      </w:r>
      <w:r>
        <w:rPr>
          <w:rFonts w:hint="eastAsia" w:ascii="仿宋" w:hAnsi="仿宋" w:eastAsia="仿宋" w:cs="仿宋"/>
          <w:color w:val="auto"/>
          <w:sz w:val="24"/>
          <w:highlight w:val="none"/>
        </w:rPr>
        <w:t xml:space="preserve"> </w:t>
      </w:r>
    </w:p>
    <w:p w14:paraId="68A3FE6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合同包预算金额：</w:t>
      </w:r>
      <w:r>
        <w:rPr>
          <w:rFonts w:hint="eastAsia" w:ascii="仿宋" w:hAnsi="仿宋" w:eastAsia="仿宋" w:cs="仿宋"/>
          <w:color w:val="auto"/>
          <w:sz w:val="24"/>
          <w:highlight w:val="none"/>
          <w:lang w:val="en-US" w:eastAsia="zh-CN"/>
        </w:rPr>
        <w:t>3343000.00元</w:t>
      </w:r>
    </w:p>
    <w:p w14:paraId="4AAE20BE">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合同包最高限价：</w:t>
      </w:r>
      <w:r>
        <w:rPr>
          <w:rFonts w:hint="eastAsia" w:ascii="仿宋" w:hAnsi="仿宋" w:eastAsia="仿宋" w:cs="仿宋"/>
          <w:color w:val="auto"/>
          <w:sz w:val="24"/>
          <w:highlight w:val="none"/>
          <w:lang w:val="en-US" w:eastAsia="zh-CN"/>
        </w:rPr>
        <w:t>3343000.00元</w:t>
      </w:r>
    </w:p>
    <w:tbl>
      <w:tblPr>
        <w:tblStyle w:val="34"/>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1343"/>
        <w:gridCol w:w="1589"/>
        <w:gridCol w:w="675"/>
        <w:gridCol w:w="646"/>
        <w:gridCol w:w="1590"/>
        <w:gridCol w:w="1350"/>
        <w:gridCol w:w="1350"/>
      </w:tblGrid>
      <w:tr w14:paraId="13C3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68" w:type="dxa"/>
            <w:noWrap w:val="0"/>
            <w:vAlign w:val="center"/>
          </w:tcPr>
          <w:p w14:paraId="6C51F26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1343" w:type="dxa"/>
            <w:noWrap w:val="0"/>
            <w:vAlign w:val="center"/>
          </w:tcPr>
          <w:p w14:paraId="443C7EB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589" w:type="dxa"/>
            <w:noWrap w:val="0"/>
            <w:vAlign w:val="center"/>
          </w:tcPr>
          <w:p w14:paraId="0C63AAB3">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675" w:type="dxa"/>
            <w:noWrap w:val="0"/>
            <w:vAlign w:val="center"/>
          </w:tcPr>
          <w:p w14:paraId="392D917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646" w:type="dxa"/>
            <w:noWrap w:val="0"/>
            <w:vAlign w:val="center"/>
          </w:tcPr>
          <w:p w14:paraId="5BD8E66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590" w:type="dxa"/>
            <w:noWrap w:val="0"/>
            <w:vAlign w:val="center"/>
          </w:tcPr>
          <w:p w14:paraId="71D77409">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350" w:type="dxa"/>
            <w:noWrap w:val="0"/>
            <w:vAlign w:val="center"/>
          </w:tcPr>
          <w:p w14:paraId="2C3614D2">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350" w:type="dxa"/>
            <w:noWrap w:val="0"/>
            <w:vAlign w:val="center"/>
          </w:tcPr>
          <w:p w14:paraId="0CC632DE">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最高限价</w:t>
            </w:r>
            <w:r>
              <w:rPr>
                <w:rFonts w:hint="eastAsia" w:ascii="仿宋" w:hAnsi="仿宋" w:eastAsia="仿宋" w:cs="仿宋"/>
                <w:b/>
                <w:color w:val="auto"/>
                <w:sz w:val="24"/>
                <w:highlight w:val="none"/>
              </w:rPr>
              <w:t>（元）</w:t>
            </w:r>
          </w:p>
        </w:tc>
      </w:tr>
      <w:tr w14:paraId="6C72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4093D2A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w:t>
            </w:r>
          </w:p>
        </w:tc>
        <w:tc>
          <w:tcPr>
            <w:tcW w:w="1343" w:type="dxa"/>
            <w:noWrap w:val="0"/>
            <w:vAlign w:val="center"/>
          </w:tcPr>
          <w:p w14:paraId="0360B16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4419CEB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空气消毒机</w:t>
            </w:r>
          </w:p>
        </w:tc>
        <w:tc>
          <w:tcPr>
            <w:tcW w:w="675" w:type="dxa"/>
            <w:noWrap w:val="0"/>
            <w:vAlign w:val="center"/>
          </w:tcPr>
          <w:p w14:paraId="7E2B72F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3</w:t>
            </w:r>
          </w:p>
        </w:tc>
        <w:tc>
          <w:tcPr>
            <w:tcW w:w="646" w:type="dxa"/>
            <w:noWrap w:val="0"/>
            <w:vAlign w:val="center"/>
          </w:tcPr>
          <w:p w14:paraId="35EFC4B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3567BDE8">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313BB1DD">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30000.00 </w:t>
            </w:r>
          </w:p>
        </w:tc>
        <w:tc>
          <w:tcPr>
            <w:tcW w:w="1350" w:type="dxa"/>
            <w:shd w:val="clear" w:color="auto" w:fill="auto"/>
            <w:noWrap w:val="0"/>
            <w:vAlign w:val="center"/>
          </w:tcPr>
          <w:p w14:paraId="0128E3F8">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30000.00 </w:t>
            </w:r>
          </w:p>
        </w:tc>
      </w:tr>
      <w:tr w14:paraId="6AF07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4202F63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7-2</w:t>
            </w:r>
          </w:p>
        </w:tc>
        <w:tc>
          <w:tcPr>
            <w:tcW w:w="1343" w:type="dxa"/>
            <w:noWrap w:val="0"/>
            <w:vAlign w:val="center"/>
          </w:tcPr>
          <w:p w14:paraId="468D6B3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666B46D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防辐射裙(分体)</w:t>
            </w:r>
          </w:p>
        </w:tc>
        <w:tc>
          <w:tcPr>
            <w:tcW w:w="675" w:type="dxa"/>
            <w:noWrap w:val="0"/>
            <w:vAlign w:val="center"/>
          </w:tcPr>
          <w:p w14:paraId="5162495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4</w:t>
            </w:r>
          </w:p>
        </w:tc>
        <w:tc>
          <w:tcPr>
            <w:tcW w:w="646" w:type="dxa"/>
            <w:noWrap w:val="0"/>
            <w:vAlign w:val="center"/>
          </w:tcPr>
          <w:p w14:paraId="0386623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21754C2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4CC39BC6">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36000.00 </w:t>
            </w:r>
          </w:p>
        </w:tc>
        <w:tc>
          <w:tcPr>
            <w:tcW w:w="1350" w:type="dxa"/>
            <w:shd w:val="clear" w:color="auto" w:fill="auto"/>
            <w:noWrap w:val="0"/>
            <w:vAlign w:val="center"/>
          </w:tcPr>
          <w:p w14:paraId="5A358B0E">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36000.00 </w:t>
            </w:r>
          </w:p>
        </w:tc>
      </w:tr>
      <w:tr w14:paraId="1EDB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770E395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7-3</w:t>
            </w:r>
          </w:p>
        </w:tc>
        <w:tc>
          <w:tcPr>
            <w:tcW w:w="1343" w:type="dxa"/>
            <w:noWrap w:val="0"/>
            <w:vAlign w:val="center"/>
          </w:tcPr>
          <w:p w14:paraId="23C9B8B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4C57628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防辐射护围领</w:t>
            </w:r>
          </w:p>
        </w:tc>
        <w:tc>
          <w:tcPr>
            <w:tcW w:w="675" w:type="dxa"/>
            <w:noWrap w:val="0"/>
            <w:vAlign w:val="center"/>
          </w:tcPr>
          <w:p w14:paraId="7D607830">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6</w:t>
            </w:r>
          </w:p>
        </w:tc>
        <w:tc>
          <w:tcPr>
            <w:tcW w:w="646" w:type="dxa"/>
            <w:noWrap w:val="0"/>
            <w:vAlign w:val="center"/>
          </w:tcPr>
          <w:p w14:paraId="6E5471EC">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1AFCA0C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58343F05">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15000.00 </w:t>
            </w:r>
          </w:p>
        </w:tc>
        <w:tc>
          <w:tcPr>
            <w:tcW w:w="1350" w:type="dxa"/>
            <w:shd w:val="clear" w:color="auto" w:fill="auto"/>
            <w:noWrap w:val="0"/>
            <w:vAlign w:val="center"/>
          </w:tcPr>
          <w:p w14:paraId="6BE16125">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15000.00 </w:t>
            </w:r>
          </w:p>
        </w:tc>
      </w:tr>
      <w:tr w14:paraId="427E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7E329F7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7-4</w:t>
            </w:r>
          </w:p>
        </w:tc>
        <w:tc>
          <w:tcPr>
            <w:tcW w:w="1343" w:type="dxa"/>
            <w:noWrap w:val="0"/>
            <w:vAlign w:val="center"/>
          </w:tcPr>
          <w:p w14:paraId="40AA1EF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4B5B342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铅衣专用衣架</w:t>
            </w:r>
          </w:p>
        </w:tc>
        <w:tc>
          <w:tcPr>
            <w:tcW w:w="675" w:type="dxa"/>
            <w:noWrap w:val="0"/>
            <w:vAlign w:val="center"/>
          </w:tcPr>
          <w:p w14:paraId="2330E42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67C7B7A5">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49D1CC7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4D3AEDC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30000.00 </w:t>
            </w:r>
          </w:p>
        </w:tc>
        <w:tc>
          <w:tcPr>
            <w:tcW w:w="1350" w:type="dxa"/>
            <w:shd w:val="clear" w:color="auto" w:fill="auto"/>
            <w:noWrap w:val="0"/>
            <w:vAlign w:val="center"/>
          </w:tcPr>
          <w:p w14:paraId="1068A160">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30000.00 </w:t>
            </w:r>
          </w:p>
        </w:tc>
      </w:tr>
      <w:tr w14:paraId="6864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3AC519D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7-5</w:t>
            </w:r>
          </w:p>
        </w:tc>
        <w:tc>
          <w:tcPr>
            <w:tcW w:w="1343" w:type="dxa"/>
            <w:noWrap w:val="0"/>
            <w:vAlign w:val="center"/>
          </w:tcPr>
          <w:p w14:paraId="3AED0CD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17F3E4A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三联半透明移动式防护</w:t>
            </w:r>
            <w:r>
              <w:rPr>
                <w:rFonts w:hint="eastAsia" w:ascii="仿宋" w:hAnsi="仿宋" w:eastAsia="仿宋" w:cs="仿宋"/>
                <w:i w:val="0"/>
                <w:iCs w:val="0"/>
                <w:color w:val="auto"/>
                <w:kern w:val="0"/>
                <w:sz w:val="22"/>
                <w:szCs w:val="22"/>
                <w:highlight w:val="none"/>
                <w:u w:val="none"/>
                <w:lang w:val="en-US" w:eastAsia="zh-CN" w:bidi="ar"/>
              </w:rPr>
              <w:br w:type="textWrapping"/>
            </w:r>
            <w:r>
              <w:rPr>
                <w:rFonts w:hint="eastAsia" w:ascii="仿宋" w:hAnsi="仿宋" w:eastAsia="仿宋" w:cs="仿宋"/>
                <w:i w:val="0"/>
                <w:iCs w:val="0"/>
                <w:color w:val="auto"/>
                <w:kern w:val="0"/>
                <w:sz w:val="22"/>
                <w:szCs w:val="22"/>
                <w:highlight w:val="none"/>
                <w:u w:val="none"/>
                <w:lang w:val="en-US" w:eastAsia="zh-CN" w:bidi="ar"/>
              </w:rPr>
              <w:t>屏</w:t>
            </w:r>
          </w:p>
        </w:tc>
        <w:tc>
          <w:tcPr>
            <w:tcW w:w="675" w:type="dxa"/>
            <w:noWrap w:val="0"/>
            <w:vAlign w:val="center"/>
          </w:tcPr>
          <w:p w14:paraId="2076F88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2CE8EAE8">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02F891D3">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0FF238E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20000.00 </w:t>
            </w:r>
          </w:p>
        </w:tc>
        <w:tc>
          <w:tcPr>
            <w:tcW w:w="1350" w:type="dxa"/>
            <w:shd w:val="clear" w:color="auto" w:fill="auto"/>
            <w:noWrap w:val="0"/>
            <w:vAlign w:val="center"/>
          </w:tcPr>
          <w:p w14:paraId="608E087D">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20000.00 </w:t>
            </w:r>
          </w:p>
        </w:tc>
      </w:tr>
      <w:tr w14:paraId="7A901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1426D51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7-6</w:t>
            </w:r>
          </w:p>
        </w:tc>
        <w:tc>
          <w:tcPr>
            <w:tcW w:w="1343" w:type="dxa"/>
            <w:noWrap w:val="0"/>
            <w:vAlign w:val="center"/>
          </w:tcPr>
          <w:p w14:paraId="3CADF47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57E3507A">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医用射线防护悬吊屏风</w:t>
            </w:r>
          </w:p>
        </w:tc>
        <w:tc>
          <w:tcPr>
            <w:tcW w:w="675" w:type="dxa"/>
            <w:noWrap w:val="0"/>
            <w:vAlign w:val="center"/>
          </w:tcPr>
          <w:p w14:paraId="49D54CB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5E372FDF">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375046F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0162A8D4">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10000.00 </w:t>
            </w:r>
          </w:p>
        </w:tc>
        <w:tc>
          <w:tcPr>
            <w:tcW w:w="1350" w:type="dxa"/>
            <w:shd w:val="clear" w:color="auto" w:fill="auto"/>
            <w:noWrap w:val="0"/>
            <w:vAlign w:val="center"/>
          </w:tcPr>
          <w:p w14:paraId="08618674">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10000.00 </w:t>
            </w:r>
          </w:p>
        </w:tc>
      </w:tr>
      <w:tr w14:paraId="08D7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3351D04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7-7</w:t>
            </w:r>
          </w:p>
        </w:tc>
        <w:tc>
          <w:tcPr>
            <w:tcW w:w="1343" w:type="dxa"/>
            <w:noWrap w:val="0"/>
            <w:vAlign w:val="center"/>
          </w:tcPr>
          <w:p w14:paraId="782DBB4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129204FD">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扫频生物测量仪</w:t>
            </w:r>
          </w:p>
        </w:tc>
        <w:tc>
          <w:tcPr>
            <w:tcW w:w="675" w:type="dxa"/>
            <w:noWrap w:val="0"/>
            <w:vAlign w:val="center"/>
          </w:tcPr>
          <w:p w14:paraId="3D6A358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2EB4B30F">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03743DB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57EE116E">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900000.00 </w:t>
            </w:r>
          </w:p>
        </w:tc>
        <w:tc>
          <w:tcPr>
            <w:tcW w:w="1350" w:type="dxa"/>
            <w:shd w:val="clear" w:color="auto" w:fill="auto"/>
            <w:noWrap w:val="0"/>
            <w:vAlign w:val="center"/>
          </w:tcPr>
          <w:p w14:paraId="5EF9FD2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900000.00 </w:t>
            </w:r>
          </w:p>
        </w:tc>
      </w:tr>
      <w:tr w14:paraId="49B6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1D7EA57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7-8</w:t>
            </w:r>
          </w:p>
        </w:tc>
        <w:tc>
          <w:tcPr>
            <w:tcW w:w="1343" w:type="dxa"/>
            <w:noWrap w:val="0"/>
            <w:vAlign w:val="center"/>
          </w:tcPr>
          <w:p w14:paraId="665724E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29764F2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胰岛素泵</w:t>
            </w:r>
          </w:p>
        </w:tc>
        <w:tc>
          <w:tcPr>
            <w:tcW w:w="675" w:type="dxa"/>
            <w:noWrap w:val="0"/>
            <w:vAlign w:val="center"/>
          </w:tcPr>
          <w:p w14:paraId="5B853EB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10</w:t>
            </w:r>
          </w:p>
        </w:tc>
        <w:tc>
          <w:tcPr>
            <w:tcW w:w="646" w:type="dxa"/>
            <w:noWrap w:val="0"/>
            <w:vAlign w:val="center"/>
          </w:tcPr>
          <w:p w14:paraId="26C192F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3FCCDB00">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2AECB989">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250000.00 </w:t>
            </w:r>
          </w:p>
        </w:tc>
        <w:tc>
          <w:tcPr>
            <w:tcW w:w="1350" w:type="dxa"/>
            <w:shd w:val="clear" w:color="auto" w:fill="auto"/>
            <w:noWrap w:val="0"/>
            <w:vAlign w:val="center"/>
          </w:tcPr>
          <w:p w14:paraId="57405D7D">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250000.00 </w:t>
            </w:r>
          </w:p>
        </w:tc>
      </w:tr>
      <w:tr w14:paraId="665D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0E7C70D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7-9</w:t>
            </w:r>
          </w:p>
        </w:tc>
        <w:tc>
          <w:tcPr>
            <w:tcW w:w="1343" w:type="dxa"/>
            <w:noWrap w:val="0"/>
            <w:vAlign w:val="center"/>
          </w:tcPr>
          <w:p w14:paraId="587FB07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23F4BA4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婴儿辐射保暖台</w:t>
            </w:r>
          </w:p>
        </w:tc>
        <w:tc>
          <w:tcPr>
            <w:tcW w:w="675" w:type="dxa"/>
            <w:noWrap w:val="0"/>
            <w:vAlign w:val="center"/>
          </w:tcPr>
          <w:p w14:paraId="1F82DD0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3</w:t>
            </w:r>
          </w:p>
        </w:tc>
        <w:tc>
          <w:tcPr>
            <w:tcW w:w="646" w:type="dxa"/>
            <w:noWrap w:val="0"/>
            <w:vAlign w:val="center"/>
          </w:tcPr>
          <w:p w14:paraId="0A44E621">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5FC4CCFF">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7FBC7F52">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105000.00 </w:t>
            </w:r>
          </w:p>
        </w:tc>
        <w:tc>
          <w:tcPr>
            <w:tcW w:w="1350" w:type="dxa"/>
            <w:shd w:val="clear" w:color="auto" w:fill="auto"/>
            <w:noWrap w:val="0"/>
            <w:vAlign w:val="center"/>
          </w:tcPr>
          <w:p w14:paraId="029E667A">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105000.00 </w:t>
            </w:r>
          </w:p>
        </w:tc>
      </w:tr>
      <w:tr w14:paraId="3A29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50F6313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7-10</w:t>
            </w:r>
          </w:p>
        </w:tc>
        <w:tc>
          <w:tcPr>
            <w:tcW w:w="1343" w:type="dxa"/>
            <w:noWrap w:val="0"/>
            <w:vAlign w:val="center"/>
          </w:tcPr>
          <w:p w14:paraId="71DEE92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5C066289">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婴儿培养箱</w:t>
            </w:r>
          </w:p>
        </w:tc>
        <w:tc>
          <w:tcPr>
            <w:tcW w:w="675" w:type="dxa"/>
            <w:noWrap w:val="0"/>
            <w:vAlign w:val="center"/>
          </w:tcPr>
          <w:p w14:paraId="283EFEA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5</w:t>
            </w:r>
          </w:p>
        </w:tc>
        <w:tc>
          <w:tcPr>
            <w:tcW w:w="646" w:type="dxa"/>
            <w:noWrap w:val="0"/>
            <w:vAlign w:val="center"/>
          </w:tcPr>
          <w:p w14:paraId="55B67E3D">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6AACCD2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0297249A">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177000.00 </w:t>
            </w:r>
          </w:p>
        </w:tc>
        <w:tc>
          <w:tcPr>
            <w:tcW w:w="1350" w:type="dxa"/>
            <w:shd w:val="clear" w:color="auto" w:fill="auto"/>
            <w:noWrap w:val="0"/>
            <w:vAlign w:val="center"/>
          </w:tcPr>
          <w:p w14:paraId="4416E340">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177000.00 </w:t>
            </w:r>
          </w:p>
        </w:tc>
      </w:tr>
      <w:tr w14:paraId="4248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2CEE7C8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7-11</w:t>
            </w:r>
          </w:p>
        </w:tc>
        <w:tc>
          <w:tcPr>
            <w:tcW w:w="1343" w:type="dxa"/>
            <w:noWrap w:val="0"/>
            <w:vAlign w:val="center"/>
          </w:tcPr>
          <w:p w14:paraId="1D27608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6DFADB5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牙科综合治疗椅</w:t>
            </w:r>
          </w:p>
        </w:tc>
        <w:tc>
          <w:tcPr>
            <w:tcW w:w="675" w:type="dxa"/>
            <w:noWrap w:val="0"/>
            <w:vAlign w:val="center"/>
          </w:tcPr>
          <w:p w14:paraId="4D635EFF">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10</w:t>
            </w:r>
          </w:p>
        </w:tc>
        <w:tc>
          <w:tcPr>
            <w:tcW w:w="646" w:type="dxa"/>
            <w:noWrap w:val="0"/>
            <w:vAlign w:val="center"/>
          </w:tcPr>
          <w:p w14:paraId="3CA787F3">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台</w:t>
            </w:r>
          </w:p>
        </w:tc>
        <w:tc>
          <w:tcPr>
            <w:tcW w:w="1590" w:type="dxa"/>
            <w:noWrap w:val="0"/>
            <w:vAlign w:val="center"/>
          </w:tcPr>
          <w:p w14:paraId="0804720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386311C4">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800000.00 </w:t>
            </w:r>
          </w:p>
        </w:tc>
        <w:tc>
          <w:tcPr>
            <w:tcW w:w="1350" w:type="dxa"/>
            <w:shd w:val="clear" w:color="auto" w:fill="auto"/>
            <w:noWrap w:val="0"/>
            <w:vAlign w:val="center"/>
          </w:tcPr>
          <w:p w14:paraId="51E74687">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800000.00 </w:t>
            </w:r>
          </w:p>
        </w:tc>
      </w:tr>
      <w:tr w14:paraId="62CB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1ACBC29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7-12</w:t>
            </w:r>
          </w:p>
        </w:tc>
        <w:tc>
          <w:tcPr>
            <w:tcW w:w="1343" w:type="dxa"/>
            <w:noWrap w:val="0"/>
            <w:vAlign w:val="center"/>
          </w:tcPr>
          <w:p w14:paraId="6B77E206">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1A533B4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全自动电脑视野仪</w:t>
            </w:r>
          </w:p>
        </w:tc>
        <w:tc>
          <w:tcPr>
            <w:tcW w:w="675" w:type="dxa"/>
            <w:noWrap w:val="0"/>
            <w:vAlign w:val="center"/>
          </w:tcPr>
          <w:p w14:paraId="0930F8C5">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58E8A26C">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57C9BB6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61D7D09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300000.00 </w:t>
            </w:r>
          </w:p>
        </w:tc>
        <w:tc>
          <w:tcPr>
            <w:tcW w:w="1350" w:type="dxa"/>
            <w:shd w:val="clear" w:color="auto" w:fill="auto"/>
            <w:noWrap w:val="0"/>
            <w:vAlign w:val="center"/>
          </w:tcPr>
          <w:p w14:paraId="4D8BED64">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300000.00 </w:t>
            </w:r>
          </w:p>
        </w:tc>
      </w:tr>
      <w:tr w14:paraId="5A37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76B8AA1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7-13</w:t>
            </w:r>
          </w:p>
        </w:tc>
        <w:tc>
          <w:tcPr>
            <w:tcW w:w="1343" w:type="dxa"/>
            <w:noWrap w:val="0"/>
            <w:vAlign w:val="center"/>
          </w:tcPr>
          <w:p w14:paraId="311DE07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761FCD48">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暗适应检查仪</w:t>
            </w:r>
          </w:p>
        </w:tc>
        <w:tc>
          <w:tcPr>
            <w:tcW w:w="675" w:type="dxa"/>
            <w:noWrap w:val="0"/>
            <w:vAlign w:val="center"/>
          </w:tcPr>
          <w:p w14:paraId="34B3D543">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27AA2D4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4EE59D9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16A02186">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50000.00 </w:t>
            </w:r>
          </w:p>
        </w:tc>
        <w:tc>
          <w:tcPr>
            <w:tcW w:w="1350" w:type="dxa"/>
            <w:shd w:val="clear" w:color="auto" w:fill="auto"/>
            <w:noWrap w:val="0"/>
            <w:vAlign w:val="center"/>
          </w:tcPr>
          <w:p w14:paraId="5E60C718">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50000.00 </w:t>
            </w:r>
          </w:p>
        </w:tc>
      </w:tr>
      <w:tr w14:paraId="6255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566B29BD">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7-14</w:t>
            </w:r>
          </w:p>
        </w:tc>
        <w:tc>
          <w:tcPr>
            <w:tcW w:w="1343" w:type="dxa"/>
            <w:noWrap w:val="0"/>
            <w:vAlign w:val="center"/>
          </w:tcPr>
          <w:p w14:paraId="23890E8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6A547BBB">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深视力检查仪</w:t>
            </w:r>
          </w:p>
        </w:tc>
        <w:tc>
          <w:tcPr>
            <w:tcW w:w="675" w:type="dxa"/>
            <w:noWrap w:val="0"/>
            <w:vAlign w:val="center"/>
          </w:tcPr>
          <w:p w14:paraId="4E37C91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5A448B36">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7838746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03266B5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50000.00 </w:t>
            </w:r>
          </w:p>
        </w:tc>
        <w:tc>
          <w:tcPr>
            <w:tcW w:w="1350" w:type="dxa"/>
            <w:shd w:val="clear" w:color="auto" w:fill="auto"/>
            <w:noWrap w:val="0"/>
            <w:vAlign w:val="center"/>
          </w:tcPr>
          <w:p w14:paraId="5ABF7D21">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50000.00 </w:t>
            </w:r>
          </w:p>
        </w:tc>
      </w:tr>
      <w:tr w14:paraId="51B1F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73C26E2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7-15</w:t>
            </w:r>
          </w:p>
        </w:tc>
        <w:tc>
          <w:tcPr>
            <w:tcW w:w="1343" w:type="dxa"/>
            <w:noWrap w:val="0"/>
            <w:vAlign w:val="center"/>
          </w:tcPr>
          <w:p w14:paraId="29E7559A">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7F8AEA84">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电脑非接触式眼压计</w:t>
            </w:r>
          </w:p>
        </w:tc>
        <w:tc>
          <w:tcPr>
            <w:tcW w:w="675" w:type="dxa"/>
            <w:noWrap w:val="0"/>
            <w:vAlign w:val="center"/>
          </w:tcPr>
          <w:p w14:paraId="3FA390AE">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0DB0AA1E">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78CA2AB7">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79BD2718">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200000.00 </w:t>
            </w:r>
          </w:p>
        </w:tc>
        <w:tc>
          <w:tcPr>
            <w:tcW w:w="1350" w:type="dxa"/>
            <w:shd w:val="clear" w:color="auto" w:fill="auto"/>
            <w:noWrap w:val="0"/>
            <w:vAlign w:val="center"/>
          </w:tcPr>
          <w:p w14:paraId="12E5D4EA">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200000.00 </w:t>
            </w:r>
          </w:p>
        </w:tc>
      </w:tr>
      <w:tr w14:paraId="0909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noWrap w:val="0"/>
            <w:vAlign w:val="center"/>
          </w:tcPr>
          <w:p w14:paraId="3BE72E4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7-16</w:t>
            </w:r>
          </w:p>
        </w:tc>
        <w:tc>
          <w:tcPr>
            <w:tcW w:w="1343" w:type="dxa"/>
            <w:noWrap w:val="0"/>
            <w:vAlign w:val="center"/>
          </w:tcPr>
          <w:p w14:paraId="5D8E71D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09B14FA2">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电脑角膜验光仪</w:t>
            </w:r>
          </w:p>
        </w:tc>
        <w:tc>
          <w:tcPr>
            <w:tcW w:w="675" w:type="dxa"/>
            <w:noWrap w:val="0"/>
            <w:vAlign w:val="center"/>
          </w:tcPr>
          <w:p w14:paraId="6FC3F1EC">
            <w:pPr>
              <w:keepNext w:val="0"/>
              <w:keepLines w:val="0"/>
              <w:widowControl/>
              <w:suppressLineNumbers w:val="0"/>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2B6F0B59">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6DA8D16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6B115DFC">
            <w:pPr>
              <w:keepNext w:val="0"/>
              <w:keepLines w:val="0"/>
              <w:widowControl/>
              <w:suppressLineNumbers w:val="0"/>
              <w:jc w:val="right"/>
              <w:textAlignment w:val="center"/>
              <w:rPr>
                <w:rFonts w:hint="eastAsia" w:ascii="仿宋" w:hAnsi="仿宋" w:eastAsia="仿宋" w:cs="仿宋"/>
                <w:color w:val="auto"/>
                <w:sz w:val="24"/>
                <w:highlight w:val="none"/>
                <w:lang w:val="en-US" w:eastAsia="zh-CN"/>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c>
          <w:tcPr>
            <w:tcW w:w="1350" w:type="dxa"/>
            <w:shd w:val="clear" w:color="auto" w:fill="auto"/>
            <w:noWrap w:val="0"/>
            <w:vAlign w:val="center"/>
          </w:tcPr>
          <w:p w14:paraId="7188810B">
            <w:pPr>
              <w:keepNext w:val="0"/>
              <w:keepLines w:val="0"/>
              <w:widowControl/>
              <w:suppressLineNumbers w:val="0"/>
              <w:jc w:val="righ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150000.00 </w:t>
            </w:r>
          </w:p>
        </w:tc>
      </w:tr>
      <w:tr w14:paraId="42BC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8" w:type="dxa"/>
            <w:shd w:val="clear" w:color="auto" w:fill="auto"/>
            <w:noWrap w:val="0"/>
            <w:vAlign w:val="center"/>
          </w:tcPr>
          <w:p w14:paraId="42908C3E">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7-17</w:t>
            </w:r>
          </w:p>
        </w:tc>
        <w:tc>
          <w:tcPr>
            <w:tcW w:w="1343" w:type="dxa"/>
            <w:noWrap w:val="0"/>
            <w:vAlign w:val="center"/>
          </w:tcPr>
          <w:p w14:paraId="30DD2975">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其他医疗设备</w:t>
            </w:r>
          </w:p>
        </w:tc>
        <w:tc>
          <w:tcPr>
            <w:tcW w:w="1589" w:type="dxa"/>
            <w:noWrap w:val="0"/>
            <w:vAlign w:val="center"/>
          </w:tcPr>
          <w:p w14:paraId="1566E9AE">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肝功能剪切波量化检测仪</w:t>
            </w:r>
          </w:p>
        </w:tc>
        <w:tc>
          <w:tcPr>
            <w:tcW w:w="675" w:type="dxa"/>
            <w:noWrap w:val="0"/>
            <w:vAlign w:val="center"/>
          </w:tcPr>
          <w:p w14:paraId="0B9E202C">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1</w:t>
            </w:r>
          </w:p>
        </w:tc>
        <w:tc>
          <w:tcPr>
            <w:tcW w:w="646" w:type="dxa"/>
            <w:noWrap w:val="0"/>
            <w:vAlign w:val="center"/>
          </w:tcPr>
          <w:p w14:paraId="5089633E">
            <w:pPr>
              <w:keepNext w:val="0"/>
              <w:keepLines w:val="0"/>
              <w:widowControl/>
              <w:suppressLineNumbers w:val="0"/>
              <w:jc w:val="center"/>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套</w:t>
            </w:r>
          </w:p>
        </w:tc>
        <w:tc>
          <w:tcPr>
            <w:tcW w:w="1590" w:type="dxa"/>
            <w:noWrap w:val="0"/>
            <w:vAlign w:val="center"/>
          </w:tcPr>
          <w:p w14:paraId="2FEF573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350" w:type="dxa"/>
            <w:noWrap w:val="0"/>
            <w:vAlign w:val="center"/>
          </w:tcPr>
          <w:p w14:paraId="6579183E">
            <w:pPr>
              <w:keepNext w:val="0"/>
              <w:keepLines w:val="0"/>
              <w:widowControl/>
              <w:suppressLineNumbers w:val="0"/>
              <w:jc w:val="right"/>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 xml:space="preserve">220000.00 </w:t>
            </w:r>
          </w:p>
        </w:tc>
        <w:tc>
          <w:tcPr>
            <w:tcW w:w="1350" w:type="dxa"/>
            <w:shd w:val="clear" w:color="auto" w:fill="auto"/>
            <w:noWrap w:val="0"/>
            <w:vAlign w:val="center"/>
          </w:tcPr>
          <w:p w14:paraId="6DC6D9AF">
            <w:pPr>
              <w:keepNext w:val="0"/>
              <w:keepLines w:val="0"/>
              <w:widowControl/>
              <w:suppressLineNumbers w:val="0"/>
              <w:jc w:val="right"/>
              <w:textAlignment w:val="center"/>
              <w:rPr>
                <w:rFonts w:hint="eastAsia" w:ascii="仿宋" w:hAnsi="仿宋" w:eastAsia="仿宋" w:cs="仿宋"/>
                <w:i w:val="0"/>
                <w:iCs w:val="0"/>
                <w:color w:val="auto"/>
                <w:kern w:val="0"/>
                <w:sz w:val="22"/>
                <w:szCs w:val="22"/>
                <w:highlight w:val="none"/>
                <w:u w:val="none"/>
                <w:lang w:val="en-US" w:eastAsia="zh-CN" w:bidi="ar"/>
              </w:rPr>
            </w:pPr>
            <w:r>
              <w:rPr>
                <w:rFonts w:hint="eastAsia" w:ascii="仿宋" w:hAnsi="仿宋" w:eastAsia="仿宋" w:cs="仿宋"/>
                <w:i w:val="0"/>
                <w:iCs w:val="0"/>
                <w:color w:val="auto"/>
                <w:kern w:val="0"/>
                <w:sz w:val="22"/>
                <w:szCs w:val="22"/>
                <w:highlight w:val="none"/>
                <w:u w:val="none"/>
                <w:lang w:val="en-US" w:eastAsia="zh-CN" w:bidi="ar"/>
              </w:rPr>
              <w:t xml:space="preserve">220000.00 </w:t>
            </w:r>
          </w:p>
        </w:tc>
      </w:tr>
    </w:tbl>
    <w:p w14:paraId="00337B4B">
      <w:pPr>
        <w:keepNext w:val="0"/>
        <w:keepLines w:val="0"/>
        <w:pageBreakBefore w:val="0"/>
        <w:widowControl w:val="0"/>
        <w:kinsoku/>
        <w:wordWrap/>
        <w:overflowPunct/>
        <w:topLinePunct w:val="0"/>
        <w:autoSpaceDE/>
        <w:autoSpaceDN/>
        <w:bidi w:val="0"/>
        <w:adjustRightInd/>
        <w:snapToGrid/>
        <w:spacing w:line="520" w:lineRule="exact"/>
        <w:ind w:left="1438" w:leftChars="228" w:hanging="960" w:hangingChars="400"/>
        <w:textAlignment w:val="auto"/>
        <w:outlineLvl w:val="9"/>
        <w:rPr>
          <w:rFonts w:hint="eastAsia" w:ascii="仿宋" w:hAnsi="仿宋" w:eastAsia="仿宋" w:cs="仿宋"/>
          <w:b/>
          <w:bCs/>
          <w:color w:val="auto"/>
          <w:sz w:val="24"/>
          <w:highlight w:val="none"/>
        </w:rPr>
      </w:pPr>
      <w:bookmarkStart w:id="7" w:name="_Toc3398"/>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8</w:t>
      </w:r>
      <w:bookmarkEnd w:id="7"/>
      <w:r>
        <w:rPr>
          <w:rFonts w:hint="eastAsia" w:ascii="仿宋" w:hAnsi="仿宋" w:eastAsia="仿宋" w:cs="仿宋"/>
          <w:b/>
          <w:bCs/>
          <w:color w:val="auto"/>
          <w:sz w:val="24"/>
          <w:highlight w:val="none"/>
        </w:rPr>
        <w:t xml:space="preserve"> </w:t>
      </w:r>
    </w:p>
    <w:p w14:paraId="0D2BAA8C">
      <w:pPr>
        <w:spacing w:line="520" w:lineRule="exact"/>
        <w:ind w:firstLine="480" w:firstLineChars="200"/>
        <w:outlineLvl w:val="1"/>
        <w:rPr>
          <w:rFonts w:hint="eastAsia" w:ascii="仿宋" w:hAnsi="仿宋" w:eastAsia="仿宋" w:cs="仿宋"/>
          <w:color w:val="auto"/>
          <w:sz w:val="24"/>
          <w:highlight w:val="none"/>
        </w:rPr>
      </w:pPr>
      <w:bookmarkStart w:id="8" w:name="_Toc8171"/>
      <w:bookmarkStart w:id="9" w:name="_Toc6324"/>
      <w:bookmarkStart w:id="10" w:name="_Toc19688"/>
      <w:r>
        <w:rPr>
          <w:rFonts w:hint="eastAsia" w:ascii="仿宋" w:hAnsi="仿宋" w:eastAsia="仿宋" w:cs="仿宋"/>
          <w:color w:val="auto"/>
          <w:sz w:val="24"/>
          <w:highlight w:val="none"/>
        </w:rPr>
        <w:t>合同包预算金额：3821150.</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元</w:t>
      </w:r>
      <w:bookmarkEnd w:id="8"/>
      <w:bookmarkEnd w:id="9"/>
      <w:bookmarkEnd w:id="10"/>
    </w:p>
    <w:p w14:paraId="0F97AE13">
      <w:pPr>
        <w:spacing w:line="520" w:lineRule="exact"/>
        <w:ind w:firstLine="480" w:firstLineChars="200"/>
        <w:outlineLvl w:val="1"/>
        <w:rPr>
          <w:rFonts w:hint="eastAsia" w:ascii="仿宋" w:hAnsi="仿宋" w:eastAsia="仿宋" w:cs="仿宋"/>
          <w:color w:val="auto"/>
          <w:sz w:val="24"/>
          <w:highlight w:val="none"/>
        </w:rPr>
      </w:pPr>
      <w:bookmarkStart w:id="11" w:name="_Toc2060"/>
      <w:bookmarkStart w:id="12" w:name="_Toc6959"/>
      <w:bookmarkStart w:id="13" w:name="_Toc2746"/>
      <w:r>
        <w:rPr>
          <w:rFonts w:hint="eastAsia" w:ascii="仿宋" w:hAnsi="仿宋" w:eastAsia="仿宋" w:cs="仿宋"/>
          <w:color w:val="auto"/>
          <w:sz w:val="24"/>
          <w:highlight w:val="none"/>
        </w:rPr>
        <w:t>合同包最高限价：3821150.</w:t>
      </w:r>
      <w:r>
        <w:rPr>
          <w:rFonts w:hint="eastAsia" w:ascii="仿宋" w:hAnsi="仿宋" w:eastAsia="仿宋" w:cs="仿宋"/>
          <w:color w:val="auto"/>
          <w:sz w:val="24"/>
          <w:highlight w:val="none"/>
          <w:lang w:val="en-US" w:eastAsia="zh-CN"/>
        </w:rPr>
        <w:t>00</w:t>
      </w:r>
      <w:r>
        <w:rPr>
          <w:rFonts w:hint="eastAsia" w:ascii="仿宋" w:hAnsi="仿宋" w:eastAsia="仿宋" w:cs="仿宋"/>
          <w:color w:val="auto"/>
          <w:sz w:val="24"/>
          <w:highlight w:val="none"/>
        </w:rPr>
        <w:t>元</w:t>
      </w:r>
      <w:bookmarkEnd w:id="11"/>
      <w:bookmarkEnd w:id="12"/>
      <w:bookmarkEnd w:id="13"/>
    </w:p>
    <w:tbl>
      <w:tblPr>
        <w:tblStyle w:val="34"/>
        <w:tblW w:w="9669"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951"/>
        <w:gridCol w:w="1854"/>
        <w:gridCol w:w="1080"/>
        <w:gridCol w:w="1770"/>
        <w:gridCol w:w="1575"/>
        <w:gridCol w:w="1568"/>
      </w:tblGrid>
      <w:tr w14:paraId="0BDA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1" w:type="dxa"/>
            <w:vAlign w:val="center"/>
          </w:tcPr>
          <w:p w14:paraId="05840CDA">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品目号</w:t>
            </w:r>
          </w:p>
        </w:tc>
        <w:tc>
          <w:tcPr>
            <w:tcW w:w="951" w:type="dxa"/>
            <w:vAlign w:val="center"/>
          </w:tcPr>
          <w:p w14:paraId="2DB6406B">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品目名称</w:t>
            </w:r>
          </w:p>
        </w:tc>
        <w:tc>
          <w:tcPr>
            <w:tcW w:w="1854" w:type="dxa"/>
            <w:vAlign w:val="center"/>
          </w:tcPr>
          <w:p w14:paraId="7B464A91">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w:t>
            </w:r>
          </w:p>
        </w:tc>
        <w:tc>
          <w:tcPr>
            <w:tcW w:w="1080" w:type="dxa"/>
            <w:vAlign w:val="center"/>
          </w:tcPr>
          <w:p w14:paraId="042C4E3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p w14:paraId="3DF5EAE6">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（单位）</w:t>
            </w:r>
          </w:p>
        </w:tc>
        <w:tc>
          <w:tcPr>
            <w:tcW w:w="1770" w:type="dxa"/>
            <w:vAlign w:val="center"/>
          </w:tcPr>
          <w:p w14:paraId="47F99A4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技术规格、参数及要求</w:t>
            </w:r>
          </w:p>
        </w:tc>
        <w:tc>
          <w:tcPr>
            <w:tcW w:w="1575" w:type="dxa"/>
            <w:vAlign w:val="center"/>
          </w:tcPr>
          <w:p w14:paraId="4DAD9C28">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品目预算（元）</w:t>
            </w:r>
          </w:p>
        </w:tc>
        <w:tc>
          <w:tcPr>
            <w:tcW w:w="1568" w:type="dxa"/>
            <w:vAlign w:val="center"/>
          </w:tcPr>
          <w:p w14:paraId="6E4ACAC0">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最高限价（元）</w:t>
            </w:r>
          </w:p>
        </w:tc>
      </w:tr>
      <w:tr w14:paraId="7471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71" w:type="dxa"/>
            <w:vAlign w:val="center"/>
          </w:tcPr>
          <w:p w14:paraId="11619334">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8-1</w:t>
            </w:r>
          </w:p>
        </w:tc>
        <w:tc>
          <w:tcPr>
            <w:tcW w:w="951" w:type="dxa"/>
            <w:vAlign w:val="center"/>
          </w:tcPr>
          <w:p w14:paraId="54D9F49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其他专业施工</w:t>
            </w:r>
          </w:p>
        </w:tc>
        <w:tc>
          <w:tcPr>
            <w:tcW w:w="1854" w:type="dxa"/>
            <w:vAlign w:val="center"/>
          </w:tcPr>
          <w:p w14:paraId="3A977FC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靖边县人民医院基础设施改造项目（一期）</w:t>
            </w:r>
          </w:p>
        </w:tc>
        <w:tc>
          <w:tcPr>
            <w:tcW w:w="1080" w:type="dxa"/>
            <w:vAlign w:val="center"/>
          </w:tcPr>
          <w:p w14:paraId="51ADD9BC">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1项</w:t>
            </w:r>
          </w:p>
        </w:tc>
        <w:tc>
          <w:tcPr>
            <w:tcW w:w="1770" w:type="dxa"/>
            <w:vAlign w:val="center"/>
          </w:tcPr>
          <w:p w14:paraId="39E0ECA1">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详见采购文件</w:t>
            </w:r>
          </w:p>
        </w:tc>
        <w:tc>
          <w:tcPr>
            <w:tcW w:w="1575" w:type="dxa"/>
            <w:vAlign w:val="center"/>
          </w:tcPr>
          <w:p w14:paraId="677F985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3821150.</w:t>
            </w:r>
            <w:r>
              <w:rPr>
                <w:rFonts w:hint="eastAsia" w:ascii="仿宋" w:hAnsi="仿宋" w:eastAsia="仿宋" w:cs="仿宋"/>
                <w:color w:val="auto"/>
                <w:sz w:val="24"/>
                <w:highlight w:val="none"/>
                <w:lang w:val="en-US" w:eastAsia="zh-CN"/>
              </w:rPr>
              <w:t>00</w:t>
            </w:r>
          </w:p>
        </w:tc>
        <w:tc>
          <w:tcPr>
            <w:tcW w:w="1568" w:type="dxa"/>
            <w:vAlign w:val="center"/>
          </w:tcPr>
          <w:p w14:paraId="47DB4C7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3821150.</w:t>
            </w:r>
            <w:r>
              <w:rPr>
                <w:rFonts w:hint="eastAsia" w:ascii="仿宋" w:hAnsi="仿宋" w:eastAsia="仿宋" w:cs="仿宋"/>
                <w:color w:val="auto"/>
                <w:sz w:val="24"/>
                <w:highlight w:val="none"/>
                <w:lang w:val="en-US" w:eastAsia="zh-CN"/>
              </w:rPr>
              <w:t>00</w:t>
            </w:r>
          </w:p>
        </w:tc>
      </w:tr>
    </w:tbl>
    <w:p w14:paraId="247E518B">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本合同包</w:t>
      </w:r>
      <w:r>
        <w:rPr>
          <w:rFonts w:hint="eastAsia" w:ascii="仿宋" w:hAnsi="仿宋" w:eastAsia="仿宋" w:cs="仿宋"/>
          <w:color w:val="auto"/>
          <w:sz w:val="24"/>
          <w:highlight w:val="none"/>
          <w:u w:val="single"/>
        </w:rPr>
        <w:t xml:space="preserve"> 不接受 </w:t>
      </w:r>
      <w:r>
        <w:rPr>
          <w:rFonts w:hint="eastAsia" w:ascii="仿宋" w:hAnsi="仿宋" w:eastAsia="仿宋" w:cs="仿宋"/>
          <w:color w:val="auto"/>
          <w:sz w:val="24"/>
          <w:highlight w:val="none"/>
        </w:rPr>
        <w:t>联合体投标。</w:t>
      </w:r>
    </w:p>
    <w:p w14:paraId="25B46372">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合同履行期限：</w:t>
      </w:r>
    </w:p>
    <w:p w14:paraId="17935F2F">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合同包1-合同包7：自本合同签订之日起3个月内完成全部交货。</w:t>
      </w:r>
    </w:p>
    <w:p w14:paraId="487E2148">
      <w:pPr>
        <w:spacing w:line="520" w:lineRule="exact"/>
        <w:ind w:firstLine="480" w:firstLineChars="200"/>
        <w:rPr>
          <w:rFonts w:hint="default" w:ascii="仿宋" w:hAnsi="仿宋" w:eastAsia="仿宋" w:cs="仿宋"/>
          <w:color w:val="auto"/>
          <w:sz w:val="24"/>
          <w:highlight w:val="none"/>
          <w:lang w:val="en-US" w:eastAsia="zh-CN"/>
        </w:rPr>
      </w:pPr>
      <w:bookmarkStart w:id="14" w:name="_Toc6703"/>
      <w:r>
        <w:rPr>
          <w:rFonts w:hint="eastAsia" w:ascii="仿宋" w:hAnsi="仿宋" w:eastAsia="仿宋" w:cs="仿宋"/>
          <w:color w:val="auto"/>
          <w:sz w:val="24"/>
          <w:highlight w:val="none"/>
          <w:lang w:val="en-US" w:eastAsia="zh-CN"/>
        </w:rPr>
        <w:t>合同包8：工期：2026年11月15日前完成施工。</w:t>
      </w:r>
    </w:p>
    <w:p w14:paraId="0E228A74">
      <w:pPr>
        <w:spacing w:line="520" w:lineRule="exact"/>
        <w:ind w:firstLine="480" w:firstLineChars="200"/>
        <w:outlineLvl w:val="1"/>
        <w:rPr>
          <w:rFonts w:hint="eastAsia" w:ascii="仿宋" w:hAnsi="仿宋" w:eastAsia="仿宋" w:cs="仿宋"/>
          <w:b/>
          <w:bCs/>
          <w:color w:val="auto"/>
          <w:sz w:val="24"/>
          <w:highlight w:val="none"/>
        </w:rPr>
      </w:pPr>
      <w:bookmarkStart w:id="15" w:name="_Toc12681"/>
      <w:bookmarkStart w:id="16" w:name="_Toc22988"/>
      <w:r>
        <w:rPr>
          <w:rFonts w:hint="eastAsia" w:ascii="仿宋" w:hAnsi="仿宋" w:eastAsia="仿宋" w:cs="仿宋"/>
          <w:b/>
          <w:bCs/>
          <w:color w:val="auto"/>
          <w:sz w:val="24"/>
          <w:highlight w:val="none"/>
        </w:rPr>
        <w:t>二、申请人的资格要求</w:t>
      </w:r>
      <w:bookmarkEnd w:id="14"/>
      <w:bookmarkEnd w:id="15"/>
      <w:bookmarkEnd w:id="16"/>
    </w:p>
    <w:p w14:paraId="2119DA1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1、满足《中华人民共和国政府采购法》第二十二条规定；</w:t>
      </w:r>
    </w:p>
    <w:p w14:paraId="42EC96D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 </w:t>
      </w:r>
    </w:p>
    <w:p w14:paraId="1EA123F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无，本项目为非专门面向中小企业的项目。</w:t>
      </w:r>
    </w:p>
    <w:p w14:paraId="140A1D3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3、本项目的特定资格要求：</w:t>
      </w:r>
    </w:p>
    <w:p w14:paraId="3C45110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合同包1</w:t>
      </w: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eastAsia="zh-CN"/>
        </w:rPr>
        <w:t>靖边县人民医院医疗设备购置</w:t>
      </w:r>
      <w:r>
        <w:rPr>
          <w:rFonts w:hint="eastAsia" w:ascii="仿宋" w:hAnsi="仿宋" w:eastAsia="仿宋" w:cs="仿宋"/>
          <w:b/>
          <w:bCs/>
          <w:color w:val="auto"/>
          <w:sz w:val="24"/>
          <w:highlight w:val="none"/>
        </w:rPr>
        <w:t>（一期））特定资格要求如下：</w:t>
      </w:r>
    </w:p>
    <w:p w14:paraId="3FEA338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投标人在递交投标文件截止时间前被“信用中国”网站（www.creditchina.gov.cn）和中国政府采购网（www.ccgp.gov.cn）上被列入失信被执行人、重大税收违法失信主体、政府采购严重违法失信行为记录名单的，不得参加投标；</w:t>
      </w:r>
    </w:p>
    <w:p w14:paraId="288824F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3.2投标人参加本项目的合法授权人授权委托书； 投标人应授权合法的人员参加投标全过程，其中法定代表人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直接参加投标的，须出具法定代表人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身份证，并与营业执照上信息一致。法定代表人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授权代表参加投标的，须出具法定代表人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授权书及授权代表身份证、授权代表本单位证明（养老保险缴纳证明）；</w:t>
      </w:r>
    </w:p>
    <w:p w14:paraId="5D2A426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投标产品属于第二类医疗器械管理的投标人需提供第二类医疗器械经营备案凭证（投标产品须在其经营范围内），投标产品属于第三类医疗器械管理的投标人需提供医疗器械经营许可证（投标产品须在其经营范围内），投标人为制造厂家同时提供医疗器械生产许可证（投标产品须在其生产范围内）；</w:t>
      </w:r>
    </w:p>
    <w:p w14:paraId="30A7EF3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3.4投标产品属于医疗器械管理范围的须提供医疗器械注册证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国内生产的需同时提供厂家生产许可证或备案证等证明文件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2180C289">
      <w:pPr>
        <w:spacing w:line="520" w:lineRule="exact"/>
        <w:ind w:firstLine="480"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3.5投标产品属于进口产品须提供制造商授权书及相应的完整授权链</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仅适用于合同包6</w:t>
      </w:r>
      <w:r>
        <w:rPr>
          <w:rFonts w:hint="eastAsia" w:ascii="仿宋" w:hAnsi="仿宋" w:eastAsia="仿宋" w:cs="仿宋"/>
          <w:b/>
          <w:bCs/>
          <w:color w:val="auto"/>
          <w:sz w:val="24"/>
          <w:highlight w:val="none"/>
          <w:lang w:eastAsia="zh-CN"/>
        </w:rPr>
        <w:t>）；</w:t>
      </w:r>
    </w:p>
    <w:p w14:paraId="01F6803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w:t>
      </w:r>
      <w:r>
        <w:rPr>
          <w:rFonts w:hint="eastAsia" w:ascii="仿宋" w:hAnsi="仿宋" w:eastAsia="仿宋" w:cs="仿宋"/>
          <w:color w:val="auto"/>
          <w:sz w:val="24"/>
          <w:highlight w:val="none"/>
        </w:rPr>
        <w:t>供应商不得存在下列情形之一：</w:t>
      </w:r>
    </w:p>
    <w:p w14:paraId="7FCA86F6">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（1）单位负责人为同一人或者存在直接控股、管理关系的不同供应商，不得参加同一合同项下的政府采购活动；</w:t>
      </w:r>
    </w:p>
    <w:p w14:paraId="53BF84E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（2）为本项目提供整体设计、规范编制或者项目管理、监理、检测等服务的供应商，不得再参加本项目的采购活动；</w:t>
      </w:r>
    </w:p>
    <w:p w14:paraId="121E7A58">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需向采购代理机构获取招标文件并登记备案，未向采购代理机构获取招标文件并登记备案的供应商均无资格参加投标。</w:t>
      </w:r>
    </w:p>
    <w:p w14:paraId="118C6E5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合同包</w:t>
      </w: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（靖边县人民医院基础设施改造项目（一期））特定资格要求如下：</w:t>
      </w:r>
    </w:p>
    <w:p w14:paraId="7F9CD39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投标人在递交投标文件截止时间前被“信用中国”网站（www.creditchina.gov.cn）和中国政府采购网（www.ccgp.gov.cn）上被列入失信被执行人、重大税收违法失信主体、政府采购严重违法失信行为记录名单的，不得参加投标；</w:t>
      </w:r>
    </w:p>
    <w:p w14:paraId="41A178BC">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3.2投标人参加本项目的合法授权人授权委托书； 投标人应授权合法的人员参加投标全过程，其中法定代表人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直接参加投标的，须出具法定代表人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身份证，并与营业执照上信息一致。法定代表人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授权代表参加投标的，须出具法定代表人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单位负责人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授权书及授权代表身份证、授权代表本单位证明（养老保险缴纳证明）；</w:t>
      </w:r>
    </w:p>
    <w:p w14:paraId="157741A5">
      <w:pPr>
        <w:spacing w:line="52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供应商须具备建筑工程施工总承包</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级及以上</w:t>
      </w:r>
      <w:r>
        <w:rPr>
          <w:rFonts w:hint="eastAsia" w:ascii="仿宋" w:hAnsi="仿宋" w:eastAsia="仿宋" w:cs="仿宋"/>
          <w:color w:val="auto"/>
          <w:sz w:val="24"/>
          <w:highlight w:val="none"/>
          <w:lang w:val="en-US" w:eastAsia="zh-CN"/>
        </w:rPr>
        <w:t>资质</w:t>
      </w:r>
      <w:r>
        <w:rPr>
          <w:rFonts w:hint="eastAsia" w:ascii="仿宋" w:hAnsi="仿宋" w:eastAsia="仿宋" w:cs="仿宋"/>
          <w:color w:val="auto"/>
          <w:sz w:val="24"/>
          <w:highlight w:val="none"/>
        </w:rPr>
        <w:t>，并具备合法有效的安全生产许可证</w:t>
      </w:r>
      <w:r>
        <w:rPr>
          <w:rFonts w:hint="eastAsia" w:ascii="仿宋" w:hAnsi="仿宋" w:eastAsia="仿宋" w:cs="仿宋"/>
          <w:color w:val="auto"/>
          <w:sz w:val="24"/>
          <w:highlight w:val="none"/>
          <w:lang w:eastAsia="zh-CN"/>
        </w:rPr>
        <w:t>；</w:t>
      </w:r>
    </w:p>
    <w:p w14:paraId="5DB59C51">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 拟派项目经理须具有建筑工程专业二级及以上注册建造师证书和有效的安全生产考核证书（B证）且无在建工程、无不良记录（提供无在建工程、无不良记录承诺书）；</w:t>
      </w:r>
    </w:p>
    <w:p w14:paraId="7C9FE299">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 供应商基本信息及拟派项目经理基本信息：供应商基本信息及拟派项目经理(建造师)的基本信息在“陕西省住房和城乡建设厅网站(http://js.shaanxi.gov.cn/)”可查询；</w:t>
      </w:r>
    </w:p>
    <w:p w14:paraId="6906B11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供应商不得存在下列情形之一：</w:t>
      </w:r>
    </w:p>
    <w:p w14:paraId="428C886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（1）单位负责人为同一人或者存在直接控股、管理关系的不同供应商，不得参加同一合同项下的政府采购活动；</w:t>
      </w:r>
    </w:p>
    <w:p w14:paraId="072DA28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（2）为本项目提供整体设计、规范编制或者项目管理、监理、检测等服务的供应商，不得再参加该采购项目的其他采购活动。</w:t>
      </w:r>
    </w:p>
    <w:p w14:paraId="14598E30">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需向采购代理机构获取招标文件并登记备案，未向采购代理机构获取招标文件并登记备案的供应商均无资格参加投标。</w:t>
      </w:r>
    </w:p>
    <w:p w14:paraId="31CFDB6E">
      <w:pPr>
        <w:spacing w:line="520" w:lineRule="exact"/>
        <w:ind w:firstLine="480" w:firstLineChars="200"/>
        <w:outlineLvl w:val="1"/>
        <w:rPr>
          <w:rFonts w:hint="eastAsia" w:ascii="仿宋" w:hAnsi="仿宋" w:eastAsia="仿宋" w:cs="仿宋"/>
          <w:b/>
          <w:bCs/>
          <w:color w:val="auto"/>
          <w:sz w:val="24"/>
          <w:highlight w:val="none"/>
        </w:rPr>
      </w:pPr>
      <w:bookmarkStart w:id="17" w:name="_Toc2167"/>
      <w:bookmarkStart w:id="18" w:name="_Toc1255"/>
      <w:bookmarkStart w:id="19" w:name="_Toc10519"/>
      <w:r>
        <w:rPr>
          <w:rFonts w:hint="eastAsia" w:ascii="仿宋" w:hAnsi="仿宋" w:eastAsia="仿宋" w:cs="仿宋"/>
          <w:b/>
          <w:bCs/>
          <w:color w:val="auto"/>
          <w:sz w:val="24"/>
          <w:highlight w:val="none"/>
        </w:rPr>
        <w:t>三、获取招标文件</w:t>
      </w:r>
      <w:bookmarkEnd w:id="17"/>
      <w:bookmarkEnd w:id="18"/>
      <w:bookmarkEnd w:id="19"/>
    </w:p>
    <w:p w14:paraId="25988092">
      <w:pPr>
        <w:spacing w:line="520" w:lineRule="exact"/>
        <w:ind w:firstLine="480" w:firstLineChars="200"/>
        <w:rPr>
          <w:rFonts w:hint="eastAsia" w:ascii="仿宋" w:hAnsi="仿宋" w:eastAsia="仿宋" w:cs="仿宋"/>
          <w:color w:val="auto"/>
          <w:sz w:val="24"/>
          <w:highlight w:val="none"/>
        </w:rPr>
      </w:pPr>
      <w:bookmarkStart w:id="20" w:name="_Toc176383994"/>
      <w:bookmarkStart w:id="21" w:name="_Toc176383236"/>
      <w:r>
        <w:rPr>
          <w:rFonts w:hint="eastAsia" w:ascii="仿宋" w:hAnsi="仿宋" w:eastAsia="仿宋" w:cs="仿宋"/>
          <w:color w:val="auto"/>
          <w:sz w:val="24"/>
          <w:highlight w:val="none"/>
        </w:rPr>
        <w:t>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07</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23</w:t>
      </w:r>
      <w:r>
        <w:rPr>
          <w:rFonts w:hint="eastAsia" w:ascii="仿宋" w:hAnsi="仿宋" w:eastAsia="仿宋" w:cs="仿宋"/>
          <w:color w:val="auto"/>
          <w:sz w:val="24"/>
          <w:highlight w:val="none"/>
        </w:rPr>
        <w:t>日至202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07</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日，每天上午00:00:00至12:00:00，下午12:00:00至23:59:59（北京时间）</w:t>
      </w:r>
      <w:bookmarkEnd w:id="20"/>
      <w:bookmarkEnd w:id="21"/>
    </w:p>
    <w:p w14:paraId="7BE28E1C">
      <w:pPr>
        <w:spacing w:line="520" w:lineRule="exact"/>
        <w:ind w:firstLine="480" w:firstLineChars="200"/>
        <w:rPr>
          <w:rFonts w:hint="eastAsia" w:ascii="仿宋" w:hAnsi="仿宋" w:eastAsia="仿宋" w:cs="仿宋"/>
          <w:color w:val="auto"/>
          <w:sz w:val="24"/>
          <w:highlight w:val="none"/>
        </w:rPr>
      </w:pPr>
      <w:bookmarkStart w:id="22" w:name="_Toc176383237"/>
      <w:bookmarkStart w:id="23" w:name="_Toc176383995"/>
      <w:r>
        <w:rPr>
          <w:rFonts w:hint="eastAsia" w:ascii="仿宋" w:hAnsi="仿宋" w:eastAsia="仿宋" w:cs="仿宋"/>
          <w:color w:val="auto"/>
          <w:sz w:val="24"/>
          <w:highlight w:val="none"/>
        </w:rPr>
        <w:t>地点：</w:t>
      </w:r>
      <w:bookmarkStart w:id="24" w:name="OLE_LINK4"/>
      <w:bookmarkStart w:id="25" w:name="OLE_LINK3"/>
      <w:r>
        <w:rPr>
          <w:rFonts w:hint="eastAsia" w:ascii="仿宋" w:hAnsi="仿宋" w:eastAsia="仿宋" w:cs="仿宋"/>
          <w:color w:val="auto"/>
          <w:sz w:val="24"/>
          <w:highlight w:val="none"/>
        </w:rPr>
        <w:t>全国公共资源交易中心平台（陕西省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榆林市）使用CA锁</w:t>
      </w:r>
      <w:bookmarkEnd w:id="22"/>
      <w:bookmarkEnd w:id="23"/>
      <w:bookmarkEnd w:id="24"/>
      <w:bookmarkEnd w:id="25"/>
    </w:p>
    <w:p w14:paraId="123C9680">
      <w:pPr>
        <w:spacing w:line="520" w:lineRule="exact"/>
        <w:ind w:firstLine="480" w:firstLineChars="200"/>
        <w:rPr>
          <w:rFonts w:hint="eastAsia" w:ascii="仿宋" w:hAnsi="仿宋" w:eastAsia="仿宋" w:cs="仿宋"/>
          <w:color w:val="auto"/>
          <w:sz w:val="24"/>
          <w:highlight w:val="none"/>
        </w:rPr>
      </w:pPr>
      <w:bookmarkStart w:id="26" w:name="_Toc176383238"/>
      <w:bookmarkStart w:id="27" w:name="_Toc176383996"/>
      <w:r>
        <w:rPr>
          <w:rFonts w:hint="eastAsia" w:ascii="仿宋" w:hAnsi="仿宋" w:eastAsia="仿宋" w:cs="仿宋"/>
          <w:color w:val="auto"/>
          <w:sz w:val="24"/>
          <w:highlight w:val="none"/>
        </w:rPr>
        <w:t>方式：在线获取</w:t>
      </w:r>
      <w:bookmarkEnd w:id="26"/>
      <w:bookmarkEnd w:id="27"/>
    </w:p>
    <w:p w14:paraId="0F2F5841">
      <w:pPr>
        <w:spacing w:line="520" w:lineRule="exact"/>
        <w:ind w:firstLine="480" w:firstLineChars="200"/>
        <w:rPr>
          <w:rFonts w:hint="eastAsia" w:ascii="仿宋" w:hAnsi="仿宋" w:eastAsia="仿宋" w:cs="仿宋"/>
          <w:color w:val="auto"/>
          <w:sz w:val="24"/>
          <w:highlight w:val="none"/>
        </w:rPr>
      </w:pPr>
      <w:bookmarkStart w:id="28" w:name="_Toc176383239"/>
      <w:bookmarkStart w:id="29" w:name="_Toc176383997"/>
      <w:r>
        <w:rPr>
          <w:rFonts w:hint="eastAsia" w:ascii="仿宋" w:hAnsi="仿宋" w:eastAsia="仿宋" w:cs="仿宋"/>
          <w:color w:val="auto"/>
          <w:sz w:val="24"/>
          <w:highlight w:val="none"/>
        </w:rPr>
        <w:t>售价：0元</w:t>
      </w:r>
      <w:bookmarkEnd w:id="28"/>
      <w:bookmarkEnd w:id="29"/>
      <w:r>
        <w:rPr>
          <w:rFonts w:hint="eastAsia" w:ascii="仿宋" w:hAnsi="仿宋" w:eastAsia="仿宋" w:cs="仿宋"/>
          <w:color w:val="auto"/>
          <w:sz w:val="24"/>
          <w:highlight w:val="none"/>
        </w:rPr>
        <w:t xml:space="preserve"> </w:t>
      </w:r>
    </w:p>
    <w:p w14:paraId="1CB308BD">
      <w:pPr>
        <w:spacing w:line="520" w:lineRule="exact"/>
        <w:ind w:firstLine="480" w:firstLineChars="200"/>
        <w:outlineLvl w:val="1"/>
        <w:rPr>
          <w:rFonts w:hint="eastAsia" w:ascii="仿宋" w:hAnsi="仿宋" w:eastAsia="仿宋" w:cs="仿宋"/>
          <w:b/>
          <w:bCs/>
          <w:color w:val="auto"/>
          <w:sz w:val="24"/>
          <w:highlight w:val="none"/>
        </w:rPr>
      </w:pPr>
      <w:bookmarkStart w:id="30" w:name="_Toc6587"/>
      <w:bookmarkStart w:id="31" w:name="_Toc18535"/>
      <w:bookmarkStart w:id="32" w:name="_Toc22893"/>
      <w:r>
        <w:rPr>
          <w:rFonts w:hint="eastAsia" w:ascii="仿宋" w:hAnsi="仿宋" w:eastAsia="仿宋" w:cs="仿宋"/>
          <w:b/>
          <w:bCs/>
          <w:color w:val="auto"/>
          <w:sz w:val="24"/>
          <w:highlight w:val="none"/>
        </w:rPr>
        <w:t>四、提交投标文件截止时间、开标时间和地点</w:t>
      </w:r>
      <w:bookmarkEnd w:id="30"/>
      <w:bookmarkEnd w:id="31"/>
      <w:bookmarkEnd w:id="32"/>
    </w:p>
    <w:p w14:paraId="5D518F77">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时间：202</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08</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09</w:t>
      </w:r>
      <w:r>
        <w:rPr>
          <w:rFonts w:hint="eastAsia" w:ascii="仿宋" w:hAnsi="仿宋" w:eastAsia="仿宋" w:cs="仿宋"/>
          <w:color w:val="auto"/>
          <w:sz w:val="24"/>
          <w:highlight w:val="none"/>
        </w:rPr>
        <w:t xml:space="preserve">:30:00 </w:t>
      </w:r>
    </w:p>
    <w:p w14:paraId="250361B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提交投标文件地点：全国公共资源交易平台（陕西省•榆林市）网站〖首页〉电子交易平台〉陕西政府采购交易系统）企业端〗，在线提交。</w:t>
      </w:r>
    </w:p>
    <w:p w14:paraId="5090BABD">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开标地点：本项目将采用“不见面开标”形式。投标人可登录全国公共资源交易平台（陕西省•榆林市）网站〖首页〉不见面开标〗系统，在线参加开标过程。</w:t>
      </w:r>
    </w:p>
    <w:p w14:paraId="23AEAE5A">
      <w:pPr>
        <w:spacing w:line="520" w:lineRule="exact"/>
        <w:ind w:firstLine="480" w:firstLineChars="200"/>
        <w:outlineLvl w:val="1"/>
        <w:rPr>
          <w:rFonts w:hint="eastAsia" w:ascii="仿宋" w:hAnsi="仿宋" w:eastAsia="仿宋" w:cs="仿宋"/>
          <w:b/>
          <w:bCs/>
          <w:color w:val="auto"/>
          <w:sz w:val="24"/>
          <w:highlight w:val="none"/>
        </w:rPr>
      </w:pPr>
      <w:bookmarkStart w:id="33" w:name="_Toc15793"/>
      <w:bookmarkStart w:id="34" w:name="_Toc14198"/>
      <w:bookmarkStart w:id="35" w:name="_Toc12951"/>
      <w:r>
        <w:rPr>
          <w:rFonts w:hint="eastAsia" w:ascii="仿宋" w:hAnsi="仿宋" w:eastAsia="仿宋" w:cs="仿宋"/>
          <w:b/>
          <w:bCs/>
          <w:color w:val="auto"/>
          <w:sz w:val="24"/>
          <w:highlight w:val="none"/>
        </w:rPr>
        <w:t>五、公告期限</w:t>
      </w:r>
      <w:bookmarkEnd w:id="33"/>
      <w:bookmarkEnd w:id="34"/>
      <w:bookmarkEnd w:id="35"/>
    </w:p>
    <w:p w14:paraId="6DCDEEEE">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20FB62AF">
      <w:pPr>
        <w:spacing w:line="520" w:lineRule="exact"/>
        <w:ind w:firstLine="480" w:firstLineChars="200"/>
        <w:outlineLvl w:val="1"/>
        <w:rPr>
          <w:rFonts w:hint="eastAsia" w:ascii="仿宋" w:hAnsi="仿宋" w:eastAsia="仿宋" w:cs="仿宋"/>
          <w:b/>
          <w:bCs/>
          <w:color w:val="auto"/>
          <w:sz w:val="24"/>
          <w:highlight w:val="none"/>
        </w:rPr>
      </w:pPr>
      <w:bookmarkStart w:id="36" w:name="_Toc6924"/>
      <w:bookmarkStart w:id="37" w:name="_Toc30731"/>
      <w:bookmarkStart w:id="38" w:name="_Toc13233"/>
      <w:r>
        <w:rPr>
          <w:rFonts w:hint="eastAsia" w:ascii="仿宋" w:hAnsi="仿宋" w:eastAsia="仿宋" w:cs="仿宋"/>
          <w:b/>
          <w:bCs/>
          <w:color w:val="auto"/>
          <w:sz w:val="24"/>
          <w:highlight w:val="none"/>
        </w:rPr>
        <w:t>六、其他补充事宜</w:t>
      </w:r>
      <w:bookmarkEnd w:id="36"/>
      <w:bookmarkEnd w:id="37"/>
      <w:bookmarkEnd w:id="38"/>
    </w:p>
    <w:p w14:paraId="13D34885">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1、落实政府采购政策：</w:t>
      </w:r>
    </w:p>
    <w:p w14:paraId="7151C37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1.1《关于进一步加大政府采购支持中小企业力度的通知》（财库</w:t>
      </w:r>
      <w:r>
        <w:rPr>
          <w:rFonts w:hint="eastAsia" w:ascii="仿宋" w:hAnsi="仿宋" w:eastAsia="仿宋" w:cs="仿宋"/>
          <w:color w:val="auto"/>
          <w:highlight w:val="none"/>
        </w:rPr>
        <w:t>〔</w:t>
      </w:r>
      <w:r>
        <w:rPr>
          <w:rFonts w:hint="eastAsia" w:ascii="仿宋" w:hAnsi="仿宋" w:eastAsia="仿宋" w:cs="仿宋"/>
          <w:color w:val="auto"/>
          <w:sz w:val="24"/>
          <w:highlight w:val="none"/>
        </w:rPr>
        <w:t>2022</w:t>
      </w:r>
      <w:r>
        <w:rPr>
          <w:rFonts w:hint="eastAsia" w:ascii="仿宋" w:hAnsi="仿宋" w:eastAsia="仿宋" w:cs="仿宋"/>
          <w:color w:val="auto"/>
          <w:highlight w:val="none"/>
        </w:rPr>
        <w:t>〕</w:t>
      </w:r>
      <w:r>
        <w:rPr>
          <w:rFonts w:hint="eastAsia" w:ascii="仿宋" w:hAnsi="仿宋" w:eastAsia="仿宋" w:cs="仿宋"/>
          <w:color w:val="auto"/>
          <w:sz w:val="24"/>
          <w:highlight w:val="none"/>
        </w:rPr>
        <w:t>19号）、《政府采购促进中小企业发展管理办法》（财库〔2020〕46号）、《财政部 司法部关于政府采购支持监狱企业发展有关问题的通知》（财库〔2014〕68号）、《关于促进残疾人就业政府采购政策的通知》（财库〔2017〕141号）。</w:t>
      </w:r>
    </w:p>
    <w:p w14:paraId="67FACA35">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1E040999">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1.3《关于运用政府采购政策支持乡村产业振兴的通知》（财库〔2021〕19 号）、《关于印发&lt;关于深入开展政府采购脱贫地区农副产品工作推进乡村产业振兴的实施意见&gt;的通知》（财库〔2021〕20 号）。</w:t>
      </w:r>
    </w:p>
    <w:p w14:paraId="6AD2DFDC">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1.4《国家互联网信息办公室 工业和信息化部 公安部 财政部 国家认证认可监督管理委员会关于调整网络安全专用产品安全管理有关事项的公告》（2023年第1号）。</w:t>
      </w:r>
    </w:p>
    <w:p w14:paraId="12998FCF">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1.5《陕西省财政厅关于加快推进我省中小企业政府采购信用融资工作的通知》（陕财办采〔2020〕15 号）、《陕西省财政厅关于印发</w:t>
      </w:r>
      <w:r>
        <w:rPr>
          <w:rFonts w:hint="eastAsia" w:ascii="仿宋" w:hAnsi="仿宋" w:eastAsia="仿宋" w:cs="仿宋"/>
          <w:color w:val="auto"/>
          <w:highlight w:val="none"/>
          <w:lang w:val="en-US" w:eastAsia="zh-CN"/>
        </w:rPr>
        <w:t>&lt;</w:t>
      </w:r>
      <w:r>
        <w:rPr>
          <w:rFonts w:hint="eastAsia" w:ascii="仿宋" w:hAnsi="仿宋" w:eastAsia="仿宋" w:cs="仿宋"/>
          <w:color w:val="auto"/>
          <w:highlight w:val="none"/>
        </w:rPr>
        <w:t>陕西省中小企业政府采购信用融资办法</w:t>
      </w:r>
      <w:r>
        <w:rPr>
          <w:rFonts w:hint="eastAsia" w:ascii="仿宋" w:hAnsi="仿宋" w:eastAsia="仿宋" w:cs="仿宋"/>
          <w:color w:val="auto"/>
          <w:highlight w:val="none"/>
          <w:lang w:val="en-US" w:eastAsia="zh-CN"/>
        </w:rPr>
        <w:t>&gt;的通知</w:t>
      </w:r>
      <w:r>
        <w:rPr>
          <w:rFonts w:hint="eastAsia" w:ascii="仿宋" w:hAnsi="仿宋" w:eastAsia="仿宋" w:cs="仿宋"/>
          <w:color w:val="auto"/>
          <w:highlight w:val="none"/>
        </w:rPr>
        <w:t>》（陕财办采〔2018〕23 号）、《榆林市财政局关于进一步加大政府采购支持中小企业力度的通知》（榆政财采发〔2022〕10号）。</w:t>
      </w:r>
    </w:p>
    <w:p w14:paraId="5E59F082">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6846C3A5">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1.7《国务院办公厅关于在政府采购中实施本国产品标准及相关政策的通知》（国办发〔2025〕34号）。</w:t>
      </w:r>
    </w:p>
    <w:p w14:paraId="015FB143">
      <w:pPr>
        <w:pStyle w:val="11"/>
        <w:spacing w:before="0" w:line="520" w:lineRule="exact"/>
        <w:ind w:firstLine="480"/>
        <w:rPr>
          <w:rFonts w:hint="eastAsia" w:ascii="仿宋" w:hAnsi="仿宋" w:eastAsia="仿宋" w:cs="仿宋"/>
          <w:color w:val="auto"/>
          <w:highlight w:val="none"/>
        </w:rPr>
      </w:pPr>
      <w:r>
        <w:rPr>
          <w:rFonts w:hint="eastAsia" w:ascii="仿宋" w:hAnsi="仿宋" w:eastAsia="仿宋" w:cs="仿宋"/>
          <w:color w:val="auto"/>
          <w:highlight w:val="none"/>
        </w:rPr>
        <w:t>若享受以上政策优惠的企业，提供相应声明函或品目清单范围内产品的有效认证证书或相关证明。</w:t>
      </w:r>
    </w:p>
    <w:p w14:paraId="7FE0514D">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采购文件获取方式：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23D68A5C">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电子响应文件制作软件技术支持热线：400-998-0000；CA锁购买：榆林市市民大厦四楼窗口,联系电话：0912-3515031。</w:t>
      </w:r>
    </w:p>
    <w:p w14:paraId="0B0CADF7">
      <w:pPr>
        <w:pStyle w:val="11"/>
        <w:spacing w:before="0" w:line="520" w:lineRule="exact"/>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4、请各供应商获取采购文件后，按照陕西省财政厅《关于政府采购供应商注册登记有关事项的通知》要求，通过陕西省政府采购网（http://www.ccgp-shaanxi.gov.cn/）注册登记加入陕西省政府采购供应商库。</w:t>
      </w:r>
    </w:p>
    <w:p w14:paraId="6868902D">
      <w:pPr>
        <w:pStyle w:val="6"/>
        <w:ind w:firstLine="480" w:firstLineChars="200"/>
        <w:rPr>
          <w:rFonts w:hint="default"/>
          <w:color w:val="auto"/>
          <w:highlight w:val="none"/>
          <w:lang w:val="en-US" w:eastAsia="zh-CN"/>
        </w:rPr>
      </w:pPr>
      <w:r>
        <w:rPr>
          <w:rFonts w:hint="eastAsia" w:ascii="仿宋" w:hAnsi="仿宋" w:eastAsia="仿宋" w:cs="仿宋"/>
          <w:color w:val="auto"/>
          <w:highlight w:val="none"/>
          <w:lang w:val="en-US" w:eastAsia="zh-CN"/>
        </w:rPr>
        <w:t>5.</w:t>
      </w:r>
      <w:r>
        <w:rPr>
          <w:rFonts w:hint="eastAsia" w:ascii="仿宋" w:hAnsi="仿宋" w:eastAsia="仿宋" w:cs="仿宋"/>
          <w:b/>
          <w:bCs/>
          <w:color w:val="auto"/>
          <w:sz w:val="24"/>
          <w:highlight w:val="none"/>
          <w:u w:val="single"/>
          <w:lang w:val="en-US" w:eastAsia="zh-CN"/>
        </w:rPr>
        <w:t>只有合同包6中的血气分析仪允许进口产品参与投标。</w:t>
      </w:r>
    </w:p>
    <w:p w14:paraId="1074DFCC">
      <w:pPr>
        <w:spacing w:line="520" w:lineRule="exact"/>
        <w:ind w:firstLine="480" w:firstLineChars="200"/>
        <w:outlineLvl w:val="1"/>
        <w:rPr>
          <w:rFonts w:hint="eastAsia" w:ascii="仿宋" w:hAnsi="仿宋" w:eastAsia="仿宋" w:cs="仿宋"/>
          <w:b/>
          <w:bCs/>
          <w:color w:val="auto"/>
          <w:sz w:val="24"/>
          <w:highlight w:val="none"/>
        </w:rPr>
      </w:pPr>
      <w:bookmarkStart w:id="39" w:name="_Toc7597"/>
      <w:bookmarkStart w:id="40" w:name="_Toc11908"/>
      <w:bookmarkStart w:id="41" w:name="_Toc12425"/>
      <w:r>
        <w:rPr>
          <w:rFonts w:hint="eastAsia" w:ascii="仿宋" w:hAnsi="仿宋" w:eastAsia="仿宋" w:cs="仿宋"/>
          <w:b/>
          <w:bCs/>
          <w:color w:val="auto"/>
          <w:sz w:val="24"/>
          <w:highlight w:val="none"/>
        </w:rPr>
        <w:t>七、对本次招标提出询问，请按以下方式联系。</w:t>
      </w:r>
      <w:bookmarkEnd w:id="39"/>
      <w:bookmarkEnd w:id="40"/>
      <w:bookmarkEnd w:id="41"/>
    </w:p>
    <w:p w14:paraId="5B79FC89">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 </w:t>
      </w:r>
    </w:p>
    <w:p w14:paraId="1B5A72BC">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val="en-US" w:eastAsia="zh-CN"/>
        </w:rPr>
        <w:t>靖边县卫生健康局</w:t>
      </w:r>
      <w:r>
        <w:rPr>
          <w:rFonts w:hint="eastAsia" w:ascii="仿宋" w:hAnsi="仿宋" w:eastAsia="仿宋" w:cs="仿宋"/>
          <w:color w:val="auto"/>
          <w:sz w:val="24"/>
          <w:highlight w:val="none"/>
        </w:rPr>
        <w:t xml:space="preserve">              </w:t>
      </w:r>
    </w:p>
    <w:p w14:paraId="48E8FCEA">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地址：榆林市靖边县统万路县政府办公大楼3楼                 </w:t>
      </w:r>
    </w:p>
    <w:p w14:paraId="1AC065CF">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联系方式：0912-4643032 </w:t>
      </w:r>
    </w:p>
    <w:p w14:paraId="0F17ABA6">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2、采购代理机构信息</w:t>
      </w:r>
    </w:p>
    <w:p w14:paraId="5DA295A3">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名称：陕西省采购招标有限责任公司</w:t>
      </w:r>
    </w:p>
    <w:p w14:paraId="58FE9662">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西安市高新区锦业路1号都市之门C座9层</w:t>
      </w:r>
    </w:p>
    <w:p w14:paraId="439C9C8D">
      <w:pPr>
        <w:spacing w:line="52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val="en-US" w:eastAsia="zh-CN"/>
        </w:rPr>
        <w:t>周乐、魏博芸、雷鹏</w:t>
      </w:r>
    </w:p>
    <w:p w14:paraId="6FD972BB">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3、项目联系方式</w:t>
      </w:r>
    </w:p>
    <w:p w14:paraId="5CD4A050">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项目联系人：</w:t>
      </w:r>
      <w:r>
        <w:rPr>
          <w:rFonts w:hint="eastAsia" w:ascii="仿宋" w:hAnsi="仿宋" w:eastAsia="仿宋" w:cs="仿宋"/>
          <w:color w:val="auto"/>
          <w:sz w:val="24"/>
          <w:highlight w:val="none"/>
          <w:lang w:val="en-US" w:eastAsia="zh-CN"/>
        </w:rPr>
        <w:t>周乐、魏博芸、雷鹏</w:t>
      </w:r>
      <w:r>
        <w:rPr>
          <w:rFonts w:hint="eastAsia" w:ascii="仿宋" w:hAnsi="仿宋" w:eastAsia="仿宋" w:cs="仿宋"/>
          <w:color w:val="auto"/>
          <w:sz w:val="24"/>
          <w:highlight w:val="none"/>
        </w:rPr>
        <w:t xml:space="preserve">                   </w:t>
      </w:r>
    </w:p>
    <w:p w14:paraId="7AA66DF4">
      <w:pPr>
        <w:spacing w:line="52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lang w:val="en-US" w:eastAsia="zh-CN"/>
        </w:rPr>
        <w:t>15009283469</w:t>
      </w:r>
    </w:p>
    <w:p w14:paraId="26454E52">
      <w:pPr>
        <w:pStyle w:val="31"/>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2" w:name="_Toc21378"/>
      <w:r>
        <w:rPr>
          <w:rFonts w:hint="eastAsia" w:ascii="仿宋" w:hAnsi="仿宋" w:eastAsia="仿宋" w:cs="仿宋"/>
          <w:color w:val="auto"/>
          <w:highlight w:val="none"/>
        </w:rPr>
        <w:t xml:space="preserve">第二章  </w:t>
      </w:r>
      <w:bookmarkStart w:id="43" w:name="_Toc515647756"/>
      <w:bookmarkStart w:id="44" w:name="_Toc532473448"/>
      <w:r>
        <w:rPr>
          <w:rFonts w:hint="eastAsia" w:ascii="仿宋" w:hAnsi="仿宋" w:eastAsia="仿宋" w:cs="仿宋"/>
          <w:color w:val="auto"/>
          <w:highlight w:val="none"/>
        </w:rPr>
        <w:t>投标人须知</w:t>
      </w:r>
      <w:bookmarkEnd w:id="0"/>
      <w:bookmarkEnd w:id="1"/>
      <w:bookmarkEnd w:id="2"/>
      <w:bookmarkEnd w:id="42"/>
      <w:bookmarkEnd w:id="43"/>
      <w:bookmarkEnd w:id="44"/>
    </w:p>
    <w:p w14:paraId="719401CE">
      <w:pPr>
        <w:pStyle w:val="2"/>
        <w:rPr>
          <w:rFonts w:hint="eastAsia" w:ascii="仿宋" w:hAnsi="仿宋" w:eastAsia="仿宋" w:cs="仿宋"/>
          <w:color w:val="auto"/>
          <w:sz w:val="28"/>
          <w:szCs w:val="28"/>
          <w:highlight w:val="none"/>
        </w:rPr>
      </w:pPr>
      <w:bookmarkStart w:id="45" w:name="_Toc16023"/>
      <w:bookmarkStart w:id="46" w:name="_Toc13448"/>
      <w:bookmarkStart w:id="47" w:name="_Toc30397"/>
      <w:r>
        <w:rPr>
          <w:rFonts w:hint="eastAsia" w:ascii="仿宋" w:hAnsi="仿宋" w:eastAsia="仿宋" w:cs="仿宋"/>
          <w:color w:val="auto"/>
          <w:sz w:val="28"/>
          <w:szCs w:val="28"/>
          <w:highlight w:val="none"/>
        </w:rPr>
        <w:t>（一）投标人须知前附表</w:t>
      </w:r>
      <w:bookmarkEnd w:id="45"/>
      <w:bookmarkEnd w:id="46"/>
      <w:bookmarkEnd w:id="47"/>
    </w:p>
    <w:p w14:paraId="7622186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本表是对投标人须知的具体补充和修改，如有矛盾，应以本</w:t>
      </w:r>
      <w:r>
        <w:rPr>
          <w:rFonts w:hint="eastAsia" w:ascii="仿宋" w:hAnsi="仿宋" w:eastAsia="仿宋" w:cs="仿宋"/>
          <w:color w:val="auto"/>
          <w:sz w:val="24"/>
          <w:highlight w:val="none"/>
          <w:lang w:val="en-US" w:eastAsia="zh-CN"/>
        </w:rPr>
        <w:t>表</w:t>
      </w:r>
      <w:r>
        <w:rPr>
          <w:rFonts w:hint="eastAsia" w:ascii="仿宋" w:hAnsi="仿宋" w:eastAsia="仿宋" w:cs="仿宋"/>
          <w:color w:val="auto"/>
          <w:sz w:val="24"/>
          <w:highlight w:val="none"/>
        </w:rPr>
        <w:t>为准。</w:t>
      </w:r>
    </w:p>
    <w:tbl>
      <w:tblPr>
        <w:tblStyle w:val="3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68"/>
        <w:gridCol w:w="7632"/>
      </w:tblGrid>
      <w:tr w14:paraId="6CB78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975DE6E">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条款号</w:t>
            </w:r>
          </w:p>
        </w:tc>
        <w:tc>
          <w:tcPr>
            <w:tcW w:w="7632" w:type="dxa"/>
            <w:noWrap w:val="0"/>
            <w:vAlign w:val="center"/>
          </w:tcPr>
          <w:p w14:paraId="09676E4E">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内    容</w:t>
            </w:r>
          </w:p>
        </w:tc>
      </w:tr>
      <w:tr w14:paraId="7D6BB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39E5C8B">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7632" w:type="dxa"/>
            <w:noWrap w:val="0"/>
            <w:vAlign w:val="center"/>
          </w:tcPr>
          <w:p w14:paraId="706961AA">
            <w:pPr>
              <w:adjustRightInd w:val="0"/>
              <w:snapToGrid w:val="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u w:val="single"/>
                <w:lang w:val="en-US" w:eastAsia="zh-CN"/>
              </w:rPr>
              <w:t>靖边县卫生健康局</w:t>
            </w:r>
          </w:p>
          <w:p w14:paraId="258F0F3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榆林市靖边县统万路县政府办公大楼3楼</w:t>
            </w:r>
          </w:p>
          <w:p w14:paraId="1BDE875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0912-4643032</w:t>
            </w:r>
          </w:p>
        </w:tc>
      </w:tr>
      <w:tr w14:paraId="15E2D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462756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7632" w:type="dxa"/>
            <w:noWrap w:val="0"/>
            <w:vAlign w:val="center"/>
          </w:tcPr>
          <w:p w14:paraId="38592DEB">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采购代理机构：陕西省采购招标有限责任公司</w:t>
            </w:r>
          </w:p>
          <w:p w14:paraId="62CA030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西安市高新区锦业路1号都市之门C座9层</w:t>
            </w:r>
          </w:p>
          <w:p w14:paraId="5A0A4C6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single"/>
                <w:lang w:val="en-US" w:eastAsia="zh-CN"/>
              </w:rPr>
              <w:t>周乐、魏博芸、雷鹏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color="FFFFFF"/>
              </w:rPr>
              <w:t xml:space="preserve"> </w:t>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lang w:val="en-US" w:eastAsia="zh-CN"/>
              </w:rPr>
              <w:t>15009283469</w:t>
            </w:r>
          </w:p>
        </w:tc>
      </w:tr>
      <w:tr w14:paraId="3F154F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1803E2B">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1.3.3</w:t>
            </w:r>
          </w:p>
        </w:tc>
        <w:tc>
          <w:tcPr>
            <w:tcW w:w="7632" w:type="dxa"/>
            <w:noWrap w:val="0"/>
            <w:vAlign w:val="center"/>
          </w:tcPr>
          <w:p w14:paraId="3C2566C7">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合格投标人的特定资格条件：</w:t>
            </w:r>
          </w:p>
          <w:p w14:paraId="0A76AAC4">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详见招标公告。</w:t>
            </w:r>
          </w:p>
        </w:tc>
      </w:tr>
      <w:tr w14:paraId="7F82C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1CAED76">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1.3.4</w:t>
            </w:r>
          </w:p>
        </w:tc>
        <w:tc>
          <w:tcPr>
            <w:tcW w:w="7632" w:type="dxa"/>
            <w:noWrap w:val="0"/>
            <w:vAlign w:val="center"/>
          </w:tcPr>
          <w:p w14:paraId="46853483">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是否为专门面向中小企业采购：</w:t>
            </w:r>
            <w:r>
              <w:rPr>
                <w:rFonts w:hint="eastAsia" w:ascii="仿宋" w:hAnsi="仿宋" w:eastAsia="仿宋" w:cs="仿宋"/>
                <w:color w:val="auto"/>
                <w:sz w:val="24"/>
                <w:highlight w:val="none"/>
                <w:u w:val="single"/>
              </w:rPr>
              <w:t>否</w:t>
            </w:r>
          </w:p>
        </w:tc>
      </w:tr>
      <w:tr w14:paraId="4B76B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C8208E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1.3.5</w:t>
            </w:r>
          </w:p>
        </w:tc>
        <w:tc>
          <w:tcPr>
            <w:tcW w:w="7632" w:type="dxa"/>
            <w:noWrap w:val="0"/>
            <w:vAlign w:val="center"/>
          </w:tcPr>
          <w:p w14:paraId="54537603">
            <w:pPr>
              <w:adjustRightInd w:val="0"/>
              <w:snapToGrid w:val="0"/>
              <w:spacing w:line="4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bCs/>
                <w:color w:val="auto"/>
                <w:sz w:val="24"/>
                <w:highlight w:val="none"/>
              </w:rPr>
              <w:t>是否允许采购进口产品：</w:t>
            </w:r>
            <w:r>
              <w:rPr>
                <w:rFonts w:hint="eastAsia" w:ascii="仿宋" w:hAnsi="仿宋" w:eastAsia="仿宋" w:cs="仿宋"/>
                <w:b/>
                <w:bCs/>
                <w:color w:val="auto"/>
                <w:sz w:val="24"/>
                <w:highlight w:val="none"/>
                <w:u w:val="single"/>
                <w:lang w:val="en-US" w:eastAsia="zh-CN"/>
              </w:rPr>
              <w:t>是，只有合同包6中的血气分析仪允许进口产品</w:t>
            </w:r>
          </w:p>
        </w:tc>
      </w:tr>
      <w:tr w14:paraId="02347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3A26F5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w:t>
            </w:r>
          </w:p>
        </w:tc>
        <w:tc>
          <w:tcPr>
            <w:tcW w:w="7632" w:type="dxa"/>
            <w:noWrap w:val="0"/>
            <w:vAlign w:val="center"/>
          </w:tcPr>
          <w:p w14:paraId="29C0BD9C">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是否允许联合体投标：</w:t>
            </w:r>
            <w:r>
              <w:rPr>
                <w:rFonts w:hint="eastAsia" w:ascii="仿宋" w:hAnsi="仿宋" w:eastAsia="仿宋" w:cs="仿宋"/>
                <w:color w:val="auto"/>
                <w:sz w:val="24"/>
                <w:highlight w:val="none"/>
                <w:u w:val="single"/>
              </w:rPr>
              <w:t xml:space="preserve"> 否 </w:t>
            </w:r>
          </w:p>
        </w:tc>
      </w:tr>
      <w:tr w14:paraId="73092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56155A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1.4.7</w:t>
            </w:r>
          </w:p>
        </w:tc>
        <w:tc>
          <w:tcPr>
            <w:tcW w:w="7632" w:type="dxa"/>
            <w:noWrap w:val="0"/>
            <w:vAlign w:val="center"/>
          </w:tcPr>
          <w:p w14:paraId="49245FC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联合体的其他资格要求：/</w:t>
            </w:r>
          </w:p>
        </w:tc>
      </w:tr>
      <w:tr w14:paraId="54242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B17006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1.7</w:t>
            </w:r>
          </w:p>
        </w:tc>
        <w:tc>
          <w:tcPr>
            <w:tcW w:w="7632" w:type="dxa"/>
            <w:noWrap w:val="0"/>
            <w:vAlign w:val="center"/>
          </w:tcPr>
          <w:p w14:paraId="044E05B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项目所属行业：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合同包1-7</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工业（制造业）；合同包8 建筑业</w:t>
            </w:r>
            <w:r>
              <w:rPr>
                <w:rFonts w:hint="eastAsia" w:ascii="仿宋" w:hAnsi="仿宋" w:eastAsia="仿宋" w:cs="仿宋"/>
                <w:color w:val="auto"/>
                <w:sz w:val="24"/>
                <w:highlight w:val="none"/>
                <w:u w:val="single"/>
              </w:rPr>
              <w:t xml:space="preserve">  </w:t>
            </w:r>
          </w:p>
        </w:tc>
      </w:tr>
      <w:tr w14:paraId="4C334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3B36969">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2.2</w:t>
            </w:r>
          </w:p>
        </w:tc>
        <w:tc>
          <w:tcPr>
            <w:tcW w:w="7632" w:type="dxa"/>
            <w:noWrap w:val="0"/>
            <w:vAlign w:val="center"/>
          </w:tcPr>
          <w:p w14:paraId="37EF518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项目预算金额：</w:t>
            </w:r>
            <w:r>
              <w:rPr>
                <w:rFonts w:hint="eastAsia" w:ascii="仿宋" w:hAnsi="仿宋" w:eastAsia="仿宋" w:cs="仿宋"/>
                <w:color w:val="auto"/>
                <w:sz w:val="24"/>
                <w:highlight w:val="none"/>
                <w:u w:val="single"/>
                <w:lang w:val="en-US" w:eastAsia="zh-CN"/>
              </w:rPr>
              <w:t>详见招标公告</w:t>
            </w:r>
            <w:r>
              <w:rPr>
                <w:rFonts w:hint="eastAsia" w:ascii="仿宋" w:hAnsi="仿宋" w:eastAsia="仿宋" w:cs="仿宋"/>
                <w:color w:val="auto"/>
                <w:sz w:val="24"/>
                <w:highlight w:val="none"/>
              </w:rPr>
              <w:t>；</w:t>
            </w:r>
          </w:p>
          <w:p w14:paraId="02F419C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最高限价：</w:t>
            </w:r>
            <w:r>
              <w:rPr>
                <w:rFonts w:hint="eastAsia" w:ascii="仿宋" w:hAnsi="仿宋" w:eastAsia="仿宋" w:cs="仿宋"/>
                <w:color w:val="auto"/>
                <w:sz w:val="24"/>
                <w:highlight w:val="none"/>
                <w:u w:val="single"/>
                <w:lang w:val="en-US" w:eastAsia="zh-CN"/>
              </w:rPr>
              <w:t>详见招标公告</w:t>
            </w:r>
            <w:r>
              <w:rPr>
                <w:rFonts w:hint="eastAsia" w:ascii="仿宋" w:hAnsi="仿宋" w:eastAsia="仿宋" w:cs="仿宋"/>
                <w:color w:val="auto"/>
                <w:sz w:val="24"/>
                <w:highlight w:val="none"/>
              </w:rPr>
              <w:t>；</w:t>
            </w:r>
          </w:p>
        </w:tc>
      </w:tr>
      <w:tr w14:paraId="4657E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7006858A">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5.4</w:t>
            </w:r>
          </w:p>
        </w:tc>
        <w:tc>
          <w:tcPr>
            <w:tcW w:w="7632" w:type="dxa"/>
            <w:noWrap w:val="0"/>
            <w:vAlign w:val="center"/>
          </w:tcPr>
          <w:p w14:paraId="6394712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是否组织现场考察或者召开答疑会：</w:t>
            </w:r>
            <w:r>
              <w:rPr>
                <w:rFonts w:hint="eastAsia" w:ascii="仿宋" w:hAnsi="仿宋" w:eastAsia="仿宋" w:cs="仿宋"/>
                <w:color w:val="auto"/>
                <w:sz w:val="24"/>
                <w:highlight w:val="none"/>
                <w:u w:val="single"/>
              </w:rPr>
              <w:t xml:space="preserve"> 否 </w:t>
            </w:r>
          </w:p>
        </w:tc>
      </w:tr>
      <w:tr w14:paraId="22181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45B221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8.1</w:t>
            </w:r>
          </w:p>
        </w:tc>
        <w:tc>
          <w:tcPr>
            <w:tcW w:w="7632" w:type="dxa"/>
            <w:noWrap w:val="0"/>
            <w:vAlign w:val="center"/>
          </w:tcPr>
          <w:p w14:paraId="17C48A58">
            <w:pPr>
              <w:adjustRightInd w:val="0"/>
              <w:snapToGrid w:val="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如投标人对多个包进行投标，可以中标</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不适用</w:t>
            </w:r>
            <w:r>
              <w:rPr>
                <w:rFonts w:hint="eastAsia" w:ascii="仿宋" w:hAnsi="仿宋" w:eastAsia="仿宋" w:cs="仿宋"/>
                <w:color w:val="auto"/>
                <w:sz w:val="24"/>
                <w:highlight w:val="none"/>
                <w:lang w:eastAsia="zh-CN"/>
              </w:rPr>
              <w:t>）</w:t>
            </w:r>
          </w:p>
        </w:tc>
      </w:tr>
      <w:tr w14:paraId="6E45A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0ADC7B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12.1</w:t>
            </w:r>
          </w:p>
        </w:tc>
        <w:tc>
          <w:tcPr>
            <w:tcW w:w="7632" w:type="dxa"/>
            <w:noWrap w:val="0"/>
            <w:vAlign w:val="center"/>
          </w:tcPr>
          <w:p w14:paraId="1C4F84A8">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本项目采用“投标信用承诺书”代替投标保证金，按投标文件格式提供投标信用承诺书。</w:t>
            </w:r>
          </w:p>
          <w:p w14:paraId="47EA9498">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投标人在投标截止时间前在“信用中国（陕西榆林）（网址：https://credit.yl.gov.cn/）”网站进行注册、登录、自主上报投标信用承诺书：</w:t>
            </w:r>
          </w:p>
          <w:p w14:paraId="0F28D113">
            <w:pPr>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“榆林市政府采购工程类/货物类/服务类项目供应商信用承诺书”、“投标人信用承诺”、“投标信用(保证金）承诺书”、“投标人委托代理人员信用承诺书”</w:t>
            </w:r>
          </w:p>
          <w:p w14:paraId="1F590F50">
            <w:pPr>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各投标人注册、登录后根据承诺事项选择相应的模板填写对应的投标信用承诺。</w:t>
            </w:r>
          </w:p>
          <w:p w14:paraId="4A94D155">
            <w:pPr>
              <w:adjustRightInd w:val="0"/>
              <w:snapToGrid w:val="0"/>
              <w:spacing w:line="400" w:lineRule="exact"/>
              <w:jc w:val="left"/>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并载明承诺事由，投标人、投标人委托代理人员、投标信用的承诺事由为“项目名称及标段+投标保证金”（例：×××××项目-××标包+投标保证金）。如信用承诺公示迟报、漏报所产生的负面影响由投标人自行承担。</w:t>
            </w:r>
          </w:p>
        </w:tc>
      </w:tr>
      <w:tr w14:paraId="3C9B7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A5772A9">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13.1</w:t>
            </w:r>
          </w:p>
        </w:tc>
        <w:tc>
          <w:tcPr>
            <w:tcW w:w="7632" w:type="dxa"/>
            <w:noWrap w:val="0"/>
            <w:vAlign w:val="center"/>
          </w:tcPr>
          <w:p w14:paraId="7BB30272">
            <w:pPr>
              <w:adjustRightInd w:val="0"/>
              <w:snapToGrid w:val="0"/>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投标有效期：递交投标文件截止之日起90个日历日</w:t>
            </w:r>
          </w:p>
        </w:tc>
      </w:tr>
      <w:tr w14:paraId="5C6A68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BFE0742">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14.1</w:t>
            </w:r>
          </w:p>
        </w:tc>
        <w:tc>
          <w:tcPr>
            <w:tcW w:w="7632" w:type="dxa"/>
            <w:noWrap w:val="0"/>
            <w:vAlign w:val="center"/>
          </w:tcPr>
          <w:p w14:paraId="3B72D468">
            <w:pPr>
              <w:adjustRightInd w:val="0"/>
              <w:snapToGrid w:val="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本项目以上传电子文件为准，无需提交纸质版投标文件。</w:t>
            </w:r>
          </w:p>
        </w:tc>
      </w:tr>
      <w:tr w14:paraId="71013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2953E21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16.1</w:t>
            </w:r>
          </w:p>
        </w:tc>
        <w:tc>
          <w:tcPr>
            <w:tcW w:w="7632" w:type="dxa"/>
            <w:noWrap w:val="0"/>
            <w:vAlign w:val="center"/>
          </w:tcPr>
          <w:p w14:paraId="7F55966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投标截止时间：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u w:val="single"/>
                <w:lang w:val="en-US" w:eastAsia="zh-CN"/>
              </w:rPr>
              <w:t>08</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 xml:space="preserve">20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:00</w:t>
            </w:r>
          </w:p>
        </w:tc>
      </w:tr>
      <w:tr w14:paraId="42708E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298CE7EE">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18.1</w:t>
            </w:r>
          </w:p>
        </w:tc>
        <w:tc>
          <w:tcPr>
            <w:tcW w:w="7632" w:type="dxa"/>
            <w:noWrap w:val="0"/>
            <w:vAlign w:val="center"/>
          </w:tcPr>
          <w:p w14:paraId="1401D9E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开标时间：</w:t>
            </w:r>
            <w:r>
              <w:rPr>
                <w:rFonts w:hint="eastAsia" w:ascii="仿宋" w:hAnsi="仿宋" w:eastAsia="仿宋" w:cs="仿宋"/>
                <w:color w:val="auto"/>
                <w:sz w:val="24"/>
                <w:highlight w:val="none"/>
                <w:u w:val="single"/>
              </w:rPr>
              <w:t>2026-</w:t>
            </w:r>
            <w:r>
              <w:rPr>
                <w:rFonts w:hint="eastAsia" w:ascii="仿宋" w:hAnsi="仿宋" w:eastAsia="仿宋" w:cs="仿宋"/>
                <w:color w:val="auto"/>
                <w:sz w:val="24"/>
                <w:highlight w:val="none"/>
                <w:u w:val="single"/>
                <w:lang w:val="en-US" w:eastAsia="zh-CN"/>
              </w:rPr>
              <w:t>08</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 xml:space="preserve">20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:00</w:t>
            </w:r>
          </w:p>
          <w:p w14:paraId="79056F58">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开标地点：本项目将采用“不见面开标”形式。投标人可登录全国公共资源交易平台（陕西省•榆林市）网站〖首页〉不见面开标〗系统，在线参加开标过程。</w:t>
            </w:r>
          </w:p>
        </w:tc>
      </w:tr>
      <w:tr w14:paraId="4F5B3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7ABDD604">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19.2</w:t>
            </w:r>
          </w:p>
        </w:tc>
        <w:tc>
          <w:tcPr>
            <w:tcW w:w="7632" w:type="dxa"/>
            <w:noWrap w:val="0"/>
            <w:vAlign w:val="center"/>
          </w:tcPr>
          <w:p w14:paraId="22972F3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信用查询时间：资格审查时</w:t>
            </w:r>
          </w:p>
        </w:tc>
      </w:tr>
      <w:tr w14:paraId="42DA1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521D7957">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20.5</w:t>
            </w:r>
          </w:p>
        </w:tc>
        <w:tc>
          <w:tcPr>
            <w:tcW w:w="7632" w:type="dxa"/>
            <w:noWrap w:val="0"/>
            <w:vAlign w:val="center"/>
          </w:tcPr>
          <w:p w14:paraId="0512DC55">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支持本国产品：</w:t>
            </w:r>
          </w:p>
          <w:p w14:paraId="0A71A054">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1-7适用，本国产品标准适用于货物，包括政府采购货物项目和服务项目中涉及的货物。适用本国产品标准的货物具体是指《政府采购品目分类目录》中的货物类产品，但不包括其中的房屋和构筑物，文物和陈列品，图书</w:t>
            </w:r>
          </w:p>
          <w:p w14:paraId="398942B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和档案，特种动植物，农林牧渔业产品，矿与矿物，电力、城市燃气、蒸汽和热水、水，食品、饮料和烟草原料，无形资产。</w:t>
            </w:r>
          </w:p>
          <w:p w14:paraId="4A4EA65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☑合同包8不适用</w:t>
            </w:r>
          </w:p>
        </w:tc>
      </w:tr>
      <w:tr w14:paraId="3AE90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045619C">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20.</w:t>
            </w:r>
            <w:r>
              <w:rPr>
                <w:rFonts w:hint="eastAsia" w:ascii="仿宋" w:hAnsi="仿宋" w:eastAsia="仿宋" w:cs="仿宋"/>
                <w:color w:val="auto"/>
                <w:sz w:val="24"/>
                <w:highlight w:val="none"/>
                <w:lang w:val="en-US" w:eastAsia="zh-CN"/>
              </w:rPr>
              <w:t>6</w:t>
            </w:r>
          </w:p>
        </w:tc>
        <w:tc>
          <w:tcPr>
            <w:tcW w:w="7632" w:type="dxa"/>
            <w:noWrap w:val="0"/>
            <w:vAlign w:val="center"/>
          </w:tcPr>
          <w:p w14:paraId="6D4DD7A1">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本项目核心产品：</w:t>
            </w:r>
          </w:p>
          <w:p w14:paraId="19278EC1">
            <w:pPr>
              <w:adjustRightInd w:val="0"/>
              <w:snapToGrid w:val="0"/>
              <w:spacing w:line="400" w:lineRule="exact"/>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合同包1</w:t>
            </w:r>
            <w:r>
              <w:rPr>
                <w:rFonts w:hint="eastAsia" w:ascii="仿宋" w:hAnsi="仿宋" w:eastAsia="仿宋" w:cs="仿宋"/>
                <w:color w:val="auto"/>
                <w:sz w:val="24"/>
                <w:highlight w:val="none"/>
                <w:u w:val="none"/>
                <w:lang w:val="en-US" w:eastAsia="zh-CN"/>
              </w:rPr>
              <w:t>：血液透析机；</w:t>
            </w:r>
            <w:r>
              <w:rPr>
                <w:rFonts w:hint="eastAsia" w:ascii="仿宋" w:hAnsi="仿宋" w:eastAsia="仿宋" w:cs="仿宋"/>
                <w:color w:val="auto"/>
                <w:sz w:val="24"/>
                <w:highlight w:val="none"/>
                <w:lang w:val="en-US" w:eastAsia="zh-CN"/>
              </w:rPr>
              <w:t>合同包2</w:t>
            </w:r>
            <w:r>
              <w:rPr>
                <w:rFonts w:hint="eastAsia" w:ascii="仿宋" w:hAnsi="仿宋" w:eastAsia="仿宋" w:cs="仿宋"/>
                <w:color w:val="auto"/>
                <w:sz w:val="24"/>
                <w:highlight w:val="none"/>
                <w:u w:val="none"/>
                <w:lang w:val="en-US" w:eastAsia="zh-CN"/>
              </w:rPr>
              <w:t>：超高端心血管彩色多普勒超声诊断仪；</w:t>
            </w:r>
            <w:r>
              <w:rPr>
                <w:rFonts w:hint="eastAsia" w:ascii="仿宋" w:hAnsi="仿宋" w:eastAsia="仿宋" w:cs="仿宋"/>
                <w:color w:val="auto"/>
                <w:sz w:val="24"/>
                <w:highlight w:val="none"/>
                <w:lang w:val="en-US" w:eastAsia="zh-CN"/>
              </w:rPr>
              <w:t>合同包3</w:t>
            </w:r>
            <w:r>
              <w:rPr>
                <w:rFonts w:hint="eastAsia" w:ascii="仿宋" w:hAnsi="仿宋" w:eastAsia="仿宋" w:cs="仿宋"/>
                <w:color w:val="auto"/>
                <w:sz w:val="24"/>
                <w:highlight w:val="none"/>
                <w:u w:val="none"/>
                <w:lang w:val="en-US" w:eastAsia="zh-CN"/>
              </w:rPr>
              <w:t>：腹腔镜系统；</w:t>
            </w:r>
            <w:r>
              <w:rPr>
                <w:rFonts w:hint="eastAsia" w:ascii="仿宋" w:hAnsi="仿宋" w:eastAsia="仿宋" w:cs="仿宋"/>
                <w:color w:val="auto"/>
                <w:sz w:val="24"/>
                <w:highlight w:val="none"/>
                <w:lang w:val="en-US" w:eastAsia="zh-CN"/>
              </w:rPr>
              <w:t>合同包4</w:t>
            </w:r>
            <w:r>
              <w:rPr>
                <w:rFonts w:hint="eastAsia" w:ascii="仿宋" w:hAnsi="仿宋" w:eastAsia="仿宋" w:cs="仿宋"/>
                <w:color w:val="auto"/>
                <w:sz w:val="24"/>
                <w:highlight w:val="none"/>
                <w:u w:val="none"/>
                <w:lang w:val="en-US" w:eastAsia="zh-CN"/>
              </w:rPr>
              <w:t>：半导体激光治疗机；</w:t>
            </w:r>
            <w:r>
              <w:rPr>
                <w:rFonts w:hint="eastAsia" w:ascii="仿宋" w:hAnsi="仿宋" w:eastAsia="仿宋" w:cs="仿宋"/>
                <w:color w:val="auto"/>
                <w:sz w:val="24"/>
                <w:highlight w:val="none"/>
                <w:lang w:val="en-US" w:eastAsia="zh-CN"/>
              </w:rPr>
              <w:t>合同包5</w:t>
            </w:r>
            <w:r>
              <w:rPr>
                <w:rFonts w:hint="eastAsia" w:ascii="仿宋" w:hAnsi="仿宋" w:eastAsia="仿宋" w:cs="仿宋"/>
                <w:color w:val="auto"/>
                <w:sz w:val="24"/>
                <w:highlight w:val="none"/>
                <w:u w:val="none"/>
                <w:lang w:val="en-US" w:eastAsia="zh-CN"/>
              </w:rPr>
              <w:t>：胃肠镜系统；</w:t>
            </w:r>
            <w:r>
              <w:rPr>
                <w:rFonts w:hint="eastAsia" w:ascii="仿宋" w:hAnsi="仿宋" w:eastAsia="仿宋" w:cs="仿宋"/>
                <w:color w:val="auto"/>
                <w:sz w:val="24"/>
                <w:highlight w:val="none"/>
                <w:lang w:val="en-US" w:eastAsia="zh-CN"/>
              </w:rPr>
              <w:t>合同包6</w:t>
            </w:r>
            <w:r>
              <w:rPr>
                <w:rFonts w:hint="eastAsia" w:ascii="仿宋" w:hAnsi="仿宋" w:eastAsia="仿宋" w:cs="仿宋"/>
                <w:color w:val="auto"/>
                <w:sz w:val="24"/>
                <w:highlight w:val="none"/>
                <w:u w:val="none"/>
                <w:lang w:val="en-US" w:eastAsia="zh-CN"/>
              </w:rPr>
              <w:t>：全自动生化分析仪；</w:t>
            </w:r>
            <w:r>
              <w:rPr>
                <w:rFonts w:hint="eastAsia" w:ascii="仿宋" w:hAnsi="仿宋" w:eastAsia="仿宋" w:cs="仿宋"/>
                <w:color w:val="auto"/>
                <w:sz w:val="24"/>
                <w:highlight w:val="none"/>
                <w:lang w:val="en-US" w:eastAsia="zh-CN"/>
              </w:rPr>
              <w:t>合同包7</w:t>
            </w:r>
            <w:r>
              <w:rPr>
                <w:rFonts w:hint="eastAsia" w:ascii="仿宋" w:hAnsi="仿宋" w:eastAsia="仿宋" w:cs="仿宋"/>
                <w:color w:val="auto"/>
                <w:sz w:val="24"/>
                <w:highlight w:val="none"/>
                <w:u w:val="none"/>
                <w:lang w:val="en-US" w:eastAsia="zh-CN"/>
              </w:rPr>
              <w:t>：扫频生物测量仪</w:t>
            </w:r>
          </w:p>
        </w:tc>
      </w:tr>
      <w:tr w14:paraId="656D2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81739F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23.2</w:t>
            </w:r>
          </w:p>
        </w:tc>
        <w:tc>
          <w:tcPr>
            <w:tcW w:w="7632" w:type="dxa"/>
            <w:noWrap w:val="0"/>
            <w:vAlign w:val="center"/>
          </w:tcPr>
          <w:p w14:paraId="0977052D">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评标方法：适用</w:t>
            </w:r>
            <w:r>
              <w:rPr>
                <w:rFonts w:hint="eastAsia" w:ascii="仿宋" w:hAnsi="仿宋" w:eastAsia="仿宋" w:cs="仿宋"/>
                <w:color w:val="auto"/>
                <w:sz w:val="24"/>
                <w:highlight w:val="none"/>
                <w:u w:val="single"/>
              </w:rPr>
              <w:t xml:space="preserve"> 综合评分法 </w:t>
            </w:r>
          </w:p>
        </w:tc>
      </w:tr>
      <w:tr w14:paraId="29C3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F08938F">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27.1</w:t>
            </w:r>
          </w:p>
        </w:tc>
        <w:tc>
          <w:tcPr>
            <w:tcW w:w="7632" w:type="dxa"/>
            <w:noWrap w:val="0"/>
            <w:vAlign w:val="center"/>
          </w:tcPr>
          <w:p w14:paraId="4429B731">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推荐中标候选人的数量：</w:t>
            </w:r>
            <w:r>
              <w:rPr>
                <w:rFonts w:hint="eastAsia" w:ascii="仿宋" w:hAnsi="仿宋" w:eastAsia="仿宋" w:cs="仿宋"/>
                <w:color w:val="auto"/>
                <w:sz w:val="24"/>
                <w:highlight w:val="none"/>
                <w:u w:val="single"/>
              </w:rPr>
              <w:t xml:space="preserve"> 3 </w:t>
            </w:r>
          </w:p>
        </w:tc>
      </w:tr>
      <w:tr w14:paraId="07C91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EE888A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27.2</w:t>
            </w:r>
          </w:p>
        </w:tc>
        <w:tc>
          <w:tcPr>
            <w:tcW w:w="7632" w:type="dxa"/>
            <w:noWrap w:val="0"/>
            <w:vAlign w:val="center"/>
          </w:tcPr>
          <w:p w14:paraId="5A543D9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招标人是否委托评标委员会直接确定中标人：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否</w:t>
            </w:r>
            <w:r>
              <w:rPr>
                <w:rFonts w:hint="eastAsia" w:ascii="仿宋" w:hAnsi="仿宋" w:eastAsia="仿宋" w:cs="仿宋"/>
                <w:color w:val="auto"/>
                <w:sz w:val="24"/>
                <w:highlight w:val="none"/>
              </w:rPr>
              <w:t xml:space="preserve"> </w:t>
            </w:r>
            <w:bookmarkStart w:id="1241" w:name="_GoBack"/>
            <w:bookmarkEnd w:id="1241"/>
          </w:p>
        </w:tc>
      </w:tr>
      <w:tr w14:paraId="3DD1E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006B7152">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31.1</w:t>
            </w:r>
          </w:p>
        </w:tc>
        <w:tc>
          <w:tcPr>
            <w:tcW w:w="7632" w:type="dxa"/>
            <w:noWrap w:val="0"/>
            <w:vAlign w:val="center"/>
          </w:tcPr>
          <w:p w14:paraId="3FAF1E20">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是否提交履约保证金：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是，中标价5%履约保函</w:t>
            </w:r>
            <w:r>
              <w:rPr>
                <w:rFonts w:hint="eastAsia" w:ascii="仿宋" w:hAnsi="仿宋" w:eastAsia="仿宋" w:cs="仿宋"/>
                <w:color w:val="auto"/>
                <w:sz w:val="24"/>
                <w:highlight w:val="none"/>
                <w:u w:val="single"/>
              </w:rPr>
              <w:t xml:space="preserve">  </w:t>
            </w:r>
          </w:p>
        </w:tc>
      </w:tr>
      <w:tr w14:paraId="0A9A5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598403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32.1</w:t>
            </w:r>
          </w:p>
        </w:tc>
        <w:tc>
          <w:tcPr>
            <w:tcW w:w="7632" w:type="dxa"/>
            <w:noWrap w:val="0"/>
            <w:vAlign w:val="center"/>
          </w:tcPr>
          <w:p w14:paraId="75BF77C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预付款比例为：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40% </w:t>
            </w:r>
          </w:p>
        </w:tc>
      </w:tr>
      <w:tr w14:paraId="4ECEE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FFEF7D0">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33</w:t>
            </w:r>
          </w:p>
        </w:tc>
        <w:tc>
          <w:tcPr>
            <w:tcW w:w="7632" w:type="dxa"/>
            <w:noWrap w:val="0"/>
            <w:vAlign w:val="center"/>
          </w:tcPr>
          <w:p w14:paraId="413870B0">
            <w:pPr>
              <w:adjustRightInd w:val="0"/>
              <w:snapToGrid w:val="0"/>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中标单位在领取中标通知书前，须向采购代理机构支付招标代理服务费，招标代理服务费由采购人与采购代理机构约定：</w:t>
            </w:r>
            <w:r>
              <w:rPr>
                <w:rFonts w:hint="eastAsia" w:ascii="仿宋" w:hAnsi="仿宋" w:eastAsia="仿宋" w:cs="仿宋"/>
                <w:color w:val="auto"/>
                <w:sz w:val="24"/>
                <w:highlight w:val="none"/>
                <w:lang w:val="en-US" w:eastAsia="zh-CN"/>
              </w:rPr>
              <w:t>本项目招标代理服务费共计9.75万元，其中合同包1：0.86万元；合同包2：3.07万元；合同包3：0.71万元；合同包4：0.97万元；合同包5：0.64万元；合同包6：1.4万元；合同包7：0.85万元；合同包8:1.25万元</w:t>
            </w:r>
            <w:r>
              <w:rPr>
                <w:rFonts w:hint="eastAsia" w:ascii="仿宋" w:hAnsi="仿宋" w:eastAsia="仿宋" w:cs="仿宋"/>
                <w:color w:val="auto"/>
                <w:sz w:val="24"/>
                <w:highlight w:val="none"/>
                <w:lang w:eastAsia="zh-CN"/>
              </w:rPr>
              <w:t>。</w:t>
            </w:r>
          </w:p>
          <w:p w14:paraId="36050A60">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中标单位的招标代理服务费交纳信息</w:t>
            </w:r>
            <w:r>
              <w:rPr>
                <w:rFonts w:hint="eastAsia" w:ascii="仿宋" w:hAnsi="仿宋" w:eastAsia="仿宋" w:cs="仿宋"/>
                <w:color w:val="auto"/>
                <w:sz w:val="24"/>
                <w:highlight w:val="none"/>
                <w:lang w:eastAsia="zh-CN"/>
              </w:rPr>
              <w:t>：</w:t>
            </w:r>
          </w:p>
          <w:p w14:paraId="78B3A77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银行户名：陕西省采购招标有限责任公司</w:t>
            </w:r>
          </w:p>
          <w:p w14:paraId="2230D26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开户银行：中国光大银行西安友谊路支行</w:t>
            </w:r>
          </w:p>
          <w:p w14:paraId="3C093DA3">
            <w:pPr>
              <w:keepNext w:val="0"/>
              <w:keepLines w:val="0"/>
              <w:pageBreakBefore w:val="0"/>
              <w:kinsoku/>
              <w:wordWrap/>
              <w:overflowPunct/>
              <w:topLinePunct w:val="0"/>
              <w:autoSpaceDE w:val="0"/>
              <w:autoSpaceDN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账    号：78560188000095264</w:t>
            </w:r>
          </w:p>
          <w:p w14:paraId="1853B38E">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人：财务部   联系电话：029-85263975</w:t>
            </w:r>
          </w:p>
        </w:tc>
      </w:tr>
      <w:tr w14:paraId="54A34E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66CF3F11">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37.2</w:t>
            </w:r>
          </w:p>
        </w:tc>
        <w:tc>
          <w:tcPr>
            <w:tcW w:w="7632" w:type="dxa"/>
            <w:noWrap w:val="0"/>
            <w:vAlign w:val="center"/>
          </w:tcPr>
          <w:p w14:paraId="08F8B7D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针对同一采购程序环节的质疑次数：一次性提出</w:t>
            </w:r>
          </w:p>
        </w:tc>
      </w:tr>
      <w:tr w14:paraId="0A8EE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44451F63">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37.4</w:t>
            </w:r>
          </w:p>
        </w:tc>
        <w:tc>
          <w:tcPr>
            <w:tcW w:w="7632" w:type="dxa"/>
            <w:noWrap w:val="0"/>
            <w:vAlign w:val="center"/>
          </w:tcPr>
          <w:p w14:paraId="28459362">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联系单位：陕西省采购招标有限责任公司</w:t>
            </w:r>
          </w:p>
          <w:p w14:paraId="6DA56943">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人：综合办公室</w:t>
            </w:r>
          </w:p>
          <w:p w14:paraId="2D4C7C9F">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联系电话：029-85235014 </w:t>
            </w:r>
          </w:p>
        </w:tc>
      </w:tr>
      <w:tr w14:paraId="643C2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2FC17C4F">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38</w:t>
            </w:r>
          </w:p>
        </w:tc>
        <w:tc>
          <w:tcPr>
            <w:tcW w:w="7632" w:type="dxa"/>
            <w:shd w:val="clear" w:color="auto" w:fill="auto"/>
            <w:noWrap w:val="0"/>
            <w:vAlign w:val="center"/>
          </w:tcPr>
          <w:p w14:paraId="462F1FFF">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不见面开标注意事项及流程</w:t>
            </w:r>
          </w:p>
        </w:tc>
      </w:tr>
      <w:tr w14:paraId="6EB28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678D9333">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38.1</w:t>
            </w:r>
          </w:p>
        </w:tc>
        <w:tc>
          <w:tcPr>
            <w:tcW w:w="7632" w:type="dxa"/>
            <w:shd w:val="clear" w:color="auto" w:fill="auto"/>
            <w:noWrap w:val="0"/>
            <w:vAlign w:val="center"/>
          </w:tcPr>
          <w:p w14:paraId="1B061AE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本项目为不见面开标：</w:t>
            </w:r>
          </w:p>
          <w:p w14:paraId="7D0AA357">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须严格按照以下要求及内容进行执行，因供应商自身原因导致在开标现场无法顺利进行的，后果自负。</w:t>
            </w:r>
          </w:p>
          <w:p w14:paraId="72F0B16B">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1采用不见面开标的方式进行；</w:t>
            </w:r>
          </w:p>
          <w:p w14:paraId="5654655F">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1.1、供应商应于提交投标文件截止时间前任意时段登录交易平台〖首页〉电子交易平台〉企业端〗在线提交响应文件，逾期提交系统将拒绝接收。</w:t>
            </w:r>
          </w:p>
          <w:p w14:paraId="703FAE44">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1.2、供应商可登录榆林交易平台〖首页〉不见面开标〗在线参与开评标过程，详见招标文件以及交易平台〖首页〉服务指南〉下载专区〗中的《榆林市不见面开标大厅操作手册（供应商）》</w:t>
            </w:r>
          </w:p>
          <w:p w14:paraId="658FCA4A">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2、不见面开标流程相关注意事项如下：</w:t>
            </w:r>
          </w:p>
          <w:p w14:paraId="5C4DEDA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2.1开标当日，请各供应商在开标截止时间前至少提前半小时登录“不见面”开标系统。登录方式有以下几种：</w:t>
            </w:r>
          </w:p>
          <w:p w14:paraId="0577BC82">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2.2 IE浏览器输入网址：</w:t>
            </w:r>
          </w:p>
          <w:p w14:paraId="7204EA83">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"http://219.145.120.168:8082/BidOpeningHall/bidhall/default/login），"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http://111.20.184.126:8081/BidOpeningHallCS/bidhall/default/login；</w:t>
            </w:r>
            <w:r>
              <w:rPr>
                <w:rFonts w:hint="eastAsia" w:ascii="仿宋" w:hAnsi="仿宋" w:eastAsia="仿宋" w:cs="仿宋"/>
                <w:color w:val="auto"/>
                <w:sz w:val="24"/>
                <w:highlight w:val="none"/>
              </w:rPr>
              <w:fldChar w:fldCharType="end"/>
            </w:r>
          </w:p>
          <w:p w14:paraId="4F121DBE">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2.3在【全国公共资源交易平台（陕西省·榆林市）】网站首页点击不见面开标模块进入；</w:t>
            </w:r>
          </w:p>
          <w:p w14:paraId="3484933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2.4在【全国公共资源交易平台（陕西省）】网站首页点击不见面开标模块选择榆林市进入。</w:t>
            </w:r>
          </w:p>
          <w:p w14:paraId="0F444189">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2.5注：登录不见面开标系统请选择IE11浏览器</w:t>
            </w:r>
          </w:p>
          <w:p w14:paraId="1345CD10">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2.6供应商应按要求及时签到（签到时间为投标截止时间前1小时内，如果未签到将视为放弃投标资格），评审过程中，评标委员会可能会就某些问题要求供应商进行在线澄清，请供应商保持在线直到评审结束；</w:t>
            </w:r>
          </w:p>
          <w:p w14:paraId="58B5918A">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2.7开标过程中，供应商在收到工作人员“开始解密”指令后，请及时使用CA对电子响应文件进行解密。解密时所用CA应与加密响应文件时所用CA相同；注：解密时间为30分钟，在解密时间内供应商全部解密完成后，可提前进入开标下一阶段。</w:t>
            </w:r>
          </w:p>
          <w:p w14:paraId="5D5EA9B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2.8相关技术问题，请咨询软件开发商：</w:t>
            </w:r>
          </w:p>
          <w:p w14:paraId="42B5C00C">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（1）技术支持热线：400-998-0000/400-928-0095</w:t>
            </w:r>
          </w:p>
          <w:p w14:paraId="1A9E275A">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（2）榆林不见面开标系统操作手册下载方式：登录【全国公共资源交易平台（陕西省·榆林市）】网站首页选择【服务指南】-【下载专区】-点击【</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榆林不见面开标系统操作手册（供应商）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】进行下载。</w:t>
            </w:r>
          </w:p>
        </w:tc>
      </w:tr>
      <w:tr w14:paraId="630BF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shd w:val="clear" w:color="auto" w:fill="auto"/>
            <w:noWrap w:val="0"/>
            <w:vAlign w:val="center"/>
          </w:tcPr>
          <w:p w14:paraId="22FD3785">
            <w:pPr>
              <w:adjustRightInd w:val="0"/>
              <w:snapToGrid w:val="0"/>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39</w:t>
            </w:r>
          </w:p>
        </w:tc>
        <w:tc>
          <w:tcPr>
            <w:tcW w:w="7632" w:type="dxa"/>
            <w:shd w:val="clear" w:color="auto" w:fill="auto"/>
            <w:noWrap w:val="0"/>
            <w:vAlign w:val="center"/>
          </w:tcPr>
          <w:p w14:paraId="7032256B">
            <w:pPr>
              <w:adjustRightInd w:val="0"/>
              <w:snapToGrid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1、投标文件内的投标产品信息必须与注册证、设备标牌信息一致。</w:t>
            </w:r>
          </w:p>
          <w:p w14:paraId="7E4CCE92">
            <w:pPr>
              <w:adjustRightInd w:val="0"/>
              <w:snapToGrid w:val="0"/>
              <w:spacing w:line="40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2、中标后所签合同产品信息与注册证、设备标牌、投标文件、所开发票、随货同行信息必须一致。</w:t>
            </w:r>
          </w:p>
        </w:tc>
      </w:tr>
      <w:tr w14:paraId="05F9A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7" w:hRule="atLeast"/>
        </w:trPr>
        <w:tc>
          <w:tcPr>
            <w:tcW w:w="9100" w:type="dxa"/>
            <w:gridSpan w:val="2"/>
            <w:tcBorders>
              <w:top w:val="single" w:color="auto" w:sz="12" w:space="0"/>
              <w:left w:val="single" w:color="auto" w:sz="12" w:space="0"/>
              <w:bottom w:val="single" w:color="auto" w:sz="12" w:space="0"/>
              <w:right w:val="single" w:color="auto" w:sz="12" w:space="0"/>
            </w:tcBorders>
            <w:noWrap w:val="0"/>
            <w:vAlign w:val="center"/>
          </w:tcPr>
          <w:p w14:paraId="42C36F3A">
            <w:pPr>
              <w:keepNext w:val="0"/>
              <w:keepLines w:val="0"/>
              <w:pageBreakBefore w:val="0"/>
              <w:kinsoku/>
              <w:wordWrap/>
              <w:overflowPunct/>
              <w:topLinePunct w:val="0"/>
              <w:bidi w:val="0"/>
              <w:adjustRightInd w:val="0"/>
              <w:snapToGrid w:val="0"/>
              <w:spacing w:line="360" w:lineRule="exact"/>
              <w:ind w:left="1417" w:leftChars="203" w:hanging="991"/>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适用于本投标人须知的额外增加的变动：</w:t>
            </w:r>
          </w:p>
        </w:tc>
      </w:tr>
      <w:tr w14:paraId="1E160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1F2D4447">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7632" w:type="dxa"/>
            <w:noWrap w:val="0"/>
            <w:vAlign w:val="center"/>
          </w:tcPr>
          <w:p w14:paraId="7EAA068B">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根据本项目特点，投标人应提交的其他资格证明文件（特定资格条件）为：</w:t>
            </w:r>
          </w:p>
          <w:p w14:paraId="570A72AD">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详见招标公告。</w:t>
            </w:r>
          </w:p>
        </w:tc>
      </w:tr>
      <w:tr w14:paraId="6813EC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 w:hRule="atLeast"/>
        </w:trPr>
        <w:tc>
          <w:tcPr>
            <w:tcW w:w="1468" w:type="dxa"/>
            <w:noWrap w:val="0"/>
            <w:vAlign w:val="center"/>
          </w:tcPr>
          <w:p w14:paraId="339EB757">
            <w:pPr>
              <w:keepNext w:val="0"/>
              <w:keepLines w:val="0"/>
              <w:pageBreakBefore w:val="0"/>
              <w:kinsoku/>
              <w:wordWrap/>
              <w:overflowPunct/>
              <w:topLinePunct w:val="0"/>
              <w:bidi w:val="0"/>
              <w:adjustRightInd w:val="0"/>
              <w:snapToGrid w:val="0"/>
              <w:spacing w:line="36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7632" w:type="dxa"/>
            <w:noWrap w:val="0"/>
            <w:vAlign w:val="center"/>
          </w:tcPr>
          <w:p w14:paraId="768FEE46">
            <w:pPr>
              <w:keepNext w:val="0"/>
              <w:keepLines w:val="0"/>
              <w:pageBreakBefore w:val="0"/>
              <w:kinsoku/>
              <w:wordWrap/>
              <w:overflowPunct/>
              <w:topLinePunct w:val="0"/>
              <w:bidi w:val="0"/>
              <w:adjustRightInd w:val="0"/>
              <w:snapToGrid w:val="0"/>
              <w:spacing w:line="36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投标人应提交的其他文件：满足评审需求即可</w:t>
            </w:r>
          </w:p>
        </w:tc>
      </w:tr>
    </w:tbl>
    <w:p w14:paraId="3F577660">
      <w:pPr>
        <w:widowControl/>
        <w:spacing w:line="360" w:lineRule="auto"/>
        <w:jc w:val="center"/>
        <w:rPr>
          <w:rFonts w:hint="eastAsia" w:ascii="仿宋" w:hAnsi="仿宋" w:eastAsia="仿宋" w:cs="仿宋"/>
          <w:color w:val="auto"/>
          <w:highlight w:val="none"/>
        </w:rPr>
      </w:pPr>
    </w:p>
    <w:p w14:paraId="63BEE7B5">
      <w:pPr>
        <w:pStyle w:val="2"/>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8" w:name="_Toc17103"/>
      <w:bookmarkStart w:id="49" w:name="_Toc5865"/>
      <w:bookmarkStart w:id="50" w:name="_Toc14799"/>
      <w:r>
        <w:rPr>
          <w:rFonts w:hint="eastAsia" w:ascii="仿宋" w:hAnsi="仿宋" w:eastAsia="仿宋" w:cs="仿宋"/>
          <w:color w:val="auto"/>
          <w:highlight w:val="none"/>
        </w:rPr>
        <w:t>（二）投标人须知</w:t>
      </w:r>
      <w:bookmarkEnd w:id="48"/>
      <w:bookmarkEnd w:id="49"/>
      <w:bookmarkEnd w:id="50"/>
    </w:p>
    <w:p w14:paraId="4C06753B">
      <w:pPr>
        <w:pStyle w:val="3"/>
        <w:rPr>
          <w:rFonts w:hint="eastAsia" w:ascii="仿宋" w:hAnsi="仿宋" w:eastAsia="仿宋" w:cs="仿宋"/>
          <w:color w:val="auto"/>
          <w:sz w:val="28"/>
          <w:szCs w:val="18"/>
          <w:highlight w:val="none"/>
        </w:rPr>
      </w:pPr>
      <w:bookmarkStart w:id="51" w:name="_Toc515647757"/>
      <w:bookmarkStart w:id="52" w:name="_Toc520356143"/>
      <w:bookmarkStart w:id="53" w:name="_Toc216582805"/>
      <w:bookmarkStart w:id="54" w:name="_Toc21015"/>
      <w:bookmarkStart w:id="55" w:name="_Toc28331"/>
      <w:bookmarkStart w:id="56" w:name="_Toc16155"/>
      <w:bookmarkStart w:id="57" w:name="_Toc532473449"/>
      <w:bookmarkStart w:id="58" w:name="_Toc21215"/>
      <w:bookmarkStart w:id="59" w:name="_Toc11313"/>
      <w:r>
        <w:rPr>
          <w:rFonts w:hint="eastAsia" w:ascii="仿宋" w:hAnsi="仿宋" w:eastAsia="仿宋" w:cs="仿宋"/>
          <w:color w:val="auto"/>
          <w:sz w:val="28"/>
          <w:szCs w:val="18"/>
          <w:highlight w:val="none"/>
        </w:rPr>
        <w:t>一、</w:t>
      </w:r>
      <w:bookmarkEnd w:id="51"/>
      <w:bookmarkEnd w:id="52"/>
      <w:bookmarkEnd w:id="53"/>
      <w:r>
        <w:rPr>
          <w:rFonts w:hint="eastAsia" w:ascii="仿宋" w:hAnsi="仿宋" w:eastAsia="仿宋" w:cs="仿宋"/>
          <w:color w:val="auto"/>
          <w:sz w:val="28"/>
          <w:szCs w:val="18"/>
          <w:highlight w:val="none"/>
        </w:rPr>
        <w:t>总  则</w:t>
      </w:r>
      <w:bookmarkEnd w:id="54"/>
      <w:bookmarkEnd w:id="55"/>
      <w:bookmarkEnd w:id="56"/>
      <w:bookmarkEnd w:id="57"/>
      <w:bookmarkEnd w:id="58"/>
      <w:bookmarkEnd w:id="59"/>
    </w:p>
    <w:p w14:paraId="45F6952D">
      <w:pPr>
        <w:pStyle w:val="5"/>
        <w:ind w:firstLine="0" w:firstLineChars="0"/>
        <w:jc w:val="both"/>
        <w:rPr>
          <w:rFonts w:hint="eastAsia" w:ascii="仿宋" w:hAnsi="仿宋" w:eastAsia="仿宋" w:cs="仿宋"/>
          <w:color w:val="auto"/>
          <w:sz w:val="24"/>
          <w:szCs w:val="24"/>
          <w:highlight w:val="none"/>
        </w:rPr>
      </w:pPr>
      <w:bookmarkStart w:id="60" w:name="_Toc520356144"/>
      <w:bookmarkStart w:id="61" w:name="_Toc32623"/>
      <w:bookmarkStart w:id="62" w:name="_Toc515647758"/>
      <w:bookmarkStart w:id="63" w:name="_Toc26075"/>
      <w:bookmarkStart w:id="64" w:name="_Toc31098"/>
      <w:bookmarkStart w:id="65" w:name="_Toc28816"/>
      <w:bookmarkStart w:id="66" w:name="_Toc32189"/>
      <w:bookmarkStart w:id="67" w:name="_Toc532473450"/>
      <w:r>
        <w:rPr>
          <w:rFonts w:hint="eastAsia" w:ascii="仿宋" w:hAnsi="仿宋" w:eastAsia="仿宋" w:cs="仿宋"/>
          <w:color w:val="auto"/>
          <w:sz w:val="24"/>
          <w:szCs w:val="24"/>
          <w:highlight w:val="none"/>
        </w:rPr>
        <w:t>1.     采购人、采购代理机构及</w:t>
      </w:r>
      <w:bookmarkEnd w:id="60"/>
      <w:r>
        <w:rPr>
          <w:rFonts w:hint="eastAsia" w:ascii="仿宋" w:hAnsi="仿宋" w:eastAsia="仿宋" w:cs="仿宋"/>
          <w:color w:val="auto"/>
          <w:sz w:val="24"/>
          <w:szCs w:val="24"/>
          <w:highlight w:val="none"/>
        </w:rPr>
        <w:t>投标人</w:t>
      </w:r>
      <w:bookmarkEnd w:id="61"/>
      <w:bookmarkEnd w:id="62"/>
      <w:bookmarkEnd w:id="63"/>
      <w:bookmarkEnd w:id="64"/>
      <w:bookmarkEnd w:id="65"/>
      <w:bookmarkEnd w:id="66"/>
      <w:bookmarkEnd w:id="67"/>
    </w:p>
    <w:p w14:paraId="778224C3">
      <w:pPr>
        <w:tabs>
          <w:tab w:val="left" w:pos="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    采购人：是指依法进行政府采购的国家机关、事业单位、团体组织。</w:t>
      </w:r>
    </w:p>
    <w:p w14:paraId="56CC76C5">
      <w:pPr>
        <w:tabs>
          <w:tab w:val="left" w:pos="0"/>
        </w:tabs>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本项目的采购人见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582D1EE2">
      <w:pPr>
        <w:tabs>
          <w:tab w:val="left" w:pos="142"/>
        </w:tabs>
        <w:spacing w:line="360" w:lineRule="auto"/>
        <w:ind w:left="828" w:hanging="828" w:hangingChars="345"/>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采购代理机构：本项目的采购代理机构为陕西省采购招标有限责任公司，见</w:t>
      </w:r>
      <w:r>
        <w:rPr>
          <w:rFonts w:hint="eastAsia" w:ascii="仿宋" w:hAnsi="仿宋" w:eastAsia="仿宋" w:cs="仿宋"/>
          <w:color w:val="auto"/>
          <w:sz w:val="24"/>
          <w:highlight w:val="none"/>
          <w:u w:val="single"/>
        </w:rPr>
        <w:t>投标人须知前附表。</w:t>
      </w:r>
    </w:p>
    <w:p w14:paraId="36078C20">
      <w:pPr>
        <w:tabs>
          <w:tab w:val="left" w:pos="142"/>
        </w:tabs>
        <w:spacing w:line="360" w:lineRule="auto"/>
        <w:ind w:left="828" w:hanging="828" w:hangingChars="345"/>
        <w:rPr>
          <w:rFonts w:hint="eastAsia" w:ascii="仿宋" w:hAnsi="仿宋" w:eastAsia="仿宋" w:cs="仿宋"/>
          <w:color w:val="auto"/>
          <w:sz w:val="24"/>
          <w:highlight w:val="none"/>
        </w:rPr>
      </w:pPr>
      <w:r>
        <w:rPr>
          <w:rFonts w:hint="eastAsia" w:ascii="仿宋" w:hAnsi="仿宋" w:eastAsia="仿宋" w:cs="仿宋"/>
          <w:color w:val="auto"/>
          <w:sz w:val="24"/>
          <w:highlight w:val="none"/>
        </w:rPr>
        <w:t>1.3    投标人：是指响应招标、参加投标竞争的法人、其他组织或者自然人。潜在投标人：以招标文件规定的方式获取本项目招标文件的法人、其他组织或者自然人。</w:t>
      </w:r>
    </w:p>
    <w:p w14:paraId="3931E8B5">
      <w:pPr>
        <w:spacing w:line="360" w:lineRule="auto"/>
        <w:ind w:left="0" w:leftChars="0"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本项目的投标人须满足以下条件：</w:t>
      </w:r>
    </w:p>
    <w:p w14:paraId="63C45DEF">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具备《中华人民共和国政府采购法》第二十二条关于投标人条件的规定，遵守本项目采购人和财政部门政府采购的有关规定。</w:t>
      </w:r>
    </w:p>
    <w:p w14:paraId="719007A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以招标文件规定的方式获得了本项目的招标文件。</w:t>
      </w:r>
    </w:p>
    <w:p w14:paraId="190DF82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符合</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中规定的合格投标人的其他资格要求。</w:t>
      </w:r>
    </w:p>
    <w:p w14:paraId="35D7A011">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中写明专门面向中小企业采购的，如投标人未出具《中小企业声明函》，其投标将被认定为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594FA7C0">
      <w:pPr>
        <w:spacing w:line="360" w:lineRule="auto"/>
        <w:ind w:left="838" w:hanging="837" w:hangingChars="34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中写明允许采购进口产品，投标人应保证所投产品可履行合法报通关手续进入中国关境内。</w:t>
      </w:r>
    </w:p>
    <w:p w14:paraId="4E68CF14">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若</w:t>
      </w:r>
      <w:r>
        <w:rPr>
          <w:rFonts w:hint="eastAsia" w:ascii="仿宋" w:hAnsi="仿宋" w:eastAsia="仿宋" w:cs="仿宋"/>
          <w:color w:val="auto"/>
          <w:sz w:val="24"/>
          <w:highlight w:val="none"/>
          <w:u w:val="single"/>
        </w:rPr>
        <w:t>投标人须知前附表中</w:t>
      </w:r>
      <w:r>
        <w:rPr>
          <w:rFonts w:hint="eastAsia" w:ascii="仿宋" w:hAnsi="仿宋" w:eastAsia="仿宋" w:cs="仿宋"/>
          <w:color w:val="auto"/>
          <w:sz w:val="24"/>
          <w:highlight w:val="none"/>
        </w:rPr>
        <w:t>不允许采购进口产品，如投标人所投产品为进口产品，其投标将被认定为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401CEC5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    如</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中允许联合体投标，对联合体规定如下：</w:t>
      </w:r>
    </w:p>
    <w:p w14:paraId="689D333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两个及以上投标人可以组成一个投标联合体，以一个投标人的身份投标。</w:t>
      </w:r>
    </w:p>
    <w:p w14:paraId="676349F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联合体各方均应符合本须知规定。</w:t>
      </w:r>
    </w:p>
    <w:p w14:paraId="5D3AB19E">
      <w:pPr>
        <w:spacing w:line="360" w:lineRule="auto"/>
        <w:ind w:left="840" w:leftChars="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采购人根据采购项目对投标人的特殊要求，联合体中至少应当有一方符合相关规定。</w:t>
      </w:r>
    </w:p>
    <w:p w14:paraId="54BC4A0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联合体各方应签订共同投标协议，明确约定联合体各方承担的工作和相应的责任，并将共同投标协议作为投标文件资格证明文件的内容提交。</w:t>
      </w:r>
    </w:p>
    <w:p w14:paraId="2569C4E3">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大中型企业、其他自然人、法人或者其他组织与小型、微型企业组成联合体共同参加投标，共同投标协议中应写明小型、微型企业的协议合同金额占到共同投标协议投标总金额的比例。</w:t>
      </w:r>
    </w:p>
    <w:p w14:paraId="4FAC9B7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以联合体形式参加政府采购活动的，联合体各方不得再单独参加或者与其他投标人另外组成联合体参加本项目同一合同项下的投标，否则相关投标将被认定为</w:t>
      </w:r>
      <w:r>
        <w:rPr>
          <w:rFonts w:hint="eastAsia" w:ascii="仿宋" w:hAnsi="仿宋" w:eastAsia="仿宋" w:cs="仿宋"/>
          <w:b/>
          <w:color w:val="auto"/>
          <w:sz w:val="24"/>
          <w:highlight w:val="none"/>
        </w:rPr>
        <w:t>投标无效。</w:t>
      </w:r>
    </w:p>
    <w:p w14:paraId="1BE44337">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1.4.7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对联合体投标的其他资格要求见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4B3303F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单位负责人为同一人或者存在直接控股、管理关系的不同投标人参与本项目同一合同项下的投标的，其相关投标将被认定为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041086A5">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为本项目提供过整体设计、规范编制或者项目管理、监理、检测等服务的投标人，不得再参加本项目上述服务以外的其他采购活动。否则其投标将被认定为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30D9A65">
      <w:pPr>
        <w:pStyle w:val="11"/>
        <w:rPr>
          <w:rFonts w:hint="eastAsia" w:ascii="仿宋" w:hAnsi="仿宋" w:eastAsia="仿宋" w:cs="仿宋"/>
          <w:color w:val="auto"/>
          <w:highlight w:val="none"/>
        </w:rPr>
      </w:pPr>
      <w:r>
        <w:rPr>
          <w:rFonts w:hint="eastAsia" w:ascii="仿宋" w:hAnsi="仿宋" w:eastAsia="仿宋" w:cs="仿宋"/>
          <w:color w:val="auto"/>
          <w:highlight w:val="none"/>
        </w:rPr>
        <w:t>1.7    本项目所属行业见</w:t>
      </w:r>
      <w:r>
        <w:rPr>
          <w:rFonts w:hint="eastAsia" w:ascii="仿宋" w:hAnsi="仿宋" w:eastAsia="仿宋" w:cs="仿宋"/>
          <w:color w:val="auto"/>
          <w:highlight w:val="none"/>
          <w:u w:val="single"/>
        </w:rPr>
        <w:t>投标人须知前附表</w:t>
      </w:r>
      <w:r>
        <w:rPr>
          <w:rFonts w:hint="eastAsia" w:ascii="仿宋" w:hAnsi="仿宋" w:eastAsia="仿宋" w:cs="仿宋"/>
          <w:color w:val="auto"/>
          <w:highlight w:val="none"/>
        </w:rPr>
        <w:t>。</w:t>
      </w:r>
    </w:p>
    <w:p w14:paraId="37C7C6C6">
      <w:pPr>
        <w:pStyle w:val="5"/>
        <w:ind w:firstLine="0" w:firstLineChars="0"/>
        <w:jc w:val="both"/>
        <w:rPr>
          <w:rFonts w:hint="eastAsia" w:ascii="仿宋" w:hAnsi="仿宋" w:eastAsia="仿宋" w:cs="仿宋"/>
          <w:color w:val="auto"/>
          <w:sz w:val="24"/>
          <w:szCs w:val="24"/>
          <w:highlight w:val="none"/>
        </w:rPr>
      </w:pPr>
      <w:bookmarkStart w:id="68" w:name="_Toc3757"/>
      <w:bookmarkStart w:id="69" w:name="_Toc31073"/>
      <w:bookmarkStart w:id="70" w:name="_Toc532473451"/>
      <w:bookmarkStart w:id="71" w:name="_Toc3994"/>
      <w:bookmarkStart w:id="72" w:name="_Toc5286"/>
      <w:bookmarkStart w:id="73" w:name="_Toc12139"/>
      <w:bookmarkStart w:id="74" w:name="_Toc515647759"/>
      <w:r>
        <w:rPr>
          <w:rFonts w:hint="eastAsia" w:ascii="仿宋" w:hAnsi="仿宋" w:eastAsia="仿宋" w:cs="仿宋"/>
          <w:color w:val="auto"/>
          <w:sz w:val="24"/>
          <w:szCs w:val="24"/>
          <w:highlight w:val="none"/>
        </w:rPr>
        <w:t>2.     资金来源</w:t>
      </w:r>
      <w:bookmarkEnd w:id="68"/>
      <w:bookmarkEnd w:id="69"/>
      <w:bookmarkEnd w:id="70"/>
      <w:bookmarkEnd w:id="71"/>
      <w:bookmarkEnd w:id="72"/>
      <w:bookmarkEnd w:id="73"/>
      <w:bookmarkEnd w:id="74"/>
    </w:p>
    <w:p w14:paraId="5167335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2.1    本项目的采购资金已列入政府采购项目预算，具有开展政府采购活动的条件。</w:t>
      </w:r>
    </w:p>
    <w:p w14:paraId="28ED3DDA">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    项目预算金额和最高限价（如有）见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58FBF2C2">
      <w:pPr>
        <w:spacing w:line="360" w:lineRule="auto"/>
        <w:ind w:left="835" w:hanging="835" w:hangingChars="348"/>
        <w:rPr>
          <w:rFonts w:hint="eastAsia" w:ascii="仿宋" w:hAnsi="仿宋" w:eastAsia="仿宋" w:cs="仿宋"/>
          <w:color w:val="auto"/>
          <w:sz w:val="24"/>
          <w:highlight w:val="none"/>
        </w:rPr>
      </w:pPr>
      <w:r>
        <w:rPr>
          <w:rFonts w:hint="eastAsia" w:ascii="仿宋" w:hAnsi="仿宋" w:eastAsia="仿宋" w:cs="仿宋"/>
          <w:color w:val="auto"/>
          <w:sz w:val="24"/>
          <w:highlight w:val="none"/>
        </w:rPr>
        <w:t>2.3    投标人报价超过招标文件规定的预算金额或者预算额度内最高限价的，其投标将被认定为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2CA059C6">
      <w:pPr>
        <w:pStyle w:val="5"/>
        <w:ind w:firstLine="0" w:firstLineChars="0"/>
        <w:jc w:val="both"/>
        <w:rPr>
          <w:rFonts w:hint="eastAsia" w:ascii="仿宋" w:hAnsi="仿宋" w:eastAsia="仿宋" w:cs="仿宋"/>
          <w:color w:val="auto"/>
          <w:sz w:val="24"/>
          <w:szCs w:val="24"/>
          <w:highlight w:val="none"/>
        </w:rPr>
      </w:pPr>
      <w:bookmarkStart w:id="75" w:name="_Toc532473452"/>
      <w:bookmarkStart w:id="76" w:name="_Toc515647760"/>
      <w:bookmarkStart w:id="77" w:name="_Toc5792"/>
      <w:bookmarkStart w:id="78" w:name="_Toc12947"/>
      <w:bookmarkStart w:id="79" w:name="_Toc10901"/>
      <w:bookmarkStart w:id="80" w:name="_Toc15936"/>
      <w:bookmarkStart w:id="81" w:name="_Toc520356145"/>
      <w:bookmarkStart w:id="82" w:name="_Toc20526"/>
      <w:r>
        <w:rPr>
          <w:rFonts w:hint="eastAsia" w:ascii="仿宋" w:hAnsi="仿宋" w:eastAsia="仿宋" w:cs="仿宋"/>
          <w:color w:val="auto"/>
          <w:sz w:val="24"/>
          <w:szCs w:val="24"/>
          <w:highlight w:val="none"/>
        </w:rPr>
        <w:t>3.     投标费用</w:t>
      </w:r>
      <w:bookmarkEnd w:id="75"/>
      <w:bookmarkEnd w:id="76"/>
      <w:bookmarkEnd w:id="77"/>
      <w:bookmarkEnd w:id="78"/>
      <w:bookmarkEnd w:id="79"/>
      <w:bookmarkEnd w:id="80"/>
      <w:bookmarkEnd w:id="81"/>
      <w:bookmarkEnd w:id="82"/>
    </w:p>
    <w:p w14:paraId="5911D29C">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不论投标的结果如何，投标人应承担所有与投标有关的费用。</w:t>
      </w:r>
    </w:p>
    <w:p w14:paraId="4D2A0163">
      <w:pPr>
        <w:pStyle w:val="5"/>
        <w:ind w:firstLine="0" w:firstLineChars="0"/>
        <w:jc w:val="both"/>
        <w:rPr>
          <w:rFonts w:hint="eastAsia" w:ascii="仿宋" w:hAnsi="仿宋" w:eastAsia="仿宋" w:cs="仿宋"/>
          <w:color w:val="auto"/>
          <w:sz w:val="24"/>
          <w:szCs w:val="24"/>
          <w:highlight w:val="none"/>
        </w:rPr>
      </w:pPr>
      <w:bookmarkStart w:id="83" w:name="_Toc532473453"/>
      <w:bookmarkStart w:id="84" w:name="_Toc2823"/>
      <w:bookmarkStart w:id="85" w:name="_Toc15291"/>
      <w:bookmarkStart w:id="86" w:name="_Toc11834"/>
      <w:bookmarkStart w:id="87" w:name="_Toc6116"/>
      <w:bookmarkStart w:id="88" w:name="_Toc515647761"/>
      <w:bookmarkStart w:id="89" w:name="_Toc4463"/>
      <w:r>
        <w:rPr>
          <w:rFonts w:hint="eastAsia" w:ascii="仿宋" w:hAnsi="仿宋" w:eastAsia="仿宋" w:cs="仿宋"/>
          <w:color w:val="auto"/>
          <w:sz w:val="24"/>
          <w:szCs w:val="24"/>
          <w:highlight w:val="none"/>
        </w:rPr>
        <w:t>4.     适用法律</w:t>
      </w:r>
      <w:bookmarkEnd w:id="83"/>
      <w:bookmarkEnd w:id="84"/>
      <w:bookmarkEnd w:id="85"/>
      <w:bookmarkEnd w:id="86"/>
      <w:bookmarkEnd w:id="87"/>
      <w:bookmarkEnd w:id="88"/>
      <w:bookmarkEnd w:id="89"/>
    </w:p>
    <w:p w14:paraId="0C7653D3">
      <w:pPr>
        <w:spacing w:line="360" w:lineRule="auto"/>
        <w:ind w:left="833" w:leftChars="397" w:firstLine="3"/>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本项目采购人、采购代理机构、投标人、评标委员会的相关行为均受《中华人民共和国政府采购法》《中华人民共和国政府采购法实施条例》及本项目本级和上级财政部门政府采购有关规定的约束和保护。</w:t>
      </w:r>
    </w:p>
    <w:p w14:paraId="698AEAB1">
      <w:pPr>
        <w:pStyle w:val="3"/>
        <w:rPr>
          <w:rFonts w:hint="eastAsia" w:ascii="仿宋" w:hAnsi="仿宋" w:eastAsia="仿宋" w:cs="仿宋"/>
          <w:color w:val="auto"/>
          <w:sz w:val="28"/>
          <w:szCs w:val="18"/>
          <w:highlight w:val="none"/>
        </w:rPr>
      </w:pPr>
      <w:bookmarkStart w:id="90" w:name="_Toc216582806"/>
      <w:bookmarkStart w:id="91" w:name="_Toc515647762"/>
      <w:bookmarkStart w:id="92" w:name="_Toc21566"/>
      <w:bookmarkStart w:id="93" w:name="_Toc4607"/>
      <w:bookmarkStart w:id="94" w:name="_Toc4365"/>
      <w:bookmarkStart w:id="95" w:name="_Toc520356146"/>
      <w:bookmarkStart w:id="96" w:name="_Toc5655"/>
      <w:bookmarkStart w:id="97" w:name="_Toc532473454"/>
      <w:bookmarkStart w:id="98" w:name="_Toc14627"/>
      <w:r>
        <w:rPr>
          <w:rFonts w:hint="eastAsia" w:ascii="仿宋" w:hAnsi="仿宋" w:eastAsia="仿宋" w:cs="仿宋"/>
          <w:color w:val="auto"/>
          <w:sz w:val="28"/>
          <w:szCs w:val="18"/>
          <w:highlight w:val="none"/>
        </w:rPr>
        <w:t>二、招标文件</w:t>
      </w:r>
      <w:bookmarkEnd w:id="90"/>
      <w:bookmarkEnd w:id="91"/>
      <w:bookmarkEnd w:id="92"/>
      <w:bookmarkEnd w:id="93"/>
      <w:bookmarkEnd w:id="94"/>
      <w:bookmarkEnd w:id="95"/>
      <w:bookmarkEnd w:id="96"/>
      <w:bookmarkEnd w:id="97"/>
      <w:bookmarkEnd w:id="98"/>
    </w:p>
    <w:p w14:paraId="4D89606C">
      <w:pPr>
        <w:pStyle w:val="4"/>
        <w:ind w:firstLine="0"/>
        <w:rPr>
          <w:rFonts w:hint="eastAsia" w:ascii="仿宋" w:hAnsi="仿宋" w:eastAsia="仿宋" w:cs="仿宋"/>
          <w:color w:val="auto"/>
          <w:highlight w:val="none"/>
        </w:rPr>
      </w:pPr>
    </w:p>
    <w:p w14:paraId="321A608D">
      <w:pPr>
        <w:pStyle w:val="5"/>
        <w:ind w:firstLine="0" w:firstLineChars="0"/>
        <w:rPr>
          <w:rFonts w:hint="eastAsia" w:ascii="仿宋" w:hAnsi="仿宋" w:eastAsia="仿宋" w:cs="仿宋"/>
          <w:color w:val="auto"/>
          <w:sz w:val="24"/>
          <w:szCs w:val="24"/>
          <w:highlight w:val="none"/>
        </w:rPr>
      </w:pPr>
      <w:bookmarkStart w:id="99" w:name="_Toc8748"/>
      <w:bookmarkStart w:id="100" w:name="_Toc15530"/>
      <w:bookmarkStart w:id="101" w:name="_Toc515647763"/>
      <w:bookmarkStart w:id="102" w:name="_Toc532473455"/>
      <w:bookmarkStart w:id="103" w:name="_Toc14084"/>
      <w:bookmarkStart w:id="104" w:name="_Toc25743"/>
      <w:bookmarkStart w:id="105" w:name="_Toc7284"/>
      <w:bookmarkStart w:id="106" w:name="_Toc520356147"/>
      <w:r>
        <w:rPr>
          <w:rFonts w:hint="eastAsia" w:ascii="仿宋" w:hAnsi="仿宋" w:eastAsia="仿宋" w:cs="仿宋"/>
          <w:color w:val="auto"/>
          <w:sz w:val="24"/>
          <w:szCs w:val="24"/>
          <w:highlight w:val="none"/>
        </w:rPr>
        <w:t>5.     招标文件构成</w:t>
      </w:r>
      <w:bookmarkEnd w:id="99"/>
      <w:bookmarkEnd w:id="100"/>
      <w:bookmarkEnd w:id="101"/>
      <w:bookmarkEnd w:id="102"/>
      <w:bookmarkEnd w:id="103"/>
      <w:bookmarkEnd w:id="104"/>
      <w:bookmarkEnd w:id="105"/>
      <w:bookmarkEnd w:id="106"/>
    </w:p>
    <w:p w14:paraId="744DE4C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5.1    招标文件共六章，构成如下：</w:t>
      </w:r>
    </w:p>
    <w:p w14:paraId="6900DA6D">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招标公告</w:t>
      </w:r>
    </w:p>
    <w:p w14:paraId="53CC2F34">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投标人须知</w:t>
      </w:r>
    </w:p>
    <w:p w14:paraId="7DBA9E2B">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评标方法和标准</w:t>
      </w:r>
    </w:p>
    <w:p w14:paraId="5364A332">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拟签订的合同文本</w:t>
      </w:r>
    </w:p>
    <w:p w14:paraId="33B5CF40">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采购需求及要求</w:t>
      </w:r>
    </w:p>
    <w:p w14:paraId="6534CAAB">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第六章  投标文件格式</w:t>
      </w:r>
    </w:p>
    <w:p w14:paraId="2D24B7E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5.2    招标文件中如有不一致的，有澄清的部分以最终的澄清更正内容为准；未澄清的，以投标人须知前附表为准；投标人须知前附表不涉及的内容，以编排在后的最后描述为准。</w:t>
      </w:r>
    </w:p>
    <w:p w14:paraId="00365C17">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5.3    投标人应认真阅读招标文件所有的事项、格式、条款和技术规范等。如投标人没有按照招标文件要求提交全部资料，或者投标文件没有对招标文件的实质性要求做出响应，其投标将被认定为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1CFF7CC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5.4    现场考察或者答疑会及相关事项见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w:t>
      </w:r>
    </w:p>
    <w:p w14:paraId="2A22CBB7">
      <w:pPr>
        <w:pStyle w:val="5"/>
        <w:ind w:firstLine="0" w:firstLineChars="0"/>
        <w:rPr>
          <w:rFonts w:hint="eastAsia" w:ascii="仿宋" w:hAnsi="仿宋" w:eastAsia="仿宋" w:cs="仿宋"/>
          <w:color w:val="auto"/>
          <w:sz w:val="24"/>
          <w:szCs w:val="24"/>
          <w:highlight w:val="none"/>
        </w:rPr>
      </w:pPr>
      <w:bookmarkStart w:id="107" w:name="_Toc520356148"/>
      <w:bookmarkStart w:id="108" w:name="_Toc515904805"/>
      <w:bookmarkStart w:id="109" w:name="_Toc12723"/>
      <w:bookmarkStart w:id="110" w:name="_Toc9232"/>
      <w:bookmarkStart w:id="111" w:name="_Toc26044"/>
      <w:bookmarkStart w:id="112" w:name="_Toc16421"/>
      <w:bookmarkStart w:id="113" w:name="_Toc532473456"/>
      <w:bookmarkStart w:id="114" w:name="_Toc21487"/>
      <w:r>
        <w:rPr>
          <w:rFonts w:hint="eastAsia" w:ascii="仿宋" w:hAnsi="仿宋" w:eastAsia="仿宋" w:cs="仿宋"/>
          <w:color w:val="auto"/>
          <w:sz w:val="24"/>
          <w:szCs w:val="24"/>
          <w:highlight w:val="none"/>
        </w:rPr>
        <w:t>6.     招标文件的澄清</w:t>
      </w:r>
      <w:bookmarkEnd w:id="107"/>
      <w:bookmarkEnd w:id="108"/>
      <w:r>
        <w:rPr>
          <w:rFonts w:hint="eastAsia" w:ascii="仿宋" w:hAnsi="仿宋" w:eastAsia="仿宋" w:cs="仿宋"/>
          <w:color w:val="auto"/>
          <w:sz w:val="24"/>
          <w:szCs w:val="24"/>
          <w:highlight w:val="none"/>
        </w:rPr>
        <w:t>与修改</w:t>
      </w:r>
      <w:bookmarkEnd w:id="109"/>
      <w:bookmarkEnd w:id="110"/>
      <w:bookmarkEnd w:id="111"/>
      <w:bookmarkEnd w:id="112"/>
      <w:bookmarkEnd w:id="113"/>
      <w:bookmarkEnd w:id="114"/>
    </w:p>
    <w:p w14:paraId="7097333D">
      <w:pPr>
        <w:pStyle w:val="4"/>
        <w:spacing w:line="360" w:lineRule="auto"/>
        <w:ind w:left="840" w:hanging="840" w:hangingChars="350"/>
        <w:jc w:val="both"/>
        <w:rPr>
          <w:rFonts w:hint="eastAsia" w:ascii="仿宋" w:hAnsi="仿宋" w:eastAsia="仿宋" w:cs="仿宋"/>
          <w:color w:val="auto"/>
          <w:szCs w:val="24"/>
          <w:highlight w:val="none"/>
        </w:rPr>
      </w:pPr>
      <w:bookmarkStart w:id="115" w:name="_Toc515904806"/>
      <w:bookmarkStart w:id="116" w:name="_Ref467378678"/>
      <w:bookmarkStart w:id="117" w:name="_Toc520356149"/>
      <w:r>
        <w:rPr>
          <w:rFonts w:hint="eastAsia" w:ascii="仿宋" w:hAnsi="仿宋" w:eastAsia="仿宋" w:cs="仿宋"/>
          <w:color w:val="auto"/>
          <w:szCs w:val="24"/>
          <w:highlight w:val="none"/>
        </w:rPr>
        <w:t>6.1    采购人可主动地或在解答投标人提出的澄清问题时对招标文件进行澄清或修改。采购代理机构将以发布澄清（更正）公告的方式，澄清或修改招标文件，澄清或修改内容作为招标文件的组成部分。</w:t>
      </w:r>
    </w:p>
    <w:p w14:paraId="2B6BF7CC">
      <w:pPr>
        <w:pStyle w:val="4"/>
        <w:spacing w:line="360" w:lineRule="auto"/>
        <w:ind w:left="840" w:hanging="840" w:hangingChars="350"/>
        <w:rPr>
          <w:rFonts w:hint="eastAsia" w:ascii="仿宋" w:hAnsi="仿宋" w:eastAsia="仿宋" w:cs="仿宋"/>
          <w:color w:val="auto"/>
          <w:szCs w:val="24"/>
          <w:highlight w:val="none"/>
        </w:rPr>
      </w:pPr>
      <w:r>
        <w:rPr>
          <w:rFonts w:hint="eastAsia" w:ascii="仿宋" w:hAnsi="仿宋" w:eastAsia="仿宋" w:cs="仿宋"/>
          <w:color w:val="auto"/>
          <w:szCs w:val="24"/>
          <w:highlight w:val="none"/>
        </w:rPr>
        <w:t>6.2    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1F9E60CD">
      <w:pPr>
        <w:pStyle w:val="4"/>
        <w:spacing w:line="360" w:lineRule="auto"/>
        <w:ind w:left="840" w:hanging="840" w:hangingChars="35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因潜在投标人原因或通讯线路故障导致通知逾期送达或无法送达，采购代理机构不因此承担任何责任，有关的招标采购活动可以继续有效进行。</w:t>
      </w:r>
    </w:p>
    <w:bookmarkEnd w:id="115"/>
    <w:bookmarkEnd w:id="116"/>
    <w:bookmarkEnd w:id="117"/>
    <w:p w14:paraId="3834739A">
      <w:pPr>
        <w:pStyle w:val="5"/>
        <w:ind w:firstLine="0" w:firstLineChars="0"/>
        <w:rPr>
          <w:rFonts w:hint="eastAsia" w:ascii="仿宋" w:hAnsi="仿宋" w:eastAsia="仿宋" w:cs="仿宋"/>
          <w:color w:val="auto"/>
          <w:sz w:val="24"/>
          <w:szCs w:val="24"/>
          <w:highlight w:val="none"/>
        </w:rPr>
      </w:pPr>
      <w:bookmarkStart w:id="118" w:name="_Toc25635"/>
      <w:bookmarkStart w:id="119" w:name="_Toc532473457"/>
      <w:bookmarkStart w:id="120" w:name="_Toc14569"/>
      <w:bookmarkStart w:id="121" w:name="_Toc9324"/>
      <w:bookmarkStart w:id="122" w:name="_Toc4704"/>
      <w:bookmarkStart w:id="123" w:name="_Toc1597"/>
      <w:r>
        <w:rPr>
          <w:rFonts w:hint="eastAsia" w:ascii="仿宋" w:hAnsi="仿宋" w:eastAsia="仿宋" w:cs="仿宋"/>
          <w:color w:val="auto"/>
          <w:sz w:val="24"/>
          <w:szCs w:val="24"/>
          <w:highlight w:val="none"/>
        </w:rPr>
        <w:t>7.     投标截止时间的顺延</w:t>
      </w:r>
      <w:bookmarkEnd w:id="118"/>
      <w:bookmarkEnd w:id="119"/>
      <w:bookmarkEnd w:id="120"/>
      <w:bookmarkEnd w:id="121"/>
      <w:bookmarkEnd w:id="122"/>
      <w:bookmarkEnd w:id="123"/>
    </w:p>
    <w:p w14:paraId="420359A5">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为使投标人有足够的时间对招标文件的澄清或者修改部分进行研究而准备投标或因其他原因，采购人将依法决定是否顺延投标截止时间。</w:t>
      </w:r>
    </w:p>
    <w:p w14:paraId="6721E978">
      <w:pPr>
        <w:pStyle w:val="3"/>
        <w:rPr>
          <w:rFonts w:hint="eastAsia" w:ascii="仿宋" w:hAnsi="仿宋" w:eastAsia="仿宋" w:cs="仿宋"/>
          <w:color w:val="auto"/>
          <w:sz w:val="28"/>
          <w:szCs w:val="18"/>
          <w:highlight w:val="none"/>
        </w:rPr>
      </w:pPr>
      <w:bookmarkStart w:id="124" w:name="_Toc516367020"/>
      <w:bookmarkStart w:id="125" w:name="_Toc32747"/>
      <w:bookmarkStart w:id="126" w:name="_Toc7636"/>
      <w:bookmarkStart w:id="127" w:name="_Toc30808"/>
      <w:bookmarkStart w:id="128" w:name="_Toc718"/>
      <w:bookmarkStart w:id="129" w:name="_Toc11757"/>
      <w:bookmarkStart w:id="130" w:name="_Toc515647766"/>
      <w:bookmarkStart w:id="131" w:name="_Toc216582807"/>
      <w:bookmarkStart w:id="132" w:name="_Toc520356150"/>
      <w:bookmarkStart w:id="133" w:name="_Toc532473458"/>
      <w:r>
        <w:rPr>
          <w:rFonts w:hint="eastAsia" w:ascii="仿宋" w:hAnsi="仿宋" w:eastAsia="仿宋" w:cs="仿宋"/>
          <w:color w:val="auto"/>
          <w:sz w:val="28"/>
          <w:szCs w:val="18"/>
          <w:highlight w:val="none"/>
        </w:rPr>
        <w:t>三、投标文件</w:t>
      </w:r>
      <w:bookmarkEnd w:id="124"/>
      <w:r>
        <w:rPr>
          <w:rFonts w:hint="eastAsia" w:ascii="仿宋" w:hAnsi="仿宋" w:eastAsia="仿宋" w:cs="仿宋"/>
          <w:color w:val="auto"/>
          <w:sz w:val="28"/>
          <w:szCs w:val="18"/>
          <w:highlight w:val="none"/>
        </w:rPr>
        <w:t>的编制</w:t>
      </w:r>
      <w:bookmarkEnd w:id="125"/>
      <w:bookmarkEnd w:id="126"/>
      <w:bookmarkEnd w:id="127"/>
      <w:bookmarkEnd w:id="128"/>
      <w:bookmarkEnd w:id="129"/>
      <w:bookmarkEnd w:id="130"/>
      <w:bookmarkEnd w:id="131"/>
      <w:bookmarkEnd w:id="132"/>
      <w:bookmarkEnd w:id="133"/>
    </w:p>
    <w:p w14:paraId="54FBFAAA">
      <w:pPr>
        <w:pStyle w:val="5"/>
        <w:ind w:firstLine="0" w:firstLineChars="0"/>
        <w:jc w:val="both"/>
        <w:rPr>
          <w:rFonts w:hint="eastAsia" w:ascii="仿宋" w:hAnsi="仿宋" w:eastAsia="仿宋" w:cs="仿宋"/>
          <w:color w:val="auto"/>
          <w:sz w:val="24"/>
          <w:szCs w:val="24"/>
          <w:highlight w:val="none"/>
        </w:rPr>
      </w:pPr>
      <w:bookmarkStart w:id="134" w:name="_Toc520356151"/>
      <w:bookmarkStart w:id="135" w:name="_Toc515647767"/>
      <w:bookmarkStart w:id="136" w:name="_Toc516367021"/>
      <w:bookmarkStart w:id="137" w:name="_Toc24342"/>
      <w:bookmarkStart w:id="138" w:name="_Toc7786"/>
      <w:bookmarkStart w:id="139" w:name="_Toc17987"/>
      <w:bookmarkStart w:id="140" w:name="_Toc532473459"/>
      <w:bookmarkStart w:id="141" w:name="_Toc3553"/>
      <w:bookmarkStart w:id="142" w:name="_Toc19363"/>
      <w:r>
        <w:rPr>
          <w:rFonts w:hint="eastAsia" w:ascii="仿宋" w:hAnsi="仿宋" w:eastAsia="仿宋" w:cs="仿宋"/>
          <w:color w:val="auto"/>
          <w:sz w:val="24"/>
          <w:szCs w:val="24"/>
          <w:highlight w:val="none"/>
        </w:rPr>
        <w:t>8.     投标范围及投标文件中标准和计量单位的使用</w:t>
      </w:r>
      <w:bookmarkEnd w:id="134"/>
      <w:bookmarkEnd w:id="135"/>
      <w:bookmarkEnd w:id="136"/>
      <w:bookmarkEnd w:id="137"/>
      <w:bookmarkEnd w:id="138"/>
      <w:bookmarkEnd w:id="139"/>
      <w:bookmarkEnd w:id="140"/>
      <w:bookmarkEnd w:id="141"/>
      <w:bookmarkEnd w:id="142"/>
    </w:p>
    <w:p w14:paraId="4C0C4447">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8.1    投标人可对招标文件中一个或多个标段进行投标或者中标，除非在</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中另有规定。</w:t>
      </w:r>
    </w:p>
    <w:p w14:paraId="19C650BD">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8.2    投标人应当对所投标段招标文件中“采购需求及要求”所列的所有内容进行</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，如仅响应部分内容，其该标段投标将被认定为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6A4A28E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8.3    无论招标文件中是否要求，投标人所投货物及伴随的服务和工程均应符合国家强制性标准。</w:t>
      </w:r>
    </w:p>
    <w:p w14:paraId="44D2C023">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8.4    除招标文件中有特殊要求外，投标文件中所使用的计量单位，应采用中华人民共和国法定计量单位。</w:t>
      </w:r>
    </w:p>
    <w:p w14:paraId="0F677247">
      <w:pPr>
        <w:pStyle w:val="5"/>
        <w:ind w:firstLine="0" w:firstLineChars="0"/>
        <w:rPr>
          <w:rFonts w:hint="eastAsia" w:ascii="仿宋" w:hAnsi="仿宋" w:eastAsia="仿宋" w:cs="仿宋"/>
          <w:color w:val="auto"/>
          <w:sz w:val="24"/>
          <w:szCs w:val="24"/>
          <w:highlight w:val="none"/>
        </w:rPr>
      </w:pPr>
      <w:bookmarkStart w:id="143" w:name="_Toc516367022"/>
      <w:bookmarkStart w:id="144" w:name="_Ref467306676"/>
      <w:bookmarkStart w:id="145" w:name="_Ref467306195"/>
      <w:bookmarkStart w:id="146" w:name="_Toc10364"/>
      <w:bookmarkStart w:id="147" w:name="_Toc11649"/>
      <w:bookmarkStart w:id="148" w:name="_Toc10321"/>
      <w:bookmarkStart w:id="149" w:name="_Toc532473460"/>
      <w:bookmarkStart w:id="150" w:name="_Toc28307"/>
      <w:bookmarkStart w:id="151" w:name="_Toc515647768"/>
      <w:bookmarkStart w:id="152" w:name="_Toc520356152"/>
      <w:bookmarkStart w:id="153" w:name="_Toc21175"/>
      <w:r>
        <w:rPr>
          <w:rFonts w:hint="eastAsia" w:ascii="仿宋" w:hAnsi="仿宋" w:eastAsia="仿宋" w:cs="仿宋"/>
          <w:color w:val="auto"/>
          <w:sz w:val="24"/>
          <w:szCs w:val="24"/>
          <w:highlight w:val="none"/>
        </w:rPr>
        <w:t>9.     投标文件</w:t>
      </w:r>
      <w:bookmarkEnd w:id="143"/>
      <w:bookmarkEnd w:id="144"/>
      <w:bookmarkEnd w:id="145"/>
      <w:r>
        <w:rPr>
          <w:rFonts w:hint="eastAsia" w:ascii="仿宋" w:hAnsi="仿宋" w:eastAsia="仿宋" w:cs="仿宋"/>
          <w:color w:val="auto"/>
          <w:sz w:val="24"/>
          <w:szCs w:val="24"/>
          <w:highlight w:val="none"/>
        </w:rPr>
        <w:t>组成</w:t>
      </w:r>
      <w:bookmarkEnd w:id="146"/>
      <w:bookmarkEnd w:id="147"/>
      <w:bookmarkEnd w:id="148"/>
      <w:bookmarkEnd w:id="149"/>
      <w:bookmarkEnd w:id="150"/>
      <w:bookmarkEnd w:id="151"/>
      <w:bookmarkEnd w:id="152"/>
      <w:bookmarkEnd w:id="153"/>
    </w:p>
    <w:p w14:paraId="3953A486">
      <w:pPr>
        <w:tabs>
          <w:tab w:val="left" w:pos="900"/>
          <w:tab w:val="left" w:pos="5580"/>
        </w:tabs>
        <w:spacing w:line="360" w:lineRule="auto"/>
        <w:ind w:left="840" w:hanging="840" w:hangingChars="350"/>
        <w:rPr>
          <w:rFonts w:hint="eastAsia" w:ascii="仿宋" w:hAnsi="仿宋" w:eastAsia="仿宋" w:cs="仿宋"/>
          <w:color w:val="auto"/>
          <w:sz w:val="24"/>
          <w:highlight w:val="none"/>
        </w:rPr>
      </w:pPr>
      <w:bookmarkStart w:id="154" w:name="_Ref467052588"/>
      <w:r>
        <w:rPr>
          <w:rFonts w:hint="eastAsia" w:ascii="仿宋" w:hAnsi="仿宋" w:eastAsia="仿宋" w:cs="仿宋"/>
          <w:color w:val="auto"/>
          <w:sz w:val="24"/>
          <w:highlight w:val="none"/>
        </w:rPr>
        <w:t>9.1    投标人应完整地按照招标文件提供的投标文件格式及要求编写投标文件。</w:t>
      </w:r>
    </w:p>
    <w:p w14:paraId="1C8371AF">
      <w:pPr>
        <w:tabs>
          <w:tab w:val="left" w:pos="900"/>
          <w:tab w:val="left" w:pos="5580"/>
        </w:tabs>
        <w:spacing w:line="360" w:lineRule="auto"/>
        <w:ind w:left="838" w:leftChars="342" w:hanging="120" w:hanging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投标文件中资格审查和符合性审查涉及的事项不满足招标文件要求的，其投标将被认定为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30E0161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9.2    上述文件应按照招标文件的规定签署</w:t>
      </w:r>
      <w:bookmarkStart w:id="155" w:name="_Hlk1734277"/>
      <w:r>
        <w:rPr>
          <w:rFonts w:hint="eastAsia" w:ascii="仿宋" w:hAnsi="仿宋" w:eastAsia="仿宋" w:cs="仿宋"/>
          <w:color w:val="auto"/>
          <w:sz w:val="24"/>
          <w:highlight w:val="none"/>
        </w:rPr>
        <w:t>和盖公章或经公章授权的其他单位章（以下统称公章）</w:t>
      </w:r>
      <w:bookmarkEnd w:id="155"/>
      <w:r>
        <w:rPr>
          <w:rFonts w:hint="eastAsia" w:ascii="仿宋" w:hAnsi="仿宋" w:eastAsia="仿宋" w:cs="仿宋"/>
          <w:color w:val="auto"/>
          <w:sz w:val="24"/>
          <w:highlight w:val="none"/>
        </w:rPr>
        <w:t>。采用公章授权方式的，应当在投标文件资格证明文件附公章授权书（格式自定）。</w:t>
      </w:r>
    </w:p>
    <w:bookmarkEnd w:id="154"/>
    <w:p w14:paraId="1E8F7BB4">
      <w:pPr>
        <w:pStyle w:val="5"/>
        <w:ind w:firstLine="0" w:firstLineChars="0"/>
        <w:jc w:val="both"/>
        <w:rPr>
          <w:rFonts w:hint="eastAsia" w:ascii="仿宋" w:hAnsi="仿宋" w:eastAsia="仿宋" w:cs="仿宋"/>
          <w:color w:val="auto"/>
          <w:sz w:val="24"/>
          <w:szCs w:val="24"/>
          <w:highlight w:val="none"/>
        </w:rPr>
      </w:pPr>
      <w:bookmarkStart w:id="156" w:name="_Toc515647769"/>
      <w:bookmarkStart w:id="157" w:name="_Toc520356153"/>
      <w:bookmarkStart w:id="158" w:name="_Toc2995"/>
      <w:bookmarkStart w:id="159" w:name="_Toc516367023"/>
      <w:bookmarkStart w:id="160" w:name="_Toc27354"/>
      <w:bookmarkStart w:id="161" w:name="_Toc888"/>
      <w:bookmarkStart w:id="162" w:name="_Toc532473461"/>
      <w:bookmarkStart w:id="163" w:name="_Toc10379"/>
      <w:bookmarkStart w:id="164" w:name="_Toc4601"/>
      <w:r>
        <w:rPr>
          <w:rFonts w:hint="eastAsia" w:ascii="仿宋" w:hAnsi="仿宋" w:eastAsia="仿宋" w:cs="仿宋"/>
          <w:color w:val="auto"/>
          <w:sz w:val="24"/>
          <w:szCs w:val="24"/>
          <w:highlight w:val="none"/>
        </w:rPr>
        <w:t>10.    证明投标标的的合格性和符合招标文件规定的技术文件</w:t>
      </w:r>
      <w:bookmarkEnd w:id="156"/>
      <w:bookmarkEnd w:id="157"/>
      <w:bookmarkEnd w:id="158"/>
      <w:bookmarkEnd w:id="159"/>
      <w:bookmarkEnd w:id="160"/>
      <w:bookmarkEnd w:id="161"/>
      <w:bookmarkEnd w:id="162"/>
      <w:bookmarkEnd w:id="163"/>
      <w:bookmarkEnd w:id="164"/>
    </w:p>
    <w:p w14:paraId="4E98A681">
      <w:pPr>
        <w:spacing w:line="360" w:lineRule="auto"/>
        <w:ind w:left="878" w:hanging="878" w:hangingChars="366"/>
        <w:rPr>
          <w:rFonts w:hint="eastAsia" w:ascii="仿宋" w:hAnsi="仿宋" w:eastAsia="仿宋" w:cs="仿宋"/>
          <w:color w:val="auto"/>
          <w:sz w:val="24"/>
          <w:highlight w:val="none"/>
        </w:rPr>
      </w:pPr>
      <w:r>
        <w:rPr>
          <w:rFonts w:hint="eastAsia" w:ascii="仿宋" w:hAnsi="仿宋" w:eastAsia="仿宋" w:cs="仿宋"/>
          <w:color w:val="auto"/>
          <w:sz w:val="24"/>
          <w:highlight w:val="none"/>
        </w:rPr>
        <w:t>10.1   投标人应提交证明文件，证明其投标标的符合招标文件规定。该证明文件是投标文件的技术文件。</w:t>
      </w:r>
    </w:p>
    <w:p w14:paraId="666B0AB5">
      <w:pPr>
        <w:spacing w:line="360" w:lineRule="auto"/>
        <w:ind w:left="900" w:hanging="900" w:hangingChars="375"/>
        <w:rPr>
          <w:rFonts w:hint="eastAsia" w:ascii="仿宋" w:hAnsi="仿宋" w:eastAsia="仿宋" w:cs="仿宋"/>
          <w:color w:val="auto"/>
          <w:sz w:val="24"/>
          <w:highlight w:val="none"/>
        </w:rPr>
      </w:pPr>
      <w:bookmarkStart w:id="165" w:name="_Ref467306244"/>
      <w:r>
        <w:rPr>
          <w:rFonts w:hint="eastAsia" w:ascii="仿宋" w:hAnsi="仿宋" w:eastAsia="仿宋" w:cs="仿宋"/>
          <w:color w:val="auto"/>
          <w:sz w:val="24"/>
          <w:highlight w:val="none"/>
        </w:rPr>
        <w:t>10.2   上款所述的证明文件，可以是文字资料、图纸和数据</w:t>
      </w:r>
      <w:bookmarkEnd w:id="165"/>
      <w:r>
        <w:rPr>
          <w:rFonts w:hint="eastAsia" w:ascii="仿宋" w:hAnsi="仿宋" w:eastAsia="仿宋" w:cs="仿宋"/>
          <w:color w:val="auto"/>
          <w:sz w:val="24"/>
          <w:highlight w:val="none"/>
        </w:rPr>
        <w:t>。</w:t>
      </w:r>
    </w:p>
    <w:p w14:paraId="4D3D4EE8">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10.3   本条所指证明文件不包括对招标文件相关部分的文字、图标的复制。</w:t>
      </w:r>
    </w:p>
    <w:p w14:paraId="6CB99C80">
      <w:pPr>
        <w:pStyle w:val="5"/>
        <w:ind w:firstLine="0" w:firstLineChars="0"/>
        <w:rPr>
          <w:rFonts w:hint="eastAsia" w:ascii="仿宋" w:hAnsi="仿宋" w:eastAsia="仿宋" w:cs="仿宋"/>
          <w:color w:val="auto"/>
          <w:sz w:val="24"/>
          <w:szCs w:val="24"/>
          <w:highlight w:val="none"/>
        </w:rPr>
      </w:pPr>
      <w:bookmarkStart w:id="166" w:name="_Toc1868"/>
      <w:bookmarkStart w:id="167" w:name="_Toc2248"/>
      <w:bookmarkStart w:id="168" w:name="_Toc23231"/>
      <w:bookmarkStart w:id="169" w:name="_Toc25613"/>
      <w:bookmarkStart w:id="170" w:name="_Toc515647770"/>
      <w:bookmarkStart w:id="171" w:name="_Toc19549"/>
      <w:bookmarkStart w:id="172" w:name="_Toc532473462"/>
      <w:bookmarkStart w:id="173" w:name="_Toc520356155"/>
      <w:r>
        <w:rPr>
          <w:rFonts w:hint="eastAsia" w:ascii="仿宋" w:hAnsi="仿宋" w:eastAsia="仿宋" w:cs="仿宋"/>
          <w:color w:val="auto"/>
          <w:sz w:val="24"/>
          <w:szCs w:val="24"/>
          <w:highlight w:val="none"/>
        </w:rPr>
        <w:t>11.    投标报价</w:t>
      </w:r>
      <w:bookmarkEnd w:id="166"/>
      <w:bookmarkEnd w:id="167"/>
      <w:bookmarkEnd w:id="168"/>
      <w:bookmarkEnd w:id="169"/>
      <w:bookmarkEnd w:id="170"/>
      <w:bookmarkEnd w:id="171"/>
      <w:bookmarkEnd w:id="172"/>
      <w:bookmarkEnd w:id="173"/>
    </w:p>
    <w:p w14:paraId="2C51792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11.1   投标人的报价应当包括满足本次招标全部采购需求所应提供的货物，以及伴随的服务和工程。所有投标均应以人民币报价。投标人的投标报价应遵守《中华人民共和国价格法》。</w:t>
      </w:r>
    </w:p>
    <w:p w14:paraId="0675EA6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11.2   投标人应在投标分项报价表上标明分项货物、伴随的服务和工程的价格（如适用）和总价，并由法定代表人或其授权代表签署。</w:t>
      </w:r>
    </w:p>
    <w:p w14:paraId="61564E0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11.3   采购人不接受具有附加条件的报价或多个方案的报价。</w:t>
      </w:r>
    </w:p>
    <w:p w14:paraId="2EC1E67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11.4   投标人所报的投标报价在合同履行过程中是固定不变的，不得以任何理由予以变更。任何包含价格调整要求的投标，将被认定为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2C51807F">
      <w:pPr>
        <w:pStyle w:val="5"/>
        <w:ind w:firstLine="0" w:firstLineChars="0"/>
        <w:rPr>
          <w:rFonts w:hint="eastAsia" w:ascii="仿宋" w:hAnsi="仿宋" w:eastAsia="仿宋" w:cs="仿宋"/>
          <w:color w:val="auto"/>
          <w:sz w:val="24"/>
          <w:szCs w:val="24"/>
          <w:highlight w:val="none"/>
        </w:rPr>
      </w:pPr>
      <w:bookmarkStart w:id="174" w:name="_Toc9107"/>
      <w:bookmarkStart w:id="175" w:name="_Toc17788"/>
      <w:bookmarkStart w:id="176" w:name="_Toc6358"/>
      <w:bookmarkStart w:id="177" w:name="_Ref467306513"/>
      <w:bookmarkStart w:id="178" w:name="_Toc7210"/>
      <w:bookmarkStart w:id="179" w:name="_Toc532473463"/>
      <w:bookmarkStart w:id="180" w:name="_Toc520356156"/>
      <w:bookmarkStart w:id="181" w:name="_Toc11514"/>
      <w:bookmarkStart w:id="182" w:name="_Toc515647771"/>
      <w:r>
        <w:rPr>
          <w:rFonts w:hint="eastAsia" w:ascii="仿宋" w:hAnsi="仿宋" w:eastAsia="仿宋" w:cs="仿宋"/>
          <w:color w:val="auto"/>
          <w:sz w:val="24"/>
          <w:szCs w:val="24"/>
          <w:highlight w:val="none"/>
        </w:rPr>
        <w:t>12.    投标保证金</w:t>
      </w:r>
      <w:bookmarkEnd w:id="174"/>
      <w:bookmarkEnd w:id="175"/>
      <w:bookmarkEnd w:id="176"/>
      <w:bookmarkEnd w:id="177"/>
      <w:bookmarkEnd w:id="178"/>
      <w:bookmarkEnd w:id="179"/>
      <w:bookmarkEnd w:id="180"/>
      <w:bookmarkEnd w:id="181"/>
      <w:bookmarkEnd w:id="182"/>
    </w:p>
    <w:p w14:paraId="73C07021">
      <w:pPr>
        <w:autoSpaceDE w:val="0"/>
        <w:autoSpaceDN w:val="0"/>
        <w:adjustRightInd w:val="0"/>
        <w:snapToGrid w:val="0"/>
        <w:spacing w:line="360" w:lineRule="auto"/>
        <w:ind w:left="840" w:hanging="840" w:hangingChars="350"/>
        <w:rPr>
          <w:rFonts w:hint="eastAsia" w:ascii="仿宋" w:hAnsi="仿宋" w:eastAsia="仿宋" w:cs="仿宋"/>
          <w:color w:val="auto"/>
          <w:sz w:val="24"/>
          <w:highlight w:val="none"/>
          <w:lang w:val="zh-CN"/>
        </w:rPr>
      </w:pPr>
      <w:bookmarkStart w:id="183" w:name="_Ref467306302"/>
      <w:r>
        <w:rPr>
          <w:rFonts w:hint="eastAsia" w:ascii="仿宋" w:hAnsi="仿宋" w:eastAsia="仿宋" w:cs="仿宋"/>
          <w:color w:val="auto"/>
          <w:sz w:val="24"/>
          <w:highlight w:val="none"/>
        </w:rPr>
        <w:t>12.1</w:t>
      </w:r>
      <w:bookmarkEnd w:id="183"/>
      <w:r>
        <w:rPr>
          <w:rFonts w:hint="eastAsia" w:ascii="仿宋" w:hAnsi="仿宋" w:eastAsia="仿宋" w:cs="仿宋"/>
          <w:color w:val="auto"/>
          <w:sz w:val="24"/>
          <w:highlight w:val="none"/>
        </w:rPr>
        <w:t xml:space="preserve">   详见</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lang w:val="zh-CN"/>
        </w:rPr>
        <w:t>。</w:t>
      </w:r>
    </w:p>
    <w:p w14:paraId="7A2E736F">
      <w:pPr>
        <w:pStyle w:val="5"/>
        <w:ind w:firstLine="0" w:firstLineChars="0"/>
        <w:rPr>
          <w:rFonts w:hint="eastAsia" w:ascii="仿宋" w:hAnsi="仿宋" w:eastAsia="仿宋" w:cs="仿宋"/>
          <w:color w:val="auto"/>
          <w:sz w:val="24"/>
          <w:szCs w:val="24"/>
          <w:highlight w:val="none"/>
        </w:rPr>
      </w:pPr>
      <w:bookmarkStart w:id="184" w:name="_Toc23392"/>
      <w:bookmarkStart w:id="185" w:name="_Toc32569"/>
      <w:bookmarkStart w:id="186" w:name="_Toc16588"/>
      <w:bookmarkStart w:id="187" w:name="_Toc515647772"/>
      <w:bookmarkStart w:id="188" w:name="_Toc23590"/>
      <w:bookmarkStart w:id="189" w:name="_Toc520356157"/>
      <w:bookmarkStart w:id="190" w:name="_Toc21462"/>
      <w:bookmarkStart w:id="191" w:name="_Toc532473464"/>
      <w:r>
        <w:rPr>
          <w:rFonts w:hint="eastAsia" w:ascii="仿宋" w:hAnsi="仿宋" w:eastAsia="仿宋" w:cs="仿宋"/>
          <w:color w:val="auto"/>
          <w:sz w:val="24"/>
          <w:szCs w:val="24"/>
          <w:highlight w:val="none"/>
        </w:rPr>
        <w:t xml:space="preserve">13.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投标有效期</w:t>
      </w:r>
      <w:bookmarkEnd w:id="184"/>
      <w:bookmarkEnd w:id="185"/>
      <w:bookmarkEnd w:id="186"/>
      <w:bookmarkEnd w:id="187"/>
      <w:bookmarkEnd w:id="188"/>
      <w:bookmarkEnd w:id="189"/>
      <w:bookmarkEnd w:id="190"/>
      <w:bookmarkEnd w:id="191"/>
    </w:p>
    <w:p w14:paraId="194465BD">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投标有效期为</w:t>
      </w:r>
      <w:r>
        <w:rPr>
          <w:rFonts w:hint="eastAsia" w:ascii="仿宋" w:hAnsi="仿宋" w:eastAsia="仿宋" w:cs="仿宋"/>
          <w:color w:val="auto"/>
          <w:sz w:val="24"/>
          <w:highlight w:val="none"/>
          <w:lang w:val="en-US" w:eastAsia="zh-CN"/>
        </w:rPr>
        <w:t>递</w:t>
      </w:r>
      <w:r>
        <w:rPr>
          <w:rFonts w:hint="eastAsia" w:ascii="仿宋" w:hAnsi="仿宋" w:eastAsia="仿宋" w:cs="仿宋"/>
          <w:color w:val="auto"/>
          <w:sz w:val="24"/>
          <w:highlight w:val="none"/>
        </w:rPr>
        <w:t>交投标文件截止之日起90个日历日，投标应在投标有效期内保持有效。投标有效期不满足要求的投标，其投标将被认定为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1DEAFBB">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2C407530">
      <w:pPr>
        <w:pStyle w:val="5"/>
        <w:ind w:firstLine="0" w:firstLineChars="0"/>
        <w:rPr>
          <w:rFonts w:hint="eastAsia" w:ascii="仿宋" w:hAnsi="仿宋" w:eastAsia="仿宋" w:cs="仿宋"/>
          <w:color w:val="auto"/>
          <w:sz w:val="24"/>
          <w:szCs w:val="24"/>
          <w:highlight w:val="none"/>
        </w:rPr>
      </w:pPr>
      <w:bookmarkStart w:id="192" w:name="_Toc515647773"/>
      <w:bookmarkStart w:id="193" w:name="_Toc493"/>
      <w:bookmarkStart w:id="194" w:name="_Toc17074"/>
      <w:bookmarkStart w:id="195" w:name="_Toc532473465"/>
      <w:bookmarkStart w:id="196" w:name="_Toc520356158"/>
      <w:bookmarkStart w:id="197" w:name="_Toc11870"/>
      <w:bookmarkStart w:id="198" w:name="_Toc911"/>
      <w:bookmarkStart w:id="199" w:name="_Toc26110"/>
      <w:r>
        <w:rPr>
          <w:rFonts w:hint="eastAsia" w:ascii="仿宋" w:hAnsi="仿宋" w:eastAsia="仿宋" w:cs="仿宋"/>
          <w:color w:val="auto"/>
          <w:sz w:val="24"/>
          <w:szCs w:val="24"/>
          <w:highlight w:val="none"/>
        </w:rPr>
        <w:t xml:space="preserve">14.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w:t>
      </w:r>
      <w:bookmarkEnd w:id="192"/>
      <w:bookmarkEnd w:id="193"/>
      <w:bookmarkEnd w:id="194"/>
      <w:bookmarkEnd w:id="195"/>
      <w:bookmarkEnd w:id="196"/>
      <w:r>
        <w:rPr>
          <w:rFonts w:hint="eastAsia" w:ascii="仿宋" w:hAnsi="仿宋" w:eastAsia="仿宋" w:cs="仿宋"/>
          <w:color w:val="auto"/>
          <w:sz w:val="24"/>
          <w:szCs w:val="24"/>
          <w:highlight w:val="none"/>
        </w:rPr>
        <w:t>制作</w:t>
      </w:r>
      <w:bookmarkEnd w:id="197"/>
      <w:bookmarkEnd w:id="198"/>
      <w:bookmarkEnd w:id="199"/>
    </w:p>
    <w:p w14:paraId="62A258B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14.1    投标人须在“全国公共资源交易中心平台（陕西省）（http://www.sxggzyjy.cn/）”的“服务指南”栏目“下载专区”中，免费下载“陕西省公共资源电子化平台政府采购电子标书制作工具”，并升级至最新版本，使用该客户端制作电子投标文件，制作扩展名为“.SXSTF”的电子投标文件。</w:t>
      </w:r>
    </w:p>
    <w:p w14:paraId="290EB688">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14.2    投标文件须由投标人的法定代表人或经其正式委托代理人按招标文件规定在投标文件上签字并加盖公章。委托代理人须持有书面的“法定代表人授权委托书”，并将其附在投标文件中。如对投标文件进行了修改，则应由投标人的法定代表人或委托代理人在每一修改处签字。</w:t>
      </w:r>
    </w:p>
    <w:p w14:paraId="798BA0CB">
      <w:pPr>
        <w:spacing w:line="360" w:lineRule="auto"/>
        <w:ind w:left="630" w:leftChars="300"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未按招标文件要求签署和盖章的投标文件，其投标将被认定为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479C4F6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14.3    投标文件因字迹潦草、表达不清或装订不当所引起的后果由投标人负责。</w:t>
      </w:r>
    </w:p>
    <w:p w14:paraId="49652B81">
      <w:pPr>
        <w:spacing w:line="360" w:lineRule="auto"/>
        <w:ind w:left="900" w:hanging="900" w:hangingChars="375"/>
        <w:rPr>
          <w:rFonts w:hint="eastAsia" w:ascii="仿宋" w:hAnsi="仿宋" w:eastAsia="仿宋" w:cs="仿宋"/>
          <w:color w:val="auto"/>
          <w:sz w:val="24"/>
          <w:highlight w:val="none"/>
        </w:rPr>
      </w:pPr>
    </w:p>
    <w:p w14:paraId="0EE05250">
      <w:pPr>
        <w:pStyle w:val="3"/>
        <w:rPr>
          <w:rFonts w:hint="eastAsia" w:ascii="仿宋" w:hAnsi="仿宋" w:eastAsia="仿宋" w:cs="仿宋"/>
          <w:color w:val="auto"/>
          <w:sz w:val="28"/>
          <w:szCs w:val="18"/>
          <w:highlight w:val="none"/>
        </w:rPr>
      </w:pPr>
      <w:bookmarkStart w:id="200" w:name="_Toc16865"/>
      <w:bookmarkStart w:id="201" w:name="_Toc216582808"/>
      <w:bookmarkStart w:id="202" w:name="_Toc14435"/>
      <w:bookmarkStart w:id="203" w:name="_Toc532473466"/>
      <w:bookmarkStart w:id="204" w:name="_Toc515647774"/>
      <w:bookmarkStart w:id="205" w:name="_Toc17546"/>
      <w:bookmarkStart w:id="206" w:name="_Toc11179"/>
      <w:bookmarkStart w:id="207" w:name="_Toc14100"/>
      <w:bookmarkStart w:id="208" w:name="_Toc520356159"/>
      <w:r>
        <w:rPr>
          <w:rFonts w:hint="eastAsia" w:ascii="仿宋" w:hAnsi="仿宋" w:eastAsia="仿宋" w:cs="仿宋"/>
          <w:color w:val="auto"/>
          <w:sz w:val="28"/>
          <w:szCs w:val="18"/>
          <w:highlight w:val="none"/>
        </w:rPr>
        <w:t>四、投标文件的递交</w:t>
      </w:r>
      <w:bookmarkEnd w:id="200"/>
      <w:bookmarkEnd w:id="201"/>
      <w:bookmarkEnd w:id="202"/>
      <w:bookmarkEnd w:id="203"/>
      <w:bookmarkEnd w:id="204"/>
      <w:bookmarkEnd w:id="205"/>
      <w:bookmarkEnd w:id="206"/>
      <w:bookmarkEnd w:id="207"/>
      <w:bookmarkEnd w:id="208"/>
    </w:p>
    <w:p w14:paraId="57D5F086">
      <w:pPr>
        <w:pStyle w:val="5"/>
        <w:ind w:firstLine="0" w:firstLineChars="0"/>
        <w:rPr>
          <w:rFonts w:hint="eastAsia" w:ascii="仿宋" w:hAnsi="仿宋" w:eastAsia="仿宋" w:cs="仿宋"/>
          <w:color w:val="auto"/>
          <w:sz w:val="24"/>
          <w:szCs w:val="24"/>
          <w:highlight w:val="none"/>
          <w:lang w:eastAsia="zh-CN"/>
        </w:rPr>
      </w:pPr>
      <w:bookmarkStart w:id="209" w:name="_Toc32337"/>
      <w:bookmarkStart w:id="210" w:name="_Toc515647775"/>
      <w:bookmarkStart w:id="211" w:name="_Toc532473467"/>
      <w:bookmarkStart w:id="212" w:name="_Toc520356160"/>
      <w:bookmarkStart w:id="213" w:name="_Toc21645"/>
      <w:bookmarkStart w:id="214" w:name="_Toc32033"/>
      <w:bookmarkStart w:id="215" w:name="_Toc4490"/>
      <w:bookmarkStart w:id="216" w:name="_Toc31282"/>
      <w:r>
        <w:rPr>
          <w:rFonts w:hint="eastAsia" w:ascii="仿宋" w:hAnsi="仿宋" w:eastAsia="仿宋" w:cs="仿宋"/>
          <w:color w:val="auto"/>
          <w:sz w:val="24"/>
          <w:szCs w:val="24"/>
          <w:highlight w:val="none"/>
        </w:rPr>
        <w:t xml:space="preserve">15.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w:t>
      </w:r>
      <w:bookmarkEnd w:id="209"/>
      <w:bookmarkEnd w:id="210"/>
      <w:bookmarkEnd w:id="211"/>
      <w:bookmarkEnd w:id="212"/>
      <w:bookmarkEnd w:id="213"/>
      <w:r>
        <w:rPr>
          <w:rFonts w:hint="eastAsia" w:ascii="仿宋" w:hAnsi="仿宋" w:eastAsia="仿宋" w:cs="仿宋"/>
          <w:color w:val="auto"/>
          <w:sz w:val="24"/>
          <w:szCs w:val="24"/>
          <w:highlight w:val="none"/>
          <w:lang w:val="en-US" w:eastAsia="zh-CN"/>
        </w:rPr>
        <w:t>加密</w:t>
      </w:r>
      <w:bookmarkEnd w:id="214"/>
      <w:bookmarkEnd w:id="215"/>
      <w:bookmarkEnd w:id="216"/>
    </w:p>
    <w:p w14:paraId="65180FC3">
      <w:pPr>
        <w:spacing w:line="360" w:lineRule="auto"/>
        <w:ind w:left="900" w:hanging="900" w:hangingChars="375"/>
        <w:rPr>
          <w:rFonts w:hint="eastAsia" w:ascii="仿宋" w:hAnsi="仿宋" w:eastAsia="仿宋" w:cs="仿宋"/>
          <w:color w:val="auto"/>
          <w:sz w:val="24"/>
          <w:highlight w:val="none"/>
        </w:rPr>
      </w:pPr>
      <w:bookmarkStart w:id="217" w:name="_Toc532473468"/>
      <w:bookmarkStart w:id="218" w:name="_Toc520356161"/>
      <w:bookmarkStart w:id="219" w:name="_Toc515647776"/>
      <w:bookmarkStart w:id="220" w:name="_Toc12751"/>
      <w:bookmarkStart w:id="221" w:name="_Toc9840"/>
      <w:r>
        <w:rPr>
          <w:rFonts w:hint="eastAsia" w:ascii="仿宋" w:hAnsi="仿宋" w:eastAsia="仿宋" w:cs="仿宋"/>
          <w:color w:val="auto"/>
          <w:sz w:val="24"/>
          <w:highlight w:val="none"/>
        </w:rPr>
        <w:t xml:space="preserve">15.1    </w:t>
      </w:r>
      <w:bookmarkStart w:id="222" w:name="_Hlk790626"/>
      <w:r>
        <w:rPr>
          <w:rFonts w:hint="eastAsia" w:ascii="仿宋" w:hAnsi="仿宋" w:eastAsia="仿宋" w:cs="仿宋"/>
          <w:color w:val="auto"/>
          <w:sz w:val="24"/>
          <w:highlight w:val="none"/>
        </w:rPr>
        <w:t>投标人应按照全国公共资源交易中心平台（陕西省）的要求对投标文件进行加密。投标人应承担加密操作失误产生的任何后果。</w:t>
      </w:r>
      <w:bookmarkEnd w:id="222"/>
    </w:p>
    <w:p w14:paraId="3D73F83C">
      <w:pPr>
        <w:pStyle w:val="5"/>
        <w:ind w:firstLine="0" w:firstLineChars="0"/>
        <w:rPr>
          <w:rFonts w:hint="eastAsia" w:ascii="仿宋" w:hAnsi="仿宋" w:eastAsia="仿宋" w:cs="仿宋"/>
          <w:color w:val="auto"/>
          <w:sz w:val="24"/>
          <w:szCs w:val="24"/>
          <w:highlight w:val="none"/>
        </w:rPr>
      </w:pPr>
      <w:bookmarkStart w:id="223" w:name="_Toc16351"/>
      <w:bookmarkStart w:id="224" w:name="_Toc19735"/>
      <w:bookmarkStart w:id="225" w:name="_Toc5188"/>
      <w:r>
        <w:rPr>
          <w:rFonts w:hint="eastAsia" w:ascii="仿宋" w:hAnsi="仿宋" w:eastAsia="仿宋" w:cs="仿宋"/>
          <w:color w:val="auto"/>
          <w:sz w:val="24"/>
          <w:szCs w:val="24"/>
          <w:highlight w:val="none"/>
        </w:rPr>
        <w:t xml:space="preserve">16.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投标截止</w:t>
      </w:r>
      <w:bookmarkEnd w:id="217"/>
      <w:bookmarkEnd w:id="218"/>
      <w:bookmarkEnd w:id="219"/>
      <w:bookmarkEnd w:id="220"/>
      <w:bookmarkEnd w:id="221"/>
      <w:bookmarkEnd w:id="223"/>
      <w:bookmarkEnd w:id="224"/>
      <w:bookmarkEnd w:id="225"/>
    </w:p>
    <w:p w14:paraId="2B5C7DD9">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投标人应在</w:t>
      </w:r>
      <w:r>
        <w:rPr>
          <w:rFonts w:hint="eastAsia" w:ascii="仿宋" w:hAnsi="仿宋" w:eastAsia="仿宋" w:cs="仿宋"/>
          <w:color w:val="auto"/>
          <w:sz w:val="24"/>
          <w:highlight w:val="none"/>
          <w:u w:val="single"/>
        </w:rPr>
        <w:t>投标人须知前附表中</w:t>
      </w:r>
      <w:r>
        <w:rPr>
          <w:rFonts w:hint="eastAsia" w:ascii="仿宋" w:hAnsi="仿宋" w:eastAsia="仿宋" w:cs="仿宋"/>
          <w:color w:val="auto"/>
          <w:sz w:val="24"/>
          <w:highlight w:val="none"/>
        </w:rPr>
        <w:t>规定的截止时间前，将投标文件递交到招标公告中规定的地点。</w:t>
      </w:r>
    </w:p>
    <w:p w14:paraId="59AEA33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16.2   采购人和采购代理机构将拒绝接收在投标截止时间后送达的投标文件。</w:t>
      </w:r>
    </w:p>
    <w:p w14:paraId="16829BE0">
      <w:pPr>
        <w:pStyle w:val="5"/>
        <w:ind w:firstLine="0" w:firstLineChars="0"/>
        <w:jc w:val="both"/>
        <w:rPr>
          <w:rFonts w:hint="eastAsia" w:ascii="仿宋" w:hAnsi="仿宋" w:eastAsia="仿宋" w:cs="仿宋"/>
          <w:color w:val="auto"/>
          <w:sz w:val="24"/>
          <w:szCs w:val="24"/>
          <w:highlight w:val="none"/>
        </w:rPr>
      </w:pPr>
      <w:bookmarkStart w:id="226" w:name="_Toc9212"/>
      <w:bookmarkStart w:id="227" w:name="_Toc18537"/>
      <w:bookmarkStart w:id="228" w:name="_Toc28366"/>
      <w:bookmarkStart w:id="229" w:name="_Toc2460"/>
      <w:bookmarkStart w:id="230" w:name="_Toc515647777"/>
      <w:bookmarkStart w:id="231" w:name="_Toc532473469"/>
      <w:bookmarkStart w:id="232" w:name="_Toc24275"/>
      <w:bookmarkStart w:id="233" w:name="_Toc520356162"/>
      <w:r>
        <w:rPr>
          <w:rFonts w:hint="eastAsia" w:ascii="仿宋" w:hAnsi="仿宋" w:eastAsia="仿宋" w:cs="仿宋"/>
          <w:color w:val="auto"/>
          <w:sz w:val="24"/>
          <w:szCs w:val="24"/>
          <w:highlight w:val="none"/>
        </w:rPr>
        <w:t>17.    投标文件的接收、修改与撤回</w:t>
      </w:r>
      <w:bookmarkEnd w:id="226"/>
      <w:bookmarkEnd w:id="227"/>
      <w:bookmarkEnd w:id="228"/>
      <w:bookmarkEnd w:id="229"/>
      <w:bookmarkEnd w:id="230"/>
      <w:bookmarkEnd w:id="231"/>
      <w:bookmarkEnd w:id="232"/>
      <w:bookmarkEnd w:id="233"/>
    </w:p>
    <w:p w14:paraId="6900F240">
      <w:pPr>
        <w:spacing w:line="360" w:lineRule="auto"/>
        <w:ind w:left="900" w:hanging="900" w:hangingChars="375"/>
        <w:rPr>
          <w:rFonts w:hint="eastAsia" w:ascii="仿宋" w:hAnsi="仿宋" w:eastAsia="仿宋" w:cs="仿宋"/>
          <w:color w:val="auto"/>
          <w:highlight w:val="none"/>
        </w:rPr>
      </w:pPr>
      <w:r>
        <w:rPr>
          <w:rFonts w:hint="eastAsia" w:ascii="仿宋" w:hAnsi="仿宋" w:eastAsia="仿宋" w:cs="仿宋"/>
          <w:color w:val="auto"/>
          <w:sz w:val="24"/>
          <w:highlight w:val="none"/>
        </w:rPr>
        <w:t>17.1   采购人和采购代理机构将按招标文件规定的时间和地点接收投标文件。</w:t>
      </w:r>
    </w:p>
    <w:p w14:paraId="6B02185E">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17.2   采购人或者采购代理机构收到投标文件后，将记载投标文件的送达时间和密封情况，并向投标人出具回执。</w:t>
      </w:r>
    </w:p>
    <w:p w14:paraId="153CC48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17.3   递交投标文件以后，如果投标人要进行修改，须提出书面申请并在投标截止时间前送达开标地点，投标人对投标文件的修改申请应按本须知规定编制、签署、密封、标记。采购人和采购代理机构将予以接收，并视为投标文件的组成部分。</w:t>
      </w:r>
    </w:p>
    <w:p w14:paraId="26D68DDF">
      <w:pPr>
        <w:spacing w:line="360" w:lineRule="auto"/>
        <w:ind w:left="850" w:leftChars="405"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递交投标文件以后，如果投标人要进行撤回的，须提出书面申请并在投标截止时间前送达开标地点，采购人和采购代理机构将予以接受。</w:t>
      </w:r>
    </w:p>
    <w:p w14:paraId="4DCD165E">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17.4   在投标截止时间之后，投标人不得对其投标文件做任何修改。</w:t>
      </w:r>
    </w:p>
    <w:p w14:paraId="0212187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17.5   除投标人不足3家未开标外，采购人和采购代理机构对所接收投标文件概不退回。</w:t>
      </w:r>
    </w:p>
    <w:p w14:paraId="5A22F5F7">
      <w:pPr>
        <w:pStyle w:val="3"/>
        <w:rPr>
          <w:rFonts w:hint="eastAsia" w:ascii="仿宋" w:hAnsi="仿宋" w:eastAsia="仿宋" w:cs="仿宋"/>
          <w:color w:val="auto"/>
          <w:sz w:val="28"/>
          <w:szCs w:val="18"/>
          <w:highlight w:val="none"/>
        </w:rPr>
      </w:pPr>
      <w:bookmarkStart w:id="234" w:name="_Toc532473470"/>
      <w:bookmarkStart w:id="235" w:name="_Toc216582809"/>
      <w:bookmarkStart w:id="236" w:name="_Toc12296"/>
      <w:bookmarkStart w:id="237" w:name="_Toc515647778"/>
      <w:bookmarkStart w:id="238" w:name="_Toc9680"/>
      <w:bookmarkStart w:id="239" w:name="_Toc520356163"/>
      <w:bookmarkStart w:id="240" w:name="_Toc28398"/>
      <w:bookmarkStart w:id="241" w:name="_Toc12436"/>
      <w:bookmarkStart w:id="242" w:name="_Toc11538"/>
      <w:r>
        <w:rPr>
          <w:rFonts w:hint="eastAsia" w:ascii="仿宋" w:hAnsi="仿宋" w:eastAsia="仿宋" w:cs="仿宋"/>
          <w:color w:val="auto"/>
          <w:sz w:val="28"/>
          <w:szCs w:val="18"/>
          <w:highlight w:val="none"/>
        </w:rPr>
        <w:t>五、开标及评标</w:t>
      </w:r>
      <w:bookmarkEnd w:id="234"/>
      <w:bookmarkEnd w:id="235"/>
      <w:bookmarkEnd w:id="236"/>
      <w:bookmarkEnd w:id="237"/>
      <w:bookmarkEnd w:id="238"/>
      <w:bookmarkEnd w:id="239"/>
      <w:bookmarkEnd w:id="240"/>
      <w:bookmarkEnd w:id="241"/>
      <w:bookmarkEnd w:id="242"/>
    </w:p>
    <w:p w14:paraId="55F414E3">
      <w:pPr>
        <w:pStyle w:val="5"/>
        <w:ind w:firstLine="0" w:firstLineChars="0"/>
        <w:jc w:val="both"/>
        <w:rPr>
          <w:rFonts w:hint="eastAsia" w:ascii="仿宋" w:hAnsi="仿宋" w:eastAsia="仿宋" w:cs="仿宋"/>
          <w:color w:val="auto"/>
          <w:sz w:val="24"/>
          <w:szCs w:val="24"/>
          <w:highlight w:val="none"/>
        </w:rPr>
      </w:pPr>
      <w:bookmarkStart w:id="243" w:name="_Toc7186"/>
      <w:bookmarkStart w:id="244" w:name="_Toc30218"/>
      <w:bookmarkStart w:id="245" w:name="_Toc532473471"/>
      <w:bookmarkStart w:id="246" w:name="_Toc25422"/>
      <w:bookmarkStart w:id="247" w:name="_Toc16255"/>
      <w:bookmarkStart w:id="248" w:name="_Toc515647779"/>
      <w:bookmarkStart w:id="249" w:name="_Toc520356164"/>
      <w:bookmarkStart w:id="250" w:name="_Toc25345"/>
      <w:r>
        <w:rPr>
          <w:rFonts w:hint="eastAsia" w:ascii="仿宋" w:hAnsi="仿宋" w:eastAsia="仿宋" w:cs="仿宋"/>
          <w:color w:val="auto"/>
          <w:sz w:val="24"/>
          <w:szCs w:val="24"/>
          <w:highlight w:val="none"/>
        </w:rPr>
        <w:t>18.    开标</w:t>
      </w:r>
      <w:bookmarkEnd w:id="243"/>
      <w:bookmarkEnd w:id="244"/>
      <w:bookmarkEnd w:id="245"/>
      <w:bookmarkEnd w:id="246"/>
      <w:bookmarkEnd w:id="247"/>
      <w:bookmarkEnd w:id="248"/>
      <w:bookmarkEnd w:id="249"/>
      <w:bookmarkEnd w:id="250"/>
    </w:p>
    <w:p w14:paraId="5B3D107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18.1   采购人和采购代理机构将按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中规定的开标时间和地点组织开标，并邀请所有投标人代表参加。</w:t>
      </w:r>
    </w:p>
    <w:p w14:paraId="40889FED">
      <w:pPr>
        <w:spacing w:line="360" w:lineRule="auto"/>
        <w:ind w:left="833" w:leftChars="397" w:firstLine="19" w:firstLineChars="8"/>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投标人不足3家的，不予开标。</w:t>
      </w:r>
    </w:p>
    <w:p w14:paraId="35D21876">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18.2   开标时，由采购人或采购代理机构组织投标人各自解密投标文件，宣读投标人在开标一览表中所填写的全部内容。对于投标人在投标截止时间前递交的投标声明，在开标时当众宣读，评标时有效。</w:t>
      </w:r>
    </w:p>
    <w:p w14:paraId="6288FCDD">
      <w:pPr>
        <w:spacing w:line="360" w:lineRule="auto"/>
        <w:ind w:left="1078" w:leftChars="428" w:hanging="180" w:hangingChars="75"/>
        <w:rPr>
          <w:rFonts w:hint="eastAsia" w:ascii="仿宋" w:hAnsi="仿宋" w:eastAsia="仿宋" w:cs="仿宋"/>
          <w:color w:val="auto"/>
          <w:sz w:val="24"/>
          <w:highlight w:val="none"/>
        </w:rPr>
      </w:pPr>
      <w:r>
        <w:rPr>
          <w:rFonts w:hint="eastAsia" w:ascii="仿宋" w:hAnsi="仿宋" w:eastAsia="仿宋" w:cs="仿宋"/>
          <w:color w:val="auto"/>
          <w:sz w:val="24"/>
          <w:highlight w:val="none"/>
        </w:rPr>
        <w:t>未宣读的投标价格、价格折扣等实质内容，评标时不予承认。</w:t>
      </w:r>
    </w:p>
    <w:p w14:paraId="57326344">
      <w:pPr>
        <w:spacing w:line="360" w:lineRule="auto"/>
        <w:ind w:left="850" w:hanging="849" w:hangingChars="354"/>
        <w:rPr>
          <w:rFonts w:hint="eastAsia" w:ascii="仿宋" w:hAnsi="仿宋" w:eastAsia="仿宋" w:cs="仿宋"/>
          <w:color w:val="auto"/>
          <w:sz w:val="24"/>
          <w:highlight w:val="none"/>
        </w:rPr>
      </w:pPr>
      <w:bookmarkStart w:id="251" w:name="_Toc520356165"/>
      <w:r>
        <w:rPr>
          <w:rFonts w:hint="eastAsia" w:ascii="仿宋" w:hAnsi="仿宋" w:eastAsia="仿宋" w:cs="仿宋"/>
          <w:color w:val="auto"/>
          <w:sz w:val="24"/>
          <w:highlight w:val="none"/>
        </w:rPr>
        <w:t>18.3   采购人或采购代理机构将对开标过程进行记录，并存档备查。</w:t>
      </w:r>
    </w:p>
    <w:p w14:paraId="50DD4F36">
      <w:pPr>
        <w:spacing w:line="360" w:lineRule="auto"/>
        <w:ind w:left="898" w:leftChars="428"/>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投标人未派代表参加开标的，视同投标人认可开标结果。</w:t>
      </w:r>
    </w:p>
    <w:p w14:paraId="4CD8F4A2">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18.4   投标人代表对开标过程和开标记录有疑义，以及认为开标现场采购人、采购代理机构相关工作人员有需要回避的情形的，应当场提出询问或者回避申请。</w:t>
      </w:r>
    </w:p>
    <w:p w14:paraId="00AED3C7">
      <w:pPr>
        <w:pStyle w:val="5"/>
        <w:ind w:firstLine="0" w:firstLineChars="0"/>
        <w:jc w:val="both"/>
        <w:rPr>
          <w:rFonts w:hint="eastAsia" w:ascii="仿宋" w:hAnsi="仿宋" w:eastAsia="仿宋" w:cs="仿宋"/>
          <w:color w:val="auto"/>
          <w:sz w:val="24"/>
          <w:szCs w:val="24"/>
          <w:highlight w:val="none"/>
        </w:rPr>
      </w:pPr>
      <w:bookmarkStart w:id="252" w:name="_Toc515647780"/>
      <w:bookmarkStart w:id="253" w:name="_Toc8215"/>
      <w:bookmarkStart w:id="254" w:name="_Toc14906"/>
      <w:bookmarkStart w:id="255" w:name="_Toc532473472"/>
      <w:bookmarkStart w:id="256" w:name="_Toc21372"/>
      <w:bookmarkStart w:id="257" w:name="_Toc19296"/>
      <w:bookmarkStart w:id="258" w:name="_Toc27554"/>
      <w:r>
        <w:rPr>
          <w:rFonts w:hint="eastAsia" w:ascii="仿宋" w:hAnsi="仿宋" w:eastAsia="仿宋" w:cs="仿宋"/>
          <w:color w:val="auto"/>
          <w:sz w:val="24"/>
          <w:szCs w:val="24"/>
          <w:highlight w:val="none"/>
        </w:rPr>
        <w:t>19.</w:t>
      </w:r>
      <w:bookmarkEnd w:id="251"/>
      <w:r>
        <w:rPr>
          <w:rFonts w:hint="eastAsia" w:ascii="仿宋" w:hAnsi="仿宋" w:eastAsia="仿宋" w:cs="仿宋"/>
          <w:color w:val="auto"/>
          <w:sz w:val="24"/>
          <w:szCs w:val="24"/>
          <w:highlight w:val="none"/>
        </w:rPr>
        <w:t xml:space="preserve">    资格审查及组建评标委员会</w:t>
      </w:r>
      <w:bookmarkEnd w:id="252"/>
      <w:bookmarkEnd w:id="253"/>
      <w:bookmarkEnd w:id="254"/>
      <w:bookmarkEnd w:id="255"/>
      <w:bookmarkEnd w:id="256"/>
      <w:bookmarkEnd w:id="257"/>
      <w:bookmarkEnd w:id="258"/>
    </w:p>
    <w:p w14:paraId="319A63C8">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19.1   采购人或采购代理机构依据法律法规和招标文件中规定的内容，对投标人及其投标标的物的资格进行审查，未通过资格审查的投标人不进入评标。</w:t>
      </w:r>
    </w:p>
    <w:p w14:paraId="0F3E4156">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通过资格审查的投标人不足三家的，不得评标。</w:t>
      </w:r>
    </w:p>
    <w:p w14:paraId="3682FC8B">
      <w:pPr>
        <w:spacing w:line="360" w:lineRule="auto"/>
        <w:ind w:left="857" w:leftChars="2" w:hanging="853"/>
        <w:rPr>
          <w:rFonts w:hint="eastAsia" w:ascii="仿宋" w:hAnsi="仿宋" w:eastAsia="仿宋" w:cs="仿宋"/>
          <w:color w:val="auto"/>
          <w:sz w:val="24"/>
          <w:highlight w:val="none"/>
        </w:rPr>
      </w:pPr>
      <w:r>
        <w:rPr>
          <w:rFonts w:hint="eastAsia" w:ascii="仿宋" w:hAnsi="仿宋" w:eastAsia="仿宋" w:cs="仿宋"/>
          <w:color w:val="auto"/>
          <w:sz w:val="24"/>
          <w:highlight w:val="none"/>
        </w:rPr>
        <w:t>19.2   采购人或采购代理机构将按投标人须知前附表中规定的时间查询投标人的信用记录。</w:t>
      </w:r>
    </w:p>
    <w:p w14:paraId="47E75F9C">
      <w:pPr>
        <w:spacing w:line="360" w:lineRule="auto"/>
        <w:ind w:left="824" w:hanging="82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19.2.1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投标人在中国政府采购网（www.ccgp.gov.cn）被列入政府采购严重违法失信行为</w:t>
      </w:r>
      <w:r>
        <w:rPr>
          <w:rFonts w:hint="eastAsia" w:ascii="仿宋" w:hAnsi="仿宋" w:eastAsia="仿宋" w:cs="仿宋"/>
          <w:color w:val="auto"/>
          <w:sz w:val="24"/>
          <w:highlight w:val="none"/>
          <w:lang w:val="en-US" w:eastAsia="zh-CN"/>
        </w:rPr>
        <w:t>信息</w:t>
      </w:r>
      <w:r>
        <w:rPr>
          <w:rFonts w:hint="eastAsia" w:ascii="仿宋" w:hAnsi="仿宋" w:eastAsia="仿宋" w:cs="仿宋"/>
          <w:color w:val="auto"/>
          <w:sz w:val="24"/>
          <w:highlight w:val="none"/>
        </w:rPr>
        <w:t>记录名单，或在“信用中国”网站（www.creditchina.gov.cn）被列入失信被执行人、重大税收违法失信主体，以及存在《中华人民共和国政府采购法实施条例》第十九条规定的行政处罚记录，投标将被认定为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1BBCB21A">
      <w:pPr>
        <w:spacing w:line="360" w:lineRule="auto"/>
        <w:ind w:left="849" w:leftChars="401" w:hanging="7" w:hangingChars="3"/>
        <w:rPr>
          <w:rFonts w:hint="eastAsia" w:ascii="仿宋" w:hAnsi="仿宋" w:eastAsia="仿宋" w:cs="仿宋"/>
          <w:color w:val="auto"/>
          <w:sz w:val="24"/>
          <w:highlight w:val="none"/>
        </w:rPr>
      </w:pPr>
      <w:r>
        <w:rPr>
          <w:rFonts w:hint="eastAsia" w:ascii="仿宋" w:hAnsi="仿宋" w:eastAsia="仿宋" w:cs="仿宋"/>
          <w:color w:val="auto"/>
          <w:sz w:val="24"/>
          <w:highlight w:val="none"/>
        </w:rPr>
        <w:t>以联合体形式参加投标的，联合体任何成员存在以上不良信用记录的，联合体投标将被认定为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4958938E">
      <w:pPr>
        <w:pStyle w:val="4"/>
        <w:spacing w:line="360" w:lineRule="auto"/>
        <w:ind w:left="850" w:hanging="849" w:hangingChars="354"/>
        <w:jc w:val="both"/>
        <w:rPr>
          <w:rFonts w:hint="eastAsia" w:ascii="仿宋" w:hAnsi="仿宋" w:eastAsia="仿宋" w:cs="仿宋"/>
          <w:color w:val="auto"/>
          <w:highlight w:val="none"/>
        </w:rPr>
      </w:pPr>
      <w:r>
        <w:rPr>
          <w:rFonts w:hint="eastAsia" w:ascii="仿宋" w:hAnsi="仿宋" w:eastAsia="仿宋" w:cs="仿宋"/>
          <w:color w:val="auto"/>
          <w:highlight w:val="none"/>
        </w:rPr>
        <w:t>19.2.2 采购人或采购代理机构经办人将查询网页打印并存档备查。投标人不良信用记录以采购人或采购代理机构查询结果为准。投标人自行提供的与网站信息不一致的其他证明材料亦不作为资格审查依据。</w:t>
      </w:r>
    </w:p>
    <w:p w14:paraId="00ED4013">
      <w:pPr>
        <w:pStyle w:val="4"/>
        <w:spacing w:line="360" w:lineRule="auto"/>
        <w:ind w:left="850" w:leftChars="405" w:firstLine="0"/>
        <w:jc w:val="both"/>
        <w:rPr>
          <w:rFonts w:hint="eastAsia" w:ascii="仿宋" w:hAnsi="仿宋" w:eastAsia="仿宋" w:cs="仿宋"/>
          <w:color w:val="auto"/>
          <w:highlight w:val="none"/>
        </w:rPr>
      </w:pPr>
      <w:r>
        <w:rPr>
          <w:rFonts w:hint="eastAsia" w:ascii="仿宋" w:hAnsi="仿宋" w:eastAsia="仿宋" w:cs="仿宋"/>
          <w:color w:val="auto"/>
          <w:highlight w:val="none"/>
        </w:rPr>
        <w:t>在本招标文件规定的查询时间之外，网站信息发生的任何变更均不作为资格审查依据。</w:t>
      </w:r>
    </w:p>
    <w:p w14:paraId="507741A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19.3   按照《中华人民共和国政府采购法》、《中华人民共和国政府采购法实施条例》及本项目本级和上级财政部门的有关规定依法组建的评标委员会，负责评标工作。</w:t>
      </w:r>
      <w:bookmarkStart w:id="259" w:name="_Toc520356166"/>
    </w:p>
    <w:p w14:paraId="3E3A0A9E">
      <w:pPr>
        <w:pStyle w:val="5"/>
        <w:ind w:firstLine="0" w:firstLineChars="0"/>
        <w:jc w:val="both"/>
        <w:rPr>
          <w:rFonts w:hint="eastAsia" w:ascii="仿宋" w:hAnsi="仿宋" w:eastAsia="仿宋" w:cs="仿宋"/>
          <w:bCs/>
          <w:color w:val="auto"/>
          <w:sz w:val="24"/>
          <w:szCs w:val="24"/>
          <w:highlight w:val="none"/>
          <w:bdr w:val="single" w:color="auto" w:sz="4" w:space="0"/>
        </w:rPr>
      </w:pPr>
      <w:bookmarkStart w:id="260" w:name="_Toc515647781"/>
      <w:bookmarkStart w:id="261" w:name="_Toc28479"/>
      <w:bookmarkStart w:id="262" w:name="_Toc6578"/>
      <w:bookmarkStart w:id="263" w:name="_Toc19949"/>
      <w:bookmarkStart w:id="264" w:name="_Toc9976"/>
      <w:bookmarkStart w:id="265" w:name="_Toc532473473"/>
      <w:bookmarkStart w:id="266" w:name="_Toc3940"/>
      <w:r>
        <w:rPr>
          <w:rFonts w:hint="eastAsia" w:ascii="仿宋" w:hAnsi="仿宋" w:eastAsia="仿宋" w:cs="仿宋"/>
          <w:color w:val="auto"/>
          <w:sz w:val="24"/>
          <w:szCs w:val="24"/>
          <w:highlight w:val="none"/>
        </w:rPr>
        <w:t>20.    投标文件</w:t>
      </w:r>
      <w:bookmarkEnd w:id="259"/>
      <w:r>
        <w:rPr>
          <w:rFonts w:hint="eastAsia" w:ascii="仿宋" w:hAnsi="仿宋" w:eastAsia="仿宋" w:cs="仿宋"/>
          <w:color w:val="auto"/>
          <w:sz w:val="24"/>
          <w:szCs w:val="24"/>
          <w:highlight w:val="none"/>
        </w:rPr>
        <w:t>符合性审查与澄清</w:t>
      </w:r>
      <w:bookmarkEnd w:id="260"/>
      <w:bookmarkEnd w:id="261"/>
      <w:bookmarkEnd w:id="262"/>
      <w:bookmarkEnd w:id="263"/>
      <w:bookmarkEnd w:id="264"/>
      <w:bookmarkEnd w:id="265"/>
      <w:bookmarkEnd w:id="266"/>
    </w:p>
    <w:p w14:paraId="0CA103C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20.1   </w:t>
      </w:r>
      <w:bookmarkStart w:id="267" w:name="_Hlt522424701"/>
      <w:bookmarkEnd w:id="267"/>
      <w:bookmarkStart w:id="268" w:name="_Toc520356167"/>
      <w:r>
        <w:rPr>
          <w:rFonts w:hint="eastAsia" w:ascii="仿宋" w:hAnsi="仿宋" w:eastAsia="仿宋" w:cs="仿宋"/>
          <w:color w:val="auto"/>
          <w:sz w:val="24"/>
          <w:highlight w:val="none"/>
        </w:rPr>
        <w:t>符合性审查是指依据招标文件的规定，从商务和技术角度对投标文件的有效性和完整性进行审查，以确定是否对招标文件的实质性要求做出响应。</w:t>
      </w:r>
    </w:p>
    <w:p w14:paraId="462FF1F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   投标文件的澄清</w:t>
      </w:r>
    </w:p>
    <w:p w14:paraId="23C5C59F">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63A14555">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20.2.2 投标人的澄清、说明或补正将作为投标文件的一部分。</w:t>
      </w:r>
    </w:p>
    <w:p w14:paraId="4144222E">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20.3   投标文件报价出现前后不一致的，按照下列规定修正：</w:t>
      </w:r>
    </w:p>
    <w:p w14:paraId="279F0021">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（1）投标文件中开标一览表（报价表）内容与投标文件中相应内容不一致的，以开标一览表（报价表）为准；</w:t>
      </w:r>
    </w:p>
    <w:p w14:paraId="670BA96C">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（2）大写金额和小写金额不一致的，以大写金额为准；</w:t>
      </w:r>
    </w:p>
    <w:p w14:paraId="65827A47">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（3）单价金额小数点或者百分比有明显错位的，以开标一览表的总价为准，并修改单价；</w:t>
      </w:r>
    </w:p>
    <w:p w14:paraId="57D4BC9B">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（4）总价金额与按单价汇总金额不一致的，以单价金额计算结果为准。</w:t>
      </w:r>
    </w:p>
    <w:p w14:paraId="7FBE0DEB">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同时出现两种以上不一致的，按照前款规定的顺序修正。修正后的报价按照第20.2条的规定经投标人确认后产生约束力，投标人不确认的，其投标将被认定为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BE9E2CC">
      <w:pPr>
        <w:spacing w:line="360" w:lineRule="auto"/>
        <w:ind w:left="735" w:leftChars="350"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对不同文字文本投标文件的解释发生异议的，以中文文本为准。</w:t>
      </w:r>
    </w:p>
    <w:p w14:paraId="1278DE5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如</w:t>
      </w:r>
      <w:r>
        <w:rPr>
          <w:rFonts w:hint="eastAsia" w:ascii="仿宋" w:hAnsi="仿宋" w:eastAsia="仿宋" w:cs="仿宋"/>
          <w:color w:val="auto"/>
          <w:sz w:val="24"/>
          <w:highlight w:val="none"/>
          <w:lang w:val="en-US" w:eastAsia="zh-CN"/>
        </w:rPr>
        <w:t>属于</w:t>
      </w:r>
      <w:r>
        <w:rPr>
          <w:rFonts w:hint="eastAsia" w:ascii="仿宋" w:hAnsi="仿宋" w:eastAsia="仿宋" w:cs="仿宋"/>
          <w:color w:val="auto"/>
          <w:sz w:val="24"/>
          <w:highlight w:val="none"/>
        </w:rPr>
        <w:t>财政部与国家主管部门颁发的节能产品或环境标志产品的，应提供处于有效期之内</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认证证书或相关证明，在性能、技术、服务等指标同等条件下，予以优先采购，具体优先采购办法见第三章评标方法和标准。</w:t>
      </w:r>
    </w:p>
    <w:p w14:paraId="3867B80E">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如投标人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为政府强制采购的产品，投标人应提供有效期内的认证证书或相关证明，否则其投标将被认定为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5C63839C">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如投标人</w:t>
      </w:r>
      <w:r>
        <w:rPr>
          <w:rFonts w:hint="eastAsia" w:ascii="仿宋" w:hAnsi="仿宋" w:eastAsia="仿宋" w:cs="仿宋"/>
          <w:color w:val="auto"/>
          <w:sz w:val="24"/>
          <w:highlight w:val="none"/>
          <w:lang w:val="en-US" w:eastAsia="zh-CN"/>
        </w:rPr>
        <w:t>所投产品</w:t>
      </w:r>
      <w:r>
        <w:rPr>
          <w:rFonts w:hint="eastAsia" w:ascii="仿宋" w:hAnsi="仿宋" w:eastAsia="仿宋" w:cs="仿宋"/>
          <w:color w:val="auto"/>
          <w:sz w:val="24"/>
          <w:highlight w:val="none"/>
        </w:rPr>
        <w:t>属于网络关键设备和网络安全专用产品的，投标人所投产品应为经具备资格的机构安全认证合格或者安全检测符合要求的产品。投标人应提供相关证明，否则其投标将被认定为</w:t>
      </w:r>
      <w:r>
        <w:rPr>
          <w:rFonts w:hint="eastAsia" w:ascii="仿宋" w:hAnsi="仿宋" w:eastAsia="仿宋" w:cs="仿宋"/>
          <w:b/>
          <w:color w:val="auto"/>
          <w:sz w:val="24"/>
          <w:highlight w:val="none"/>
        </w:rPr>
        <w:t>投标无效</w:t>
      </w:r>
      <w:r>
        <w:rPr>
          <w:rFonts w:hint="eastAsia" w:ascii="仿宋" w:hAnsi="仿宋" w:eastAsia="仿宋" w:cs="仿宋"/>
          <w:color w:val="auto"/>
          <w:sz w:val="24"/>
          <w:highlight w:val="none"/>
        </w:rPr>
        <w:t>。</w:t>
      </w:r>
    </w:p>
    <w:p w14:paraId="53238951">
      <w:pPr>
        <w:spacing w:line="360" w:lineRule="auto"/>
        <w:ind w:left="900" w:hanging="900" w:hangingChars="375"/>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20.5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z w:val="24"/>
          <w:highlight w:val="none"/>
          <w:lang w:val="en-US" w:eastAsia="zh-CN"/>
        </w:rPr>
        <w:t>支持本国产品。根据《国务院办公厅关于在政府采购中实施本国产品标准及相关政策的通知》（国办发﹝2025﹞34号）要求，</w:t>
      </w:r>
      <w:r>
        <w:rPr>
          <w:rFonts w:hint="eastAsia" w:ascii="仿宋" w:hAnsi="仿宋" w:eastAsia="仿宋" w:cs="仿宋"/>
          <w:color w:val="auto"/>
          <w:sz w:val="24"/>
          <w:highlight w:val="none"/>
          <w:lang w:eastAsia="zh-CN"/>
        </w:rPr>
        <w:t>政府采购货物项目和服务项目中涉及的货物，</w:t>
      </w:r>
      <w:r>
        <w:rPr>
          <w:rFonts w:hint="eastAsia" w:ascii="仿宋" w:hAnsi="仿宋" w:eastAsia="仿宋" w:cs="仿宋"/>
          <w:color w:val="auto"/>
          <w:sz w:val="24"/>
          <w:highlight w:val="none"/>
          <w:lang w:val="en-US" w:eastAsia="zh-CN"/>
        </w:rPr>
        <w:t>既有本国产品又有非本国产品参与竞争的，依法对本国产品给予价格评审优惠，对本国产品的报价给子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1635E12B">
      <w:pPr>
        <w:pStyle w:val="11"/>
        <w:rPr>
          <w:rFonts w:hint="eastAsia" w:ascii="仿宋" w:hAnsi="仿宋" w:eastAsia="仿宋" w:cs="仿宋"/>
          <w:color w:val="auto"/>
          <w:highlight w:val="none"/>
        </w:rPr>
      </w:pPr>
      <w:r>
        <w:rPr>
          <w:rFonts w:hint="eastAsia" w:ascii="仿宋" w:hAnsi="仿宋" w:eastAsia="仿宋" w:cs="仿宋"/>
          <w:color w:val="auto"/>
          <w:highlight w:val="none"/>
        </w:rPr>
        <w:t>20.</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 xml:space="preserve">   非单一产品采购项目核心产品见投标人须知前附表。</w:t>
      </w:r>
    </w:p>
    <w:p w14:paraId="1E0364A2">
      <w:pPr>
        <w:pStyle w:val="5"/>
        <w:ind w:firstLine="0" w:firstLineChars="0"/>
        <w:jc w:val="both"/>
        <w:rPr>
          <w:rFonts w:hint="eastAsia" w:ascii="仿宋" w:hAnsi="仿宋" w:eastAsia="仿宋" w:cs="仿宋"/>
          <w:color w:val="auto"/>
          <w:sz w:val="24"/>
          <w:szCs w:val="24"/>
          <w:highlight w:val="none"/>
        </w:rPr>
      </w:pPr>
      <w:bookmarkStart w:id="269" w:name="_Toc515647782"/>
      <w:bookmarkStart w:id="270" w:name="_Toc12575"/>
      <w:bookmarkStart w:id="271" w:name="_Toc6364"/>
      <w:bookmarkStart w:id="272" w:name="_Toc9469"/>
      <w:bookmarkStart w:id="273" w:name="_Toc29163"/>
      <w:bookmarkStart w:id="274" w:name="_Toc52"/>
      <w:bookmarkStart w:id="275" w:name="_Toc532473474"/>
      <w:r>
        <w:rPr>
          <w:rFonts w:hint="eastAsia" w:ascii="仿宋" w:hAnsi="仿宋" w:eastAsia="仿宋" w:cs="仿宋"/>
          <w:color w:val="auto"/>
          <w:sz w:val="24"/>
          <w:szCs w:val="24"/>
          <w:highlight w:val="none"/>
        </w:rPr>
        <w:t>21.    投标偏离</w:t>
      </w:r>
      <w:bookmarkEnd w:id="269"/>
      <w:bookmarkEnd w:id="270"/>
      <w:bookmarkEnd w:id="271"/>
      <w:bookmarkEnd w:id="272"/>
      <w:bookmarkEnd w:id="273"/>
      <w:bookmarkEnd w:id="274"/>
      <w:bookmarkEnd w:id="275"/>
    </w:p>
    <w:p w14:paraId="47B548AC">
      <w:pPr>
        <w:spacing w:line="360" w:lineRule="auto"/>
        <w:ind w:firstLine="840" w:firstLine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投标文件中存在对招标文件的实质性负偏离，其投标将被认定为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026E6DA3">
      <w:pPr>
        <w:pStyle w:val="5"/>
        <w:ind w:firstLine="0" w:firstLineChars="0"/>
        <w:jc w:val="both"/>
        <w:rPr>
          <w:rFonts w:hint="eastAsia" w:ascii="仿宋" w:hAnsi="仿宋" w:eastAsia="仿宋" w:cs="仿宋"/>
          <w:color w:val="auto"/>
          <w:sz w:val="24"/>
          <w:szCs w:val="24"/>
          <w:highlight w:val="none"/>
        </w:rPr>
      </w:pPr>
      <w:bookmarkStart w:id="276" w:name="_Toc515647783"/>
      <w:bookmarkStart w:id="277" w:name="_Toc8844"/>
      <w:bookmarkStart w:id="278" w:name="_Toc21807"/>
      <w:bookmarkStart w:id="279" w:name="_Toc532473475"/>
      <w:bookmarkStart w:id="280" w:name="_Toc11257"/>
      <w:bookmarkStart w:id="281" w:name="_Toc6092"/>
      <w:bookmarkStart w:id="282" w:name="_Toc4950"/>
      <w:r>
        <w:rPr>
          <w:rFonts w:hint="eastAsia" w:ascii="仿宋" w:hAnsi="仿宋" w:eastAsia="仿宋" w:cs="仿宋"/>
          <w:color w:val="auto"/>
          <w:sz w:val="24"/>
          <w:szCs w:val="24"/>
          <w:highlight w:val="none"/>
        </w:rPr>
        <w:t>22.    投标</w:t>
      </w:r>
      <w:bookmarkEnd w:id="276"/>
      <w:r>
        <w:rPr>
          <w:rFonts w:hint="eastAsia" w:ascii="仿宋" w:hAnsi="仿宋" w:eastAsia="仿宋" w:cs="仿宋"/>
          <w:color w:val="auto"/>
          <w:sz w:val="24"/>
          <w:szCs w:val="24"/>
          <w:highlight w:val="none"/>
        </w:rPr>
        <w:t>无效</w:t>
      </w:r>
      <w:bookmarkEnd w:id="277"/>
      <w:bookmarkEnd w:id="278"/>
      <w:bookmarkEnd w:id="279"/>
      <w:bookmarkEnd w:id="280"/>
      <w:bookmarkEnd w:id="281"/>
      <w:bookmarkEnd w:id="282"/>
    </w:p>
    <w:p w14:paraId="48CEDF0F">
      <w:pPr>
        <w:spacing w:line="360" w:lineRule="auto"/>
        <w:ind w:left="852" w:leftChars="-23"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22.1   在比较与评价之前，根据招标文件的规定，评标委员会要审查每份投标文件是否</w:t>
      </w:r>
      <w:r>
        <w:rPr>
          <w:rFonts w:hint="eastAsia" w:ascii="仿宋" w:hAnsi="仿宋" w:eastAsia="仿宋" w:cs="仿宋"/>
          <w:color w:val="auto"/>
          <w:sz w:val="24"/>
          <w:highlight w:val="none"/>
          <w:lang w:val="en-US" w:eastAsia="zh-CN"/>
        </w:rPr>
        <w:t>实质</w:t>
      </w:r>
      <w:r>
        <w:rPr>
          <w:rFonts w:hint="eastAsia" w:ascii="仿宋" w:hAnsi="仿宋" w:eastAsia="仿宋" w:cs="仿宋"/>
          <w:color w:val="auto"/>
          <w:sz w:val="24"/>
          <w:highlight w:val="none"/>
        </w:rPr>
        <w:t>响应了招标文件的要求。投标人不得通过修正或撤销不符合要求的偏离，从而使其投标成为实质上响应的投标。</w:t>
      </w:r>
    </w:p>
    <w:p w14:paraId="12B7BE7B">
      <w:pPr>
        <w:spacing w:line="360" w:lineRule="auto"/>
        <w:ind w:left="791" w:leftChars="377"/>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评标委员会决定投标的响应性只根据招标文件要求和投标文件内容。</w:t>
      </w:r>
    </w:p>
    <w:p w14:paraId="2A435721">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22.2   如发现下列情况之一的，其投标将被认定为</w:t>
      </w:r>
      <w:r>
        <w:rPr>
          <w:rFonts w:hint="eastAsia" w:ascii="仿宋" w:hAnsi="仿宋" w:eastAsia="仿宋" w:cs="仿宋"/>
          <w:b/>
          <w:bCs/>
          <w:color w:val="auto"/>
          <w:sz w:val="24"/>
          <w:highlight w:val="none"/>
        </w:rPr>
        <w:t>投标无效</w:t>
      </w:r>
      <w:r>
        <w:rPr>
          <w:rFonts w:hint="eastAsia" w:ascii="仿宋" w:hAnsi="仿宋" w:eastAsia="仿宋" w:cs="仿宋"/>
          <w:color w:val="auto"/>
          <w:sz w:val="24"/>
          <w:highlight w:val="none"/>
        </w:rPr>
        <w:t>：</w:t>
      </w:r>
    </w:p>
    <w:p w14:paraId="2068AF8C">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未按照招标文件规定要求签署、盖章的；</w:t>
      </w:r>
    </w:p>
    <w:p w14:paraId="4D7242C3">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未满足招标文件中商务要求</w:t>
      </w:r>
      <w:r>
        <w:rPr>
          <w:rFonts w:hint="eastAsia" w:ascii="仿宋" w:hAnsi="仿宋" w:eastAsia="仿宋" w:cs="仿宋"/>
          <w:color w:val="auto"/>
          <w:sz w:val="24"/>
          <w:highlight w:val="none"/>
          <w:lang w:val="en-US" w:eastAsia="zh-CN"/>
        </w:rPr>
        <w:t>或</w:t>
      </w:r>
      <w:r>
        <w:rPr>
          <w:rFonts w:hint="eastAsia" w:ascii="仿宋" w:hAnsi="仿宋" w:eastAsia="仿宋" w:cs="仿宋"/>
          <w:color w:val="auto"/>
          <w:sz w:val="24"/>
          <w:highlight w:val="none"/>
        </w:rPr>
        <w:t>技术实质性要求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存在</w:t>
      </w:r>
      <w:r>
        <w:rPr>
          <w:rFonts w:hint="eastAsia" w:ascii="仿宋" w:hAnsi="仿宋" w:eastAsia="仿宋" w:cs="仿宋"/>
          <w:color w:val="auto"/>
          <w:sz w:val="24"/>
          <w:highlight w:val="none"/>
        </w:rPr>
        <w:t>漏项或数量与要求不符；</w:t>
      </w:r>
    </w:p>
    <w:p w14:paraId="314E58B6">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属于串通投标，或者依法被视为串通投标；</w:t>
      </w:r>
    </w:p>
    <w:p w14:paraId="79E8CF5C">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评标委员会认为投标人的报价明显低于其他通过符合性审查投标人的报价，有可能影响履约的，且投标人未按照规定证明其报价合理性的；</w:t>
      </w:r>
    </w:p>
    <w:p w14:paraId="28FEBD0F">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投标文件含有采购人不能接受的附加条件的；</w:t>
      </w:r>
    </w:p>
    <w:p w14:paraId="26E0BC15">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属于招标文件规定的其他投标无效情形；</w:t>
      </w:r>
    </w:p>
    <w:p w14:paraId="3AC1688E">
      <w:pPr>
        <w:numPr>
          <w:ilvl w:val="0"/>
          <w:numId w:val="2"/>
        </w:numPr>
        <w:spacing w:line="360" w:lineRule="auto"/>
        <w:ind w:left="840" w:leftChars="400" w:firstLine="0"/>
        <w:rPr>
          <w:rFonts w:hint="eastAsia" w:ascii="仿宋" w:hAnsi="仿宋" w:eastAsia="仿宋" w:cs="仿宋"/>
          <w:color w:val="auto"/>
          <w:sz w:val="24"/>
          <w:highlight w:val="none"/>
        </w:rPr>
      </w:pPr>
      <w:r>
        <w:rPr>
          <w:rFonts w:hint="eastAsia" w:ascii="仿宋" w:hAnsi="仿宋" w:eastAsia="仿宋" w:cs="仿宋"/>
          <w:color w:val="auto"/>
          <w:sz w:val="24"/>
          <w:highlight w:val="none"/>
        </w:rPr>
        <w:t>不符合法规和招标文件中规定的其他实质性要求的。</w:t>
      </w:r>
    </w:p>
    <w:bookmarkEnd w:id="268"/>
    <w:p w14:paraId="7199CECB">
      <w:pPr>
        <w:pStyle w:val="5"/>
        <w:ind w:firstLine="0" w:firstLineChars="0"/>
        <w:jc w:val="both"/>
        <w:rPr>
          <w:rFonts w:hint="eastAsia" w:ascii="仿宋" w:hAnsi="仿宋" w:eastAsia="仿宋" w:cs="仿宋"/>
          <w:color w:val="auto"/>
          <w:sz w:val="24"/>
          <w:szCs w:val="24"/>
          <w:highlight w:val="none"/>
        </w:rPr>
      </w:pPr>
      <w:bookmarkStart w:id="283" w:name="_Toc13652"/>
      <w:bookmarkStart w:id="284" w:name="_Toc4137"/>
      <w:bookmarkStart w:id="285" w:name="_Toc28168"/>
      <w:bookmarkStart w:id="286" w:name="_Toc532473476"/>
      <w:bookmarkStart w:id="287" w:name="_Toc2649"/>
      <w:bookmarkStart w:id="288" w:name="_Toc515647784"/>
      <w:bookmarkStart w:id="289" w:name="_Toc22941"/>
      <w:r>
        <w:rPr>
          <w:rFonts w:hint="eastAsia" w:ascii="仿宋" w:hAnsi="仿宋" w:eastAsia="仿宋" w:cs="仿宋"/>
          <w:color w:val="auto"/>
          <w:sz w:val="24"/>
          <w:szCs w:val="24"/>
          <w:highlight w:val="none"/>
        </w:rPr>
        <w:t>23.    比较与评价</w:t>
      </w:r>
      <w:bookmarkEnd w:id="283"/>
      <w:bookmarkEnd w:id="284"/>
      <w:bookmarkEnd w:id="285"/>
      <w:bookmarkEnd w:id="286"/>
      <w:bookmarkEnd w:id="287"/>
      <w:bookmarkEnd w:id="288"/>
      <w:bookmarkEnd w:id="289"/>
    </w:p>
    <w:p w14:paraId="643E19B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23.1   经符合性审查合格的投标文件，评标委员会将根据招标文件确定的评标方法和标准，对其技术部分和商务部分作进一步的比较和评价。</w:t>
      </w:r>
    </w:p>
    <w:p w14:paraId="5F2E050B">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23.2   评标严格按照招标文件的要求和条件进行。根据实际情况，在</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中规定采用下列一种评标方法，详细评标标准见招标文件第三章：</w:t>
      </w:r>
    </w:p>
    <w:p w14:paraId="426B683D">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（1）最低评标价法，是指投标文件满足招标文件全部要求，且投标报价最低的投标人为中标候选人的评标方法。</w:t>
      </w:r>
    </w:p>
    <w:p w14:paraId="53B9481C">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（2）综合评分法，是指投标文件满足招标文件全部要求，且按照评审因素的量</w:t>
      </w:r>
    </w:p>
    <w:p w14:paraId="4533C3E2">
      <w:pPr>
        <w:pStyle w:val="15"/>
        <w:spacing w:line="360" w:lineRule="auto"/>
        <w:ind w:left="840" w:left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化指标评审得分最高的投标人为中标候选人的评标方法。</w:t>
      </w:r>
    </w:p>
    <w:p w14:paraId="4D2293C9">
      <w:pPr>
        <w:pStyle w:val="15"/>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   根据《关于进一步加大政府采购支持中小企业力度的通知》（财库〔2022〕19号）、《政府采购促进中小企业发展办法》（财库〔2020〕46号）、《财政部</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司法部关于政府采购支持监狱企业发展有关问题的通知》（财库〔2014〕68号）和《财政部 民政部 中国残疾人联合会关于促进残疾人就业政府采购政策的通知》（</w:t>
      </w:r>
      <w:bookmarkStart w:id="290" w:name="sendNo"/>
      <w:r>
        <w:rPr>
          <w:rFonts w:hint="eastAsia" w:ascii="仿宋" w:hAnsi="仿宋" w:eastAsia="仿宋" w:cs="仿宋"/>
          <w:color w:val="auto"/>
          <w:sz w:val="24"/>
          <w:szCs w:val="24"/>
          <w:highlight w:val="none"/>
        </w:rPr>
        <w:t>财库</w:t>
      </w:r>
      <w:r>
        <w:rPr>
          <w:rFonts w:hint="eastAsia" w:ascii="仿宋" w:hAnsi="仿宋" w:eastAsia="仿宋" w:cs="仿宋"/>
          <w:bCs/>
          <w:color w:val="auto"/>
          <w:sz w:val="24"/>
          <w:szCs w:val="24"/>
          <w:highlight w:val="none"/>
        </w:rPr>
        <w:t>〔</w:t>
      </w:r>
      <w:bookmarkEnd w:id="290"/>
      <w:r>
        <w:rPr>
          <w:rFonts w:hint="eastAsia" w:ascii="仿宋" w:hAnsi="仿宋" w:eastAsia="仿宋" w:cs="仿宋"/>
          <w:bCs/>
          <w:color w:val="auto"/>
          <w:sz w:val="24"/>
          <w:szCs w:val="24"/>
          <w:highlight w:val="none"/>
        </w:rPr>
        <w:t>2017〕141号</w:t>
      </w:r>
      <w:r>
        <w:rPr>
          <w:rFonts w:hint="eastAsia" w:ascii="仿宋" w:hAnsi="仿宋" w:eastAsia="仿宋" w:cs="仿宋"/>
          <w:color w:val="auto"/>
          <w:sz w:val="24"/>
          <w:szCs w:val="24"/>
          <w:highlight w:val="none"/>
        </w:rPr>
        <w:t>）的规定，对满足价格扣除条件且在投标文件中提交了《中小企业声明函》、《残疾人福利性单位声明函》或省级以上监狱管理局、戒毒管理局（含新疆生产建设兵团）出具的属于监狱企业的证明文件的投标人，其投标报价按规定扣除后参与评审。具体办法详见招标文件第三章。</w:t>
      </w:r>
    </w:p>
    <w:p w14:paraId="6F3BABA4">
      <w:pPr>
        <w:pStyle w:val="15"/>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23.4   落实其他政府采购政策条款。具体办法详见招标文件第三章。</w:t>
      </w:r>
    </w:p>
    <w:p w14:paraId="4AC35773">
      <w:pPr>
        <w:pStyle w:val="5"/>
        <w:ind w:firstLine="0" w:firstLineChars="0"/>
        <w:jc w:val="both"/>
        <w:rPr>
          <w:rFonts w:hint="eastAsia" w:ascii="仿宋" w:hAnsi="仿宋" w:eastAsia="仿宋" w:cs="仿宋"/>
          <w:color w:val="auto"/>
          <w:sz w:val="24"/>
          <w:szCs w:val="24"/>
          <w:highlight w:val="none"/>
        </w:rPr>
      </w:pPr>
      <w:bookmarkStart w:id="291" w:name="_Toc520356168"/>
      <w:bookmarkStart w:id="292" w:name="_Toc515647785"/>
      <w:bookmarkStart w:id="293" w:name="_Toc2115"/>
      <w:bookmarkStart w:id="294" w:name="_Toc532473477"/>
      <w:bookmarkStart w:id="295" w:name="_Toc20227"/>
      <w:bookmarkStart w:id="296" w:name="_Toc7912"/>
      <w:bookmarkStart w:id="297" w:name="_Toc17229"/>
      <w:bookmarkStart w:id="298" w:name="_Toc9378"/>
      <w:r>
        <w:rPr>
          <w:rFonts w:hint="eastAsia" w:ascii="仿宋" w:hAnsi="仿宋" w:eastAsia="仿宋" w:cs="仿宋"/>
          <w:color w:val="auto"/>
          <w:sz w:val="24"/>
          <w:szCs w:val="24"/>
          <w:highlight w:val="none"/>
        </w:rPr>
        <w:t>24</w:t>
      </w:r>
      <w:bookmarkEnd w:id="291"/>
      <w:r>
        <w:rPr>
          <w:rFonts w:hint="eastAsia" w:ascii="仿宋" w:hAnsi="仿宋" w:eastAsia="仿宋" w:cs="仿宋"/>
          <w:color w:val="auto"/>
          <w:sz w:val="24"/>
          <w:szCs w:val="24"/>
          <w:highlight w:val="none"/>
        </w:rPr>
        <w:t>.    废标</w:t>
      </w:r>
      <w:bookmarkEnd w:id="292"/>
      <w:bookmarkEnd w:id="293"/>
      <w:bookmarkEnd w:id="294"/>
      <w:bookmarkEnd w:id="295"/>
      <w:bookmarkEnd w:id="296"/>
      <w:bookmarkEnd w:id="297"/>
      <w:bookmarkEnd w:id="298"/>
    </w:p>
    <w:p w14:paraId="5E6FA189">
      <w:pPr>
        <w:spacing w:line="360" w:lineRule="auto"/>
        <w:ind w:left="897" w:leftChars="399" w:hanging="60" w:hangingChars="25"/>
        <w:rPr>
          <w:rFonts w:hint="eastAsia" w:ascii="仿宋" w:hAnsi="仿宋" w:eastAsia="仿宋" w:cs="仿宋"/>
          <w:color w:val="auto"/>
          <w:sz w:val="24"/>
          <w:highlight w:val="none"/>
        </w:rPr>
      </w:pPr>
      <w:r>
        <w:rPr>
          <w:rFonts w:hint="eastAsia" w:ascii="仿宋" w:hAnsi="仿宋" w:eastAsia="仿宋" w:cs="仿宋"/>
          <w:color w:val="auto"/>
          <w:sz w:val="24"/>
          <w:highlight w:val="none"/>
        </w:rPr>
        <w:t>出现下列情形之一，将导致项目废标：</w:t>
      </w:r>
    </w:p>
    <w:p w14:paraId="279BC25B">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（1）符合专业条件的投标人或者对招标文件做实质性响应的投标人不足三家；</w:t>
      </w:r>
    </w:p>
    <w:p w14:paraId="4A1257E5">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701D6F70">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（3）投标人的报价均超过了采购预算，采购人不能支付的；</w:t>
      </w:r>
    </w:p>
    <w:p w14:paraId="1DF268FF">
      <w:pPr>
        <w:spacing w:line="360" w:lineRule="auto"/>
        <w:ind w:left="837" w:leftChars="399"/>
        <w:rPr>
          <w:rFonts w:hint="eastAsia" w:ascii="仿宋" w:hAnsi="仿宋" w:eastAsia="仿宋" w:cs="仿宋"/>
          <w:color w:val="auto"/>
          <w:sz w:val="24"/>
          <w:highlight w:val="none"/>
        </w:rPr>
      </w:pPr>
      <w:r>
        <w:rPr>
          <w:rFonts w:hint="eastAsia" w:ascii="仿宋" w:hAnsi="仿宋" w:eastAsia="仿宋" w:cs="仿宋"/>
          <w:color w:val="auto"/>
          <w:sz w:val="24"/>
          <w:highlight w:val="none"/>
        </w:rPr>
        <w:t>（4）因重大变故，采购任务取消的。</w:t>
      </w:r>
    </w:p>
    <w:p w14:paraId="54D4BEC8">
      <w:pPr>
        <w:pStyle w:val="5"/>
        <w:ind w:firstLine="0" w:firstLineChars="0"/>
        <w:jc w:val="both"/>
        <w:rPr>
          <w:rFonts w:hint="eastAsia" w:ascii="仿宋" w:hAnsi="仿宋" w:eastAsia="仿宋" w:cs="仿宋"/>
          <w:color w:val="auto"/>
          <w:sz w:val="24"/>
          <w:szCs w:val="24"/>
          <w:highlight w:val="none"/>
        </w:rPr>
      </w:pPr>
      <w:bookmarkStart w:id="299" w:name="_Toc31289"/>
      <w:bookmarkStart w:id="300" w:name="_Toc24972"/>
      <w:bookmarkStart w:id="301" w:name="_Toc515647786"/>
      <w:bookmarkStart w:id="302" w:name="_Toc12533"/>
      <w:bookmarkStart w:id="303" w:name="_Toc17711"/>
      <w:bookmarkStart w:id="304" w:name="_Toc532473478"/>
      <w:bookmarkStart w:id="305" w:name="_Toc5128"/>
      <w:bookmarkStart w:id="306" w:name="_Toc520356169"/>
      <w:r>
        <w:rPr>
          <w:rFonts w:hint="eastAsia" w:ascii="仿宋" w:hAnsi="仿宋" w:eastAsia="仿宋" w:cs="仿宋"/>
          <w:color w:val="auto"/>
          <w:sz w:val="24"/>
          <w:szCs w:val="24"/>
          <w:highlight w:val="none"/>
        </w:rPr>
        <w:t>25.    保密</w:t>
      </w:r>
      <w:bookmarkEnd w:id="299"/>
      <w:bookmarkEnd w:id="300"/>
      <w:bookmarkEnd w:id="301"/>
      <w:r>
        <w:rPr>
          <w:rFonts w:hint="eastAsia" w:ascii="仿宋" w:hAnsi="仿宋" w:eastAsia="仿宋" w:cs="仿宋"/>
          <w:color w:val="auto"/>
          <w:sz w:val="24"/>
          <w:szCs w:val="24"/>
          <w:highlight w:val="none"/>
        </w:rPr>
        <w:t>要求</w:t>
      </w:r>
      <w:bookmarkEnd w:id="302"/>
      <w:bookmarkEnd w:id="303"/>
      <w:bookmarkEnd w:id="304"/>
      <w:bookmarkEnd w:id="305"/>
    </w:p>
    <w:p w14:paraId="28703B66">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25.1   评标将在严格保密的情况下进行。</w:t>
      </w:r>
    </w:p>
    <w:p w14:paraId="7515BB5A">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25.2   有关人员应当遵守评标工作纪律，不得泄露评标文件、评标情况和评标中获悉的国家秘密、商业秘密。</w:t>
      </w:r>
    </w:p>
    <w:p w14:paraId="4FD8D1E3">
      <w:pPr>
        <w:spacing w:line="360" w:lineRule="auto"/>
        <w:ind w:left="1079" w:leftChars="257" w:hanging="540"/>
        <w:rPr>
          <w:rFonts w:hint="eastAsia" w:ascii="仿宋" w:hAnsi="仿宋" w:eastAsia="仿宋" w:cs="仿宋"/>
          <w:color w:val="auto"/>
          <w:sz w:val="24"/>
          <w:highlight w:val="none"/>
        </w:rPr>
      </w:pPr>
    </w:p>
    <w:p w14:paraId="0FA4BDA6">
      <w:pPr>
        <w:pStyle w:val="3"/>
        <w:rPr>
          <w:rFonts w:hint="eastAsia" w:ascii="仿宋" w:hAnsi="仿宋" w:eastAsia="仿宋" w:cs="仿宋"/>
          <w:color w:val="auto"/>
          <w:sz w:val="28"/>
          <w:szCs w:val="18"/>
          <w:highlight w:val="none"/>
        </w:rPr>
      </w:pPr>
      <w:bookmarkStart w:id="307" w:name="_Toc216582810"/>
      <w:bookmarkStart w:id="308" w:name="_Toc8239"/>
      <w:bookmarkStart w:id="309" w:name="_Toc6190"/>
      <w:bookmarkStart w:id="310" w:name="_Toc532473479"/>
      <w:bookmarkStart w:id="311" w:name="_Toc23904"/>
      <w:bookmarkStart w:id="312" w:name="_Toc32193"/>
      <w:bookmarkStart w:id="313" w:name="_Toc515647787"/>
      <w:bookmarkStart w:id="314" w:name="_Toc12143"/>
      <w:r>
        <w:rPr>
          <w:rFonts w:hint="eastAsia" w:ascii="仿宋" w:hAnsi="仿宋" w:eastAsia="仿宋" w:cs="仿宋"/>
          <w:color w:val="auto"/>
          <w:sz w:val="28"/>
          <w:szCs w:val="18"/>
          <w:highlight w:val="none"/>
        </w:rPr>
        <w:t>六</w:t>
      </w:r>
      <w:bookmarkEnd w:id="306"/>
      <w:r>
        <w:rPr>
          <w:rFonts w:hint="eastAsia" w:ascii="仿宋" w:hAnsi="仿宋" w:eastAsia="仿宋" w:cs="仿宋"/>
          <w:color w:val="auto"/>
          <w:sz w:val="28"/>
          <w:szCs w:val="18"/>
          <w:highlight w:val="none"/>
        </w:rPr>
        <w:t>、确定中标</w:t>
      </w:r>
      <w:bookmarkEnd w:id="307"/>
      <w:bookmarkEnd w:id="308"/>
      <w:bookmarkEnd w:id="309"/>
      <w:bookmarkEnd w:id="310"/>
      <w:bookmarkEnd w:id="311"/>
      <w:bookmarkEnd w:id="312"/>
      <w:bookmarkEnd w:id="313"/>
      <w:bookmarkEnd w:id="314"/>
    </w:p>
    <w:p w14:paraId="00047A9E">
      <w:pPr>
        <w:pStyle w:val="5"/>
        <w:ind w:firstLine="0" w:firstLineChars="0"/>
        <w:jc w:val="both"/>
        <w:rPr>
          <w:rFonts w:hint="eastAsia" w:ascii="仿宋" w:hAnsi="仿宋" w:eastAsia="仿宋" w:cs="仿宋"/>
          <w:color w:val="auto"/>
          <w:sz w:val="24"/>
          <w:szCs w:val="24"/>
          <w:highlight w:val="none"/>
        </w:rPr>
      </w:pPr>
      <w:bookmarkStart w:id="315" w:name="_Toc532473480"/>
      <w:bookmarkStart w:id="316" w:name="_Toc515647788"/>
      <w:bookmarkStart w:id="317" w:name="_Toc23762"/>
      <w:bookmarkStart w:id="318" w:name="_Toc520356170"/>
      <w:bookmarkStart w:id="319" w:name="_Toc11611"/>
      <w:bookmarkStart w:id="320" w:name="_Toc412"/>
      <w:bookmarkStart w:id="321" w:name="_Ref467307010"/>
      <w:bookmarkStart w:id="322" w:name="_Toc3967"/>
      <w:bookmarkStart w:id="323" w:name="_Toc23617"/>
      <w:r>
        <w:rPr>
          <w:rFonts w:hint="eastAsia" w:ascii="仿宋" w:hAnsi="仿宋" w:eastAsia="仿宋" w:cs="仿宋"/>
          <w:color w:val="auto"/>
          <w:sz w:val="24"/>
          <w:szCs w:val="24"/>
          <w:highlight w:val="none"/>
        </w:rPr>
        <w:t>26.    中标候选人的确定原则及标准</w:t>
      </w:r>
      <w:bookmarkEnd w:id="315"/>
      <w:bookmarkEnd w:id="316"/>
      <w:bookmarkEnd w:id="317"/>
      <w:bookmarkEnd w:id="318"/>
      <w:bookmarkEnd w:id="319"/>
      <w:bookmarkEnd w:id="320"/>
      <w:bookmarkEnd w:id="321"/>
      <w:bookmarkEnd w:id="322"/>
      <w:bookmarkEnd w:id="323"/>
    </w:p>
    <w:p w14:paraId="38602A69">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除评标委员会受采购人委托直接确定中标人的情形外，对实质上响应招标文件的投标人按下列方法进行排序，确定中标候选人：</w:t>
      </w:r>
    </w:p>
    <w:p w14:paraId="6AA69847">
      <w:pPr>
        <w:spacing w:line="360" w:lineRule="auto"/>
        <w:ind w:left="840" w:leftChars="400"/>
        <w:rPr>
          <w:rFonts w:hint="eastAsia" w:ascii="仿宋" w:hAnsi="仿宋" w:eastAsia="仿宋" w:cs="仿宋"/>
          <w:color w:val="auto"/>
          <w:sz w:val="24"/>
          <w:highlight w:val="none"/>
        </w:rPr>
      </w:pPr>
      <w:bookmarkStart w:id="324" w:name="_Toc520356171"/>
      <w:bookmarkStart w:id="325" w:name="_Toc515647789"/>
      <w:r>
        <w:rPr>
          <w:rFonts w:hint="eastAsia" w:ascii="仿宋" w:hAnsi="仿宋" w:eastAsia="仿宋" w:cs="仿宋"/>
          <w:color w:val="auto"/>
          <w:sz w:val="24"/>
          <w:highlight w:val="none"/>
        </w:rPr>
        <w:t>（1）采用最低评标价法的，除了算术修正和落实政府采购政策需进行的价格扣除外，不对投标人的投标价格进行任何调整。评标结果按修正和扣除后的投标报价由低到高顺序排列。报价相同的处理方式详见招标文件第三章。</w:t>
      </w:r>
    </w:p>
    <w:p w14:paraId="30560DB2">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（2）采用综合评分法的，评标结果按评审后得分由高到低顺序排列。得分相同的，按修正和扣除后的投标报价由低到高顺序排列。得分与投标报价均相同的处理方式详见招标文件第三章。</w:t>
      </w:r>
    </w:p>
    <w:p w14:paraId="439EACAC">
      <w:pPr>
        <w:pStyle w:val="5"/>
        <w:ind w:left="843" w:hanging="840" w:hangingChars="350"/>
        <w:jc w:val="both"/>
        <w:rPr>
          <w:rFonts w:hint="eastAsia" w:ascii="仿宋" w:hAnsi="仿宋" w:eastAsia="仿宋" w:cs="仿宋"/>
          <w:color w:val="auto"/>
          <w:sz w:val="24"/>
          <w:szCs w:val="24"/>
          <w:highlight w:val="none"/>
        </w:rPr>
      </w:pPr>
      <w:bookmarkStart w:id="326" w:name="_Toc532473481"/>
      <w:bookmarkStart w:id="327" w:name="_Toc23951"/>
      <w:bookmarkStart w:id="328" w:name="_Toc9653"/>
      <w:bookmarkStart w:id="329" w:name="_Toc19348"/>
      <w:bookmarkStart w:id="330" w:name="_Toc2297"/>
      <w:bookmarkStart w:id="331" w:name="_Toc25700"/>
      <w:r>
        <w:rPr>
          <w:rFonts w:hint="eastAsia" w:ascii="仿宋" w:hAnsi="仿宋" w:eastAsia="仿宋" w:cs="仿宋"/>
          <w:color w:val="auto"/>
          <w:sz w:val="24"/>
          <w:szCs w:val="24"/>
          <w:highlight w:val="none"/>
        </w:rPr>
        <w:t>27</w:t>
      </w:r>
      <w:bookmarkEnd w:id="324"/>
      <w:r>
        <w:rPr>
          <w:rFonts w:hint="eastAsia" w:ascii="仿宋" w:hAnsi="仿宋" w:eastAsia="仿宋" w:cs="仿宋"/>
          <w:color w:val="auto"/>
          <w:sz w:val="24"/>
          <w:szCs w:val="24"/>
          <w:highlight w:val="none"/>
        </w:rPr>
        <w:t>.</w:t>
      </w:r>
      <w:bookmarkEnd w:id="325"/>
      <w:bookmarkEnd w:id="326"/>
      <w:bookmarkEnd w:id="327"/>
      <w:bookmarkEnd w:id="328"/>
      <w:r>
        <w:rPr>
          <w:rFonts w:hint="eastAsia" w:ascii="仿宋" w:hAnsi="仿宋" w:eastAsia="仿宋" w:cs="仿宋"/>
          <w:color w:val="auto"/>
          <w:sz w:val="24"/>
          <w:szCs w:val="24"/>
          <w:highlight w:val="none"/>
        </w:rPr>
        <w:t xml:space="preserve">    确定中标候选人和中标人</w:t>
      </w:r>
      <w:bookmarkEnd w:id="329"/>
      <w:bookmarkEnd w:id="330"/>
      <w:bookmarkEnd w:id="331"/>
    </w:p>
    <w:p w14:paraId="4AFB4E3C">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27.1   评标委员会将根据评标标准，按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中规定数量推荐中标候选人。</w:t>
      </w:r>
    </w:p>
    <w:p w14:paraId="32C873B3">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27.2   按</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中规定，由评标委员会直接确定中标人。</w:t>
      </w:r>
    </w:p>
    <w:p w14:paraId="70113015">
      <w:pPr>
        <w:pStyle w:val="5"/>
        <w:ind w:firstLine="0" w:firstLineChars="0"/>
        <w:jc w:val="both"/>
        <w:rPr>
          <w:rFonts w:hint="eastAsia" w:ascii="仿宋" w:hAnsi="仿宋" w:eastAsia="仿宋" w:cs="仿宋"/>
          <w:color w:val="auto"/>
          <w:sz w:val="24"/>
          <w:szCs w:val="24"/>
          <w:highlight w:val="none"/>
        </w:rPr>
      </w:pPr>
      <w:bookmarkStart w:id="332" w:name="_Toc1318"/>
      <w:bookmarkStart w:id="333" w:name="_Toc6230"/>
      <w:bookmarkStart w:id="334" w:name="_Toc2380"/>
      <w:bookmarkStart w:id="335" w:name="_Toc31099"/>
      <w:bookmarkStart w:id="336" w:name="_Toc515647791"/>
      <w:bookmarkStart w:id="337" w:name="_Toc532473483"/>
      <w:bookmarkStart w:id="338" w:name="_Toc30170"/>
      <w:bookmarkStart w:id="339" w:name="_Toc520356174"/>
      <w:r>
        <w:rPr>
          <w:rFonts w:hint="eastAsia" w:ascii="仿宋" w:hAnsi="仿宋" w:eastAsia="仿宋" w:cs="仿宋"/>
          <w:color w:val="auto"/>
          <w:sz w:val="24"/>
          <w:szCs w:val="24"/>
          <w:highlight w:val="none"/>
        </w:rPr>
        <w:t xml:space="preserve">28.    </w:t>
      </w:r>
      <w:r>
        <w:rPr>
          <w:rFonts w:hint="eastAsia" w:ascii="仿宋" w:hAnsi="仿宋" w:eastAsia="仿宋" w:cs="仿宋"/>
          <w:color w:val="auto"/>
          <w:sz w:val="24"/>
          <w:szCs w:val="24"/>
          <w:highlight w:val="none"/>
          <w:lang w:val="en-US" w:eastAsia="zh-CN"/>
        </w:rPr>
        <w:t>发布中标结果公告并</w:t>
      </w:r>
      <w:r>
        <w:rPr>
          <w:rFonts w:hint="eastAsia" w:ascii="仿宋" w:hAnsi="仿宋" w:eastAsia="仿宋" w:cs="仿宋"/>
          <w:color w:val="auto"/>
          <w:sz w:val="24"/>
          <w:szCs w:val="24"/>
          <w:highlight w:val="none"/>
        </w:rPr>
        <w:t>发出中标通知书</w:t>
      </w:r>
      <w:bookmarkEnd w:id="332"/>
      <w:bookmarkEnd w:id="333"/>
      <w:bookmarkEnd w:id="334"/>
    </w:p>
    <w:p w14:paraId="1102085B">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投标有效期内，中标人确定后，采购人或者采购代理机构发布中标公告。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213AAFAE">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在公告中标结果的同时，向中标人发出中标通知书，中标通知书是合同的组成部分。</w:t>
      </w:r>
    </w:p>
    <w:p w14:paraId="690B1C03">
      <w:pPr>
        <w:pStyle w:val="5"/>
        <w:ind w:firstLine="0" w:firstLineChars="0"/>
        <w:jc w:val="both"/>
        <w:rPr>
          <w:rFonts w:hint="eastAsia" w:ascii="仿宋" w:hAnsi="仿宋" w:eastAsia="仿宋" w:cs="仿宋"/>
          <w:color w:val="auto"/>
          <w:sz w:val="24"/>
          <w:szCs w:val="24"/>
          <w:highlight w:val="none"/>
        </w:rPr>
      </w:pPr>
      <w:bookmarkStart w:id="340" w:name="_Toc28740"/>
      <w:bookmarkStart w:id="341" w:name="_Toc29568"/>
      <w:bookmarkStart w:id="342" w:name="_Toc23105"/>
      <w:r>
        <w:rPr>
          <w:rFonts w:hint="eastAsia" w:ascii="仿宋" w:hAnsi="仿宋" w:eastAsia="仿宋" w:cs="仿宋"/>
          <w:color w:val="auto"/>
          <w:sz w:val="24"/>
          <w:szCs w:val="24"/>
          <w:highlight w:val="none"/>
        </w:rPr>
        <w:t>29.    告知招标结果</w:t>
      </w:r>
      <w:bookmarkEnd w:id="340"/>
      <w:bookmarkEnd w:id="341"/>
      <w:bookmarkEnd w:id="342"/>
    </w:p>
    <w:p w14:paraId="11412EC1">
      <w:pPr>
        <w:spacing w:line="360" w:lineRule="auto"/>
        <w:ind w:left="831" w:leftChars="396" w:firstLine="7"/>
        <w:rPr>
          <w:rFonts w:hint="eastAsia" w:ascii="仿宋" w:hAnsi="仿宋" w:eastAsia="仿宋" w:cs="仿宋"/>
          <w:color w:val="auto"/>
          <w:sz w:val="24"/>
          <w:highlight w:val="none"/>
        </w:rPr>
      </w:pPr>
      <w:r>
        <w:rPr>
          <w:rFonts w:hint="eastAsia" w:ascii="仿宋" w:hAnsi="仿宋" w:eastAsia="仿宋" w:cs="仿宋"/>
          <w:color w:val="auto"/>
          <w:sz w:val="24"/>
          <w:highlight w:val="none"/>
        </w:rPr>
        <w:t>在公告中标结果的同时，告知未通过资格审查投标人未通过的原因；采用综合评分法评审的，还将告知未中标人本人的评审得分和排序。</w:t>
      </w:r>
      <w:bookmarkEnd w:id="335"/>
      <w:bookmarkEnd w:id="336"/>
      <w:bookmarkEnd w:id="337"/>
      <w:bookmarkEnd w:id="338"/>
      <w:bookmarkEnd w:id="339"/>
    </w:p>
    <w:p w14:paraId="12F5CA59">
      <w:pPr>
        <w:pStyle w:val="5"/>
        <w:ind w:firstLine="0" w:firstLineChars="0"/>
        <w:jc w:val="both"/>
        <w:rPr>
          <w:rFonts w:hint="eastAsia" w:ascii="仿宋" w:hAnsi="仿宋" w:eastAsia="仿宋" w:cs="仿宋"/>
          <w:color w:val="auto"/>
          <w:sz w:val="24"/>
          <w:szCs w:val="24"/>
          <w:highlight w:val="none"/>
        </w:rPr>
      </w:pPr>
      <w:bookmarkStart w:id="343" w:name="_Ref467307204"/>
      <w:bookmarkStart w:id="344" w:name="_Toc520356175"/>
      <w:bookmarkStart w:id="345" w:name="_Toc790"/>
      <w:bookmarkStart w:id="346" w:name="_Toc15551"/>
      <w:bookmarkStart w:id="347" w:name="_Toc7779"/>
      <w:bookmarkStart w:id="348" w:name="_Toc17741"/>
      <w:bookmarkStart w:id="349" w:name="_Ref467306377"/>
      <w:bookmarkStart w:id="350" w:name="_Toc515647792"/>
      <w:bookmarkStart w:id="351" w:name="_Toc10827"/>
      <w:bookmarkStart w:id="352" w:name="_Ref467306978"/>
      <w:bookmarkStart w:id="353" w:name="_Toc532473484"/>
      <w:bookmarkStart w:id="354" w:name="_Ref467307062"/>
      <w:r>
        <w:rPr>
          <w:rFonts w:hint="eastAsia" w:ascii="仿宋" w:hAnsi="仿宋" w:eastAsia="仿宋" w:cs="仿宋"/>
          <w:color w:val="auto"/>
          <w:sz w:val="24"/>
          <w:szCs w:val="24"/>
          <w:highlight w:val="none"/>
        </w:rPr>
        <w:t>30.    签订合同</w:t>
      </w:r>
      <w:bookmarkEnd w:id="343"/>
      <w:bookmarkEnd w:id="344"/>
      <w:bookmarkEnd w:id="345"/>
      <w:bookmarkEnd w:id="346"/>
      <w:bookmarkEnd w:id="347"/>
      <w:bookmarkEnd w:id="348"/>
      <w:bookmarkEnd w:id="349"/>
      <w:bookmarkEnd w:id="350"/>
      <w:bookmarkEnd w:id="351"/>
      <w:bookmarkEnd w:id="352"/>
      <w:bookmarkEnd w:id="353"/>
      <w:bookmarkEnd w:id="354"/>
    </w:p>
    <w:p w14:paraId="13B9C770">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30.1   中标人应当自发出中标通知书之日起</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日内，与采购人签订</w:t>
      </w:r>
      <w:r>
        <w:rPr>
          <w:rFonts w:hint="eastAsia" w:ascii="仿宋" w:hAnsi="仿宋" w:eastAsia="仿宋" w:cs="仿宋"/>
          <w:color w:val="auto"/>
          <w:sz w:val="24"/>
          <w:highlight w:val="none"/>
          <w:lang w:val="en-US" w:eastAsia="zh-CN"/>
        </w:rPr>
        <w:t>书面</w:t>
      </w:r>
      <w:r>
        <w:rPr>
          <w:rFonts w:hint="eastAsia" w:ascii="仿宋" w:hAnsi="仿宋" w:eastAsia="仿宋" w:cs="仿宋"/>
          <w:color w:val="auto"/>
          <w:sz w:val="24"/>
          <w:highlight w:val="none"/>
        </w:rPr>
        <w:t>合同。</w:t>
      </w:r>
    </w:p>
    <w:p w14:paraId="1665D8C3">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bookmarkStart w:id="355" w:name="_Ref467306425"/>
      <w:bookmarkStart w:id="356" w:name="_Ref467307090"/>
      <w:bookmarkStart w:id="357" w:name="_Toc520356176"/>
      <w:r>
        <w:rPr>
          <w:rFonts w:hint="eastAsia" w:ascii="仿宋" w:hAnsi="仿宋" w:eastAsia="仿宋" w:cs="仿宋"/>
          <w:color w:val="auto"/>
          <w:sz w:val="24"/>
          <w:highlight w:val="none"/>
        </w:rPr>
        <w:t>.2   招标文件、中标人的投标文件及其澄清</w:t>
      </w:r>
      <w:r>
        <w:rPr>
          <w:rFonts w:hint="eastAsia" w:ascii="仿宋" w:hAnsi="仿宋" w:eastAsia="仿宋" w:cs="仿宋"/>
          <w:color w:val="auto"/>
          <w:sz w:val="24"/>
          <w:highlight w:val="none"/>
          <w:lang w:val="en-US" w:eastAsia="zh-CN"/>
        </w:rPr>
        <w:t>或修改</w:t>
      </w:r>
      <w:r>
        <w:rPr>
          <w:rFonts w:hint="eastAsia" w:ascii="仿宋" w:hAnsi="仿宋" w:eastAsia="仿宋" w:cs="仿宋"/>
          <w:color w:val="auto"/>
          <w:sz w:val="24"/>
          <w:highlight w:val="none"/>
        </w:rPr>
        <w:t>文件等，均为签订合同的依据</w:t>
      </w:r>
      <w:r>
        <w:rPr>
          <w:rFonts w:hint="eastAsia" w:ascii="仿宋" w:hAnsi="仿宋" w:eastAsia="仿宋" w:cs="仿宋"/>
          <w:color w:val="auto"/>
          <w:sz w:val="24"/>
          <w:highlight w:val="none"/>
          <w:lang w:eastAsia="zh-CN"/>
        </w:rPr>
        <w:t>。所签订的合同不得对招标文件确定的事项和中标人投标文件作实质性修改</w:t>
      </w:r>
      <w:r>
        <w:rPr>
          <w:rFonts w:hint="eastAsia" w:ascii="仿宋" w:hAnsi="仿宋" w:eastAsia="仿宋" w:cs="仿宋"/>
          <w:color w:val="auto"/>
          <w:sz w:val="24"/>
          <w:highlight w:val="none"/>
        </w:rPr>
        <w:t>。</w:t>
      </w:r>
    </w:p>
    <w:p w14:paraId="3F840BF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30.3   如中标人拒绝与采购人签订合同的，采购人或者采购代理机构可以不退还其投标保证金，并上报行政监督管理部门记入不良行为记录。</w:t>
      </w:r>
    </w:p>
    <w:p w14:paraId="4A2CC19F">
      <w:pPr>
        <w:pStyle w:val="5"/>
        <w:ind w:firstLine="0" w:firstLineChars="0"/>
        <w:rPr>
          <w:rFonts w:hint="eastAsia" w:ascii="仿宋" w:hAnsi="仿宋" w:eastAsia="仿宋" w:cs="仿宋"/>
          <w:color w:val="auto"/>
          <w:sz w:val="24"/>
          <w:szCs w:val="24"/>
          <w:highlight w:val="none"/>
        </w:rPr>
      </w:pPr>
      <w:bookmarkStart w:id="358" w:name="_Toc365"/>
      <w:bookmarkStart w:id="359" w:name="_Toc3355"/>
      <w:bookmarkStart w:id="360" w:name="_Toc22555"/>
      <w:bookmarkStart w:id="361" w:name="_Toc532473485"/>
      <w:bookmarkStart w:id="362" w:name="_Toc515647793"/>
      <w:bookmarkStart w:id="363" w:name="_Toc14080"/>
      <w:bookmarkStart w:id="364" w:name="_Toc29636"/>
      <w:r>
        <w:rPr>
          <w:rFonts w:hint="eastAsia" w:ascii="仿宋" w:hAnsi="仿宋" w:eastAsia="仿宋" w:cs="仿宋"/>
          <w:color w:val="auto"/>
          <w:sz w:val="24"/>
          <w:szCs w:val="24"/>
          <w:highlight w:val="none"/>
        </w:rPr>
        <w:t>31.    履约保证金</w:t>
      </w:r>
      <w:bookmarkEnd w:id="355"/>
      <w:bookmarkEnd w:id="356"/>
      <w:bookmarkEnd w:id="357"/>
      <w:bookmarkEnd w:id="358"/>
      <w:bookmarkEnd w:id="359"/>
      <w:bookmarkEnd w:id="360"/>
      <w:bookmarkEnd w:id="361"/>
      <w:bookmarkEnd w:id="362"/>
      <w:bookmarkEnd w:id="363"/>
      <w:bookmarkEnd w:id="364"/>
    </w:p>
    <w:p w14:paraId="7F1E7038">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31.1   如果需要履约保证金，中标人应按照</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规定向采购人提交履约保证金保函（如格式见本章附件2）。经采购人同意，中标人也可以自愿采用其他履约保证金的提供方式。</w:t>
      </w:r>
    </w:p>
    <w:p w14:paraId="68A0B52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31.2   政府采购利用担保试点范围内的项目，除31.1规定的情形外，中标人也可以按照财政部门的规定，向采购人提供合格的履约担保函。</w:t>
      </w:r>
    </w:p>
    <w:p w14:paraId="2AAA4E0F">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31.3   如果中标人没有按照上述履约保证金的规定执行，将被视为放弃中标资格，采购人或者采购代理机构可以不退还其投标保证金，并上报行政监督管理部门记入不良行为记录。在此情况下，采购人可确定下一候选人为中标人，也可以重新开展采购活动。</w:t>
      </w:r>
    </w:p>
    <w:p w14:paraId="5CE16396">
      <w:pPr>
        <w:pStyle w:val="5"/>
        <w:ind w:firstLine="0" w:firstLineChars="0"/>
        <w:rPr>
          <w:rFonts w:hint="eastAsia" w:ascii="仿宋" w:hAnsi="仿宋" w:eastAsia="仿宋" w:cs="仿宋"/>
          <w:color w:val="auto"/>
          <w:sz w:val="24"/>
          <w:szCs w:val="24"/>
          <w:highlight w:val="none"/>
        </w:rPr>
      </w:pPr>
      <w:bookmarkStart w:id="365" w:name="_Toc518923098"/>
      <w:bookmarkStart w:id="366" w:name="_Toc26471"/>
      <w:bookmarkStart w:id="367" w:name="_Toc29376"/>
      <w:bookmarkStart w:id="368" w:name="_Toc19537"/>
      <w:bookmarkStart w:id="369" w:name="_Toc2583659"/>
      <w:bookmarkStart w:id="370" w:name="_Toc532473486"/>
      <w:bookmarkStart w:id="371" w:name="_Toc29408"/>
      <w:bookmarkStart w:id="372" w:name="_Toc2582300"/>
      <w:bookmarkStart w:id="373" w:name="_Toc515647794"/>
      <w:bookmarkStart w:id="374" w:name="_Toc3090"/>
      <w:r>
        <w:rPr>
          <w:rFonts w:hint="eastAsia" w:ascii="仿宋" w:hAnsi="仿宋" w:eastAsia="仿宋" w:cs="仿宋"/>
          <w:color w:val="auto"/>
          <w:sz w:val="24"/>
          <w:szCs w:val="24"/>
          <w:highlight w:val="none"/>
        </w:rPr>
        <w:t>32.</w:t>
      </w:r>
      <w:bookmarkEnd w:id="365"/>
      <w:r>
        <w:rPr>
          <w:rFonts w:hint="eastAsia" w:ascii="仿宋" w:hAnsi="仿宋" w:eastAsia="仿宋" w:cs="仿宋"/>
          <w:color w:val="auto"/>
          <w:sz w:val="24"/>
          <w:szCs w:val="24"/>
          <w:highlight w:val="none"/>
        </w:rPr>
        <w:t xml:space="preserve">    预付款</w:t>
      </w:r>
      <w:bookmarkEnd w:id="366"/>
      <w:bookmarkEnd w:id="367"/>
      <w:bookmarkEnd w:id="368"/>
    </w:p>
    <w:p w14:paraId="11A6E91D">
      <w:pPr>
        <w:spacing w:line="360" w:lineRule="auto"/>
        <w:ind w:left="847" w:hanging="847" w:hangingChars="353"/>
        <w:rPr>
          <w:rFonts w:hint="eastAsia" w:ascii="仿宋" w:hAnsi="仿宋" w:eastAsia="仿宋" w:cs="仿宋"/>
          <w:color w:val="auto"/>
          <w:sz w:val="24"/>
          <w:highlight w:val="none"/>
        </w:rPr>
      </w:pPr>
      <w:r>
        <w:rPr>
          <w:rFonts w:hint="eastAsia" w:ascii="仿宋" w:hAnsi="仿宋" w:eastAsia="仿宋" w:cs="仿宋"/>
          <w:color w:val="auto"/>
          <w:sz w:val="24"/>
          <w:highlight w:val="none"/>
        </w:rPr>
        <w:t>32.1   预付款是在指政府采购合同签订后、履行前，采购人向中标人预先支付部分合同款项，预付款比例按照投标人须知前附表规定执行。</w:t>
      </w:r>
    </w:p>
    <w:p w14:paraId="49AD2BC2">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32.2   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14:paraId="1CC41569">
      <w:pPr>
        <w:spacing w:line="360" w:lineRule="auto"/>
        <w:ind w:left="850" w:hanging="849" w:hangingChars="354"/>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32.3   本项目采购人不需要支付预付款的情形，见</w:t>
      </w:r>
      <w:r>
        <w:rPr>
          <w:rFonts w:hint="eastAsia" w:ascii="仿宋" w:hAnsi="仿宋" w:eastAsia="仿宋" w:cs="仿宋"/>
          <w:color w:val="auto"/>
          <w:sz w:val="24"/>
          <w:highlight w:val="none"/>
          <w:u w:val="single"/>
        </w:rPr>
        <w:t>投标人须知前附表。</w:t>
      </w:r>
    </w:p>
    <w:p w14:paraId="5978A91D">
      <w:pPr>
        <w:pStyle w:val="5"/>
        <w:ind w:firstLine="0" w:firstLineChars="0"/>
        <w:rPr>
          <w:rFonts w:hint="eastAsia" w:ascii="仿宋" w:hAnsi="仿宋" w:eastAsia="仿宋" w:cs="仿宋"/>
          <w:color w:val="auto"/>
          <w:sz w:val="24"/>
          <w:szCs w:val="24"/>
          <w:highlight w:val="none"/>
        </w:rPr>
      </w:pPr>
      <w:bookmarkStart w:id="375" w:name="_Toc26071"/>
      <w:bookmarkStart w:id="376" w:name="_Toc27793"/>
      <w:bookmarkStart w:id="377" w:name="_Toc6902"/>
      <w:r>
        <w:rPr>
          <w:rFonts w:hint="eastAsia" w:ascii="仿宋" w:hAnsi="仿宋" w:eastAsia="仿宋" w:cs="仿宋"/>
          <w:color w:val="auto"/>
          <w:sz w:val="24"/>
          <w:szCs w:val="24"/>
          <w:highlight w:val="none"/>
        </w:rPr>
        <w:t>33.    招标代理服务费</w:t>
      </w:r>
      <w:bookmarkEnd w:id="369"/>
      <w:bookmarkEnd w:id="375"/>
      <w:bookmarkEnd w:id="376"/>
      <w:bookmarkEnd w:id="377"/>
    </w:p>
    <w:p w14:paraId="38AC8FB6">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本项目向采购代理机构支付招标代理服务费，按照</w:t>
      </w:r>
      <w:r>
        <w:rPr>
          <w:rFonts w:hint="eastAsia" w:ascii="仿宋" w:hAnsi="仿宋" w:eastAsia="仿宋" w:cs="仿宋"/>
          <w:color w:val="auto"/>
          <w:sz w:val="24"/>
          <w:highlight w:val="none"/>
          <w:u w:val="single"/>
        </w:rPr>
        <w:t>投标人须知前附表</w:t>
      </w:r>
      <w:r>
        <w:rPr>
          <w:rFonts w:hint="eastAsia" w:ascii="仿宋" w:hAnsi="仿宋" w:eastAsia="仿宋" w:cs="仿宋"/>
          <w:color w:val="auto"/>
          <w:sz w:val="24"/>
          <w:highlight w:val="none"/>
        </w:rPr>
        <w:t>规定执行。招标代理服务费已包含在投标报价中，不在投标分项报价表中单独列项。</w:t>
      </w:r>
    </w:p>
    <w:p w14:paraId="35C1758B">
      <w:pPr>
        <w:pStyle w:val="5"/>
        <w:ind w:firstLine="0" w:firstLineChars="0"/>
        <w:rPr>
          <w:rFonts w:hint="eastAsia" w:ascii="仿宋" w:hAnsi="仿宋" w:eastAsia="仿宋" w:cs="仿宋"/>
          <w:color w:val="auto"/>
          <w:sz w:val="24"/>
          <w:szCs w:val="24"/>
          <w:highlight w:val="none"/>
        </w:rPr>
      </w:pPr>
      <w:bookmarkStart w:id="378" w:name="_Toc518923099"/>
      <w:bookmarkStart w:id="379" w:name="_Toc2583660"/>
      <w:bookmarkStart w:id="380" w:name="_Toc13355"/>
      <w:bookmarkStart w:id="381" w:name="_Toc6412"/>
      <w:bookmarkStart w:id="382" w:name="_Toc132"/>
      <w:r>
        <w:rPr>
          <w:rFonts w:hint="eastAsia" w:ascii="仿宋" w:hAnsi="仿宋" w:eastAsia="仿宋" w:cs="仿宋"/>
          <w:color w:val="auto"/>
          <w:sz w:val="24"/>
          <w:szCs w:val="24"/>
          <w:highlight w:val="none"/>
        </w:rPr>
        <w:t>34.    政府采购信用担保</w:t>
      </w:r>
      <w:bookmarkEnd w:id="378"/>
      <w:bookmarkEnd w:id="379"/>
      <w:r>
        <w:rPr>
          <w:rFonts w:hint="eastAsia" w:ascii="仿宋" w:hAnsi="仿宋" w:eastAsia="仿宋" w:cs="仿宋"/>
          <w:color w:val="auto"/>
          <w:sz w:val="24"/>
          <w:szCs w:val="24"/>
          <w:highlight w:val="none"/>
        </w:rPr>
        <w:t>及融资</w:t>
      </w:r>
      <w:bookmarkEnd w:id="380"/>
      <w:bookmarkEnd w:id="381"/>
      <w:bookmarkEnd w:id="382"/>
    </w:p>
    <w:p w14:paraId="276F4644">
      <w:pPr>
        <w:spacing w:line="360" w:lineRule="auto"/>
        <w:ind w:left="900" w:hanging="900" w:hanging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34.1   投标人递交的履约担保函应符合本招标文件的规定。</w:t>
      </w:r>
    </w:p>
    <w:p w14:paraId="2C86D7B3">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34.2   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中标（成交）供应商可根据自身资金需求，登录陕西省政府采购信用融资平台（http://www.ccgp-shaanxi.gov.cn/zcdservice/zcd/shanxi/）或中征平台（https://www.crcrfsp.com）在线申请，依法参加政府采购信用融资活动。业务流程简图如下：</w:t>
      </w:r>
    </w:p>
    <w:p w14:paraId="4103B42D">
      <w:pPr>
        <w:pStyle w:val="1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6275" cy="3310255"/>
            <wp:effectExtent l="0" t="0" r="15875"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9"/>
                    <a:stretch>
                      <a:fillRect/>
                    </a:stretch>
                  </pic:blipFill>
                  <pic:spPr>
                    <a:xfrm>
                      <a:off x="0" y="0"/>
                      <a:ext cx="5756275" cy="3310255"/>
                    </a:xfrm>
                    <a:prstGeom prst="rect">
                      <a:avLst/>
                    </a:prstGeom>
                    <a:noFill/>
                    <a:ln>
                      <a:noFill/>
                    </a:ln>
                  </pic:spPr>
                </pic:pic>
              </a:graphicData>
            </a:graphic>
          </wp:inline>
        </w:drawing>
      </w:r>
    </w:p>
    <w:p w14:paraId="3BF830E8">
      <w:pPr>
        <w:pStyle w:val="11"/>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758815" cy="3242310"/>
            <wp:effectExtent l="0" t="0" r="13335" b="1524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0"/>
                    <a:stretch>
                      <a:fillRect/>
                    </a:stretch>
                  </pic:blipFill>
                  <pic:spPr>
                    <a:xfrm>
                      <a:off x="0" y="0"/>
                      <a:ext cx="5758815" cy="3242310"/>
                    </a:xfrm>
                    <a:prstGeom prst="rect">
                      <a:avLst/>
                    </a:prstGeom>
                    <a:noFill/>
                    <a:ln>
                      <a:noFill/>
                    </a:ln>
                  </pic:spPr>
                </pic:pic>
              </a:graphicData>
            </a:graphic>
          </wp:inline>
        </w:drawing>
      </w:r>
    </w:p>
    <w:p w14:paraId="1120FC5F">
      <w:pPr>
        <w:spacing w:before="101" w:line="223" w:lineRule="auto"/>
        <w:ind w:left="2394"/>
        <w:outlineLvl w:val="0"/>
        <w:rPr>
          <w:rFonts w:ascii="楷体" w:hAnsi="楷体" w:eastAsia="楷体" w:cs="楷体"/>
          <w:color w:val="auto"/>
          <w:sz w:val="31"/>
          <w:szCs w:val="31"/>
          <w:highlight w:val="none"/>
        </w:rPr>
      </w:pPr>
      <w:r>
        <w:rPr>
          <w:rFonts w:hint="eastAsia" w:ascii="仿宋" w:hAnsi="仿宋" w:eastAsia="仿宋" w:cs="仿宋"/>
          <w:color w:val="auto"/>
          <w:highlight w:val="none"/>
        </w:rPr>
        <w:t xml:space="preserve">  </w:t>
      </w:r>
      <w:r>
        <w:rPr>
          <w:rFonts w:ascii="楷体" w:hAnsi="楷体" w:eastAsia="楷体" w:cs="楷体"/>
          <w:color w:val="auto"/>
          <w:spacing w:val="5"/>
          <w:sz w:val="31"/>
          <w:szCs w:val="31"/>
          <w:highlight w:val="none"/>
        </w:rPr>
        <w:t>榆林市“政采贷”业务办理银行联系表</w:t>
      </w:r>
    </w:p>
    <w:p w14:paraId="39750974">
      <w:pPr>
        <w:spacing w:line="115" w:lineRule="exact"/>
        <w:rPr>
          <w:color w:val="auto"/>
          <w:highlight w:val="none"/>
        </w:rPr>
      </w:pPr>
    </w:p>
    <w:tbl>
      <w:tblPr>
        <w:tblStyle w:val="189"/>
        <w:tblW w:w="94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039"/>
        <w:gridCol w:w="1049"/>
        <w:gridCol w:w="1079"/>
        <w:gridCol w:w="1108"/>
        <w:gridCol w:w="1388"/>
        <w:gridCol w:w="1079"/>
        <w:gridCol w:w="2033"/>
      </w:tblGrid>
      <w:tr w14:paraId="323A8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684" w:type="dxa"/>
            <w:vAlign w:val="top"/>
          </w:tcPr>
          <w:p w14:paraId="6A9A57C8">
            <w:pPr>
              <w:pStyle w:val="188"/>
              <w:spacing w:before="85" w:line="221" w:lineRule="auto"/>
              <w:ind w:left="11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序号</w:t>
            </w:r>
          </w:p>
        </w:tc>
        <w:tc>
          <w:tcPr>
            <w:tcW w:w="1039" w:type="dxa"/>
            <w:vAlign w:val="top"/>
          </w:tcPr>
          <w:p w14:paraId="11791A4A">
            <w:pPr>
              <w:pStyle w:val="188"/>
              <w:spacing w:before="8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银行名称</w:t>
            </w:r>
          </w:p>
        </w:tc>
        <w:tc>
          <w:tcPr>
            <w:tcW w:w="1049" w:type="dxa"/>
            <w:vAlign w:val="top"/>
          </w:tcPr>
          <w:p w14:paraId="664784F2">
            <w:pPr>
              <w:pStyle w:val="188"/>
              <w:spacing w:before="84" w:line="219" w:lineRule="auto"/>
              <w:ind w:left="7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产品名称</w:t>
            </w:r>
          </w:p>
        </w:tc>
        <w:tc>
          <w:tcPr>
            <w:tcW w:w="1079" w:type="dxa"/>
            <w:vAlign w:val="top"/>
          </w:tcPr>
          <w:p w14:paraId="5305383A">
            <w:pPr>
              <w:pStyle w:val="188"/>
              <w:spacing w:before="84" w:line="219"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贷款额度</w:t>
            </w:r>
          </w:p>
        </w:tc>
        <w:tc>
          <w:tcPr>
            <w:tcW w:w="1108" w:type="dxa"/>
            <w:vAlign w:val="top"/>
          </w:tcPr>
          <w:p w14:paraId="4AE3A145">
            <w:pPr>
              <w:pStyle w:val="188"/>
              <w:spacing w:before="84" w:line="219" w:lineRule="auto"/>
              <w:ind w:left="10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贷款期限</w:t>
            </w:r>
          </w:p>
        </w:tc>
        <w:tc>
          <w:tcPr>
            <w:tcW w:w="1388" w:type="dxa"/>
            <w:vAlign w:val="top"/>
          </w:tcPr>
          <w:p w14:paraId="009E4104">
            <w:pPr>
              <w:pStyle w:val="188"/>
              <w:spacing w:before="84" w:line="219" w:lineRule="auto"/>
              <w:ind w:left="24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贷款利率</w:t>
            </w:r>
          </w:p>
        </w:tc>
        <w:tc>
          <w:tcPr>
            <w:tcW w:w="1079" w:type="dxa"/>
            <w:vAlign w:val="top"/>
          </w:tcPr>
          <w:p w14:paraId="1038C12B">
            <w:pPr>
              <w:pStyle w:val="188"/>
              <w:spacing w:before="84" w:line="219" w:lineRule="auto"/>
              <w:ind w:left="9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办理时效</w:t>
            </w:r>
          </w:p>
        </w:tc>
        <w:tc>
          <w:tcPr>
            <w:tcW w:w="2033" w:type="dxa"/>
            <w:vAlign w:val="top"/>
          </w:tcPr>
          <w:p w14:paraId="5EC34CB9">
            <w:pPr>
              <w:pStyle w:val="188"/>
              <w:spacing w:before="86" w:line="221" w:lineRule="auto"/>
              <w:ind w:left="6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联系人</w:t>
            </w:r>
          </w:p>
        </w:tc>
      </w:tr>
      <w:tr w14:paraId="24694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15F235EF">
            <w:pPr>
              <w:pStyle w:val="188"/>
              <w:spacing w:before="121" w:line="233"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1</w:t>
            </w:r>
          </w:p>
        </w:tc>
        <w:tc>
          <w:tcPr>
            <w:tcW w:w="1039" w:type="dxa"/>
            <w:vAlign w:val="top"/>
          </w:tcPr>
          <w:p w14:paraId="707FE867">
            <w:pPr>
              <w:pStyle w:val="188"/>
              <w:spacing w:before="99"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长安银行</w:t>
            </w:r>
          </w:p>
        </w:tc>
        <w:tc>
          <w:tcPr>
            <w:tcW w:w="1049" w:type="dxa"/>
            <w:vAlign w:val="top"/>
          </w:tcPr>
          <w:p w14:paraId="357698CA">
            <w:pPr>
              <w:pStyle w:val="188"/>
              <w:spacing w:before="97"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0F9AF32A">
            <w:pPr>
              <w:pStyle w:val="188"/>
              <w:spacing w:before="99"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ED5F4B2">
            <w:pPr>
              <w:pStyle w:val="188"/>
              <w:spacing w:before="99"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69E50C0">
            <w:pPr>
              <w:pStyle w:val="188"/>
              <w:spacing w:before="121" w:line="233" w:lineRule="auto"/>
              <w:ind w:left="5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w:t>
            </w:r>
          </w:p>
        </w:tc>
        <w:tc>
          <w:tcPr>
            <w:tcW w:w="1079" w:type="dxa"/>
            <w:vAlign w:val="top"/>
          </w:tcPr>
          <w:p w14:paraId="30754CC5">
            <w:pPr>
              <w:pStyle w:val="188"/>
              <w:spacing w:before="102"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3ACF50BB">
            <w:pPr>
              <w:pStyle w:val="188"/>
              <w:spacing w:before="99" w:line="219" w:lineRule="auto"/>
              <w:ind w:left="18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魏众15109123951</w:t>
            </w:r>
          </w:p>
        </w:tc>
      </w:tr>
      <w:tr w14:paraId="3953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7B2D24A4">
            <w:pPr>
              <w:pStyle w:val="188"/>
              <w:spacing w:before="112" w:line="224"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2</w:t>
            </w:r>
          </w:p>
        </w:tc>
        <w:tc>
          <w:tcPr>
            <w:tcW w:w="1039" w:type="dxa"/>
            <w:vAlign w:val="top"/>
          </w:tcPr>
          <w:p w14:paraId="445E76D9">
            <w:pPr>
              <w:pStyle w:val="188"/>
              <w:spacing w:before="90" w:line="219"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中信银行</w:t>
            </w:r>
          </w:p>
        </w:tc>
        <w:tc>
          <w:tcPr>
            <w:tcW w:w="1049" w:type="dxa"/>
            <w:vAlign w:val="top"/>
          </w:tcPr>
          <w:p w14:paraId="6756F994">
            <w:pPr>
              <w:pStyle w:val="188"/>
              <w:spacing w:before="88"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7DBDF469">
            <w:pPr>
              <w:pStyle w:val="188"/>
              <w:spacing w:before="90"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4FF745C">
            <w:pPr>
              <w:pStyle w:val="188"/>
              <w:spacing w:before="90"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22EE7EC">
            <w:pPr>
              <w:pStyle w:val="188"/>
              <w:spacing w:before="90"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06834958">
            <w:pPr>
              <w:pStyle w:val="188"/>
              <w:spacing w:before="93"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591E3A43">
            <w:pPr>
              <w:pStyle w:val="188"/>
              <w:spacing w:before="90" w:line="219"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高 明18992218795</w:t>
            </w:r>
          </w:p>
        </w:tc>
      </w:tr>
      <w:tr w14:paraId="6D727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546381C9">
            <w:pPr>
              <w:pStyle w:val="188"/>
              <w:spacing w:before="122" w:line="232"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3</w:t>
            </w:r>
          </w:p>
        </w:tc>
        <w:tc>
          <w:tcPr>
            <w:tcW w:w="1039" w:type="dxa"/>
            <w:vAlign w:val="top"/>
          </w:tcPr>
          <w:p w14:paraId="6F1D98A7">
            <w:pPr>
              <w:pStyle w:val="188"/>
              <w:spacing w:before="101" w:line="219"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光大银行</w:t>
            </w:r>
          </w:p>
        </w:tc>
        <w:tc>
          <w:tcPr>
            <w:tcW w:w="1049" w:type="dxa"/>
            <w:vAlign w:val="top"/>
          </w:tcPr>
          <w:p w14:paraId="54293FDD">
            <w:pPr>
              <w:pStyle w:val="188"/>
              <w:spacing w:before="99"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2CDE7944">
            <w:pPr>
              <w:pStyle w:val="188"/>
              <w:spacing w:before="101"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D3FDC2D">
            <w:pPr>
              <w:pStyle w:val="188"/>
              <w:spacing w:before="101"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71A1C98A">
            <w:pPr>
              <w:pStyle w:val="188"/>
              <w:spacing w:before="122" w:line="232"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3.3%</w:t>
            </w:r>
          </w:p>
        </w:tc>
        <w:tc>
          <w:tcPr>
            <w:tcW w:w="1079" w:type="dxa"/>
            <w:vAlign w:val="top"/>
          </w:tcPr>
          <w:p w14:paraId="7B090E8F">
            <w:pPr>
              <w:pStyle w:val="188"/>
              <w:spacing w:before="103"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3CA3A2D0">
            <w:pPr>
              <w:pStyle w:val="188"/>
              <w:spacing w:before="101"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尹皓永18791214448</w:t>
            </w:r>
          </w:p>
        </w:tc>
      </w:tr>
      <w:tr w14:paraId="47788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702197FB">
            <w:pPr>
              <w:pStyle w:val="188"/>
              <w:spacing w:before="123" w:line="231"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4</w:t>
            </w:r>
          </w:p>
        </w:tc>
        <w:tc>
          <w:tcPr>
            <w:tcW w:w="1039" w:type="dxa"/>
            <w:vAlign w:val="top"/>
          </w:tcPr>
          <w:p w14:paraId="15F8FD0C">
            <w:pPr>
              <w:pStyle w:val="188"/>
              <w:spacing w:before="102"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交通银行</w:t>
            </w:r>
          </w:p>
        </w:tc>
        <w:tc>
          <w:tcPr>
            <w:tcW w:w="1049" w:type="dxa"/>
            <w:vAlign w:val="top"/>
          </w:tcPr>
          <w:p w14:paraId="4A4FA55A">
            <w:pPr>
              <w:pStyle w:val="188"/>
              <w:spacing w:before="102"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秦政贷</w:t>
            </w:r>
          </w:p>
        </w:tc>
        <w:tc>
          <w:tcPr>
            <w:tcW w:w="1079" w:type="dxa"/>
            <w:vAlign w:val="top"/>
          </w:tcPr>
          <w:p w14:paraId="44A6C0B0">
            <w:pPr>
              <w:pStyle w:val="188"/>
              <w:spacing w:before="102"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3A27EB28">
            <w:pPr>
              <w:pStyle w:val="188"/>
              <w:spacing w:before="102"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7931D4C7">
            <w:pPr>
              <w:pStyle w:val="188"/>
              <w:spacing w:before="123" w:line="231" w:lineRule="auto"/>
              <w:ind w:left="41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w:t>
            </w:r>
          </w:p>
        </w:tc>
        <w:tc>
          <w:tcPr>
            <w:tcW w:w="1079" w:type="dxa"/>
            <w:vAlign w:val="top"/>
          </w:tcPr>
          <w:p w14:paraId="29665D0E">
            <w:pPr>
              <w:pStyle w:val="188"/>
              <w:spacing w:before="104"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0F89C657">
            <w:pPr>
              <w:pStyle w:val="188"/>
              <w:spacing w:before="104" w:line="221"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张 飞15291296886</w:t>
            </w:r>
          </w:p>
        </w:tc>
      </w:tr>
      <w:tr w14:paraId="115FF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3B475530">
            <w:pPr>
              <w:pStyle w:val="188"/>
              <w:spacing w:before="124" w:line="23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5</w:t>
            </w:r>
          </w:p>
        </w:tc>
        <w:tc>
          <w:tcPr>
            <w:tcW w:w="1039" w:type="dxa"/>
            <w:vAlign w:val="top"/>
          </w:tcPr>
          <w:p w14:paraId="0D88708C">
            <w:pPr>
              <w:pStyle w:val="188"/>
              <w:spacing w:before="103"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中国银行</w:t>
            </w:r>
          </w:p>
        </w:tc>
        <w:tc>
          <w:tcPr>
            <w:tcW w:w="1049" w:type="dxa"/>
            <w:vAlign w:val="top"/>
          </w:tcPr>
          <w:p w14:paraId="5ADDA815">
            <w:pPr>
              <w:pStyle w:val="188"/>
              <w:spacing w:before="101"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6F7BDFB5">
            <w:pPr>
              <w:pStyle w:val="188"/>
              <w:spacing w:before="103"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6A1599B4">
            <w:pPr>
              <w:pStyle w:val="188"/>
              <w:spacing w:before="103"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12BC5BE9">
            <w:pPr>
              <w:pStyle w:val="188"/>
              <w:spacing w:before="124" w:line="230" w:lineRule="auto"/>
              <w:ind w:left="41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w:t>
            </w:r>
          </w:p>
        </w:tc>
        <w:tc>
          <w:tcPr>
            <w:tcW w:w="1079" w:type="dxa"/>
            <w:vAlign w:val="top"/>
          </w:tcPr>
          <w:p w14:paraId="1FC82887">
            <w:pPr>
              <w:pStyle w:val="188"/>
              <w:spacing w:before="105"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72A479CB">
            <w:pPr>
              <w:pStyle w:val="188"/>
              <w:spacing w:before="103" w:line="220"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李 浩18691230007</w:t>
            </w:r>
          </w:p>
        </w:tc>
      </w:tr>
      <w:tr w14:paraId="1BE67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684" w:type="dxa"/>
            <w:vAlign w:val="top"/>
          </w:tcPr>
          <w:p w14:paraId="1060A166">
            <w:pPr>
              <w:pStyle w:val="188"/>
              <w:spacing w:before="65" w:line="18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6</w:t>
            </w:r>
          </w:p>
        </w:tc>
        <w:tc>
          <w:tcPr>
            <w:tcW w:w="1039" w:type="dxa"/>
            <w:vAlign w:val="top"/>
          </w:tcPr>
          <w:p w14:paraId="6513937A">
            <w:pPr>
              <w:pStyle w:val="188"/>
              <w:spacing w:before="44" w:line="198"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招商银行</w:t>
            </w:r>
          </w:p>
        </w:tc>
        <w:tc>
          <w:tcPr>
            <w:tcW w:w="1049" w:type="dxa"/>
            <w:vAlign w:val="top"/>
          </w:tcPr>
          <w:p w14:paraId="31BA9823">
            <w:pPr>
              <w:pStyle w:val="188"/>
              <w:spacing w:before="42" w:line="19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684BA5F3">
            <w:pPr>
              <w:pStyle w:val="188"/>
              <w:spacing w:before="44" w:line="198"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3000万元</w:t>
            </w:r>
          </w:p>
        </w:tc>
        <w:tc>
          <w:tcPr>
            <w:tcW w:w="1108" w:type="dxa"/>
            <w:vAlign w:val="top"/>
          </w:tcPr>
          <w:p w14:paraId="1674BFFE">
            <w:pPr>
              <w:pStyle w:val="188"/>
              <w:spacing w:before="44" w:line="198"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1-3年</w:t>
            </w:r>
          </w:p>
        </w:tc>
        <w:tc>
          <w:tcPr>
            <w:tcW w:w="1388" w:type="dxa"/>
            <w:vAlign w:val="top"/>
          </w:tcPr>
          <w:p w14:paraId="65A2EC49">
            <w:pPr>
              <w:pStyle w:val="188"/>
              <w:spacing w:before="44" w:line="198"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19FF13C8">
            <w:pPr>
              <w:pStyle w:val="188"/>
              <w:spacing w:before="46" w:line="196"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32E836FC">
            <w:pPr>
              <w:pStyle w:val="188"/>
              <w:spacing w:before="44" w:line="198"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马 烨15596100007</w:t>
            </w:r>
          </w:p>
        </w:tc>
      </w:tr>
      <w:tr w14:paraId="20611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684" w:type="dxa"/>
            <w:vAlign w:val="top"/>
          </w:tcPr>
          <w:p w14:paraId="5093D879">
            <w:pPr>
              <w:pStyle w:val="188"/>
              <w:spacing w:before="125" w:line="230"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7</w:t>
            </w:r>
          </w:p>
        </w:tc>
        <w:tc>
          <w:tcPr>
            <w:tcW w:w="1039" w:type="dxa"/>
            <w:vAlign w:val="top"/>
          </w:tcPr>
          <w:p w14:paraId="189D47DD">
            <w:pPr>
              <w:pStyle w:val="188"/>
              <w:spacing w:before="10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浦发银行</w:t>
            </w:r>
          </w:p>
        </w:tc>
        <w:tc>
          <w:tcPr>
            <w:tcW w:w="1049" w:type="dxa"/>
            <w:vAlign w:val="top"/>
          </w:tcPr>
          <w:p w14:paraId="035CF8F0">
            <w:pPr>
              <w:pStyle w:val="188"/>
              <w:spacing w:before="102"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404E88FF">
            <w:pPr>
              <w:pStyle w:val="188"/>
              <w:spacing w:before="104"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0A11046">
            <w:pPr>
              <w:pStyle w:val="188"/>
              <w:spacing w:before="104"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6F30EEDE">
            <w:pPr>
              <w:pStyle w:val="188"/>
              <w:spacing w:before="104"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201F6788">
            <w:pPr>
              <w:pStyle w:val="188"/>
              <w:spacing w:before="10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7D9C1B2D">
            <w:pPr>
              <w:pStyle w:val="188"/>
              <w:spacing w:before="104" w:line="219"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朱 君15629169158</w:t>
            </w:r>
          </w:p>
        </w:tc>
      </w:tr>
      <w:tr w14:paraId="0B848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5449A421">
            <w:pPr>
              <w:pStyle w:val="188"/>
              <w:spacing w:before="115" w:line="221"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8</w:t>
            </w:r>
          </w:p>
        </w:tc>
        <w:tc>
          <w:tcPr>
            <w:tcW w:w="1039" w:type="dxa"/>
            <w:vAlign w:val="top"/>
          </w:tcPr>
          <w:p w14:paraId="7495B90C">
            <w:pPr>
              <w:pStyle w:val="188"/>
              <w:spacing w:before="94"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农商银行</w:t>
            </w:r>
          </w:p>
        </w:tc>
        <w:tc>
          <w:tcPr>
            <w:tcW w:w="1049" w:type="dxa"/>
            <w:vAlign w:val="top"/>
          </w:tcPr>
          <w:p w14:paraId="33B316E2">
            <w:pPr>
              <w:pStyle w:val="188"/>
              <w:spacing w:before="92"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5F937776">
            <w:pPr>
              <w:pStyle w:val="188"/>
              <w:spacing w:before="94"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2BEB4803">
            <w:pPr>
              <w:pStyle w:val="188"/>
              <w:spacing w:before="94"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1-2年</w:t>
            </w:r>
          </w:p>
        </w:tc>
        <w:tc>
          <w:tcPr>
            <w:tcW w:w="1388" w:type="dxa"/>
            <w:vAlign w:val="top"/>
          </w:tcPr>
          <w:p w14:paraId="4BB27C84">
            <w:pPr>
              <w:pStyle w:val="188"/>
              <w:spacing w:before="115" w:line="221" w:lineRule="auto"/>
              <w:ind w:left="13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3.45%-5.8%</w:t>
            </w:r>
          </w:p>
        </w:tc>
        <w:tc>
          <w:tcPr>
            <w:tcW w:w="1079" w:type="dxa"/>
            <w:vAlign w:val="top"/>
          </w:tcPr>
          <w:p w14:paraId="527A7B6C">
            <w:pPr>
              <w:pStyle w:val="188"/>
              <w:spacing w:before="9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2DC8F684">
            <w:pPr>
              <w:pStyle w:val="188"/>
              <w:spacing w:before="97" w:line="221" w:lineRule="auto"/>
              <w:ind w:left="12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王 璐15529875056</w:t>
            </w:r>
          </w:p>
        </w:tc>
      </w:tr>
      <w:tr w14:paraId="2AA77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01959CCA">
            <w:pPr>
              <w:pStyle w:val="188"/>
              <w:spacing w:before="127" w:line="228" w:lineRule="auto"/>
              <w:ind w:left="27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9</w:t>
            </w:r>
          </w:p>
        </w:tc>
        <w:tc>
          <w:tcPr>
            <w:tcW w:w="1039" w:type="dxa"/>
            <w:vAlign w:val="top"/>
          </w:tcPr>
          <w:p w14:paraId="0DCB8708">
            <w:pPr>
              <w:pStyle w:val="188"/>
              <w:spacing w:before="105"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农业银行</w:t>
            </w:r>
          </w:p>
        </w:tc>
        <w:tc>
          <w:tcPr>
            <w:tcW w:w="1049" w:type="dxa"/>
            <w:vAlign w:val="top"/>
          </w:tcPr>
          <w:p w14:paraId="0976631F">
            <w:pPr>
              <w:pStyle w:val="188"/>
              <w:spacing w:before="103"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00AF5B59">
            <w:pPr>
              <w:pStyle w:val="188"/>
              <w:spacing w:before="105"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7912A8F3">
            <w:pPr>
              <w:pStyle w:val="188"/>
              <w:spacing w:before="105"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A9B1420">
            <w:pPr>
              <w:pStyle w:val="188"/>
              <w:spacing w:before="108" w:line="222" w:lineRule="auto"/>
              <w:ind w:left="19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3.45%以上</w:t>
            </w:r>
          </w:p>
        </w:tc>
        <w:tc>
          <w:tcPr>
            <w:tcW w:w="1079" w:type="dxa"/>
            <w:vAlign w:val="top"/>
          </w:tcPr>
          <w:p w14:paraId="175BC79B">
            <w:pPr>
              <w:pStyle w:val="188"/>
              <w:spacing w:before="107"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44083A5B">
            <w:pPr>
              <w:pStyle w:val="188"/>
              <w:spacing w:before="105" w:line="219"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米璐洁18966997666</w:t>
            </w:r>
          </w:p>
        </w:tc>
      </w:tr>
      <w:tr w14:paraId="5CC89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78E17BFA">
            <w:pPr>
              <w:pStyle w:val="188"/>
              <w:spacing w:before="128" w:line="22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w:t>
            </w:r>
          </w:p>
        </w:tc>
        <w:tc>
          <w:tcPr>
            <w:tcW w:w="1039" w:type="dxa"/>
            <w:vAlign w:val="top"/>
          </w:tcPr>
          <w:p w14:paraId="626B9754">
            <w:pPr>
              <w:pStyle w:val="188"/>
              <w:spacing w:before="106"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民生银行</w:t>
            </w:r>
          </w:p>
        </w:tc>
        <w:tc>
          <w:tcPr>
            <w:tcW w:w="1049" w:type="dxa"/>
            <w:vAlign w:val="top"/>
          </w:tcPr>
          <w:p w14:paraId="4694F0E6">
            <w:pPr>
              <w:pStyle w:val="188"/>
              <w:spacing w:before="104" w:line="219" w:lineRule="auto"/>
              <w:ind w:left="13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政采E贷</w:t>
            </w:r>
          </w:p>
        </w:tc>
        <w:tc>
          <w:tcPr>
            <w:tcW w:w="1079" w:type="dxa"/>
            <w:vAlign w:val="top"/>
          </w:tcPr>
          <w:p w14:paraId="1103F32A">
            <w:pPr>
              <w:pStyle w:val="188"/>
              <w:spacing w:before="106"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3000万元</w:t>
            </w:r>
          </w:p>
        </w:tc>
        <w:tc>
          <w:tcPr>
            <w:tcW w:w="1108" w:type="dxa"/>
            <w:vAlign w:val="top"/>
          </w:tcPr>
          <w:p w14:paraId="50B4ADA1">
            <w:pPr>
              <w:pStyle w:val="188"/>
              <w:spacing w:before="106"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6A249ADC">
            <w:pPr>
              <w:pStyle w:val="188"/>
              <w:spacing w:before="106"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2AF9FC31">
            <w:pPr>
              <w:pStyle w:val="188"/>
              <w:spacing w:before="108"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2011C2D9">
            <w:pPr>
              <w:pStyle w:val="188"/>
              <w:spacing w:before="106"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郝双双15991225850</w:t>
            </w:r>
          </w:p>
        </w:tc>
      </w:tr>
      <w:tr w14:paraId="7548C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684" w:type="dxa"/>
            <w:vAlign w:val="top"/>
          </w:tcPr>
          <w:p w14:paraId="1935346F">
            <w:pPr>
              <w:pStyle w:val="188"/>
              <w:spacing w:before="128" w:line="22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11</w:t>
            </w:r>
          </w:p>
        </w:tc>
        <w:tc>
          <w:tcPr>
            <w:tcW w:w="1039" w:type="dxa"/>
            <w:vAlign w:val="top"/>
          </w:tcPr>
          <w:p w14:paraId="4974C163">
            <w:pPr>
              <w:pStyle w:val="188"/>
              <w:spacing w:before="107"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兴业银行</w:t>
            </w:r>
          </w:p>
        </w:tc>
        <w:tc>
          <w:tcPr>
            <w:tcW w:w="1049" w:type="dxa"/>
            <w:vAlign w:val="top"/>
          </w:tcPr>
          <w:p w14:paraId="59F8254F">
            <w:pPr>
              <w:pStyle w:val="188"/>
              <w:spacing w:before="105"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政采贷</w:t>
            </w:r>
          </w:p>
        </w:tc>
        <w:tc>
          <w:tcPr>
            <w:tcW w:w="1079" w:type="dxa"/>
            <w:vAlign w:val="top"/>
          </w:tcPr>
          <w:p w14:paraId="2EDF74E2">
            <w:pPr>
              <w:pStyle w:val="188"/>
              <w:spacing w:before="107"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0AE4E46F">
            <w:pPr>
              <w:pStyle w:val="188"/>
              <w:spacing w:before="107" w:line="219" w:lineRule="auto"/>
              <w:ind w:left="27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1年期</w:t>
            </w:r>
          </w:p>
        </w:tc>
        <w:tc>
          <w:tcPr>
            <w:tcW w:w="1388" w:type="dxa"/>
            <w:vAlign w:val="top"/>
          </w:tcPr>
          <w:p w14:paraId="2D35D019">
            <w:pPr>
              <w:pStyle w:val="188"/>
              <w:spacing w:before="128" w:line="227"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w:t>
            </w:r>
          </w:p>
        </w:tc>
        <w:tc>
          <w:tcPr>
            <w:tcW w:w="1079" w:type="dxa"/>
            <w:vAlign w:val="top"/>
          </w:tcPr>
          <w:p w14:paraId="12ACDC8B">
            <w:pPr>
              <w:pStyle w:val="188"/>
              <w:spacing w:before="109"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6EB61392">
            <w:pPr>
              <w:pStyle w:val="188"/>
              <w:spacing w:before="107" w:line="219"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薛万隆18709258523</w:t>
            </w:r>
          </w:p>
        </w:tc>
      </w:tr>
      <w:tr w14:paraId="7C15E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84" w:type="dxa"/>
            <w:vAlign w:val="top"/>
          </w:tcPr>
          <w:p w14:paraId="0C36B662">
            <w:pPr>
              <w:pStyle w:val="188"/>
              <w:spacing w:before="120" w:line="217"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12</w:t>
            </w:r>
          </w:p>
        </w:tc>
        <w:tc>
          <w:tcPr>
            <w:tcW w:w="1039" w:type="dxa"/>
            <w:vAlign w:val="top"/>
          </w:tcPr>
          <w:p w14:paraId="3BB1176D">
            <w:pPr>
              <w:pStyle w:val="188"/>
              <w:spacing w:before="98"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广发银行</w:t>
            </w:r>
          </w:p>
        </w:tc>
        <w:tc>
          <w:tcPr>
            <w:tcW w:w="1049" w:type="dxa"/>
            <w:vAlign w:val="top"/>
          </w:tcPr>
          <w:p w14:paraId="6013051F">
            <w:pPr>
              <w:pStyle w:val="188"/>
              <w:spacing w:before="96" w:line="219" w:lineRule="auto"/>
              <w:ind w:left="18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政采通</w:t>
            </w:r>
          </w:p>
        </w:tc>
        <w:tc>
          <w:tcPr>
            <w:tcW w:w="1079" w:type="dxa"/>
            <w:vAlign w:val="top"/>
          </w:tcPr>
          <w:p w14:paraId="36D1463A">
            <w:pPr>
              <w:pStyle w:val="188"/>
              <w:spacing w:before="98"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14113634">
            <w:pPr>
              <w:pStyle w:val="188"/>
              <w:spacing w:before="98"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4B178A7">
            <w:pPr>
              <w:pStyle w:val="188"/>
              <w:spacing w:before="98" w:line="220" w:lineRule="auto"/>
              <w:ind w:left="305"/>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3.45%起</w:t>
            </w:r>
          </w:p>
        </w:tc>
        <w:tc>
          <w:tcPr>
            <w:tcW w:w="1079" w:type="dxa"/>
            <w:vAlign w:val="top"/>
          </w:tcPr>
          <w:p w14:paraId="48552A8B">
            <w:pPr>
              <w:pStyle w:val="188"/>
              <w:spacing w:before="100"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24小时</w:t>
            </w:r>
          </w:p>
        </w:tc>
        <w:tc>
          <w:tcPr>
            <w:tcW w:w="2033" w:type="dxa"/>
            <w:vAlign w:val="top"/>
          </w:tcPr>
          <w:p w14:paraId="3633FB69">
            <w:pPr>
              <w:pStyle w:val="188"/>
              <w:spacing w:before="98" w:line="220" w:lineRule="auto"/>
              <w:ind w:left="7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李思嘉15191820101</w:t>
            </w:r>
          </w:p>
        </w:tc>
      </w:tr>
      <w:tr w14:paraId="6072A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84" w:type="dxa"/>
            <w:vAlign w:val="top"/>
          </w:tcPr>
          <w:p w14:paraId="480190CD">
            <w:pPr>
              <w:pStyle w:val="188"/>
              <w:spacing w:before="130" w:line="230" w:lineRule="auto"/>
              <w:ind w:left="224"/>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13</w:t>
            </w:r>
          </w:p>
        </w:tc>
        <w:tc>
          <w:tcPr>
            <w:tcW w:w="1039" w:type="dxa"/>
            <w:vAlign w:val="top"/>
          </w:tcPr>
          <w:p w14:paraId="36CD034F">
            <w:pPr>
              <w:pStyle w:val="188"/>
              <w:spacing w:before="109" w:line="220" w:lineRule="auto"/>
              <w:ind w:left="7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建设银行</w:t>
            </w:r>
          </w:p>
        </w:tc>
        <w:tc>
          <w:tcPr>
            <w:tcW w:w="1049" w:type="dxa"/>
            <w:vAlign w:val="top"/>
          </w:tcPr>
          <w:p w14:paraId="1B17191D">
            <w:pPr>
              <w:pStyle w:val="188"/>
              <w:spacing w:before="110" w:line="221" w:lineRule="auto"/>
              <w:ind w:left="241"/>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E政通</w:t>
            </w:r>
          </w:p>
        </w:tc>
        <w:tc>
          <w:tcPr>
            <w:tcW w:w="1079" w:type="dxa"/>
            <w:vAlign w:val="top"/>
          </w:tcPr>
          <w:p w14:paraId="7A036C97">
            <w:pPr>
              <w:pStyle w:val="188"/>
              <w:spacing w:before="109" w:line="220" w:lineRule="auto"/>
              <w:ind w:left="132"/>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1000万元</w:t>
            </w:r>
          </w:p>
        </w:tc>
        <w:tc>
          <w:tcPr>
            <w:tcW w:w="1108" w:type="dxa"/>
            <w:vAlign w:val="top"/>
          </w:tcPr>
          <w:p w14:paraId="19882E30">
            <w:pPr>
              <w:pStyle w:val="188"/>
              <w:spacing w:before="109" w:line="219" w:lineRule="auto"/>
              <w:ind w:left="383"/>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1年</w:t>
            </w:r>
          </w:p>
        </w:tc>
        <w:tc>
          <w:tcPr>
            <w:tcW w:w="1388" w:type="dxa"/>
            <w:vAlign w:val="top"/>
          </w:tcPr>
          <w:p w14:paraId="26071C0C">
            <w:pPr>
              <w:pStyle w:val="188"/>
              <w:spacing w:before="130" w:line="230" w:lineRule="auto"/>
              <w:ind w:left="466"/>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3.2%</w:t>
            </w:r>
          </w:p>
        </w:tc>
        <w:tc>
          <w:tcPr>
            <w:tcW w:w="1079" w:type="dxa"/>
            <w:vAlign w:val="top"/>
          </w:tcPr>
          <w:p w14:paraId="3132A7EB">
            <w:pPr>
              <w:pStyle w:val="188"/>
              <w:spacing w:before="112" w:line="221" w:lineRule="auto"/>
              <w:ind w:left="207"/>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72小时</w:t>
            </w:r>
          </w:p>
        </w:tc>
        <w:tc>
          <w:tcPr>
            <w:tcW w:w="2033" w:type="dxa"/>
            <w:vAlign w:val="top"/>
          </w:tcPr>
          <w:p w14:paraId="4E0733F2">
            <w:pPr>
              <w:pStyle w:val="188"/>
              <w:spacing w:before="109" w:line="220" w:lineRule="auto"/>
              <w:ind w:left="188"/>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张宇15929397838</w:t>
            </w:r>
          </w:p>
        </w:tc>
      </w:tr>
    </w:tbl>
    <w:p w14:paraId="5F2B20CA">
      <w:pPr>
        <w:keepNext/>
        <w:keepLines/>
        <w:pageBreakBefore w:val="0"/>
        <w:widowControl w:val="0"/>
        <w:kinsoku/>
        <w:wordWrap/>
        <w:overflowPunct/>
        <w:topLinePunct w:val="0"/>
        <w:autoSpaceDE w:val="0"/>
        <w:autoSpaceDN w:val="0"/>
        <w:bidi w:val="0"/>
        <w:adjustRightInd w:val="0"/>
        <w:snapToGrid/>
        <w:spacing w:before="157" w:beforeLines="50"/>
        <w:ind w:firstLine="0" w:firstLineChars="0"/>
        <w:textAlignment w:val="auto"/>
        <w:outlineLvl w:val="9"/>
        <w:rPr>
          <w:rFonts w:hint="eastAsia" w:ascii="仿宋" w:hAnsi="仿宋" w:eastAsia="仿宋" w:cs="仿宋"/>
          <w:b/>
          <w:bCs/>
          <w:color w:val="auto"/>
          <w:sz w:val="24"/>
          <w:szCs w:val="24"/>
          <w:highlight w:val="none"/>
        </w:rPr>
      </w:pPr>
      <w:bookmarkStart w:id="383" w:name="_Toc30569"/>
      <w:r>
        <w:rPr>
          <w:rFonts w:hint="eastAsia" w:ascii="仿宋" w:hAnsi="仿宋" w:eastAsia="仿宋" w:cs="仿宋"/>
          <w:b/>
          <w:bCs/>
          <w:i w:val="0"/>
          <w:iCs w:val="0"/>
          <w:color w:val="auto"/>
          <w:kern w:val="0"/>
          <w:sz w:val="21"/>
          <w:szCs w:val="21"/>
          <w:highlight w:val="none"/>
          <w:u w:val="none"/>
          <w:lang w:val="en-US" w:eastAsia="zh-CN" w:bidi="ar"/>
        </w:rPr>
        <w:t>备注：银行排名不分先后。如产品额度、期限、利率等内容发生改变，以银行解释为准</w:t>
      </w:r>
      <w:r>
        <w:rPr>
          <w:rFonts w:hint="eastAsia" w:ascii="仿宋" w:hAnsi="仿宋" w:eastAsia="仿宋" w:cs="仿宋"/>
          <w:b/>
          <w:bCs/>
          <w:i w:val="0"/>
          <w:iCs w:val="0"/>
          <w:color w:val="auto"/>
          <w:kern w:val="0"/>
          <w:sz w:val="22"/>
          <w:szCs w:val="22"/>
          <w:highlight w:val="none"/>
          <w:u w:val="none"/>
          <w:lang w:val="en-US" w:eastAsia="zh-CN" w:bidi="ar"/>
        </w:rPr>
        <w:t>。</w:t>
      </w:r>
      <w:bookmarkEnd w:id="383"/>
    </w:p>
    <w:p w14:paraId="3C459394">
      <w:pPr>
        <w:pStyle w:val="5"/>
        <w:keepNext/>
        <w:keepLines/>
        <w:pageBreakBefore w:val="0"/>
        <w:widowControl w:val="0"/>
        <w:kinsoku/>
        <w:wordWrap/>
        <w:overflowPunct/>
        <w:topLinePunct w:val="0"/>
        <w:autoSpaceDE w:val="0"/>
        <w:autoSpaceDN w:val="0"/>
        <w:bidi w:val="0"/>
        <w:adjustRightInd w:val="0"/>
        <w:snapToGrid/>
        <w:spacing w:before="157" w:beforeLines="50"/>
        <w:ind w:firstLine="0" w:firstLineChars="0"/>
        <w:textAlignment w:val="auto"/>
        <w:rPr>
          <w:rFonts w:hint="eastAsia" w:ascii="仿宋" w:hAnsi="仿宋" w:eastAsia="仿宋" w:cs="仿宋"/>
          <w:color w:val="auto"/>
          <w:sz w:val="24"/>
          <w:szCs w:val="24"/>
          <w:highlight w:val="none"/>
        </w:rPr>
      </w:pPr>
      <w:bookmarkStart w:id="384" w:name="_Toc518923100"/>
      <w:bookmarkStart w:id="385" w:name="_Toc11062"/>
      <w:bookmarkStart w:id="386" w:name="_Toc14147"/>
      <w:bookmarkStart w:id="387" w:name="_Toc2583661"/>
      <w:bookmarkStart w:id="388" w:name="_Toc32021"/>
      <w:r>
        <w:rPr>
          <w:rFonts w:hint="eastAsia" w:ascii="仿宋" w:hAnsi="仿宋" w:eastAsia="仿宋" w:cs="仿宋"/>
          <w:color w:val="auto"/>
          <w:sz w:val="24"/>
          <w:szCs w:val="24"/>
          <w:highlight w:val="none"/>
        </w:rPr>
        <w:t>35.    廉洁自律规定</w:t>
      </w:r>
      <w:bookmarkEnd w:id="384"/>
      <w:bookmarkEnd w:id="385"/>
      <w:bookmarkEnd w:id="386"/>
      <w:bookmarkEnd w:id="387"/>
      <w:bookmarkEnd w:id="388"/>
    </w:p>
    <w:p w14:paraId="378F15B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35.1   采购代理机构工作人员不得以不正当手段获取政府采购代理业务，不得与采购人、投标人恶意串通。</w:t>
      </w:r>
    </w:p>
    <w:p w14:paraId="0EB92D76">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35.2   采购代理机构工作人员不得接受采购人或者投标人组织的宴请、旅游、娱乐，不得收受礼品、现金、有价证券等，不得向采购人或者投标人报销应当由个人承担的费用。</w:t>
      </w:r>
    </w:p>
    <w:p w14:paraId="0FAE2CC6">
      <w:pPr>
        <w:pStyle w:val="5"/>
        <w:ind w:firstLine="0" w:firstLineChars="0"/>
        <w:rPr>
          <w:rFonts w:hint="eastAsia" w:ascii="仿宋" w:hAnsi="仿宋" w:eastAsia="仿宋" w:cs="仿宋"/>
          <w:color w:val="auto"/>
          <w:sz w:val="24"/>
          <w:szCs w:val="24"/>
          <w:highlight w:val="none"/>
        </w:rPr>
      </w:pPr>
      <w:bookmarkStart w:id="389" w:name="_Toc23895"/>
      <w:bookmarkStart w:id="390" w:name="_Toc23204"/>
      <w:bookmarkStart w:id="391" w:name="_Toc9007"/>
      <w:bookmarkStart w:id="392" w:name="_Toc2583662"/>
      <w:bookmarkStart w:id="393" w:name="_Toc518923101"/>
      <w:r>
        <w:rPr>
          <w:rFonts w:hint="eastAsia" w:ascii="仿宋" w:hAnsi="仿宋" w:eastAsia="仿宋" w:cs="仿宋"/>
          <w:color w:val="auto"/>
          <w:sz w:val="24"/>
          <w:szCs w:val="24"/>
          <w:highlight w:val="none"/>
        </w:rPr>
        <w:t>36.    人员回避</w:t>
      </w:r>
      <w:bookmarkEnd w:id="389"/>
      <w:bookmarkEnd w:id="390"/>
      <w:bookmarkEnd w:id="391"/>
      <w:bookmarkEnd w:id="392"/>
      <w:bookmarkEnd w:id="393"/>
    </w:p>
    <w:p w14:paraId="3CA38187">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潜在投标人认为招标文件使自己的权益受到损害的，投标人认为采购人员及其相关人员有法律法规所列与其他投标人有利害关系的，均可以向采购人或采购代理机构书面提出回避申请，并说明理由。</w:t>
      </w:r>
    </w:p>
    <w:p w14:paraId="37F34430">
      <w:pPr>
        <w:pStyle w:val="5"/>
        <w:ind w:firstLine="0" w:firstLineChars="0"/>
        <w:rPr>
          <w:rFonts w:hint="eastAsia" w:ascii="仿宋" w:hAnsi="仿宋" w:eastAsia="仿宋" w:cs="仿宋"/>
          <w:color w:val="auto"/>
          <w:sz w:val="24"/>
          <w:szCs w:val="24"/>
          <w:highlight w:val="none"/>
        </w:rPr>
      </w:pPr>
      <w:bookmarkStart w:id="394" w:name="_Toc30560"/>
      <w:bookmarkStart w:id="395" w:name="_Toc23141"/>
      <w:bookmarkStart w:id="396" w:name="_Toc2583663"/>
      <w:bookmarkStart w:id="397" w:name="_Toc26077"/>
      <w:bookmarkStart w:id="398" w:name="_Toc518923102"/>
      <w:r>
        <w:rPr>
          <w:rFonts w:hint="eastAsia" w:ascii="仿宋" w:hAnsi="仿宋" w:eastAsia="仿宋" w:cs="仿宋"/>
          <w:color w:val="auto"/>
          <w:sz w:val="24"/>
          <w:szCs w:val="24"/>
          <w:highlight w:val="none"/>
        </w:rPr>
        <w:t>37.    质疑的提出与接收</w:t>
      </w:r>
      <w:bookmarkEnd w:id="394"/>
      <w:bookmarkEnd w:id="395"/>
      <w:bookmarkEnd w:id="396"/>
      <w:bookmarkEnd w:id="397"/>
      <w:bookmarkEnd w:id="398"/>
    </w:p>
    <w:p w14:paraId="0A68D032">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8D5DF99">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37.2   </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人应按照财政部制定的《政府采购质疑函范本》格式（可从</w:t>
      </w:r>
      <w:r>
        <w:rPr>
          <w:rFonts w:hint="eastAsia" w:ascii="仿宋" w:hAnsi="仿宋" w:eastAsia="仿宋" w:cs="仿宋"/>
          <w:color w:val="auto"/>
          <w:sz w:val="24"/>
          <w:highlight w:val="none"/>
          <w:lang w:val="en-US" w:eastAsia="zh-CN"/>
        </w:rPr>
        <w:t>中国政府采购网首页下载专区</w:t>
      </w:r>
      <w:r>
        <w:rPr>
          <w:rFonts w:hint="eastAsia" w:ascii="仿宋" w:hAnsi="仿宋" w:eastAsia="仿宋" w:cs="仿宋"/>
          <w:color w:val="auto"/>
          <w:sz w:val="24"/>
          <w:highlight w:val="none"/>
        </w:rPr>
        <w:t>下载）和《政府采购质疑和投诉办法》的要求，在法定质疑期内以书面形式提出质疑，针对同一采购程序环节的质疑应一次性提出。</w:t>
      </w:r>
    </w:p>
    <w:p w14:paraId="20026763">
      <w:pPr>
        <w:spacing w:line="360" w:lineRule="auto"/>
        <w:ind w:left="840" w:left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超出法定质疑期提交的质疑将被拒绝。</w:t>
      </w:r>
    </w:p>
    <w:p w14:paraId="66101529">
      <w:pPr>
        <w:spacing w:line="360" w:lineRule="auto"/>
        <w:ind w:left="851" w:leftChars="405" w:hanging="1"/>
        <w:rPr>
          <w:rFonts w:hint="eastAsia" w:ascii="仿宋" w:hAnsi="仿宋" w:eastAsia="仿宋" w:cs="仿宋"/>
          <w:color w:val="auto"/>
          <w:sz w:val="24"/>
          <w:highlight w:val="none"/>
        </w:rPr>
      </w:pPr>
      <w:r>
        <w:rPr>
          <w:rFonts w:hint="eastAsia" w:ascii="仿宋" w:hAnsi="仿宋" w:eastAsia="仿宋" w:cs="仿宋"/>
          <w:color w:val="auto"/>
          <w:sz w:val="24"/>
          <w:highlight w:val="none"/>
        </w:rPr>
        <w:t>重复或分次提出的、内容或形式不符合《政府采购质疑和投诉办法》的，质疑投标人将依法承担不利后果。</w:t>
      </w:r>
    </w:p>
    <w:p w14:paraId="4CC1E79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37.3   投标人提交质疑函的要求</w:t>
      </w:r>
    </w:p>
    <w:p w14:paraId="655F817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37.3.1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投标人提出质疑时，应提交质疑函和必要的证明材料。</w:t>
      </w:r>
    </w:p>
    <w:p w14:paraId="0B29C5A0">
      <w:pPr>
        <w:spacing w:line="360" w:lineRule="auto"/>
        <w:ind w:left="850" w:hanging="849" w:hangingChars="354"/>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37.3.2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质疑投标人若委托代理人进行质疑的，质疑函应按要求列明“授权代表”的有关内容，并在附件中提交由质疑投标人签署的授权委托书。授权委托书应载明代理人的姓名、代理事项、具体权限、期限和相关事项。</w:t>
      </w:r>
    </w:p>
    <w:p w14:paraId="30CE450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37.3.3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质疑投标人若对项目的某一分包进行质疑，质疑函中应列明具体分包号。</w:t>
      </w:r>
    </w:p>
    <w:p w14:paraId="108EA9D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37.3.4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质疑函的质疑请求应与质疑事项相关。</w:t>
      </w:r>
    </w:p>
    <w:p w14:paraId="4FDEDC9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37.3.5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质疑函的质疑事项应具体、明确，并有必要的事实依据。</w:t>
      </w:r>
    </w:p>
    <w:p w14:paraId="3BDC6D60">
      <w:pPr>
        <w:spacing w:line="360" w:lineRule="auto"/>
        <w:ind w:left="840" w:hanging="840" w:hangingChars="3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37.3.6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质疑投标人为自然人的，质疑函应由本人签字，质疑投标人为法人或其他组织的，质疑函应由法定代表人、主要负责人，或者其授权代表签字或盖章，并加盖公章。授权代表签字的需提供相应的授权书。</w:t>
      </w:r>
    </w:p>
    <w:p w14:paraId="664B7617">
      <w:pPr>
        <w:spacing w:line="360" w:lineRule="auto"/>
        <w:rPr>
          <w:rFonts w:hint="eastAsia" w:ascii="仿宋" w:hAnsi="仿宋" w:eastAsia="仿宋" w:cs="仿宋"/>
          <w:color w:val="auto"/>
          <w:sz w:val="24"/>
          <w:highlight w:val="none"/>
          <w:u w:val="single"/>
        </w:rPr>
        <w:sectPr>
          <w:footerReference r:id="rId5" w:type="default"/>
          <w:pgSz w:w="11906" w:h="16838"/>
          <w:pgMar w:top="1418" w:right="1418" w:bottom="1418" w:left="1418" w:header="851" w:footer="992" w:gutter="0"/>
          <w:pgNumType w:fmt="decimal" w:start="1"/>
          <w:cols w:space="720" w:num="1"/>
          <w:docGrid w:type="linesAndChars" w:linePitch="312" w:charSpace="0"/>
        </w:sectPr>
      </w:pPr>
      <w:r>
        <w:rPr>
          <w:rFonts w:hint="eastAsia" w:ascii="仿宋" w:hAnsi="仿宋" w:eastAsia="仿宋" w:cs="仿宋"/>
          <w:color w:val="auto"/>
          <w:sz w:val="24"/>
          <w:highlight w:val="none"/>
        </w:rPr>
        <w:t>37.4   质疑函接收部门、联系电话和通讯地址， 见</w:t>
      </w:r>
      <w:r>
        <w:rPr>
          <w:rFonts w:hint="eastAsia" w:ascii="仿宋" w:hAnsi="仿宋" w:eastAsia="仿宋" w:cs="仿宋"/>
          <w:color w:val="auto"/>
          <w:sz w:val="24"/>
          <w:highlight w:val="none"/>
          <w:u w:val="single"/>
        </w:rPr>
        <w:t>投标人须知前附表。</w:t>
      </w:r>
      <w:bookmarkEnd w:id="370"/>
      <w:bookmarkEnd w:id="371"/>
      <w:bookmarkEnd w:id="372"/>
      <w:bookmarkEnd w:id="373"/>
      <w:bookmarkEnd w:id="374"/>
    </w:p>
    <w:p w14:paraId="4EB4CA24">
      <w:pPr>
        <w:pStyle w:val="3"/>
        <w:jc w:val="both"/>
        <w:rPr>
          <w:rFonts w:hint="eastAsia" w:ascii="仿宋" w:hAnsi="仿宋" w:eastAsia="仿宋" w:cs="仿宋"/>
          <w:color w:val="auto"/>
          <w:szCs w:val="24"/>
          <w:highlight w:val="none"/>
        </w:rPr>
      </w:pPr>
      <w:bookmarkStart w:id="399" w:name="_Toc13150"/>
      <w:bookmarkStart w:id="400" w:name="_Toc9531"/>
      <w:bookmarkStart w:id="401" w:name="_Toc29717"/>
      <w:r>
        <w:rPr>
          <w:rStyle w:val="51"/>
          <w:rFonts w:hint="eastAsia" w:ascii="仿宋" w:hAnsi="仿宋" w:eastAsia="仿宋" w:cs="仿宋"/>
          <w:b w:val="0"/>
          <w:bCs/>
          <w:color w:val="auto"/>
          <w:sz w:val="28"/>
          <w:szCs w:val="22"/>
          <w:highlight w:val="none"/>
        </w:rPr>
        <w:t>附件1：投标担保函</w:t>
      </w:r>
      <w:bookmarkEnd w:id="399"/>
      <w:bookmarkEnd w:id="400"/>
      <w:bookmarkEnd w:id="401"/>
    </w:p>
    <w:p w14:paraId="425E5ADB">
      <w:pPr>
        <w:pStyle w:val="4"/>
        <w:snapToGrid w:val="0"/>
        <w:spacing w:line="288" w:lineRule="auto"/>
        <w:jc w:val="center"/>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（适用于投标保证金保函）</w:t>
      </w:r>
    </w:p>
    <w:p w14:paraId="17173BBB">
      <w:pPr>
        <w:snapToGrid w:val="0"/>
        <w:spacing w:line="288" w:lineRule="auto"/>
        <w:ind w:right="4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保函编号:</w:t>
      </w:r>
    </w:p>
    <w:p w14:paraId="0DA72E45">
      <w:pPr>
        <w:snapToGrid w:val="0"/>
        <w:spacing w:line="288" w:lineRule="auto"/>
        <w:jc w:val="left"/>
        <w:rPr>
          <w:rFonts w:hint="eastAsia" w:ascii="仿宋" w:hAnsi="仿宋" w:eastAsia="仿宋" w:cs="仿宋"/>
          <w:color w:val="auto"/>
          <w:sz w:val="24"/>
          <w:highlight w:val="none"/>
          <w:u w:val="single"/>
        </w:rPr>
      </w:pPr>
    </w:p>
    <w:p w14:paraId="6FF4C55D">
      <w:pPr>
        <w:snapToGrid w:val="0"/>
        <w:spacing w:line="288"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陕西省采购招标有限责任公司</w:t>
      </w:r>
      <w:r>
        <w:rPr>
          <w:rFonts w:hint="eastAsia" w:ascii="仿宋" w:hAnsi="仿宋" w:eastAsia="仿宋" w:cs="仿宋"/>
          <w:color w:val="auto"/>
          <w:sz w:val="24"/>
          <w:highlight w:val="none"/>
        </w:rPr>
        <w:t>（下称受益人）:</w:t>
      </w:r>
    </w:p>
    <w:p w14:paraId="5525DFDA">
      <w:pPr>
        <w:snapToGrid w:val="0"/>
        <w:spacing w:line="288"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鉴于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（下称被保证人）将于</w:t>
      </w:r>
      <w:r>
        <w:rPr>
          <w:rFonts w:hint="eastAsia" w:ascii="仿宋" w:hAnsi="仿宋" w:eastAsia="仿宋" w:cs="仿宋"/>
          <w:color w:val="auto"/>
          <w:sz w:val="24"/>
          <w:highlight w:val="none"/>
          <w:u w:val="single"/>
        </w:rPr>
        <w:t>    年 月 日</w:t>
      </w:r>
      <w:r>
        <w:rPr>
          <w:rFonts w:hint="eastAsia" w:ascii="仿宋" w:hAnsi="仿宋" w:eastAsia="仿宋" w:cs="仿宋"/>
          <w:color w:val="auto"/>
          <w:sz w:val="24"/>
          <w:highlight w:val="none"/>
        </w:rPr>
        <w:t>参加贵方招标编号为</w:t>
      </w:r>
      <w:r>
        <w:rPr>
          <w:rFonts w:hint="eastAsia" w:ascii="仿宋" w:hAnsi="仿宋" w:eastAsia="仿宋" w:cs="仿宋"/>
          <w:color w:val="auto"/>
          <w:sz w:val="24"/>
          <w:highlight w:val="none"/>
          <w:u w:val="single"/>
        </w:rPr>
        <w:t> （采购项目编号）</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的投标，我方接受被保证人的委托，在此向受益人提供不可撤销的投标保证：</w:t>
      </w:r>
    </w:p>
    <w:p w14:paraId="37C83BAC">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一、本保证担保的担保金额为</w:t>
      </w:r>
      <w:r>
        <w:rPr>
          <w:rFonts w:hint="eastAsia" w:ascii="仿宋" w:hAnsi="仿宋" w:eastAsia="仿宋" w:cs="仿宋"/>
          <w:color w:val="auto"/>
          <w:sz w:val="24"/>
          <w:highlight w:val="none"/>
          <w:u w:val="single"/>
        </w:rPr>
        <w:t>人民币</w:t>
      </w:r>
      <w:r>
        <w:rPr>
          <w:rFonts w:hint="eastAsia" w:ascii="仿宋" w:hAnsi="仿宋" w:eastAsia="仿宋" w:cs="仿宋"/>
          <w:color w:val="auto"/>
          <w:sz w:val="24"/>
          <w:highlight w:val="none"/>
        </w:rPr>
        <w:t>（币种</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元（小写）</w:t>
      </w:r>
      <w:r>
        <w:rPr>
          <w:rFonts w:hint="eastAsia" w:ascii="仿宋" w:hAnsi="仿宋" w:eastAsia="仿宋" w:cs="仿宋"/>
          <w:color w:val="auto"/>
          <w:sz w:val="24"/>
          <w:highlight w:val="none"/>
          <w:u w:val="single"/>
        </w:rPr>
        <w:t xml:space="preserve">     元整</w:t>
      </w:r>
      <w:r>
        <w:rPr>
          <w:rFonts w:hint="eastAsia" w:ascii="仿宋" w:hAnsi="仿宋" w:eastAsia="仿宋" w:cs="仿宋"/>
          <w:color w:val="auto"/>
          <w:sz w:val="24"/>
          <w:highlight w:val="none"/>
        </w:rPr>
        <w:t>（大写）。</w:t>
      </w:r>
    </w:p>
    <w:p w14:paraId="38296EFC">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二、本保证担保的保证期间为该项目的投标有效期（或延长的投标有效期）后28日（含28日），延长投标有效期无须通知我方。</w:t>
      </w:r>
    </w:p>
    <w:p w14:paraId="59C522E5">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三、在本保证担保的保证期间内，如果被保证人出现下列情形之一，受益人可以向我方提起索赔：</w:t>
      </w:r>
    </w:p>
    <w:p w14:paraId="7D27004B">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 被保证人在招标文件规定的投标有效期内撤</w:t>
      </w:r>
      <w:r>
        <w:rPr>
          <w:rFonts w:hint="eastAsia" w:ascii="仿宋" w:hAnsi="仿宋" w:eastAsia="仿宋" w:cs="仿宋"/>
          <w:color w:val="auto"/>
          <w:sz w:val="24"/>
          <w:highlight w:val="none"/>
          <w:lang w:val="en-US" w:eastAsia="zh-CN"/>
        </w:rPr>
        <w:t>销</w:t>
      </w:r>
      <w:r>
        <w:rPr>
          <w:rFonts w:hint="eastAsia" w:ascii="仿宋" w:hAnsi="仿宋" w:eastAsia="仿宋" w:cs="仿宋"/>
          <w:color w:val="auto"/>
          <w:sz w:val="24"/>
          <w:highlight w:val="none"/>
        </w:rPr>
        <w:t>其投标；</w:t>
      </w:r>
    </w:p>
    <w:p w14:paraId="7F3155C2">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 被保证人在投标有效期内收到受益人发出的中标通知书后，不能或拒绝按招标文件的要求签署合同；</w:t>
      </w:r>
    </w:p>
    <w:p w14:paraId="5363E747">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 被保证人在投标有效期内收到受益人发出的中标通知书后，不能或拒绝按招标文件的规定提交履约担保；</w:t>
      </w:r>
    </w:p>
    <w:p w14:paraId="5F7B5F95">
      <w:pPr>
        <w:snapToGrid w:val="0"/>
        <w:spacing w:line="288"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4. 被保证人中标后未按照招标文件规定交纳招标代理服务费。</w:t>
      </w:r>
    </w:p>
    <w:p w14:paraId="24375B80">
      <w:pPr>
        <w:snapToGrid w:val="0"/>
        <w:spacing w:line="288" w:lineRule="auto"/>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 被保证人投标过程中提供虚假材料。</w:t>
      </w:r>
    </w:p>
    <w:p w14:paraId="7EDEF016">
      <w:pPr>
        <w:snapToGrid w:val="0"/>
        <w:spacing w:line="288" w:lineRule="auto"/>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 被保证人与采购人、其他供应商、采购代理机构恶意串通。</w:t>
      </w:r>
    </w:p>
    <w:p w14:paraId="136012E3">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四、在本保证担保的保证期间内，我方收到受益人经法定代表人或其授权委托代理人签字并加盖公章的书面索赔通知后，将不争辩、不挑剔、不可撤销地立即向受益人支付本保证担保的担保金额。</w:t>
      </w:r>
    </w:p>
    <w:p w14:paraId="06B8049B">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五、受益人的索赔通知应当说明索赔理由，并必须在本保证担保的保证期间内送达我方。</w:t>
      </w:r>
    </w:p>
    <w:p w14:paraId="25CB1D41">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六、本保证担保项下的权利不得转让。</w:t>
      </w:r>
    </w:p>
    <w:p w14:paraId="2753F212">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七、本保证担保的保证期间届满，或我方已向受益人支付本保证担保的担保金额，我方的保证责任免除。</w:t>
      </w:r>
    </w:p>
    <w:p w14:paraId="3AC544EA">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八、本保证担保适用中华人民共和国法律。</w:t>
      </w:r>
    </w:p>
    <w:p w14:paraId="7AADB7BD">
      <w:pPr>
        <w:snapToGrid w:val="0"/>
        <w:spacing w:line="288"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九、本保证担保以中文文本为准，涂改无效。</w:t>
      </w:r>
    </w:p>
    <w:p w14:paraId="2DA175C6">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保证人（盖章）：</w:t>
      </w:r>
      <w:r>
        <w:rPr>
          <w:rFonts w:hint="eastAsia" w:ascii="仿宋" w:hAnsi="仿宋" w:eastAsia="仿宋" w:cs="仿宋"/>
          <w:color w:val="auto"/>
          <w:sz w:val="24"/>
          <w:highlight w:val="none"/>
          <w:u w:val="single"/>
        </w:rPr>
        <w:t xml:space="preserve">                                      </w:t>
      </w:r>
    </w:p>
    <w:p w14:paraId="451B468F">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法定代表人或其授权委托代理人（签字）：</w:t>
      </w:r>
      <w:r>
        <w:rPr>
          <w:rFonts w:hint="eastAsia" w:ascii="仿宋" w:hAnsi="仿宋" w:eastAsia="仿宋" w:cs="仿宋"/>
          <w:color w:val="auto"/>
          <w:sz w:val="24"/>
          <w:highlight w:val="none"/>
          <w:u w:val="single"/>
        </w:rPr>
        <w:t xml:space="preserve">                </w:t>
      </w:r>
    </w:p>
    <w:p w14:paraId="2545AD7A">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单位地址：</w:t>
      </w:r>
      <w:r>
        <w:rPr>
          <w:rFonts w:hint="eastAsia" w:ascii="仿宋" w:hAnsi="仿宋" w:eastAsia="仿宋" w:cs="仿宋"/>
          <w:color w:val="auto"/>
          <w:sz w:val="24"/>
          <w:highlight w:val="none"/>
          <w:u w:val="single"/>
        </w:rPr>
        <w:t xml:space="preserve">                                              </w:t>
      </w:r>
    </w:p>
    <w:p w14:paraId="3437A719">
      <w:pPr>
        <w:snapToGrid w:val="0"/>
        <w:spacing w:line="48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p>
    <w:p w14:paraId="12A6D910">
      <w:pPr>
        <w:pStyle w:val="29"/>
        <w:snapToGrid w:val="0"/>
        <w:spacing w:before="0" w:beforeAutospacing="0" w:after="0" w:afterAutospacing="0" w:line="480" w:lineRule="exact"/>
        <w:jc w:val="both"/>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年      月      日</w:t>
      </w:r>
    </w:p>
    <w:p w14:paraId="4D6E7A95">
      <w:pPr>
        <w:pStyle w:val="3"/>
        <w:spacing w:before="0" w:line="360" w:lineRule="auto"/>
        <w:jc w:val="both"/>
        <w:rPr>
          <w:rFonts w:hint="eastAsia" w:ascii="仿宋" w:hAnsi="仿宋" w:eastAsia="仿宋" w:cs="仿宋"/>
          <w:color w:val="auto"/>
          <w:szCs w:val="24"/>
          <w:highlight w:val="none"/>
        </w:rPr>
      </w:pPr>
      <w:bookmarkStart w:id="402" w:name="_Toc515647799"/>
      <w:bookmarkStart w:id="403" w:name="_Toc532473491"/>
      <w:bookmarkStart w:id="404" w:name="_Toc16186"/>
      <w:bookmarkStart w:id="405" w:name="_Toc21748"/>
      <w:r>
        <w:rPr>
          <w:rFonts w:hint="eastAsia" w:ascii="仿宋" w:hAnsi="仿宋" w:eastAsia="仿宋" w:cs="仿宋"/>
          <w:color w:val="auto"/>
          <w:szCs w:val="24"/>
          <w:highlight w:val="none"/>
        </w:rPr>
        <w:br w:type="page"/>
      </w:r>
      <w:bookmarkEnd w:id="402"/>
      <w:bookmarkEnd w:id="403"/>
      <w:bookmarkEnd w:id="404"/>
      <w:bookmarkEnd w:id="405"/>
      <w:bookmarkStart w:id="406" w:name="_Toc16581"/>
      <w:bookmarkStart w:id="407" w:name="_Toc6548"/>
      <w:bookmarkStart w:id="408" w:name="_Toc532473492"/>
      <w:bookmarkStart w:id="409" w:name="_Toc29054"/>
      <w:bookmarkStart w:id="410" w:name="_Toc21247"/>
      <w:bookmarkStart w:id="411" w:name="_Toc515647800"/>
      <w:bookmarkStart w:id="412" w:name="_Toc10951"/>
      <w:r>
        <w:rPr>
          <w:rFonts w:hint="eastAsia" w:ascii="仿宋" w:hAnsi="仿宋" w:eastAsia="仿宋" w:cs="仿宋"/>
          <w:b w:val="0"/>
          <w:bCs/>
          <w:color w:val="auto"/>
          <w:sz w:val="28"/>
          <w:szCs w:val="22"/>
          <w:highlight w:val="none"/>
        </w:rPr>
        <w:t>附件2：履约担保函格式</w:t>
      </w:r>
      <w:bookmarkEnd w:id="406"/>
      <w:bookmarkEnd w:id="407"/>
      <w:bookmarkEnd w:id="408"/>
      <w:bookmarkEnd w:id="409"/>
      <w:bookmarkEnd w:id="410"/>
      <w:bookmarkEnd w:id="411"/>
      <w:bookmarkEnd w:id="412"/>
    </w:p>
    <w:p w14:paraId="6B370C99">
      <w:pPr>
        <w:snapToGrid w:val="0"/>
        <w:spacing w:line="336"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编号：</w:t>
      </w:r>
    </w:p>
    <w:p w14:paraId="5C44E301">
      <w:pPr>
        <w:snapToGrid w:val="0"/>
        <w:spacing w:line="336" w:lineRule="auto"/>
        <w:rPr>
          <w:rFonts w:hint="eastAsia" w:ascii="仿宋" w:hAnsi="仿宋" w:eastAsia="仿宋" w:cs="仿宋"/>
          <w:color w:val="auto"/>
          <w:sz w:val="24"/>
          <w:highlight w:val="none"/>
        </w:rPr>
      </w:pPr>
    </w:p>
    <w:p w14:paraId="007FA971">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（采购人名称）：</w:t>
      </w:r>
    </w:p>
    <w:p w14:paraId="05FE94A0">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鉴于你方与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（以下简称供应商）于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日签定编号为   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政府采购合同》（以下简称主合同），且依据该合同的约定，供应商应在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日前向你方交纳履约保证金，且可以履约担保函的形式交纳履约保证金。应供应商的申请，我方以保证的方式向你方提供如下履约保证金担保：</w:t>
      </w:r>
    </w:p>
    <w:p w14:paraId="58F4D1E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一、保证责任的情形及保证金额</w:t>
      </w:r>
    </w:p>
    <w:p w14:paraId="501440A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（一）在供应商出现下列情形之一时，我方承担保证责任：</w:t>
      </w:r>
    </w:p>
    <w:p w14:paraId="7A805F02">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1．将中标项目转让给他人，或者在投标文件中未说明，且未经采购招标机构人同意，将中标项目分包给他人的；</w:t>
      </w:r>
    </w:p>
    <w:p w14:paraId="5A4DD79F">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2．主合同约定的应当缴纳履约保证金的情形: </w:t>
      </w:r>
    </w:p>
    <w:p w14:paraId="4249B10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（1）未按主合同约定的质量、数量和期限供应货物/提供服务/完成工程的；</w:t>
      </w:r>
    </w:p>
    <w:p w14:paraId="3B13058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1E827B7E">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（二）我方的保证范围是主合同约定的合同价款总额的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%数额为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），币种为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。（即主合同履约保证金金额）</w:t>
      </w:r>
    </w:p>
    <w:p w14:paraId="25F3C1A8">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二、保证的方式及保证期间</w:t>
      </w:r>
    </w:p>
    <w:p w14:paraId="7D8C6B8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我方保证的方式为：连带责任保证。</w:t>
      </w:r>
    </w:p>
    <w:p w14:paraId="397E783B">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我方保证的期间为：自本合同生效之日起至供应商按照主合同约定的供货/完工期限届满后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w:t>
      </w:r>
    </w:p>
    <w:p w14:paraId="6033DC8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如果供应商未按主合同约定向贵方供应货物/提供服务/完成工程的，由我方在保证金额内向你方支付上述款项。</w:t>
      </w:r>
    </w:p>
    <w:p w14:paraId="0AE699C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三、承担保证责任的程序</w:t>
      </w:r>
    </w:p>
    <w:p w14:paraId="3086C82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3E7C01F">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如果你方与供应商因货物质量问题产生争议，你方还需同时提供</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部门出具的质量检测报告，或经诉讼（仲裁）程序裁决后的裁决书、调解书，本保证人即按照检测结果或裁决书、调解书决定是否承担保证责任。</w:t>
      </w:r>
    </w:p>
    <w:p w14:paraId="36E0214E">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 我方收到你方的书面索赔通知及相应证明材料，在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工作日内进行核定后按照本保函的承诺承担保证责任。</w:t>
      </w:r>
    </w:p>
    <w:p w14:paraId="2C7809D0">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四、保证责任的终止</w:t>
      </w:r>
    </w:p>
    <w:p w14:paraId="6822BBF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38F549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2．我方按照本保函向你方履行了保证责任后，自我方向你方支付款项（支付款项从我方账户划出）之日起，保证责任即终止。</w:t>
      </w:r>
    </w:p>
    <w:p w14:paraId="36587E9A">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3．按照法律法规的规定或出现应终止我方保证责任的其它情形的，我方在本保函项下的保证责任亦终止。</w:t>
      </w:r>
    </w:p>
    <w:p w14:paraId="340FADA8">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5050EC3">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五、免责条款</w:t>
      </w:r>
    </w:p>
    <w:p w14:paraId="718CC45D">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1．因你方违反主合同约定致使供应商不能履行义务的，我方不承担保证责任。</w:t>
      </w:r>
    </w:p>
    <w:p w14:paraId="4E004583">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2．依照法律法规的规定或你方与供应商的另行约定，全部或者部分免除供应商应缴纳的保证金义务的，我方亦免除相应的保证责任。</w:t>
      </w:r>
    </w:p>
    <w:p w14:paraId="226EC9E4">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3．因不可抗力造成供应商不能履行供货义务的，我方不承担保证责任。</w:t>
      </w:r>
    </w:p>
    <w:p w14:paraId="601E916F">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六、争议的解决</w:t>
      </w:r>
    </w:p>
    <w:p w14:paraId="5950DC49">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因本保函发生的纠纷，由你我双方协商解决，协商不成的，通过诉讼程序解决，诉讼管辖地法院为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法院。</w:t>
      </w:r>
    </w:p>
    <w:p w14:paraId="157B84D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七、保函的生效</w:t>
      </w:r>
    </w:p>
    <w:p w14:paraId="0C2439EC">
      <w:pPr>
        <w:snapToGrid w:val="0"/>
        <w:spacing w:line="336"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本保函自我方加盖公章之日起生效。</w:t>
      </w:r>
    </w:p>
    <w:p w14:paraId="4D9647A9">
      <w:pPr>
        <w:snapToGrid w:val="0"/>
        <w:spacing w:line="336" w:lineRule="auto"/>
        <w:rPr>
          <w:rFonts w:hint="eastAsia" w:ascii="仿宋" w:hAnsi="仿宋" w:eastAsia="仿宋" w:cs="仿宋"/>
          <w:color w:val="auto"/>
          <w:sz w:val="24"/>
          <w:highlight w:val="none"/>
        </w:rPr>
      </w:pPr>
    </w:p>
    <w:p w14:paraId="7725FD17">
      <w:pPr>
        <w:snapToGrid w:val="0"/>
        <w:spacing w:line="33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5697C34">
      <w:pPr>
        <w:pStyle w:val="15"/>
        <w:spacing w:line="360" w:lineRule="auto"/>
        <w:ind w:left="1080"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出具保函单位名称（盖公章）：</w:t>
      </w:r>
      <w:r>
        <w:rPr>
          <w:rFonts w:hint="eastAsia" w:ascii="仿宋" w:hAnsi="仿宋" w:eastAsia="仿宋" w:cs="仿宋"/>
          <w:color w:val="auto"/>
          <w:sz w:val="24"/>
          <w:highlight w:val="none"/>
          <w:u w:val="single"/>
        </w:rPr>
        <w:t xml:space="preserve">                   </w:t>
      </w:r>
    </w:p>
    <w:p w14:paraId="6B41D95F">
      <w:pPr>
        <w:pStyle w:val="15"/>
        <w:spacing w:line="360" w:lineRule="auto"/>
        <w:ind w:left="1080" w:leftChars="257" w:hanging="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签字人姓名和职务：</w:t>
      </w:r>
      <w:r>
        <w:rPr>
          <w:rFonts w:hint="eastAsia" w:ascii="仿宋" w:hAnsi="仿宋" w:eastAsia="仿宋" w:cs="仿宋"/>
          <w:color w:val="auto"/>
          <w:sz w:val="24"/>
          <w:highlight w:val="none"/>
          <w:u w:val="single"/>
        </w:rPr>
        <w:t xml:space="preserve">                             </w:t>
      </w:r>
    </w:p>
    <w:p w14:paraId="633F727E">
      <w:pPr>
        <w:pStyle w:val="15"/>
        <w:spacing w:line="360" w:lineRule="auto"/>
        <w:ind w:left="1080"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签字人签名：</w:t>
      </w:r>
      <w:r>
        <w:rPr>
          <w:rFonts w:hint="eastAsia" w:ascii="仿宋" w:hAnsi="仿宋" w:eastAsia="仿宋" w:cs="仿宋"/>
          <w:color w:val="auto"/>
          <w:sz w:val="24"/>
          <w:highlight w:val="none"/>
          <w:u w:val="single"/>
        </w:rPr>
        <w:t xml:space="preserve">                                   </w:t>
      </w:r>
    </w:p>
    <w:p w14:paraId="3E9F4D13">
      <w:pPr>
        <w:pStyle w:val="15"/>
        <w:spacing w:line="360" w:lineRule="auto"/>
        <w:ind w:left="1080" w:leftChars="257" w:hanging="54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 xml:space="preserve">         年      月      日              </w:t>
      </w:r>
    </w:p>
    <w:p w14:paraId="0E2C9865">
      <w:pPr>
        <w:pStyle w:val="15"/>
        <w:spacing w:line="360" w:lineRule="auto"/>
        <w:ind w:left="1080" w:leftChars="257" w:hanging="540"/>
        <w:rPr>
          <w:rFonts w:hint="eastAsia" w:ascii="仿宋" w:hAnsi="仿宋" w:eastAsia="仿宋" w:cs="仿宋"/>
          <w:color w:val="auto"/>
          <w:sz w:val="24"/>
          <w:highlight w:val="none"/>
          <w:u w:val="single"/>
        </w:rPr>
      </w:pPr>
    </w:p>
    <w:p w14:paraId="1B41AA37">
      <w:pPr>
        <w:pStyle w:val="4"/>
        <w:spacing w:line="360" w:lineRule="auto"/>
        <w:ind w:firstLine="0"/>
        <w:rPr>
          <w:rFonts w:hint="eastAsia" w:ascii="仿宋" w:hAnsi="仿宋" w:eastAsia="仿宋" w:cs="仿宋"/>
          <w:color w:val="auto"/>
          <w:kern w:val="2"/>
          <w:szCs w:val="24"/>
          <w:highlight w:val="none"/>
        </w:rPr>
      </w:pPr>
    </w:p>
    <w:p w14:paraId="18A0CD49">
      <w:pPr>
        <w:pStyle w:val="31"/>
        <w:rPr>
          <w:rFonts w:hint="eastAsia" w:ascii="仿宋" w:hAnsi="仿宋" w:eastAsia="仿宋" w:cs="仿宋"/>
          <w:color w:val="auto"/>
          <w:highlight w:val="none"/>
        </w:rPr>
      </w:pPr>
      <w:bookmarkStart w:id="413" w:name="_Toc515647832"/>
      <w:bookmarkStart w:id="414" w:name="_Toc507399907"/>
      <w:bookmarkStart w:id="415" w:name="_Toc532044540"/>
      <w:bookmarkStart w:id="416" w:name="_Toc7971"/>
      <w:bookmarkStart w:id="417" w:name="_Toc532473756"/>
      <w:bookmarkStart w:id="418" w:name="_Toc32647"/>
      <w:bookmarkStart w:id="419" w:name="_Toc515647802"/>
      <w:bookmarkStart w:id="420" w:name="_Toc216582812"/>
      <w:bookmarkStart w:id="421" w:name="_Toc728"/>
      <w:bookmarkStart w:id="422" w:name="_Toc702"/>
      <w:bookmarkStart w:id="423" w:name="_Toc532473493"/>
      <w:r>
        <w:rPr>
          <w:rFonts w:hint="eastAsia" w:ascii="仿宋" w:hAnsi="仿宋" w:eastAsia="仿宋" w:cs="仿宋"/>
          <w:color w:val="auto"/>
          <w:highlight w:val="none"/>
        </w:rPr>
        <w:br w:type="page"/>
      </w:r>
      <w:bookmarkStart w:id="424" w:name="_Toc13441"/>
      <w:r>
        <w:rPr>
          <w:rFonts w:hint="eastAsia" w:ascii="仿宋" w:hAnsi="仿宋" w:eastAsia="仿宋" w:cs="仿宋"/>
          <w:color w:val="auto"/>
          <w:highlight w:val="none"/>
        </w:rPr>
        <w:t>第三章  评标方法和标准</w:t>
      </w:r>
      <w:bookmarkEnd w:id="413"/>
      <w:bookmarkEnd w:id="414"/>
      <w:bookmarkEnd w:id="415"/>
      <w:bookmarkEnd w:id="416"/>
      <w:bookmarkEnd w:id="417"/>
      <w:bookmarkEnd w:id="418"/>
      <w:bookmarkEnd w:id="424"/>
    </w:p>
    <w:p w14:paraId="00959AB5">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采购人委托采购代理机构负责组织本项目的评标工作。资格审查由采购人或者采购代理机构负责，评标工作由评标委员会负责。工作程序如下：</w:t>
      </w:r>
    </w:p>
    <w:p w14:paraId="661E3B7B">
      <w:pPr>
        <w:pStyle w:val="11"/>
        <w:tabs>
          <w:tab w:val="clear" w:pos="567"/>
        </w:tabs>
        <w:spacing w:before="0" w:line="360" w:lineRule="auto"/>
        <w:ind w:firstLine="540" w:firstLineChars="225"/>
        <w:outlineLvl w:val="1"/>
        <w:rPr>
          <w:rFonts w:hint="eastAsia" w:ascii="仿宋" w:hAnsi="仿宋" w:eastAsia="仿宋" w:cs="仿宋"/>
          <w:color w:val="auto"/>
          <w:highlight w:val="none"/>
        </w:rPr>
      </w:pPr>
      <w:bookmarkStart w:id="425" w:name="_Toc9772"/>
      <w:bookmarkStart w:id="426" w:name="_Toc20141"/>
      <w:bookmarkStart w:id="427" w:name="_Toc20776"/>
      <w:r>
        <w:rPr>
          <w:rFonts w:hint="eastAsia" w:ascii="仿宋" w:hAnsi="仿宋" w:eastAsia="仿宋" w:cs="仿宋"/>
          <w:color w:val="auto"/>
          <w:highlight w:val="none"/>
        </w:rPr>
        <w:t>一、由</w:t>
      </w:r>
      <w:r>
        <w:rPr>
          <w:rFonts w:hint="eastAsia" w:ascii="仿宋" w:hAnsi="仿宋" w:eastAsia="仿宋" w:cs="仿宋"/>
          <w:b/>
          <w:color w:val="auto"/>
          <w:highlight w:val="none"/>
        </w:rPr>
        <w:t>采购人或者采购代理机构</w:t>
      </w:r>
      <w:r>
        <w:rPr>
          <w:rFonts w:hint="eastAsia" w:ascii="仿宋" w:hAnsi="仿宋" w:eastAsia="仿宋" w:cs="仿宋"/>
          <w:color w:val="auto"/>
          <w:highlight w:val="none"/>
        </w:rPr>
        <w:t>负责资格审查工作。资格审查标准见本章附表一。</w:t>
      </w:r>
      <w:bookmarkEnd w:id="425"/>
      <w:bookmarkEnd w:id="426"/>
      <w:bookmarkEnd w:id="427"/>
    </w:p>
    <w:p w14:paraId="4F51E642">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投标文件中的资格证明文件出现下列情况者（但不限于），按无效投标处理：</w:t>
      </w:r>
    </w:p>
    <w:p w14:paraId="0521F4C5">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1、投标人资格证明文件的完整性、有效性或符合性不符合要求的。</w:t>
      </w:r>
    </w:p>
    <w:p w14:paraId="4F4C3C2E">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2、投标人法定代表人授权书的完整性、有效性、符合性不符合要求的。</w:t>
      </w:r>
    </w:p>
    <w:p w14:paraId="53CE387A">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3、信用查询不符合要求的。</w:t>
      </w:r>
    </w:p>
    <w:p w14:paraId="22271A95">
      <w:pPr>
        <w:pStyle w:val="11"/>
        <w:tabs>
          <w:tab w:val="clear" w:pos="567"/>
        </w:tabs>
        <w:spacing w:before="0" w:line="360" w:lineRule="auto"/>
        <w:ind w:firstLine="480" w:firstLineChars="200"/>
        <w:outlineLvl w:val="1"/>
        <w:rPr>
          <w:rFonts w:hint="eastAsia" w:ascii="仿宋" w:hAnsi="仿宋" w:eastAsia="仿宋" w:cs="仿宋"/>
          <w:color w:val="auto"/>
          <w:highlight w:val="none"/>
        </w:rPr>
      </w:pPr>
      <w:bookmarkStart w:id="428" w:name="_Toc16302"/>
      <w:bookmarkStart w:id="429" w:name="_Toc22469"/>
      <w:bookmarkStart w:id="430" w:name="_Toc32149"/>
      <w:r>
        <w:rPr>
          <w:rFonts w:hint="eastAsia" w:ascii="仿宋" w:hAnsi="仿宋" w:eastAsia="仿宋" w:cs="仿宋"/>
          <w:color w:val="auto"/>
          <w:highlight w:val="none"/>
        </w:rPr>
        <w:t>二、由</w:t>
      </w:r>
      <w:r>
        <w:rPr>
          <w:rFonts w:hint="eastAsia" w:ascii="仿宋" w:hAnsi="仿宋" w:eastAsia="仿宋" w:cs="仿宋"/>
          <w:b/>
          <w:color w:val="auto"/>
          <w:highlight w:val="none"/>
        </w:rPr>
        <w:t>评标委员会</w:t>
      </w:r>
      <w:r>
        <w:rPr>
          <w:rFonts w:hint="eastAsia" w:ascii="仿宋" w:hAnsi="仿宋" w:eastAsia="仿宋" w:cs="仿宋"/>
          <w:color w:val="auto"/>
          <w:highlight w:val="none"/>
        </w:rPr>
        <w:t>负责的审查评审工作。</w:t>
      </w:r>
      <w:bookmarkEnd w:id="428"/>
      <w:bookmarkEnd w:id="429"/>
      <w:bookmarkEnd w:id="430"/>
    </w:p>
    <w:p w14:paraId="44307194">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符合性审查是指评标委员会依据招标文件的规定，从商务和技术角度对投标文件的有效性和完整性进行审查，以确定是否对招标文件的实质性要求做出响应。符合性审查标准见本章附表二。出现下列情况者（但不限于），按无效投标处理。</w:t>
      </w:r>
    </w:p>
    <w:p w14:paraId="2609007A">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投标文件未按招标文件要求签署、盖章的。</w:t>
      </w:r>
    </w:p>
    <w:p w14:paraId="7465D7E4">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投标人投标报价超出采购预算或最高限价的。</w:t>
      </w:r>
    </w:p>
    <w:p w14:paraId="4C4CA0BE">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投标人的报价明显低于其他通过符合性审查投标人的报价，有可能影响产品质量或者不能诚信履约的，且投标人不能证明其报价合理性的。</w:t>
      </w:r>
    </w:p>
    <w:p w14:paraId="4CDDA36F">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投标保证金未提交或金额、形式不符合招标文件要求的。</w:t>
      </w:r>
    </w:p>
    <w:p w14:paraId="24DF98A1">
      <w:pPr>
        <w:autoSpaceDE w:val="0"/>
        <w:autoSpaceDN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未满足招标文件中商务要求或技术实质性要求、存在漏项或数量与要求不符；</w:t>
      </w:r>
    </w:p>
    <w:p w14:paraId="48874957">
      <w:pPr>
        <w:pStyle w:val="11"/>
        <w:tabs>
          <w:tab w:val="clear" w:pos="567"/>
        </w:tabs>
        <w:spacing w:before="0" w:line="360" w:lineRule="auto"/>
        <w:ind w:firstLine="360" w:firstLineChars="150"/>
        <w:rPr>
          <w:rFonts w:hint="eastAsia" w:ascii="仿宋" w:hAnsi="仿宋" w:eastAsia="仿宋" w:cs="仿宋"/>
          <w:color w:val="auto"/>
          <w:highlight w:val="none"/>
        </w:rPr>
      </w:pPr>
      <w:r>
        <w:rPr>
          <w:rFonts w:hint="eastAsia" w:ascii="仿宋" w:hAnsi="仿宋" w:eastAsia="仿宋" w:cs="仿宋"/>
          <w:color w:val="auto"/>
          <w:highlight w:val="none"/>
        </w:rPr>
        <w:t>2、如有必要，要求投标人对投标文件有关事项作出书面澄清或者说明。</w:t>
      </w:r>
    </w:p>
    <w:p w14:paraId="6988C38F">
      <w:pPr>
        <w:pStyle w:val="11"/>
        <w:tabs>
          <w:tab w:val="clear" w:pos="567"/>
        </w:tabs>
        <w:spacing w:before="0" w:line="360" w:lineRule="auto"/>
        <w:ind w:left="120"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t>3、对投标文件进行比较和评价。评审要素和标准见本章附表三。</w:t>
      </w:r>
    </w:p>
    <w:p w14:paraId="11B09654">
      <w:pPr>
        <w:pStyle w:val="11"/>
        <w:tabs>
          <w:tab w:val="clear" w:pos="567"/>
        </w:tabs>
        <w:spacing w:before="0" w:line="360" w:lineRule="auto"/>
        <w:ind w:firstLine="360" w:firstLineChars="150"/>
        <w:rPr>
          <w:rFonts w:hint="eastAsia" w:ascii="仿宋" w:hAnsi="仿宋" w:eastAsia="仿宋" w:cs="仿宋"/>
          <w:color w:val="auto"/>
          <w:highlight w:val="none"/>
        </w:rPr>
      </w:pPr>
      <w:r>
        <w:rPr>
          <w:rFonts w:hint="eastAsia" w:ascii="仿宋" w:hAnsi="仿宋" w:eastAsia="仿宋" w:cs="仿宋"/>
          <w:color w:val="auto"/>
          <w:highlight w:val="none"/>
        </w:rPr>
        <w:t>3.1 如本项目评标方法为最低评标价法，评标委员会在审查投标文件满足招标文件全部实质性要求后，按投标报价从低到高顺序确定中标候选人。</w:t>
      </w:r>
    </w:p>
    <w:p w14:paraId="2120E85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除了算术修正和落实政府采购政策需进行的价格扣除外，不得对投标人的投标价格进行任何调整。</w:t>
      </w:r>
    </w:p>
    <w:p w14:paraId="7EBB3CB9">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3.2 如本项目评标方法为综合评分法，评标委员会对满足招标文件全部实质性要求的投标文件，按照招标文件规定的评审因素的量化指标进行评审打分，以评审得分从高到低顺序确定中标候选人。</w:t>
      </w:r>
    </w:p>
    <w:p w14:paraId="6EBEF7F1">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评标委员会每位成员独立对每个有效投标人的投标文件进行评价、打分；然后汇总每个投标人的得分，计算得分平均值，以平均值由高到低进行排序，按排序顺序推荐中标候选人。分值计算保留小数点后</w:t>
      </w:r>
      <w:r>
        <w:rPr>
          <w:rFonts w:hint="eastAsia" w:ascii="仿宋" w:hAnsi="仿宋" w:eastAsia="仿宋" w:cs="仿宋"/>
          <w:color w:val="auto"/>
          <w:highlight w:val="none"/>
          <w:lang w:val="en-US" w:eastAsia="zh-CN"/>
        </w:rPr>
        <w:t>两</w:t>
      </w:r>
      <w:r>
        <w:rPr>
          <w:rFonts w:hint="eastAsia" w:ascii="仿宋" w:hAnsi="仿宋" w:eastAsia="仿宋" w:cs="仿宋"/>
          <w:color w:val="auto"/>
          <w:highlight w:val="none"/>
        </w:rPr>
        <w:t>位，第二位四舍五入。</w:t>
      </w:r>
    </w:p>
    <w:p w14:paraId="1B77F721">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4、推荐中标候选人名单，或者根据采购人委托直接确定中标人。</w:t>
      </w:r>
    </w:p>
    <w:p w14:paraId="61F11BC2">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5、采购代理机构</w:t>
      </w:r>
      <w:r>
        <w:rPr>
          <w:rFonts w:hint="eastAsia" w:ascii="仿宋" w:hAnsi="仿宋" w:eastAsia="仿宋" w:cs="仿宋"/>
          <w:color w:val="auto"/>
          <w:highlight w:val="none"/>
          <w:lang w:val="en-US" w:eastAsia="zh-CN"/>
        </w:rPr>
        <w:t>复核评标报告</w:t>
      </w:r>
      <w:r>
        <w:rPr>
          <w:rFonts w:hint="eastAsia" w:ascii="仿宋" w:hAnsi="仿宋" w:eastAsia="仿宋" w:cs="仿宋"/>
          <w:color w:val="auto"/>
          <w:highlight w:val="none"/>
        </w:rPr>
        <w:t>。</w:t>
      </w:r>
    </w:p>
    <w:p w14:paraId="1E436AA9">
      <w:pPr>
        <w:pStyle w:val="11"/>
        <w:tabs>
          <w:tab w:val="clear" w:pos="567"/>
        </w:tabs>
        <w:spacing w:before="0" w:line="360" w:lineRule="auto"/>
        <w:ind w:firstLine="480" w:firstLineChars="200"/>
        <w:outlineLvl w:val="1"/>
        <w:rPr>
          <w:rFonts w:hint="eastAsia" w:ascii="仿宋" w:hAnsi="仿宋" w:eastAsia="仿宋" w:cs="仿宋"/>
          <w:color w:val="auto"/>
          <w:highlight w:val="none"/>
        </w:rPr>
      </w:pPr>
      <w:bookmarkStart w:id="431" w:name="_Toc3004"/>
      <w:bookmarkStart w:id="432" w:name="_Toc14998"/>
      <w:bookmarkStart w:id="433" w:name="_Toc29502"/>
      <w:r>
        <w:rPr>
          <w:rFonts w:hint="eastAsia" w:ascii="仿宋" w:hAnsi="仿宋" w:eastAsia="仿宋" w:cs="仿宋"/>
          <w:color w:val="auto"/>
          <w:highlight w:val="none"/>
        </w:rPr>
        <w:t>三、评审标准中应</w:t>
      </w:r>
      <w:r>
        <w:rPr>
          <w:rFonts w:hint="eastAsia" w:ascii="仿宋" w:hAnsi="仿宋" w:eastAsia="仿宋" w:cs="仿宋"/>
          <w:color w:val="auto"/>
          <w:highlight w:val="none"/>
          <w:lang w:val="en-US" w:eastAsia="zh-CN"/>
        </w:rPr>
        <w:t>落实的政府采购政策及应</w:t>
      </w:r>
      <w:r>
        <w:rPr>
          <w:rFonts w:hint="eastAsia" w:ascii="仿宋" w:hAnsi="仿宋" w:eastAsia="仿宋" w:cs="仿宋"/>
          <w:color w:val="auto"/>
          <w:highlight w:val="none"/>
        </w:rPr>
        <w:t>考虑因素</w:t>
      </w:r>
      <w:bookmarkEnd w:id="431"/>
      <w:bookmarkEnd w:id="432"/>
      <w:bookmarkEnd w:id="433"/>
    </w:p>
    <w:p w14:paraId="208E3EB1">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1、根据《关于进一步加大政府采购支持中小企业力度的通知》（财库〔2022〕19号）、《政府采购促进中小企业发展管理办法》（财库〔2020〕46号）、《财政部 司法部关于政府采购支持监狱企业发展有关问题的通知》（财库〔2014〕68号）和《财政部 民政部 中国残疾人联合会关于促进残疾人就业政府采购政策的通知》（财库〔2017〕141号）的规定，对满足价格扣除条件且在投标文件中提交了《中小企业声明函》、《残疾人福利性单位声明函》或省级以上监狱管理局、戒毒管理局（含新疆生产建设兵团）出具的属于监狱企业的证明文件的投标人，</w:t>
      </w:r>
      <w:r>
        <w:rPr>
          <w:rFonts w:hint="eastAsia" w:ascii="仿宋" w:hAnsi="仿宋" w:eastAsia="仿宋" w:cs="仿宋"/>
          <w:b/>
          <w:bCs/>
          <w:color w:val="auto"/>
          <w:highlight w:val="none"/>
          <w:lang w:val="en-US" w:eastAsia="zh-CN"/>
        </w:rPr>
        <w:t>合同包1-7：</w:t>
      </w:r>
      <w:r>
        <w:rPr>
          <w:rFonts w:hint="eastAsia" w:ascii="仿宋" w:hAnsi="仿宋" w:eastAsia="仿宋" w:cs="仿宋"/>
          <w:b/>
          <w:bCs/>
          <w:color w:val="auto"/>
          <w:highlight w:val="none"/>
        </w:rPr>
        <w:t>投标报价扣除</w:t>
      </w:r>
      <w:r>
        <w:rPr>
          <w:rFonts w:hint="eastAsia" w:ascii="仿宋" w:hAnsi="仿宋" w:eastAsia="仿宋" w:cs="仿宋"/>
          <w:b/>
          <w:bCs/>
          <w:color w:val="auto"/>
          <w:highlight w:val="none"/>
          <w:u w:val="single"/>
        </w:rPr>
        <w:t xml:space="preserve"> </w:t>
      </w:r>
      <w:r>
        <w:rPr>
          <w:rFonts w:hint="eastAsia" w:ascii="仿宋" w:hAnsi="仿宋" w:eastAsia="仿宋" w:cs="仿宋"/>
          <w:b/>
          <w:bCs/>
          <w:i w:val="0"/>
          <w:iCs/>
          <w:color w:val="auto"/>
          <w:highlight w:val="none"/>
          <w:u w:val="single"/>
          <w:lang w:val="en-US" w:eastAsia="zh-CN"/>
        </w:rPr>
        <w:t>2</w:t>
      </w:r>
      <w:r>
        <w:rPr>
          <w:rFonts w:hint="eastAsia" w:ascii="仿宋" w:hAnsi="仿宋" w:eastAsia="仿宋" w:cs="仿宋"/>
          <w:b/>
          <w:bCs/>
          <w:i w:val="0"/>
          <w:iCs/>
          <w:color w:val="auto"/>
          <w:highlight w:val="none"/>
          <w:u w:val="single"/>
        </w:rPr>
        <w:t>0%</w:t>
      </w:r>
      <w:r>
        <w:rPr>
          <w:rFonts w:hint="eastAsia" w:ascii="仿宋" w:hAnsi="仿宋" w:eastAsia="仿宋" w:cs="仿宋"/>
          <w:b/>
          <w:bCs/>
          <w:color w:val="auto"/>
          <w:highlight w:val="none"/>
          <w:u w:val="single"/>
        </w:rPr>
        <w:t xml:space="preserve"> </w:t>
      </w:r>
      <w:r>
        <w:rPr>
          <w:rFonts w:hint="eastAsia" w:ascii="仿宋" w:hAnsi="仿宋" w:eastAsia="仿宋" w:cs="仿宋"/>
          <w:b/>
          <w:bCs/>
          <w:color w:val="auto"/>
          <w:highlight w:val="none"/>
        </w:rPr>
        <w:t>后参与评审</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合同包8: 设置价格分值的3%作为小型微型企业优惠</w:t>
      </w:r>
      <w:r>
        <w:rPr>
          <w:rFonts w:hint="eastAsia" w:ascii="仿宋" w:hAnsi="仿宋" w:eastAsia="仿宋" w:cs="仿宋"/>
          <w:color w:val="auto"/>
          <w:highlight w:val="none"/>
        </w:rPr>
        <w:t>。对于同时属于小微企业、监狱企业或残疾人福利性单位的，不重复进行投标报价扣除。</w:t>
      </w:r>
    </w:p>
    <w:p w14:paraId="717CAAAD">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如项目专门面向中小企业采购，则不再进行价格扣除。</w:t>
      </w:r>
    </w:p>
    <w:p w14:paraId="43270708">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2、联合协议或分包意向协议（如有）中约定，小型、微型企业的合同金额占到合同总金额30%以上的，可给予联合体</w:t>
      </w:r>
      <w:r>
        <w:rPr>
          <w:rFonts w:hint="eastAsia" w:ascii="仿宋" w:hAnsi="仿宋" w:eastAsia="仿宋" w:cs="仿宋"/>
          <w:color w:val="auto"/>
          <w:highlight w:val="none"/>
          <w:u w:val="single"/>
        </w:rPr>
        <w:t>4%</w:t>
      </w:r>
      <w:r>
        <w:rPr>
          <w:rFonts w:hint="eastAsia" w:ascii="仿宋" w:hAnsi="仿宋" w:eastAsia="仿宋" w:cs="仿宋"/>
          <w:color w:val="auto"/>
          <w:highlight w:val="none"/>
        </w:rPr>
        <w:t>的价格扣除。</w:t>
      </w:r>
    </w:p>
    <w:p w14:paraId="5E9B927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联合体各方均为小型、微型企业和监狱企业的，联合体视同为小型、微型企业和监狱企业。</w:t>
      </w:r>
    </w:p>
    <w:p w14:paraId="0342081D">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3、根据《关于调整优化节能产品、环境标志产品政府采购执行机制的通知》（财库〔2019〕9号）的规定，投标人</w:t>
      </w:r>
      <w:r>
        <w:rPr>
          <w:rFonts w:hint="eastAsia" w:ascii="仿宋" w:hAnsi="仿宋" w:eastAsia="仿宋" w:cs="仿宋"/>
          <w:color w:val="auto"/>
          <w:highlight w:val="none"/>
          <w:lang w:val="en-US" w:eastAsia="zh-CN"/>
        </w:rPr>
        <w:t>所投产品</w:t>
      </w:r>
      <w:r>
        <w:rPr>
          <w:rFonts w:hint="eastAsia" w:ascii="仿宋" w:hAnsi="仿宋" w:eastAsia="仿宋" w:cs="仿宋"/>
          <w:color w:val="auto"/>
          <w:highlight w:val="none"/>
        </w:rPr>
        <w:t>属于节能产品、环境标志产品品目清单范围内，且投标人所投产品具有有效期内的产品认证证书，在评标时予以优先采购，具体见评审因素和指标内容。</w:t>
      </w:r>
    </w:p>
    <w:p w14:paraId="490E6A70">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rPr>
        <w:t>4、如投标人</w:t>
      </w:r>
      <w:r>
        <w:rPr>
          <w:rFonts w:hint="eastAsia" w:ascii="仿宋" w:hAnsi="仿宋" w:eastAsia="仿宋" w:cs="仿宋"/>
          <w:color w:val="auto"/>
          <w:highlight w:val="none"/>
          <w:lang w:val="en-US" w:eastAsia="zh-CN"/>
        </w:rPr>
        <w:t>所投产品</w:t>
      </w:r>
      <w:r>
        <w:rPr>
          <w:rFonts w:hint="eastAsia" w:ascii="仿宋" w:hAnsi="仿宋" w:eastAsia="仿宋" w:cs="仿宋"/>
          <w:color w:val="auto"/>
          <w:highlight w:val="none"/>
        </w:rPr>
        <w:t>为政府强制采购的节能产品，投标人应提供有效期内的认证证书或相关证明，否则其投标将被认定为投标无效。</w:t>
      </w:r>
    </w:p>
    <w:p w14:paraId="3FAA375C">
      <w:pPr>
        <w:pStyle w:val="11"/>
        <w:tabs>
          <w:tab w:val="clear" w:pos="567"/>
        </w:tabs>
        <w:spacing w:before="0"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如投标人所投产品属于网络关键设备和网络安全专用产品的，投标人所投产品应为经具备资格的机构安全认证合格或者安全检测符合要求的产品。投标人应提供相关证明，否则其投标将被认定为投标无效。</w:t>
      </w:r>
    </w:p>
    <w:p w14:paraId="4E998871">
      <w:pPr>
        <w:pStyle w:val="11"/>
        <w:tabs>
          <w:tab w:val="clear" w:pos="567"/>
        </w:tabs>
        <w:spacing w:before="0" w:line="360" w:lineRule="auto"/>
        <w:ind w:firstLine="540" w:firstLineChars="22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w:t>
      </w:r>
      <w:r>
        <w:rPr>
          <w:rFonts w:hint="eastAsia" w:ascii="仿宋" w:hAnsi="仿宋" w:eastAsia="仿宋" w:cs="仿宋"/>
          <w:color w:val="auto"/>
          <w:sz w:val="24"/>
          <w:highlight w:val="none"/>
          <w:lang w:eastAsia="zh-CN"/>
        </w:rPr>
        <w:t>政府采购货物项目和服务项目中涉及的货物，</w:t>
      </w:r>
      <w:r>
        <w:rPr>
          <w:rFonts w:hint="eastAsia" w:ascii="仿宋" w:hAnsi="仿宋" w:eastAsia="仿宋" w:cs="仿宋"/>
          <w:color w:val="auto"/>
          <w:highlight w:val="none"/>
          <w:lang w:val="en-US" w:eastAsia="zh-CN"/>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6F0F0C26">
      <w:pPr>
        <w:pStyle w:val="11"/>
        <w:spacing w:line="360" w:lineRule="auto"/>
        <w:ind w:firstLine="540" w:firstLineChars="22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、采用最低评标价法的采购项目，提供相同品牌产品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单一产品或核心产品品牌相同。核心产品超过一种产品的，核心产品中只要有一种产品为相同品牌，即认定为核心产品为相同品牌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570E079">
      <w:pPr>
        <w:pStyle w:val="11"/>
        <w:tabs>
          <w:tab w:val="clear" w:pos="567"/>
        </w:tabs>
        <w:spacing w:before="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使用综合评分法的采购项目，提供相同品牌产品</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单一产品或核心产品品牌相同。核心产品超过一种产品的，核心产品中只要有一种产品为相同品牌，即认定为核心产品为相同品牌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44484D8">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8、异常低价审查 </w:t>
      </w:r>
    </w:p>
    <w:p w14:paraId="49453708">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8.1评审中出现下列情形之一的，评标委员会应当启动异常低价投标审查程序： </w:t>
      </w:r>
    </w:p>
    <w:p w14:paraId="2030B648">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1.投标报价低于全部通过符合性审查供应商投标报价平均值50%的，即投标报价&lt;全部通过符合性审查供应商投标报价平均值×50%； </w:t>
      </w:r>
    </w:p>
    <w:p w14:paraId="4BCBB8C9">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2.投标报价低于通过符合性审查的次低报价供应商投标报价50%的，即投标报价&lt;通过符合性审查的次低报价供应商投标报价×50%； </w:t>
      </w:r>
    </w:p>
    <w:p w14:paraId="74232147">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3.投标报价低于采购项目最高限价45%的，即投标报价&lt;采购项目最高限价×45%； </w:t>
      </w:r>
    </w:p>
    <w:p w14:paraId="230E7661">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4.评标委员会基于专业判断，认为供应商报价过低，有可能影响产品质量或者不能诚信履约的其他情形。 </w:t>
      </w:r>
    </w:p>
    <w:p w14:paraId="6919522F">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相关法律法规对供应商报价有规定的，从其规定。 </w:t>
      </w:r>
    </w:p>
    <w:p w14:paraId="1B103B76">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 </w:t>
      </w:r>
    </w:p>
    <w:p w14:paraId="42E84E1F">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w:t>
      </w:r>
    </w:p>
    <w:p w14:paraId="409D95A4">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4D244EE0">
      <w:pPr>
        <w:pStyle w:val="11"/>
        <w:tabs>
          <w:tab w:val="clear" w:pos="567"/>
        </w:tabs>
        <w:spacing w:before="0" w:line="360" w:lineRule="auto"/>
        <w:ind w:left="-181" w:leftChars="-86" w:firstLine="660" w:firstLineChars="275"/>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异常低价投标审查的启动原因、审查意见和审查结果应当在评审报告中记录，并随供应商提供的相关书面说明及证明材料，以及评标委员会有关互联网浏览、查询历史一并归档。 </w:t>
      </w:r>
    </w:p>
    <w:p w14:paraId="68A71FA9">
      <w:pPr>
        <w:pStyle w:val="11"/>
        <w:tabs>
          <w:tab w:val="clear" w:pos="567"/>
        </w:tabs>
        <w:spacing w:before="0" w:line="360" w:lineRule="auto"/>
        <w:ind w:left="-181" w:leftChars="-86" w:firstLine="660" w:firstLineChars="275"/>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、中标候选人并列时的处理方式</w:t>
      </w:r>
    </w:p>
    <w:p w14:paraId="1D051BF3">
      <w:pPr>
        <w:pStyle w:val="11"/>
        <w:tabs>
          <w:tab w:val="clear" w:pos="567"/>
        </w:tabs>
        <w:spacing w:before="0" w:line="360" w:lineRule="auto"/>
        <w:ind w:left="-181" w:leftChars="-86" w:firstLine="660" w:firstLineChars="275"/>
        <w:rPr>
          <w:rFonts w:hint="eastAsia" w:ascii="仿宋" w:hAnsi="仿宋" w:eastAsia="仿宋" w:cs="仿宋"/>
          <w:color w:val="auto"/>
          <w:highlight w:val="none"/>
        </w:rPr>
      </w:pPr>
      <w:r>
        <w:rPr>
          <w:rFonts w:hint="eastAsia" w:ascii="仿宋" w:hAnsi="仿宋" w:eastAsia="仿宋" w:cs="仿宋"/>
          <w:color w:val="auto"/>
          <w:highlight w:val="none"/>
        </w:rPr>
        <w:t>如采用最低评标办法，则：在全部满足以上实质性要求前提下，依据统一的价格要素评定最低报价，以提出最低报价的投标人作为排名第一的中标候选人。投标报价相同的，按照技术指标优劣排序。</w:t>
      </w:r>
    </w:p>
    <w:p w14:paraId="14C4C1F0">
      <w:pPr>
        <w:pStyle w:val="11"/>
        <w:tabs>
          <w:tab w:val="clear" w:pos="567"/>
        </w:tabs>
        <w:spacing w:before="0" w:line="360" w:lineRule="auto"/>
        <w:ind w:left="-181" w:leftChars="-86" w:firstLine="660" w:firstLineChars="275"/>
        <w:rPr>
          <w:rFonts w:hint="eastAsia" w:ascii="仿宋" w:hAnsi="仿宋" w:eastAsia="仿宋" w:cs="仿宋"/>
          <w:color w:val="auto"/>
          <w:highlight w:val="none"/>
        </w:rPr>
      </w:pPr>
      <w:r>
        <w:rPr>
          <w:rFonts w:hint="eastAsia" w:ascii="仿宋" w:hAnsi="仿宋" w:eastAsia="仿宋" w:cs="仿宋"/>
          <w:color w:val="auto"/>
          <w:highlight w:val="none"/>
        </w:rPr>
        <w:t>如采用综合评分法，则：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96C89A7">
      <w:pPr>
        <w:pStyle w:val="11"/>
        <w:tabs>
          <w:tab w:val="clear" w:pos="567"/>
        </w:tabs>
        <w:spacing w:before="0" w:line="360" w:lineRule="auto"/>
        <w:jc w:val="center"/>
        <w:outlineLvl w:val="1"/>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434" w:name="_Toc32454"/>
      <w:bookmarkStart w:id="435" w:name="_Toc18693"/>
      <w:bookmarkStart w:id="436" w:name="_Toc2856"/>
      <w:r>
        <w:rPr>
          <w:rFonts w:hint="eastAsia" w:ascii="仿宋" w:hAnsi="仿宋" w:eastAsia="仿宋" w:cs="仿宋"/>
          <w:b/>
          <w:color w:val="auto"/>
          <w:sz w:val="32"/>
          <w:szCs w:val="32"/>
          <w:highlight w:val="none"/>
        </w:rPr>
        <w:t>附表一  资格审查标准</w:t>
      </w:r>
      <w:bookmarkEnd w:id="434"/>
      <w:bookmarkEnd w:id="435"/>
      <w:bookmarkEnd w:id="436"/>
    </w:p>
    <w:p w14:paraId="6643BA47">
      <w:pPr>
        <w:pStyle w:val="6"/>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合同包1-7</w:t>
      </w:r>
    </w:p>
    <w:tbl>
      <w:tblPr>
        <w:tblStyle w:val="34"/>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269"/>
        <w:gridCol w:w="1200"/>
      </w:tblGrid>
      <w:tr w14:paraId="011DD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708" w:type="dxa"/>
            <w:noWrap w:val="0"/>
            <w:vAlign w:val="center"/>
          </w:tcPr>
          <w:p w14:paraId="798A2C9F">
            <w:pPr>
              <w:pStyle w:val="188"/>
              <w:ind w:left="117" w:right="111" w:firstLine="1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17"/>
                <w:sz w:val="21"/>
                <w:szCs w:val="21"/>
                <w:highlight w:val="none"/>
                <w:lang w:eastAsia="zh-CN"/>
              </w:rPr>
              <w:t>序号</w:t>
            </w:r>
          </w:p>
        </w:tc>
        <w:tc>
          <w:tcPr>
            <w:tcW w:w="1862" w:type="dxa"/>
            <w:noWrap w:val="0"/>
            <w:vAlign w:val="center"/>
          </w:tcPr>
          <w:p w14:paraId="0D579FCA">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5"/>
                <w:sz w:val="21"/>
                <w:szCs w:val="21"/>
                <w:highlight w:val="none"/>
                <w:lang w:eastAsia="zh-CN"/>
              </w:rPr>
              <w:t>审查要素</w:t>
            </w:r>
          </w:p>
        </w:tc>
        <w:tc>
          <w:tcPr>
            <w:tcW w:w="5269" w:type="dxa"/>
            <w:noWrap w:val="0"/>
            <w:vAlign w:val="center"/>
          </w:tcPr>
          <w:p w14:paraId="66000B51">
            <w:pPr>
              <w:pStyle w:val="188"/>
              <w:jc w:val="center"/>
              <w:rPr>
                <w:rFonts w:hint="eastAsia" w:ascii="仿宋" w:hAnsi="仿宋" w:eastAsia="仿宋" w:cs="仿宋"/>
                <w:color w:val="auto"/>
                <w:sz w:val="21"/>
                <w:szCs w:val="21"/>
                <w:highlight w:val="none"/>
              </w:rPr>
            </w:pPr>
            <w:r>
              <w:rPr>
                <w:rFonts w:hint="eastAsia" w:ascii="仿宋" w:hAnsi="仿宋" w:eastAsia="仿宋" w:cs="仿宋"/>
                <w:b/>
                <w:bCs/>
                <w:color w:val="auto"/>
                <w:spacing w:val="-4"/>
                <w:sz w:val="21"/>
                <w:szCs w:val="21"/>
                <w:highlight w:val="none"/>
                <w:lang w:eastAsia="zh-CN"/>
              </w:rPr>
              <w:t>审查</w:t>
            </w:r>
            <w:r>
              <w:rPr>
                <w:rFonts w:hint="eastAsia" w:ascii="仿宋" w:hAnsi="仿宋" w:eastAsia="仿宋" w:cs="仿宋"/>
                <w:b/>
                <w:bCs/>
                <w:color w:val="auto"/>
                <w:spacing w:val="-4"/>
                <w:sz w:val="21"/>
                <w:szCs w:val="21"/>
                <w:highlight w:val="none"/>
              </w:rPr>
              <w:t>标准</w:t>
            </w:r>
          </w:p>
        </w:tc>
        <w:tc>
          <w:tcPr>
            <w:tcW w:w="1200" w:type="dxa"/>
            <w:noWrap w:val="0"/>
            <w:vAlign w:val="center"/>
          </w:tcPr>
          <w:p w14:paraId="0458772C">
            <w:pPr>
              <w:pStyle w:val="188"/>
              <w:jc w:val="center"/>
              <w:rPr>
                <w:rFonts w:hint="eastAsia" w:ascii="仿宋" w:hAnsi="仿宋" w:eastAsia="仿宋" w:cs="仿宋"/>
                <w:b/>
                <w:bCs/>
                <w:color w:val="auto"/>
                <w:spacing w:val="-4"/>
                <w:sz w:val="21"/>
                <w:szCs w:val="21"/>
                <w:highlight w:val="none"/>
                <w:lang w:eastAsia="zh-CN"/>
              </w:rPr>
            </w:pPr>
            <w:r>
              <w:rPr>
                <w:rFonts w:hint="eastAsia" w:ascii="仿宋" w:hAnsi="仿宋" w:eastAsia="仿宋" w:cs="仿宋"/>
                <w:b/>
                <w:bCs/>
                <w:color w:val="auto"/>
                <w:spacing w:val="-4"/>
                <w:sz w:val="21"/>
                <w:szCs w:val="21"/>
                <w:highlight w:val="none"/>
                <w:lang w:eastAsia="zh-CN"/>
              </w:rPr>
              <w:t>审查结果</w:t>
            </w:r>
          </w:p>
        </w:tc>
      </w:tr>
      <w:tr w14:paraId="509CA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178DECB8">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w:t>
            </w:r>
          </w:p>
        </w:tc>
        <w:tc>
          <w:tcPr>
            <w:tcW w:w="1862" w:type="dxa"/>
            <w:noWrap w:val="0"/>
            <w:vAlign w:val="center"/>
          </w:tcPr>
          <w:p w14:paraId="635DE5CE">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法人或者其他组织、自然人的营业执照等证明</w:t>
            </w:r>
            <w:r>
              <w:rPr>
                <w:rFonts w:hint="eastAsia" w:ascii="仿宋" w:hAnsi="仿宋" w:eastAsia="仿宋" w:cs="仿宋"/>
                <w:color w:val="auto"/>
                <w:spacing w:val="-3"/>
                <w:sz w:val="21"/>
                <w:szCs w:val="21"/>
                <w:highlight w:val="none"/>
              </w:rPr>
              <w:t>文件</w:t>
            </w:r>
          </w:p>
        </w:tc>
        <w:tc>
          <w:tcPr>
            <w:tcW w:w="5269" w:type="dxa"/>
            <w:noWrap w:val="0"/>
            <w:vAlign w:val="top"/>
          </w:tcPr>
          <w:p w14:paraId="32EE27B4">
            <w:pPr>
              <w:pStyle w:val="188"/>
              <w:ind w:left="105" w:leftChars="50" w:right="11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rPr>
              <w:t>投标人是企业（包括合伙企业）的，应提供其在市场监督管理部门注册的有效“营业执照 ”的复印件；</w:t>
            </w:r>
          </w:p>
          <w:p w14:paraId="1A91CE2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（2）投标人</w:t>
            </w:r>
            <w:r>
              <w:rPr>
                <w:rFonts w:hint="eastAsia" w:ascii="仿宋" w:hAnsi="仿宋" w:eastAsia="仿宋" w:cs="仿宋"/>
                <w:color w:val="auto"/>
                <w:sz w:val="21"/>
                <w:szCs w:val="21"/>
                <w:highlight w:val="none"/>
              </w:rPr>
              <w:t>是事业单位的，应提供其有效的“事业单位法人证书”复印件；</w:t>
            </w:r>
          </w:p>
          <w:p w14:paraId="7E3F89FD">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投标人是非企业专业服务机构的，应提供其有效的“执业许可证”复印件；</w:t>
            </w:r>
          </w:p>
          <w:p w14:paraId="66DEF0E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投标人是民办非企业单位的，应提供其有效的登记证书复印件；</w:t>
            </w:r>
          </w:p>
          <w:p w14:paraId="30821DC3">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投标人是个体工商户的，应提供其有效的“营业执照”复印件；</w:t>
            </w:r>
          </w:p>
          <w:p w14:paraId="7AD0235C">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投标人是自然人的，应提供其有效的自然人身份证明复印件。</w:t>
            </w:r>
          </w:p>
        </w:tc>
        <w:tc>
          <w:tcPr>
            <w:tcW w:w="1200" w:type="dxa"/>
            <w:noWrap w:val="0"/>
            <w:vAlign w:val="top"/>
          </w:tcPr>
          <w:p w14:paraId="799512C4">
            <w:pPr>
              <w:pStyle w:val="188"/>
              <w:ind w:left="531" w:right="239" w:hanging="409"/>
              <w:rPr>
                <w:rFonts w:hint="eastAsia" w:ascii="仿宋" w:hAnsi="仿宋" w:eastAsia="仿宋" w:cs="仿宋"/>
                <w:color w:val="auto"/>
                <w:position w:val="-5"/>
                <w:sz w:val="21"/>
                <w:szCs w:val="21"/>
                <w:highlight w:val="none"/>
              </w:rPr>
            </w:pPr>
          </w:p>
        </w:tc>
      </w:tr>
      <w:tr w14:paraId="786FC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68669983">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w:t>
            </w:r>
          </w:p>
        </w:tc>
        <w:tc>
          <w:tcPr>
            <w:tcW w:w="1862" w:type="dxa"/>
            <w:vMerge w:val="restart"/>
            <w:noWrap w:val="0"/>
            <w:vAlign w:val="center"/>
          </w:tcPr>
          <w:p w14:paraId="3EA1844D">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财务状况报告：提供（1）或提供（2）</w:t>
            </w:r>
          </w:p>
        </w:tc>
        <w:tc>
          <w:tcPr>
            <w:tcW w:w="5269" w:type="dxa"/>
            <w:noWrap w:val="0"/>
            <w:vAlign w:val="top"/>
          </w:tcPr>
          <w:p w14:paraId="42B8E065">
            <w:pPr>
              <w:pStyle w:val="188"/>
              <w:ind w:left="105" w:leftChars="50" w:right="17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（1）提供递交投标文件截止之日前两年内任意一个年度经审计的财务报告，应满足以下要求：</w:t>
            </w:r>
          </w:p>
          <w:p w14:paraId="3FDE4A0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①投标人是企业的，财务</w:t>
            </w:r>
            <w:r>
              <w:rPr>
                <w:rFonts w:hint="eastAsia" w:ascii="仿宋" w:hAnsi="仿宋" w:eastAsia="仿宋" w:cs="仿宋"/>
                <w:color w:val="auto"/>
                <w:sz w:val="21"/>
                <w:szCs w:val="21"/>
                <w:highlight w:val="none"/>
                <w:lang w:val="en-US" w:eastAsia="zh-CN"/>
              </w:rPr>
              <w:t>报告</w:t>
            </w:r>
            <w:r>
              <w:rPr>
                <w:rFonts w:hint="eastAsia" w:ascii="仿宋" w:hAnsi="仿宋" w:eastAsia="仿宋" w:cs="仿宋"/>
                <w:color w:val="auto"/>
                <w:sz w:val="21"/>
                <w:szCs w:val="21"/>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color w:val="auto"/>
                <w:sz w:val="21"/>
                <w:szCs w:val="21"/>
                <w:highlight w:val="none"/>
                <w:lang w:val="en-US" w:eastAsia="zh-CN"/>
              </w:rPr>
              <w:t>报告正文、</w:t>
            </w:r>
            <w:r>
              <w:rPr>
                <w:rFonts w:hint="eastAsia" w:ascii="仿宋" w:hAnsi="仿宋" w:eastAsia="仿宋" w:cs="仿宋"/>
                <w:color w:val="auto"/>
                <w:sz w:val="21"/>
                <w:szCs w:val="21"/>
                <w:highlight w:val="none"/>
              </w:rPr>
              <w:t>资产负债表、现金流量表、利润表</w:t>
            </w:r>
            <w:r>
              <w:rPr>
                <w:rFonts w:hint="eastAsia" w:ascii="仿宋" w:hAnsi="仿宋" w:eastAsia="仿宋" w:cs="仿宋"/>
                <w:color w:val="auto"/>
                <w:sz w:val="21"/>
                <w:szCs w:val="21"/>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1"/>
                <w:szCs w:val="21"/>
                <w:highlight w:val="none"/>
                <w:lang w:val="en-US" w:eastAsia="zh-CN"/>
              </w:rPr>
              <w:t>且2022年10月1日后出具的审计报告应当经过注册会计师行业统一监管平台备案赋码</w:t>
            </w:r>
            <w:r>
              <w:rPr>
                <w:rFonts w:hint="eastAsia" w:ascii="仿宋" w:hAnsi="仿宋" w:eastAsia="仿宋" w:cs="仿宋"/>
                <w:b/>
                <w:bCs/>
                <w:color w:val="auto"/>
                <w:sz w:val="21"/>
                <w:szCs w:val="21"/>
                <w:highlight w:val="none"/>
                <w:lang w:eastAsia="zh-CN"/>
              </w:rPr>
              <w:t>。</w:t>
            </w:r>
          </w:p>
          <w:p w14:paraId="4DDAAAB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②投标人适用《事业单位会计准则》的，财务报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是指上述指定年度整个会计年度财务报表（不要求必须是经审计的），复印件至少须包括资产负债表、收入支出表（或收入费用表）、财政补助收入支出表。</w:t>
            </w:r>
          </w:p>
          <w:p w14:paraId="4D86CA7A">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③投标人适用《政府会计准则》的，财务报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是指上述指定年度整个会计年度财务报表（不要求必须是经审计的），复印件至少须包括资产负债表、收入费用表。</w:t>
            </w:r>
          </w:p>
          <w:p w14:paraId="527A83D3">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④投标人适用《民间非营利组织会计制度》的，</w:t>
            </w:r>
            <w:r>
              <w:rPr>
                <w:rFonts w:hint="eastAsia" w:ascii="仿宋" w:hAnsi="仿宋" w:eastAsia="仿宋" w:cs="仿宋"/>
                <w:color w:val="auto"/>
                <w:sz w:val="21"/>
                <w:szCs w:val="21"/>
                <w:highlight w:val="none"/>
                <w:lang w:eastAsia="zh-CN"/>
              </w:rPr>
              <w:t>财</w:t>
            </w:r>
            <w:r>
              <w:rPr>
                <w:rFonts w:hint="eastAsia" w:ascii="仿宋" w:hAnsi="仿宋" w:eastAsia="仿宋" w:cs="仿宋"/>
                <w:color w:val="auto"/>
                <w:sz w:val="21"/>
                <w:szCs w:val="21"/>
                <w:highlight w:val="none"/>
              </w:rPr>
              <w:t>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是指上述指定年度整个会计年度财务报表（不要求必须是经审计的），复印件至少须包括资产负债表、业务活动表、现金流量表。</w:t>
            </w:r>
          </w:p>
          <w:p w14:paraId="2BD0676F">
            <w:pPr>
              <w:pStyle w:val="188"/>
              <w:ind w:left="105" w:leftChars="50" w:right="2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⑤投标人是上述四种情况以外情况的，按照其依法适用的会计制度、财务规则或会计准则提供财务报表复印件（不要求必须是经审计的）。</w:t>
            </w:r>
          </w:p>
        </w:tc>
        <w:tc>
          <w:tcPr>
            <w:tcW w:w="1200" w:type="dxa"/>
            <w:noWrap w:val="0"/>
            <w:vAlign w:val="top"/>
          </w:tcPr>
          <w:p w14:paraId="3B917648">
            <w:pPr>
              <w:pStyle w:val="188"/>
              <w:ind w:left="533" w:right="238" w:hanging="408"/>
              <w:rPr>
                <w:rFonts w:hint="eastAsia" w:ascii="仿宋" w:hAnsi="仿宋" w:eastAsia="仿宋" w:cs="仿宋"/>
                <w:color w:val="auto"/>
                <w:position w:val="-5"/>
                <w:sz w:val="21"/>
                <w:szCs w:val="21"/>
                <w:highlight w:val="none"/>
              </w:rPr>
            </w:pPr>
          </w:p>
        </w:tc>
      </w:tr>
      <w:tr w14:paraId="30819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top"/>
          </w:tcPr>
          <w:p w14:paraId="0638AAE4">
            <w:pPr>
              <w:rPr>
                <w:rFonts w:hint="eastAsia" w:ascii="仿宋" w:hAnsi="仿宋" w:eastAsia="仿宋" w:cs="仿宋"/>
                <w:color w:val="auto"/>
                <w:szCs w:val="21"/>
                <w:highlight w:val="none"/>
              </w:rPr>
            </w:pPr>
          </w:p>
        </w:tc>
        <w:tc>
          <w:tcPr>
            <w:tcW w:w="1862" w:type="dxa"/>
            <w:vMerge w:val="continue"/>
            <w:noWrap w:val="0"/>
            <w:vAlign w:val="top"/>
          </w:tcPr>
          <w:p w14:paraId="42151E0D">
            <w:pPr>
              <w:rPr>
                <w:rFonts w:hint="eastAsia" w:ascii="仿宋" w:hAnsi="仿宋" w:eastAsia="仿宋" w:cs="仿宋"/>
                <w:color w:val="auto"/>
                <w:szCs w:val="21"/>
                <w:highlight w:val="none"/>
              </w:rPr>
            </w:pPr>
          </w:p>
        </w:tc>
        <w:tc>
          <w:tcPr>
            <w:tcW w:w="5269" w:type="dxa"/>
            <w:noWrap w:val="0"/>
            <w:vAlign w:val="top"/>
          </w:tcPr>
          <w:p w14:paraId="6A43482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（2</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提供资信证明原件或复印件</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后附开户许可证或基本户信息</w:t>
            </w:r>
            <w:r>
              <w:rPr>
                <w:rFonts w:hint="eastAsia" w:ascii="仿宋" w:hAnsi="仿宋" w:eastAsia="仿宋" w:cs="仿宋"/>
                <w:b/>
                <w:bCs/>
                <w:color w:val="auto"/>
                <w:sz w:val="21"/>
                <w:szCs w:val="21"/>
                <w:highlight w:val="none"/>
              </w:rPr>
              <w:t>复印件，应满足以下要求：</w:t>
            </w:r>
          </w:p>
          <w:p w14:paraId="61BF0C2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①资信证明须为</w:t>
            </w:r>
            <w:r>
              <w:rPr>
                <w:rFonts w:hint="eastAsia" w:ascii="仿宋" w:hAnsi="仿宋" w:eastAsia="仿宋" w:cs="仿宋"/>
                <w:color w:val="auto"/>
                <w:sz w:val="21"/>
                <w:szCs w:val="21"/>
                <w:highlight w:val="none"/>
                <w:lang w:eastAsia="zh-CN"/>
              </w:rPr>
              <w:t>递交投标文件截止时间</w:t>
            </w:r>
            <w:r>
              <w:rPr>
                <w:rFonts w:hint="eastAsia" w:ascii="仿宋" w:hAnsi="仿宋" w:eastAsia="仿宋" w:cs="仿宋"/>
                <w:color w:val="auto"/>
                <w:sz w:val="21"/>
                <w:szCs w:val="21"/>
                <w:highlight w:val="none"/>
              </w:rPr>
              <w:t>前三个月内由投标人</w:t>
            </w:r>
            <w:r>
              <w:rPr>
                <w:rFonts w:hint="eastAsia" w:ascii="仿宋" w:hAnsi="仿宋" w:eastAsia="仿宋" w:cs="仿宋"/>
                <w:color w:val="auto"/>
                <w:sz w:val="21"/>
                <w:szCs w:val="21"/>
                <w:highlight w:val="none"/>
                <w:lang w:eastAsia="zh-CN"/>
              </w:rPr>
              <w:t>基本账户</w:t>
            </w:r>
            <w:r>
              <w:rPr>
                <w:rFonts w:hint="eastAsia" w:ascii="仿宋" w:hAnsi="仿宋" w:eastAsia="仿宋" w:cs="仿宋"/>
                <w:color w:val="auto"/>
                <w:sz w:val="21"/>
                <w:szCs w:val="21"/>
                <w:highlight w:val="none"/>
              </w:rPr>
              <w:t>开户银行出具。</w:t>
            </w:r>
          </w:p>
          <w:p w14:paraId="31E3A135">
            <w:pPr>
              <w:pStyle w:val="188"/>
              <w:ind w:left="105" w:leftChars="50" w:right="1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②无论开具银行是否标明“复印无效”，投标人提供的复印件在本次投标中予以认可（即不因“复印无效”字样而认定资信证明复印件无效）</w:t>
            </w:r>
            <w:r>
              <w:rPr>
                <w:rFonts w:hint="eastAsia" w:ascii="仿宋" w:hAnsi="仿宋" w:eastAsia="仿宋" w:cs="仿宋"/>
                <w:color w:val="auto"/>
                <w:position w:val="1"/>
                <w:sz w:val="21"/>
                <w:szCs w:val="21"/>
                <w:highlight w:val="none"/>
              </w:rPr>
              <w:t>。</w:t>
            </w:r>
          </w:p>
          <w:p w14:paraId="7D130250">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③银行出具的存款证明不能替代银行资信证明。</w:t>
            </w:r>
          </w:p>
        </w:tc>
        <w:tc>
          <w:tcPr>
            <w:tcW w:w="1200" w:type="dxa"/>
            <w:noWrap w:val="0"/>
            <w:vAlign w:val="top"/>
          </w:tcPr>
          <w:p w14:paraId="69EAB362">
            <w:pPr>
              <w:pStyle w:val="188"/>
              <w:ind w:left="113" w:right="311" w:firstLine="4"/>
              <w:rPr>
                <w:rFonts w:hint="eastAsia" w:ascii="仿宋" w:hAnsi="仿宋" w:eastAsia="仿宋" w:cs="仿宋"/>
                <w:color w:val="auto"/>
                <w:spacing w:val="-2"/>
                <w:sz w:val="21"/>
                <w:szCs w:val="21"/>
                <w:highlight w:val="none"/>
              </w:rPr>
            </w:pPr>
          </w:p>
        </w:tc>
      </w:tr>
      <w:tr w14:paraId="198F8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08" w:type="dxa"/>
            <w:noWrap w:val="0"/>
            <w:vAlign w:val="center"/>
          </w:tcPr>
          <w:p w14:paraId="2162D6F0">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3</w:t>
            </w:r>
          </w:p>
        </w:tc>
        <w:tc>
          <w:tcPr>
            <w:tcW w:w="1862" w:type="dxa"/>
            <w:noWrap w:val="0"/>
            <w:vAlign w:val="center"/>
          </w:tcPr>
          <w:p w14:paraId="4A177030">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依法缴纳税收的相关材</w:t>
            </w:r>
            <w:r>
              <w:rPr>
                <w:rFonts w:hint="eastAsia" w:ascii="仿宋" w:hAnsi="仿宋" w:eastAsia="仿宋" w:cs="仿宋"/>
                <w:color w:val="auto"/>
                <w:sz w:val="21"/>
                <w:szCs w:val="21"/>
                <w:highlight w:val="none"/>
              </w:rPr>
              <w:t>料</w:t>
            </w:r>
          </w:p>
        </w:tc>
        <w:tc>
          <w:tcPr>
            <w:tcW w:w="5269" w:type="dxa"/>
            <w:noWrap w:val="0"/>
            <w:vAlign w:val="top"/>
          </w:tcPr>
          <w:p w14:paraId="78150D61">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（1）投标人应提供投标截止时间前近6个月中任何1个月缴税凭证，时间以税款所属时期为准（银行出具的缴税凭证或税务机关出具的证明的复印件，并加盖本单位公章）。</w:t>
            </w:r>
          </w:p>
          <w:p w14:paraId="298DE08B">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（2）缴纳凭证复印件须清晰可辨，并能显示出投标人名称和所缴纳税种种类，单位代扣代缴的个人所得税不能作为单位纳税的凭证。</w:t>
            </w:r>
          </w:p>
          <w:p w14:paraId="00FE2CF6">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（3）依法免税的投标人，应提供相应文件证明其依法免税。</w:t>
            </w:r>
          </w:p>
        </w:tc>
        <w:tc>
          <w:tcPr>
            <w:tcW w:w="1200" w:type="dxa"/>
            <w:noWrap w:val="0"/>
            <w:vAlign w:val="top"/>
          </w:tcPr>
          <w:p w14:paraId="55DAAB75">
            <w:pPr>
              <w:pStyle w:val="188"/>
              <w:ind w:left="110" w:right="179" w:firstLine="2"/>
              <w:rPr>
                <w:rFonts w:hint="eastAsia" w:ascii="仿宋" w:hAnsi="仿宋" w:eastAsia="仿宋" w:cs="仿宋"/>
                <w:color w:val="auto"/>
                <w:sz w:val="21"/>
                <w:szCs w:val="21"/>
                <w:highlight w:val="none"/>
              </w:rPr>
            </w:pPr>
          </w:p>
        </w:tc>
      </w:tr>
      <w:tr w14:paraId="0962E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62D401E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4</w:t>
            </w:r>
          </w:p>
        </w:tc>
        <w:tc>
          <w:tcPr>
            <w:tcW w:w="1862" w:type="dxa"/>
            <w:noWrap w:val="0"/>
            <w:vAlign w:val="center"/>
          </w:tcPr>
          <w:p w14:paraId="1D882DD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依法缴纳社会保障资金</w:t>
            </w:r>
            <w:r>
              <w:rPr>
                <w:rFonts w:hint="eastAsia" w:ascii="仿宋" w:hAnsi="仿宋" w:eastAsia="仿宋" w:cs="仿宋"/>
                <w:color w:val="auto"/>
                <w:spacing w:val="-5"/>
                <w:sz w:val="21"/>
                <w:szCs w:val="21"/>
                <w:highlight w:val="none"/>
              </w:rPr>
              <w:t>的相关材料</w:t>
            </w:r>
          </w:p>
        </w:tc>
        <w:tc>
          <w:tcPr>
            <w:tcW w:w="5269" w:type="dxa"/>
            <w:noWrap w:val="0"/>
            <w:vAlign w:val="top"/>
          </w:tcPr>
          <w:p w14:paraId="016BF083">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（1）投标人应提供投标截止时间前近6个月中至少1个月的缴纳社会保险的凭据（专用收据或社会保险缴纳清单），并加盖本单位公章。</w:t>
            </w:r>
          </w:p>
          <w:p w14:paraId="1DD9B199">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（2）凭证复印件须清晰可辨，并能显示出投标人名称和所缴纳的社保的种类。</w:t>
            </w:r>
          </w:p>
          <w:p w14:paraId="646D26AE">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（3）依法不需要缴纳社会保障资金的，应提供相应文件说明其依法不需要缴纳的证明材料复印件，并加盖本单位公章。</w:t>
            </w:r>
          </w:p>
        </w:tc>
        <w:tc>
          <w:tcPr>
            <w:tcW w:w="1200" w:type="dxa"/>
            <w:noWrap w:val="0"/>
            <w:vAlign w:val="top"/>
          </w:tcPr>
          <w:p w14:paraId="3699CA4F">
            <w:pPr>
              <w:pStyle w:val="188"/>
              <w:ind w:left="113" w:right="179"/>
              <w:rPr>
                <w:rFonts w:hint="eastAsia" w:ascii="仿宋" w:hAnsi="仿宋" w:eastAsia="仿宋" w:cs="仿宋"/>
                <w:color w:val="auto"/>
                <w:sz w:val="21"/>
                <w:szCs w:val="21"/>
                <w:highlight w:val="none"/>
              </w:rPr>
            </w:pPr>
          </w:p>
        </w:tc>
      </w:tr>
      <w:tr w14:paraId="492B1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6A4BCD53">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w:t>
            </w:r>
          </w:p>
        </w:tc>
        <w:tc>
          <w:tcPr>
            <w:tcW w:w="1862" w:type="dxa"/>
            <w:noWrap w:val="0"/>
            <w:vAlign w:val="center"/>
          </w:tcPr>
          <w:p w14:paraId="775DEB04">
            <w:pPr>
              <w:pStyle w:val="188"/>
              <w:ind w:left="108" w:right="279" w:firstLine="4"/>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具备履行合同所必需的</w:t>
            </w:r>
            <w:r>
              <w:rPr>
                <w:rFonts w:hint="eastAsia" w:ascii="仿宋" w:hAnsi="仿宋" w:eastAsia="仿宋" w:cs="仿宋"/>
                <w:color w:val="auto"/>
                <w:spacing w:val="-1"/>
                <w:sz w:val="21"/>
                <w:szCs w:val="21"/>
                <w:highlight w:val="none"/>
              </w:rPr>
              <w:t>设备和专业技术能力的</w:t>
            </w:r>
            <w:r>
              <w:rPr>
                <w:rFonts w:hint="eastAsia" w:ascii="仿宋" w:hAnsi="仿宋" w:eastAsia="仿宋" w:cs="仿宋"/>
                <w:color w:val="auto"/>
                <w:spacing w:val="-2"/>
                <w:sz w:val="21"/>
                <w:szCs w:val="21"/>
                <w:highlight w:val="none"/>
              </w:rPr>
              <w:t>证明材料</w:t>
            </w:r>
          </w:p>
        </w:tc>
        <w:tc>
          <w:tcPr>
            <w:tcW w:w="5269" w:type="dxa"/>
            <w:noWrap w:val="0"/>
            <w:vAlign w:val="center"/>
          </w:tcPr>
          <w:p w14:paraId="4CFFEC95">
            <w:pPr>
              <w:pStyle w:val="188"/>
              <w:ind w:left="105" w:leftChars="50" w:right="179"/>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资格证明文件附件6-5</w:t>
            </w:r>
            <w:r>
              <w:rPr>
                <w:rFonts w:hint="eastAsia" w:ascii="仿宋" w:hAnsi="仿宋" w:eastAsia="仿宋" w:cs="仿宋"/>
                <w:b/>
                <w:color w:val="auto"/>
                <w:sz w:val="21"/>
                <w:szCs w:val="21"/>
                <w:highlight w:val="none"/>
              </w:rPr>
              <w:t>格式作出相关承诺</w:t>
            </w:r>
            <w:r>
              <w:rPr>
                <w:rFonts w:hint="eastAsia" w:ascii="仿宋" w:hAnsi="仿宋" w:eastAsia="仿宋" w:cs="仿宋"/>
                <w:b/>
                <w:color w:val="auto"/>
                <w:sz w:val="21"/>
                <w:szCs w:val="21"/>
                <w:highlight w:val="none"/>
                <w:lang w:eastAsia="zh-CN"/>
              </w:rPr>
              <w:t>。</w:t>
            </w:r>
          </w:p>
        </w:tc>
        <w:tc>
          <w:tcPr>
            <w:tcW w:w="1200" w:type="dxa"/>
            <w:noWrap w:val="0"/>
            <w:vAlign w:val="center"/>
          </w:tcPr>
          <w:p w14:paraId="37DC322B">
            <w:pPr>
              <w:pStyle w:val="188"/>
              <w:ind w:right="179"/>
              <w:rPr>
                <w:rFonts w:hint="eastAsia" w:ascii="仿宋" w:hAnsi="仿宋" w:eastAsia="仿宋" w:cs="仿宋"/>
                <w:color w:val="auto"/>
                <w:sz w:val="21"/>
                <w:szCs w:val="21"/>
                <w:highlight w:val="none"/>
              </w:rPr>
            </w:pPr>
          </w:p>
        </w:tc>
      </w:tr>
      <w:tr w14:paraId="78038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18F8B617">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6</w:t>
            </w:r>
          </w:p>
        </w:tc>
        <w:tc>
          <w:tcPr>
            <w:tcW w:w="1862" w:type="dxa"/>
            <w:noWrap w:val="0"/>
            <w:vAlign w:val="center"/>
          </w:tcPr>
          <w:p w14:paraId="5035EAE3">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参加政府采购活动前3年内在经营活动中没有重大违法记录的书面</w:t>
            </w:r>
            <w:r>
              <w:rPr>
                <w:rFonts w:hint="eastAsia" w:ascii="仿宋" w:hAnsi="仿宋" w:eastAsia="仿宋" w:cs="仿宋"/>
                <w:color w:val="auto"/>
                <w:spacing w:val="-3"/>
                <w:sz w:val="21"/>
                <w:szCs w:val="21"/>
                <w:highlight w:val="none"/>
              </w:rPr>
              <w:t>声明</w:t>
            </w:r>
          </w:p>
        </w:tc>
        <w:tc>
          <w:tcPr>
            <w:tcW w:w="5269" w:type="dxa"/>
            <w:noWrap w:val="0"/>
            <w:vAlign w:val="center"/>
          </w:tcPr>
          <w:p w14:paraId="7534B14F">
            <w:pPr>
              <w:pStyle w:val="188"/>
              <w:ind w:left="105" w:leftChars="50" w:right="17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资格证明文件附件6-6</w:t>
            </w:r>
            <w:r>
              <w:rPr>
                <w:rFonts w:hint="eastAsia" w:ascii="仿宋" w:hAnsi="仿宋" w:eastAsia="仿宋" w:cs="仿宋"/>
                <w:b/>
                <w:color w:val="auto"/>
                <w:sz w:val="21"/>
                <w:szCs w:val="21"/>
                <w:highlight w:val="none"/>
              </w:rPr>
              <w:t>格式作出相关承诺。</w:t>
            </w:r>
          </w:p>
        </w:tc>
        <w:tc>
          <w:tcPr>
            <w:tcW w:w="1200" w:type="dxa"/>
            <w:noWrap w:val="0"/>
            <w:vAlign w:val="center"/>
          </w:tcPr>
          <w:p w14:paraId="1931197F">
            <w:pPr>
              <w:pStyle w:val="188"/>
              <w:ind w:right="179"/>
              <w:rPr>
                <w:rFonts w:hint="eastAsia" w:ascii="仿宋" w:hAnsi="仿宋" w:eastAsia="仿宋" w:cs="仿宋"/>
                <w:color w:val="auto"/>
                <w:sz w:val="21"/>
                <w:szCs w:val="21"/>
                <w:highlight w:val="none"/>
              </w:rPr>
            </w:pPr>
          </w:p>
        </w:tc>
      </w:tr>
      <w:tr w14:paraId="7A991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489F84D7">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7</w:t>
            </w:r>
          </w:p>
        </w:tc>
        <w:tc>
          <w:tcPr>
            <w:tcW w:w="1862" w:type="dxa"/>
            <w:vMerge w:val="restart"/>
            <w:noWrap w:val="0"/>
            <w:vAlign w:val="center"/>
          </w:tcPr>
          <w:p w14:paraId="5BD45B2D">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特定资格要求</w:t>
            </w:r>
          </w:p>
        </w:tc>
        <w:tc>
          <w:tcPr>
            <w:tcW w:w="5269" w:type="dxa"/>
            <w:noWrap w:val="0"/>
            <w:vAlign w:val="center"/>
          </w:tcPr>
          <w:p w14:paraId="39CC7FFE">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投标人在递交投标文件截止时间前被“信用中国”网站（www.creditchina.gov.cn）和中国政府采购网（www.ccgp.gov.cn）上被列入失信被执行人、重大税收违法失信主体、政府采购严重违法失信行为记录名单的，不得参加投标；</w:t>
            </w:r>
          </w:p>
          <w:p w14:paraId="66A9C5C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lang w:eastAsia="zh-CN"/>
              </w:rPr>
              <w:t>（以采购代理机构于递交投标文件截止时间当天进行资格审查时在“信用中国”网站（www.creditchina.gov.cn）及中国政府采购网(www.ccgp.gov.cn)查询结果为准）</w:t>
            </w:r>
            <w:r>
              <w:rPr>
                <w:rFonts w:hint="eastAsia" w:ascii="仿宋" w:hAnsi="仿宋" w:eastAsia="仿宋" w:cs="仿宋"/>
                <w:color w:val="auto"/>
                <w:sz w:val="21"/>
                <w:szCs w:val="21"/>
                <w:highlight w:val="none"/>
                <w:lang w:eastAsia="zh-CN"/>
              </w:rPr>
              <w:t>。</w:t>
            </w:r>
          </w:p>
        </w:tc>
        <w:tc>
          <w:tcPr>
            <w:tcW w:w="1200" w:type="dxa"/>
            <w:noWrap w:val="0"/>
            <w:vAlign w:val="center"/>
          </w:tcPr>
          <w:p w14:paraId="23B6E858">
            <w:pPr>
              <w:pStyle w:val="188"/>
              <w:ind w:left="111" w:right="237"/>
              <w:rPr>
                <w:rFonts w:hint="eastAsia" w:ascii="仿宋" w:hAnsi="仿宋" w:eastAsia="仿宋" w:cs="仿宋"/>
                <w:color w:val="auto"/>
                <w:sz w:val="21"/>
                <w:szCs w:val="21"/>
                <w:highlight w:val="none"/>
                <w:lang w:eastAsia="zh-CN"/>
              </w:rPr>
            </w:pPr>
          </w:p>
        </w:tc>
      </w:tr>
      <w:tr w14:paraId="2ADF5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1AAE8F4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1E925EC4">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3E9CA73">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-2法定代表人/单位负责人身份证明书、授权委托书及授权代表在本单位缴纳养老保险证明</w:t>
            </w:r>
          </w:p>
          <w:p w14:paraId="2A45E907">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（1）法定代表人或单位负责人投标的，应提供法定代表人或单位负责人身份证明；</w:t>
            </w:r>
          </w:p>
          <w:p w14:paraId="7594B4DD">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（2）授权代表投标的，应提供法定代表人或单位负责人身份证明、授权委托书及授权代表在本单位缴纳养老保险证明。</w:t>
            </w:r>
          </w:p>
        </w:tc>
        <w:tc>
          <w:tcPr>
            <w:tcW w:w="1200" w:type="dxa"/>
            <w:noWrap w:val="0"/>
            <w:vAlign w:val="center"/>
          </w:tcPr>
          <w:p w14:paraId="09E3D321">
            <w:pPr>
              <w:pStyle w:val="188"/>
              <w:ind w:left="111" w:right="237"/>
              <w:rPr>
                <w:rFonts w:hint="eastAsia" w:ascii="仿宋" w:hAnsi="仿宋" w:eastAsia="仿宋" w:cs="仿宋"/>
                <w:color w:val="auto"/>
                <w:sz w:val="21"/>
                <w:szCs w:val="21"/>
                <w:highlight w:val="none"/>
                <w:lang w:eastAsia="zh-CN"/>
              </w:rPr>
            </w:pPr>
          </w:p>
        </w:tc>
      </w:tr>
      <w:tr w14:paraId="0C65B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0478A41">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1AD8FA7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4E8CF90F">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lang w:eastAsia="zh-CN"/>
              </w:rPr>
              <w:t>投标产品属于第二类医疗器械管理的投标人需提供第二类医疗器械经营备案凭证（投标产品须在其经营范围内），投标产品属于第三类医疗器械管理的投标人需提供医疗器械经营许可证（投标产品须在其经营范围内），投标人为制造厂家同时提供医疗器械生产许可证（投标产品须在其生产范围内）；</w:t>
            </w:r>
          </w:p>
        </w:tc>
        <w:tc>
          <w:tcPr>
            <w:tcW w:w="1200" w:type="dxa"/>
            <w:noWrap w:val="0"/>
            <w:vAlign w:val="center"/>
          </w:tcPr>
          <w:p w14:paraId="45C3F91E">
            <w:pPr>
              <w:pStyle w:val="188"/>
              <w:ind w:left="111" w:right="237"/>
              <w:rPr>
                <w:rFonts w:hint="eastAsia" w:ascii="仿宋" w:hAnsi="仿宋" w:eastAsia="仿宋" w:cs="仿宋"/>
                <w:color w:val="auto"/>
                <w:sz w:val="21"/>
                <w:szCs w:val="21"/>
                <w:highlight w:val="none"/>
                <w:lang w:eastAsia="zh-CN"/>
              </w:rPr>
            </w:pPr>
          </w:p>
        </w:tc>
      </w:tr>
      <w:tr w14:paraId="06D85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4565AA83">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5366D89E">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338D1819">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7-4</w:t>
            </w:r>
            <w:r>
              <w:rPr>
                <w:rFonts w:hint="eastAsia" w:ascii="仿宋" w:hAnsi="仿宋" w:eastAsia="仿宋" w:cs="仿宋"/>
                <w:b w:val="0"/>
                <w:bCs w:val="0"/>
                <w:color w:val="auto"/>
                <w:sz w:val="21"/>
                <w:szCs w:val="21"/>
                <w:highlight w:val="none"/>
                <w:lang w:eastAsia="zh-CN"/>
              </w:rPr>
              <w:t>投标产品属于医疗器械管理范围的须提供医疗器械注册证（国内生产的需同时提供厂家生产许可证或备案证等证明文件）；</w:t>
            </w:r>
          </w:p>
        </w:tc>
        <w:tc>
          <w:tcPr>
            <w:tcW w:w="1200" w:type="dxa"/>
            <w:noWrap w:val="0"/>
            <w:vAlign w:val="center"/>
          </w:tcPr>
          <w:p w14:paraId="65C06E35">
            <w:pPr>
              <w:pStyle w:val="188"/>
              <w:ind w:left="111" w:right="237"/>
              <w:rPr>
                <w:rFonts w:hint="eastAsia" w:ascii="仿宋" w:hAnsi="仿宋" w:eastAsia="仿宋" w:cs="仿宋"/>
                <w:color w:val="auto"/>
                <w:sz w:val="21"/>
                <w:szCs w:val="21"/>
                <w:highlight w:val="none"/>
                <w:lang w:eastAsia="zh-CN"/>
              </w:rPr>
            </w:pPr>
          </w:p>
        </w:tc>
      </w:tr>
      <w:tr w14:paraId="55492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6D2DBEFB">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23756938">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7BFE6BCB">
            <w:pPr>
              <w:pStyle w:val="188"/>
              <w:ind w:left="105" w:leftChars="50" w:right="237"/>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7-5投标产品属于进口产品须提供制造商授权书及相应的完整授权链；</w:t>
            </w:r>
          </w:p>
        </w:tc>
        <w:tc>
          <w:tcPr>
            <w:tcW w:w="1200" w:type="dxa"/>
            <w:noWrap w:val="0"/>
            <w:vAlign w:val="center"/>
          </w:tcPr>
          <w:p w14:paraId="187D915C">
            <w:pPr>
              <w:pStyle w:val="188"/>
              <w:ind w:left="111" w:right="237"/>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仅6包需要审核</w:t>
            </w:r>
          </w:p>
        </w:tc>
      </w:tr>
      <w:tr w14:paraId="44DF9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68261BB8">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37BECBC7">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AE64DB2">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-1单位负责人为同一人或者存在直接控股、管理关系的不同供应商，不得参加同一合同项下的政府采购活动</w:t>
            </w:r>
          </w:p>
          <w:p w14:paraId="084174E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按照资格证明文件附件6-7格式做出说明</w:t>
            </w:r>
          </w:p>
        </w:tc>
        <w:tc>
          <w:tcPr>
            <w:tcW w:w="1200" w:type="dxa"/>
            <w:noWrap w:val="0"/>
            <w:vAlign w:val="center"/>
          </w:tcPr>
          <w:p w14:paraId="1E0C5112">
            <w:pPr>
              <w:pStyle w:val="188"/>
              <w:ind w:left="111" w:right="237"/>
              <w:rPr>
                <w:rFonts w:hint="eastAsia" w:ascii="仿宋" w:hAnsi="仿宋" w:eastAsia="仿宋" w:cs="仿宋"/>
                <w:color w:val="auto"/>
                <w:sz w:val="21"/>
                <w:szCs w:val="21"/>
                <w:highlight w:val="none"/>
                <w:lang w:eastAsia="zh-CN"/>
              </w:rPr>
            </w:pPr>
          </w:p>
        </w:tc>
      </w:tr>
      <w:tr w14:paraId="02E3F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68A0FE8A">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5CF11061">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13E086B">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2为本项目提供整体设计、规范编制或者项目管理、监理、检测等服务的供应商，不得再参加本项目的采购活动</w:t>
            </w:r>
          </w:p>
          <w:p w14:paraId="716193C7">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资格证明文件附件6-8</w:t>
            </w:r>
            <w:r>
              <w:rPr>
                <w:rFonts w:hint="eastAsia" w:ascii="仿宋" w:hAnsi="仿宋" w:eastAsia="仿宋" w:cs="仿宋"/>
                <w:b/>
                <w:color w:val="auto"/>
                <w:sz w:val="21"/>
                <w:szCs w:val="21"/>
                <w:highlight w:val="none"/>
              </w:rPr>
              <w:t>格式</w:t>
            </w:r>
            <w:r>
              <w:rPr>
                <w:rFonts w:hint="eastAsia" w:ascii="仿宋" w:hAnsi="仿宋" w:eastAsia="仿宋" w:cs="仿宋"/>
                <w:b/>
                <w:color w:val="auto"/>
                <w:sz w:val="21"/>
                <w:szCs w:val="21"/>
                <w:highlight w:val="none"/>
                <w:lang w:eastAsia="zh-CN"/>
              </w:rPr>
              <w:t>做出声明。</w:t>
            </w:r>
          </w:p>
        </w:tc>
        <w:tc>
          <w:tcPr>
            <w:tcW w:w="1200" w:type="dxa"/>
            <w:noWrap w:val="0"/>
            <w:vAlign w:val="center"/>
          </w:tcPr>
          <w:p w14:paraId="233B0C0F">
            <w:pPr>
              <w:pStyle w:val="188"/>
              <w:ind w:left="111" w:right="237"/>
              <w:rPr>
                <w:rFonts w:hint="eastAsia" w:ascii="仿宋" w:hAnsi="仿宋" w:eastAsia="仿宋" w:cs="仿宋"/>
                <w:color w:val="auto"/>
                <w:sz w:val="21"/>
                <w:szCs w:val="21"/>
                <w:highlight w:val="none"/>
                <w:lang w:eastAsia="zh-CN"/>
              </w:rPr>
            </w:pPr>
          </w:p>
        </w:tc>
      </w:tr>
      <w:tr w14:paraId="15C12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F689E7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1FEC85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128BE03D">
            <w:pPr>
              <w:pStyle w:val="188"/>
              <w:ind w:left="105" w:leftChars="50" w:right="237"/>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7-7需向采购代理机构获取招标文件并登记备案，未向采购代理机构获取招标文件并登记备案的供应商均无资格参加投标</w:t>
            </w:r>
          </w:p>
        </w:tc>
        <w:tc>
          <w:tcPr>
            <w:tcW w:w="1200" w:type="dxa"/>
            <w:noWrap w:val="0"/>
            <w:vAlign w:val="center"/>
          </w:tcPr>
          <w:p w14:paraId="7B929590">
            <w:pPr>
              <w:pStyle w:val="188"/>
              <w:ind w:left="111" w:right="237"/>
              <w:rPr>
                <w:rFonts w:hint="eastAsia" w:ascii="仿宋" w:hAnsi="仿宋" w:eastAsia="仿宋" w:cs="仿宋"/>
                <w:color w:val="auto"/>
                <w:sz w:val="21"/>
                <w:szCs w:val="21"/>
                <w:highlight w:val="none"/>
                <w:lang w:eastAsia="zh-CN"/>
              </w:rPr>
            </w:pPr>
          </w:p>
        </w:tc>
      </w:tr>
      <w:tr w14:paraId="1C48B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7858B8DF">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8</w:t>
            </w:r>
          </w:p>
        </w:tc>
        <w:tc>
          <w:tcPr>
            <w:tcW w:w="1862" w:type="dxa"/>
            <w:noWrap w:val="0"/>
            <w:vAlign w:val="center"/>
          </w:tcPr>
          <w:p w14:paraId="3DBD96F4">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法律、行政法规规定的其他条件</w:t>
            </w:r>
          </w:p>
        </w:tc>
        <w:tc>
          <w:tcPr>
            <w:tcW w:w="5269" w:type="dxa"/>
            <w:noWrap w:val="0"/>
            <w:vAlign w:val="center"/>
          </w:tcPr>
          <w:p w14:paraId="50B4FCB1">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不存在违反法律法规的情况</w:t>
            </w:r>
          </w:p>
        </w:tc>
        <w:tc>
          <w:tcPr>
            <w:tcW w:w="1200" w:type="dxa"/>
            <w:noWrap w:val="0"/>
            <w:vAlign w:val="center"/>
          </w:tcPr>
          <w:p w14:paraId="38C850CB">
            <w:pPr>
              <w:pStyle w:val="188"/>
              <w:ind w:left="111" w:right="237"/>
              <w:rPr>
                <w:rFonts w:hint="eastAsia" w:ascii="仿宋" w:hAnsi="仿宋" w:eastAsia="仿宋" w:cs="仿宋"/>
                <w:color w:val="auto"/>
                <w:sz w:val="21"/>
                <w:szCs w:val="21"/>
                <w:highlight w:val="none"/>
                <w:lang w:eastAsia="zh-CN"/>
              </w:rPr>
            </w:pPr>
          </w:p>
        </w:tc>
      </w:tr>
      <w:tr w14:paraId="6B56A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570" w:type="dxa"/>
            <w:gridSpan w:val="2"/>
            <w:noWrap w:val="0"/>
            <w:vAlign w:val="center"/>
          </w:tcPr>
          <w:p w14:paraId="2ECE20B4">
            <w:pPr>
              <w:pStyle w:val="188"/>
              <w:ind w:left="111" w:right="23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审查结论</w:t>
            </w:r>
          </w:p>
        </w:tc>
        <w:tc>
          <w:tcPr>
            <w:tcW w:w="6469" w:type="dxa"/>
            <w:gridSpan w:val="2"/>
            <w:noWrap w:val="0"/>
            <w:vAlign w:val="center"/>
          </w:tcPr>
          <w:p w14:paraId="08671B5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通过/不通过</w:t>
            </w:r>
          </w:p>
        </w:tc>
      </w:tr>
    </w:tbl>
    <w:p w14:paraId="3F4BC9D0">
      <w:pPr>
        <w:pStyle w:val="6"/>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合同包8</w:t>
      </w:r>
    </w:p>
    <w:tbl>
      <w:tblPr>
        <w:tblStyle w:val="34"/>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862"/>
        <w:gridCol w:w="5269"/>
        <w:gridCol w:w="1200"/>
      </w:tblGrid>
      <w:tr w14:paraId="29F41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708" w:type="dxa"/>
            <w:noWrap w:val="0"/>
            <w:vAlign w:val="center"/>
          </w:tcPr>
          <w:p w14:paraId="005489FC">
            <w:pPr>
              <w:pStyle w:val="188"/>
              <w:ind w:left="117" w:right="111" w:firstLine="1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17"/>
                <w:sz w:val="21"/>
                <w:szCs w:val="21"/>
                <w:highlight w:val="none"/>
                <w:lang w:eastAsia="zh-CN"/>
              </w:rPr>
              <w:t>序号</w:t>
            </w:r>
          </w:p>
        </w:tc>
        <w:tc>
          <w:tcPr>
            <w:tcW w:w="1862" w:type="dxa"/>
            <w:noWrap w:val="0"/>
            <w:vAlign w:val="center"/>
          </w:tcPr>
          <w:p w14:paraId="14422194">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5"/>
                <w:sz w:val="21"/>
                <w:szCs w:val="21"/>
                <w:highlight w:val="none"/>
                <w:lang w:eastAsia="zh-CN"/>
              </w:rPr>
              <w:t>审查要素</w:t>
            </w:r>
          </w:p>
        </w:tc>
        <w:tc>
          <w:tcPr>
            <w:tcW w:w="5269" w:type="dxa"/>
            <w:noWrap w:val="0"/>
            <w:vAlign w:val="center"/>
          </w:tcPr>
          <w:p w14:paraId="4DA1E46A">
            <w:pPr>
              <w:pStyle w:val="188"/>
              <w:jc w:val="center"/>
              <w:rPr>
                <w:rFonts w:hint="eastAsia" w:ascii="仿宋" w:hAnsi="仿宋" w:eastAsia="仿宋" w:cs="仿宋"/>
                <w:color w:val="auto"/>
                <w:sz w:val="21"/>
                <w:szCs w:val="21"/>
                <w:highlight w:val="none"/>
              </w:rPr>
            </w:pPr>
            <w:r>
              <w:rPr>
                <w:rFonts w:hint="eastAsia" w:ascii="仿宋" w:hAnsi="仿宋" w:eastAsia="仿宋" w:cs="仿宋"/>
                <w:b/>
                <w:bCs/>
                <w:color w:val="auto"/>
                <w:spacing w:val="-4"/>
                <w:sz w:val="21"/>
                <w:szCs w:val="21"/>
                <w:highlight w:val="none"/>
                <w:lang w:eastAsia="zh-CN"/>
              </w:rPr>
              <w:t>审查</w:t>
            </w:r>
            <w:r>
              <w:rPr>
                <w:rFonts w:hint="eastAsia" w:ascii="仿宋" w:hAnsi="仿宋" w:eastAsia="仿宋" w:cs="仿宋"/>
                <w:b/>
                <w:bCs/>
                <w:color w:val="auto"/>
                <w:spacing w:val="-4"/>
                <w:sz w:val="21"/>
                <w:szCs w:val="21"/>
                <w:highlight w:val="none"/>
              </w:rPr>
              <w:t>标准</w:t>
            </w:r>
          </w:p>
        </w:tc>
        <w:tc>
          <w:tcPr>
            <w:tcW w:w="1200" w:type="dxa"/>
            <w:noWrap w:val="0"/>
            <w:vAlign w:val="center"/>
          </w:tcPr>
          <w:p w14:paraId="365223B1">
            <w:pPr>
              <w:pStyle w:val="188"/>
              <w:jc w:val="center"/>
              <w:rPr>
                <w:rFonts w:hint="eastAsia" w:ascii="仿宋" w:hAnsi="仿宋" w:eastAsia="仿宋" w:cs="仿宋"/>
                <w:b/>
                <w:bCs/>
                <w:color w:val="auto"/>
                <w:spacing w:val="-4"/>
                <w:sz w:val="21"/>
                <w:szCs w:val="21"/>
                <w:highlight w:val="none"/>
                <w:lang w:eastAsia="zh-CN"/>
              </w:rPr>
            </w:pPr>
            <w:r>
              <w:rPr>
                <w:rFonts w:hint="eastAsia" w:ascii="仿宋" w:hAnsi="仿宋" w:eastAsia="仿宋" w:cs="仿宋"/>
                <w:b/>
                <w:bCs/>
                <w:color w:val="auto"/>
                <w:spacing w:val="-4"/>
                <w:sz w:val="21"/>
                <w:szCs w:val="21"/>
                <w:highlight w:val="none"/>
                <w:lang w:eastAsia="zh-CN"/>
              </w:rPr>
              <w:t>审查结果</w:t>
            </w:r>
          </w:p>
        </w:tc>
      </w:tr>
      <w:tr w14:paraId="663D0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3AD97D4E">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w:t>
            </w:r>
          </w:p>
        </w:tc>
        <w:tc>
          <w:tcPr>
            <w:tcW w:w="1862" w:type="dxa"/>
            <w:noWrap w:val="0"/>
            <w:vAlign w:val="center"/>
          </w:tcPr>
          <w:p w14:paraId="27106C86">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法人或者其他组织、自然人的营业执照等证明</w:t>
            </w:r>
            <w:r>
              <w:rPr>
                <w:rFonts w:hint="eastAsia" w:ascii="仿宋" w:hAnsi="仿宋" w:eastAsia="仿宋" w:cs="仿宋"/>
                <w:color w:val="auto"/>
                <w:spacing w:val="-3"/>
                <w:sz w:val="21"/>
                <w:szCs w:val="21"/>
                <w:highlight w:val="none"/>
              </w:rPr>
              <w:t>文件</w:t>
            </w:r>
          </w:p>
        </w:tc>
        <w:tc>
          <w:tcPr>
            <w:tcW w:w="5269" w:type="dxa"/>
            <w:noWrap w:val="0"/>
            <w:vAlign w:val="top"/>
          </w:tcPr>
          <w:p w14:paraId="17A5AC66">
            <w:pPr>
              <w:pStyle w:val="188"/>
              <w:ind w:left="105" w:leftChars="50" w:right="11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rPr>
              <w:t>投标人是企业（包括合伙企业）的，应提供其在市场监督管理部门注册的有效“营业执照 ”的复印件；</w:t>
            </w:r>
          </w:p>
          <w:p w14:paraId="602C6CCB">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（2）投标人</w:t>
            </w:r>
            <w:r>
              <w:rPr>
                <w:rFonts w:hint="eastAsia" w:ascii="仿宋" w:hAnsi="仿宋" w:eastAsia="仿宋" w:cs="仿宋"/>
                <w:color w:val="auto"/>
                <w:sz w:val="21"/>
                <w:szCs w:val="21"/>
                <w:highlight w:val="none"/>
              </w:rPr>
              <w:t>是事业单位的，应提供其有效的“事业单位法人证书”复印件；</w:t>
            </w:r>
          </w:p>
          <w:p w14:paraId="43863ECC">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w:t>
            </w:r>
            <w:r>
              <w:rPr>
                <w:rFonts w:hint="eastAsia" w:ascii="仿宋" w:hAnsi="仿宋" w:eastAsia="仿宋" w:cs="仿宋"/>
                <w:color w:val="auto"/>
                <w:sz w:val="21"/>
                <w:szCs w:val="21"/>
                <w:highlight w:val="none"/>
              </w:rPr>
              <w:t>投标人是非企业专业服务机构的，应提供其有效的“执业许可证”复印件；</w:t>
            </w:r>
          </w:p>
          <w:p w14:paraId="3BF18773">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（4）</w:t>
            </w:r>
            <w:r>
              <w:rPr>
                <w:rFonts w:hint="eastAsia" w:ascii="仿宋" w:hAnsi="仿宋" w:eastAsia="仿宋" w:cs="仿宋"/>
                <w:color w:val="auto"/>
                <w:sz w:val="21"/>
                <w:szCs w:val="21"/>
                <w:highlight w:val="none"/>
              </w:rPr>
              <w:t>投标人是民办非企业单位的，应提供其有效的登记证书复印件；</w:t>
            </w:r>
          </w:p>
          <w:p w14:paraId="151F5A68">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（5）</w:t>
            </w:r>
            <w:r>
              <w:rPr>
                <w:rFonts w:hint="eastAsia" w:ascii="仿宋" w:hAnsi="仿宋" w:eastAsia="仿宋" w:cs="仿宋"/>
                <w:color w:val="auto"/>
                <w:sz w:val="21"/>
                <w:szCs w:val="21"/>
                <w:highlight w:val="none"/>
              </w:rPr>
              <w:t>投标人是个体工商户的，应提供其有效的“营业执照”复印件；</w:t>
            </w:r>
          </w:p>
          <w:p w14:paraId="50F554DA">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（6）</w:t>
            </w:r>
            <w:r>
              <w:rPr>
                <w:rFonts w:hint="eastAsia" w:ascii="仿宋" w:hAnsi="仿宋" w:eastAsia="仿宋" w:cs="仿宋"/>
                <w:color w:val="auto"/>
                <w:sz w:val="21"/>
                <w:szCs w:val="21"/>
                <w:highlight w:val="none"/>
              </w:rPr>
              <w:t>投标人是自然人的，应提供其有效的自然人身份证明复印件。</w:t>
            </w:r>
          </w:p>
        </w:tc>
        <w:tc>
          <w:tcPr>
            <w:tcW w:w="1200" w:type="dxa"/>
            <w:noWrap w:val="0"/>
            <w:vAlign w:val="top"/>
          </w:tcPr>
          <w:p w14:paraId="0F45EB3F">
            <w:pPr>
              <w:pStyle w:val="188"/>
              <w:ind w:left="531" w:right="239" w:hanging="409"/>
              <w:rPr>
                <w:rFonts w:hint="eastAsia" w:ascii="仿宋" w:hAnsi="仿宋" w:eastAsia="仿宋" w:cs="仿宋"/>
                <w:color w:val="auto"/>
                <w:position w:val="-5"/>
                <w:sz w:val="21"/>
                <w:szCs w:val="21"/>
                <w:highlight w:val="none"/>
              </w:rPr>
            </w:pPr>
          </w:p>
        </w:tc>
      </w:tr>
      <w:tr w14:paraId="7BA3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63982956">
            <w:pPr>
              <w:pStyle w:val="188"/>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w:t>
            </w:r>
          </w:p>
        </w:tc>
        <w:tc>
          <w:tcPr>
            <w:tcW w:w="1862" w:type="dxa"/>
            <w:vMerge w:val="restart"/>
            <w:noWrap w:val="0"/>
            <w:vAlign w:val="center"/>
          </w:tcPr>
          <w:p w14:paraId="4A4A377C">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财务状况报告：提供（1）或提供（2）</w:t>
            </w:r>
          </w:p>
        </w:tc>
        <w:tc>
          <w:tcPr>
            <w:tcW w:w="5269" w:type="dxa"/>
            <w:noWrap w:val="0"/>
            <w:vAlign w:val="top"/>
          </w:tcPr>
          <w:p w14:paraId="59B04747">
            <w:pPr>
              <w:pStyle w:val="188"/>
              <w:ind w:left="105" w:leftChars="50" w:right="17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（1）提供递交投标文件截止之日前两年内任意一个年度经审计的财务报告，应满足以下要求：</w:t>
            </w:r>
          </w:p>
          <w:p w14:paraId="4039D150">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①投标人是企业的，财务</w:t>
            </w:r>
            <w:r>
              <w:rPr>
                <w:rFonts w:hint="eastAsia" w:ascii="仿宋" w:hAnsi="仿宋" w:eastAsia="仿宋" w:cs="仿宋"/>
                <w:color w:val="auto"/>
                <w:sz w:val="21"/>
                <w:szCs w:val="21"/>
                <w:highlight w:val="none"/>
                <w:lang w:val="en-US" w:eastAsia="zh-CN"/>
              </w:rPr>
              <w:t>报告</w:t>
            </w:r>
            <w:r>
              <w:rPr>
                <w:rFonts w:hint="eastAsia" w:ascii="仿宋" w:hAnsi="仿宋" w:eastAsia="仿宋" w:cs="仿宋"/>
                <w:color w:val="auto"/>
                <w:sz w:val="21"/>
                <w:szCs w:val="21"/>
                <w:highlight w:val="none"/>
              </w:rPr>
              <w:t>是指经会计师事务所审计的上述指定年度整个会计年度财务报表（须提供会计师事务所出具的审计报告复印件）,复印件至少须包括</w:t>
            </w:r>
            <w:r>
              <w:rPr>
                <w:rFonts w:hint="eastAsia" w:ascii="仿宋" w:hAnsi="仿宋" w:eastAsia="仿宋" w:cs="仿宋"/>
                <w:color w:val="auto"/>
                <w:sz w:val="21"/>
                <w:szCs w:val="21"/>
                <w:highlight w:val="none"/>
                <w:lang w:val="en-US" w:eastAsia="zh-CN"/>
              </w:rPr>
              <w:t>报告正文、</w:t>
            </w:r>
            <w:r>
              <w:rPr>
                <w:rFonts w:hint="eastAsia" w:ascii="仿宋" w:hAnsi="仿宋" w:eastAsia="仿宋" w:cs="仿宋"/>
                <w:color w:val="auto"/>
                <w:sz w:val="21"/>
                <w:szCs w:val="21"/>
                <w:highlight w:val="none"/>
              </w:rPr>
              <w:t>资产负债表、现金流量表、利润表</w:t>
            </w:r>
            <w:r>
              <w:rPr>
                <w:rFonts w:hint="eastAsia" w:ascii="仿宋" w:hAnsi="仿宋" w:eastAsia="仿宋" w:cs="仿宋"/>
                <w:color w:val="auto"/>
                <w:sz w:val="21"/>
                <w:szCs w:val="21"/>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1"/>
                <w:szCs w:val="21"/>
                <w:highlight w:val="none"/>
                <w:lang w:val="en-US" w:eastAsia="zh-CN"/>
              </w:rPr>
              <w:t>且2022年10月1日后出具的审计报告应当经过注册会计师行业统一监管平台备案赋码</w:t>
            </w:r>
            <w:r>
              <w:rPr>
                <w:rFonts w:hint="eastAsia" w:ascii="仿宋" w:hAnsi="仿宋" w:eastAsia="仿宋" w:cs="仿宋"/>
                <w:b/>
                <w:bCs/>
                <w:color w:val="auto"/>
                <w:sz w:val="21"/>
                <w:szCs w:val="21"/>
                <w:highlight w:val="none"/>
                <w:lang w:eastAsia="zh-CN"/>
              </w:rPr>
              <w:t>。</w:t>
            </w:r>
          </w:p>
          <w:p w14:paraId="779D20A2">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②投标人适用《事业单位会计准则》的，财务报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是指上述指定年度整个会计年度财务报表（不要求必须是经审计的），复印件至少须包括资产负债表、收入支出表（或收入费用表）、财政补助收入支出表。</w:t>
            </w:r>
          </w:p>
          <w:p w14:paraId="7A46C9F4">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③投标人适用《政府会计准则》的，财务报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是指上述指定年度整个会计年度财务报表（不要求必须是经审计的），复印件至少须包括资产负债表、收入费用表。</w:t>
            </w:r>
          </w:p>
          <w:p w14:paraId="0A2BFEFF">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④投标人适用《民间非营利组织会计制度》的，</w:t>
            </w:r>
            <w:r>
              <w:rPr>
                <w:rFonts w:hint="eastAsia" w:ascii="仿宋" w:hAnsi="仿宋" w:eastAsia="仿宋" w:cs="仿宋"/>
                <w:color w:val="auto"/>
                <w:sz w:val="21"/>
                <w:szCs w:val="21"/>
                <w:highlight w:val="none"/>
                <w:lang w:eastAsia="zh-CN"/>
              </w:rPr>
              <w:t>财</w:t>
            </w:r>
            <w:r>
              <w:rPr>
                <w:rFonts w:hint="eastAsia" w:ascii="仿宋" w:hAnsi="仿宋" w:eastAsia="仿宋" w:cs="仿宋"/>
                <w:color w:val="auto"/>
                <w:sz w:val="21"/>
                <w:szCs w:val="21"/>
                <w:highlight w:val="none"/>
              </w:rPr>
              <w:t>务报</w:t>
            </w:r>
            <w:r>
              <w:rPr>
                <w:rFonts w:hint="eastAsia" w:ascii="仿宋" w:hAnsi="仿宋" w:eastAsia="仿宋" w:cs="仿宋"/>
                <w:color w:val="auto"/>
                <w:sz w:val="21"/>
                <w:szCs w:val="21"/>
                <w:highlight w:val="none"/>
                <w:lang w:eastAsia="zh-CN"/>
              </w:rPr>
              <w:t>告</w:t>
            </w:r>
            <w:r>
              <w:rPr>
                <w:rFonts w:hint="eastAsia" w:ascii="仿宋" w:hAnsi="仿宋" w:eastAsia="仿宋" w:cs="仿宋"/>
                <w:color w:val="auto"/>
                <w:sz w:val="21"/>
                <w:szCs w:val="21"/>
                <w:highlight w:val="none"/>
              </w:rPr>
              <w:t>是指上述指定年度整个会计年度财务报表（不要求必须是经审计的），复印件至少须包括资产负债表、业务活动表、现金流量表。</w:t>
            </w:r>
          </w:p>
          <w:p w14:paraId="28762032">
            <w:pPr>
              <w:pStyle w:val="188"/>
              <w:ind w:left="105" w:leftChars="50" w:right="2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⑤投标人是上述四种情况以外情况的，按照其依法适用的会计制度、财务规则或会计准则提供财务报表复印件（不要求必须是经审计的）。</w:t>
            </w:r>
          </w:p>
        </w:tc>
        <w:tc>
          <w:tcPr>
            <w:tcW w:w="1200" w:type="dxa"/>
            <w:noWrap w:val="0"/>
            <w:vAlign w:val="top"/>
          </w:tcPr>
          <w:p w14:paraId="3BF6ED72">
            <w:pPr>
              <w:pStyle w:val="188"/>
              <w:ind w:left="533" w:right="238" w:hanging="408"/>
              <w:rPr>
                <w:rFonts w:hint="eastAsia" w:ascii="仿宋" w:hAnsi="仿宋" w:eastAsia="仿宋" w:cs="仿宋"/>
                <w:color w:val="auto"/>
                <w:position w:val="-5"/>
                <w:sz w:val="21"/>
                <w:szCs w:val="21"/>
                <w:highlight w:val="none"/>
              </w:rPr>
            </w:pPr>
          </w:p>
        </w:tc>
      </w:tr>
      <w:tr w14:paraId="3B23A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top"/>
          </w:tcPr>
          <w:p w14:paraId="3FFA06B6">
            <w:pPr>
              <w:rPr>
                <w:rFonts w:hint="eastAsia" w:ascii="仿宋" w:hAnsi="仿宋" w:eastAsia="仿宋" w:cs="仿宋"/>
                <w:color w:val="auto"/>
                <w:szCs w:val="21"/>
                <w:highlight w:val="none"/>
              </w:rPr>
            </w:pPr>
          </w:p>
        </w:tc>
        <w:tc>
          <w:tcPr>
            <w:tcW w:w="1862" w:type="dxa"/>
            <w:vMerge w:val="continue"/>
            <w:noWrap w:val="0"/>
            <w:vAlign w:val="top"/>
          </w:tcPr>
          <w:p w14:paraId="5E931E3A">
            <w:pPr>
              <w:rPr>
                <w:rFonts w:hint="eastAsia" w:ascii="仿宋" w:hAnsi="仿宋" w:eastAsia="仿宋" w:cs="仿宋"/>
                <w:color w:val="auto"/>
                <w:szCs w:val="21"/>
                <w:highlight w:val="none"/>
              </w:rPr>
            </w:pPr>
          </w:p>
        </w:tc>
        <w:tc>
          <w:tcPr>
            <w:tcW w:w="5269" w:type="dxa"/>
            <w:noWrap w:val="0"/>
            <w:vAlign w:val="top"/>
          </w:tcPr>
          <w:p w14:paraId="795AC0D6">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（2</w:t>
            </w: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提供资信证明原件或复印件</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后附开户许可证或基本户信息</w:t>
            </w:r>
            <w:r>
              <w:rPr>
                <w:rFonts w:hint="eastAsia" w:ascii="仿宋" w:hAnsi="仿宋" w:eastAsia="仿宋" w:cs="仿宋"/>
                <w:b/>
                <w:bCs/>
                <w:color w:val="auto"/>
                <w:sz w:val="21"/>
                <w:szCs w:val="21"/>
                <w:highlight w:val="none"/>
              </w:rPr>
              <w:t>复印件，应满足以下要求：</w:t>
            </w:r>
          </w:p>
          <w:p w14:paraId="0075157F">
            <w:pPr>
              <w:pStyle w:val="188"/>
              <w:ind w:left="105" w:leftChars="50" w:right="23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①资信证明须为</w:t>
            </w:r>
            <w:r>
              <w:rPr>
                <w:rFonts w:hint="eastAsia" w:ascii="仿宋" w:hAnsi="仿宋" w:eastAsia="仿宋" w:cs="仿宋"/>
                <w:color w:val="auto"/>
                <w:sz w:val="21"/>
                <w:szCs w:val="21"/>
                <w:highlight w:val="none"/>
                <w:lang w:eastAsia="zh-CN"/>
              </w:rPr>
              <w:t>递交投标文件截止时间</w:t>
            </w:r>
            <w:r>
              <w:rPr>
                <w:rFonts w:hint="eastAsia" w:ascii="仿宋" w:hAnsi="仿宋" w:eastAsia="仿宋" w:cs="仿宋"/>
                <w:color w:val="auto"/>
                <w:sz w:val="21"/>
                <w:szCs w:val="21"/>
                <w:highlight w:val="none"/>
              </w:rPr>
              <w:t>前三个月内由投标人</w:t>
            </w:r>
            <w:r>
              <w:rPr>
                <w:rFonts w:hint="eastAsia" w:ascii="仿宋" w:hAnsi="仿宋" w:eastAsia="仿宋" w:cs="仿宋"/>
                <w:color w:val="auto"/>
                <w:sz w:val="21"/>
                <w:szCs w:val="21"/>
                <w:highlight w:val="none"/>
                <w:lang w:eastAsia="zh-CN"/>
              </w:rPr>
              <w:t>基本账户</w:t>
            </w:r>
            <w:r>
              <w:rPr>
                <w:rFonts w:hint="eastAsia" w:ascii="仿宋" w:hAnsi="仿宋" w:eastAsia="仿宋" w:cs="仿宋"/>
                <w:color w:val="auto"/>
                <w:sz w:val="21"/>
                <w:szCs w:val="21"/>
                <w:highlight w:val="none"/>
              </w:rPr>
              <w:t>开户银行出具。</w:t>
            </w:r>
          </w:p>
          <w:p w14:paraId="1120C13B">
            <w:pPr>
              <w:pStyle w:val="188"/>
              <w:ind w:left="105" w:leftChars="50" w:right="1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②无论开具银行是否标明“复印无效”，投标人提供的复印件在本次投标中予以认可（即不因“复印无效”字样而认定资信证明复印件无效）</w:t>
            </w:r>
            <w:r>
              <w:rPr>
                <w:rFonts w:hint="eastAsia" w:ascii="仿宋" w:hAnsi="仿宋" w:eastAsia="仿宋" w:cs="仿宋"/>
                <w:color w:val="auto"/>
                <w:position w:val="1"/>
                <w:sz w:val="21"/>
                <w:szCs w:val="21"/>
                <w:highlight w:val="none"/>
              </w:rPr>
              <w:t>。</w:t>
            </w:r>
          </w:p>
          <w:p w14:paraId="137CE32C">
            <w:pPr>
              <w:pStyle w:val="188"/>
              <w:ind w:left="105" w:leftChars="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③银行出具的存款证明不能替代银行资信证明。</w:t>
            </w:r>
          </w:p>
        </w:tc>
        <w:tc>
          <w:tcPr>
            <w:tcW w:w="1200" w:type="dxa"/>
            <w:noWrap w:val="0"/>
            <w:vAlign w:val="top"/>
          </w:tcPr>
          <w:p w14:paraId="45A8867D">
            <w:pPr>
              <w:pStyle w:val="188"/>
              <w:ind w:left="113" w:right="311" w:firstLine="4"/>
              <w:rPr>
                <w:rFonts w:hint="eastAsia" w:ascii="仿宋" w:hAnsi="仿宋" w:eastAsia="仿宋" w:cs="仿宋"/>
                <w:color w:val="auto"/>
                <w:spacing w:val="-2"/>
                <w:sz w:val="21"/>
                <w:szCs w:val="21"/>
                <w:highlight w:val="none"/>
              </w:rPr>
            </w:pPr>
          </w:p>
        </w:tc>
      </w:tr>
      <w:tr w14:paraId="3FC64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708" w:type="dxa"/>
            <w:noWrap w:val="0"/>
            <w:vAlign w:val="center"/>
          </w:tcPr>
          <w:p w14:paraId="128D9DFA">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3</w:t>
            </w:r>
          </w:p>
        </w:tc>
        <w:tc>
          <w:tcPr>
            <w:tcW w:w="1862" w:type="dxa"/>
            <w:noWrap w:val="0"/>
            <w:vAlign w:val="center"/>
          </w:tcPr>
          <w:p w14:paraId="5820BEC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依法缴纳税收的相关材</w:t>
            </w:r>
            <w:r>
              <w:rPr>
                <w:rFonts w:hint="eastAsia" w:ascii="仿宋" w:hAnsi="仿宋" w:eastAsia="仿宋" w:cs="仿宋"/>
                <w:color w:val="auto"/>
                <w:sz w:val="21"/>
                <w:szCs w:val="21"/>
                <w:highlight w:val="none"/>
              </w:rPr>
              <w:t>料</w:t>
            </w:r>
          </w:p>
        </w:tc>
        <w:tc>
          <w:tcPr>
            <w:tcW w:w="5269" w:type="dxa"/>
            <w:noWrap w:val="0"/>
            <w:vAlign w:val="top"/>
          </w:tcPr>
          <w:p w14:paraId="14E0BA9A">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（1）投标人应提供投标截止时间前近6个月中任何1个月缴税凭证，时间以税款所属时期为准（银行出具的缴税凭证或税务机关出具的证明的复印件，并加盖本单位公章）。</w:t>
            </w:r>
          </w:p>
          <w:p w14:paraId="56F8CB43">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（2）缴纳凭证复印件须清晰可辨，并能显示出投标人名称和所缴纳税种种类，单位代扣代缴的个人所得税不能作为单位纳税的凭证。</w:t>
            </w:r>
          </w:p>
          <w:p w14:paraId="1CC09B4A">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（3）依法免税的投标人，应提供相应文件证明其依法免税。</w:t>
            </w:r>
          </w:p>
        </w:tc>
        <w:tc>
          <w:tcPr>
            <w:tcW w:w="1200" w:type="dxa"/>
            <w:noWrap w:val="0"/>
            <w:vAlign w:val="top"/>
          </w:tcPr>
          <w:p w14:paraId="76FC7F7A">
            <w:pPr>
              <w:pStyle w:val="188"/>
              <w:ind w:left="110" w:right="179" w:firstLine="2"/>
              <w:rPr>
                <w:rFonts w:hint="eastAsia" w:ascii="仿宋" w:hAnsi="仿宋" w:eastAsia="仿宋" w:cs="仿宋"/>
                <w:color w:val="auto"/>
                <w:sz w:val="21"/>
                <w:szCs w:val="21"/>
                <w:highlight w:val="none"/>
              </w:rPr>
            </w:pPr>
          </w:p>
        </w:tc>
      </w:tr>
      <w:tr w14:paraId="33C8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0E15518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4</w:t>
            </w:r>
          </w:p>
        </w:tc>
        <w:tc>
          <w:tcPr>
            <w:tcW w:w="1862" w:type="dxa"/>
            <w:noWrap w:val="0"/>
            <w:vAlign w:val="center"/>
          </w:tcPr>
          <w:p w14:paraId="1689B231">
            <w:pPr>
              <w:pStyle w:val="188"/>
              <w:ind w:right="279"/>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依法缴纳社会保障资金</w:t>
            </w:r>
            <w:r>
              <w:rPr>
                <w:rFonts w:hint="eastAsia" w:ascii="仿宋" w:hAnsi="仿宋" w:eastAsia="仿宋" w:cs="仿宋"/>
                <w:color w:val="auto"/>
                <w:spacing w:val="-5"/>
                <w:sz w:val="21"/>
                <w:szCs w:val="21"/>
                <w:highlight w:val="none"/>
              </w:rPr>
              <w:t>的相关材料</w:t>
            </w:r>
          </w:p>
        </w:tc>
        <w:tc>
          <w:tcPr>
            <w:tcW w:w="5269" w:type="dxa"/>
            <w:noWrap w:val="0"/>
            <w:vAlign w:val="top"/>
          </w:tcPr>
          <w:p w14:paraId="4A6E3C86">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（1）投标人应提供投标截止时间前近6个月中至少1个月的缴纳社会保险的凭据（专用收据或社会保险缴纳清单），并加盖本单位公章。</w:t>
            </w:r>
          </w:p>
          <w:p w14:paraId="7E02DD1B">
            <w:pPr>
              <w:pStyle w:val="188"/>
              <w:ind w:left="105" w:leftChars="50" w:right="179"/>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（2）凭证复印件须清晰可辨，并能显示出投标人名称和所缴纳的社保的种类。</w:t>
            </w:r>
          </w:p>
          <w:p w14:paraId="2511789D">
            <w:pPr>
              <w:pStyle w:val="188"/>
              <w:ind w:left="105" w:leftChars="50" w:right="179"/>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（3）依法不需要缴纳社会保障资金的，应提供相应文件说明其依法不需要缴纳的证明材料复印件，并加盖本单位公章。</w:t>
            </w:r>
          </w:p>
        </w:tc>
        <w:tc>
          <w:tcPr>
            <w:tcW w:w="1200" w:type="dxa"/>
            <w:noWrap w:val="0"/>
            <w:vAlign w:val="top"/>
          </w:tcPr>
          <w:p w14:paraId="48B40232">
            <w:pPr>
              <w:pStyle w:val="188"/>
              <w:ind w:left="113" w:right="179"/>
              <w:rPr>
                <w:rFonts w:hint="eastAsia" w:ascii="仿宋" w:hAnsi="仿宋" w:eastAsia="仿宋" w:cs="仿宋"/>
                <w:color w:val="auto"/>
                <w:sz w:val="21"/>
                <w:szCs w:val="21"/>
                <w:highlight w:val="none"/>
              </w:rPr>
            </w:pPr>
          </w:p>
        </w:tc>
      </w:tr>
      <w:tr w14:paraId="39CCB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703FDBD8">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5</w:t>
            </w:r>
          </w:p>
        </w:tc>
        <w:tc>
          <w:tcPr>
            <w:tcW w:w="1862" w:type="dxa"/>
            <w:noWrap w:val="0"/>
            <w:vAlign w:val="center"/>
          </w:tcPr>
          <w:p w14:paraId="7AB1D86C">
            <w:pPr>
              <w:pStyle w:val="188"/>
              <w:ind w:left="108" w:right="279" w:firstLine="4"/>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具备履行合同所必需的</w:t>
            </w:r>
            <w:r>
              <w:rPr>
                <w:rFonts w:hint="eastAsia" w:ascii="仿宋" w:hAnsi="仿宋" w:eastAsia="仿宋" w:cs="仿宋"/>
                <w:color w:val="auto"/>
                <w:spacing w:val="-1"/>
                <w:sz w:val="21"/>
                <w:szCs w:val="21"/>
                <w:highlight w:val="none"/>
              </w:rPr>
              <w:t>设备和专业技术能力的</w:t>
            </w:r>
            <w:r>
              <w:rPr>
                <w:rFonts w:hint="eastAsia" w:ascii="仿宋" w:hAnsi="仿宋" w:eastAsia="仿宋" w:cs="仿宋"/>
                <w:color w:val="auto"/>
                <w:spacing w:val="-2"/>
                <w:sz w:val="21"/>
                <w:szCs w:val="21"/>
                <w:highlight w:val="none"/>
              </w:rPr>
              <w:t>证明材料</w:t>
            </w:r>
          </w:p>
        </w:tc>
        <w:tc>
          <w:tcPr>
            <w:tcW w:w="5269" w:type="dxa"/>
            <w:noWrap w:val="0"/>
            <w:vAlign w:val="center"/>
          </w:tcPr>
          <w:p w14:paraId="22E2B47E">
            <w:pPr>
              <w:pStyle w:val="188"/>
              <w:ind w:left="105" w:leftChars="50" w:right="179"/>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资格证明文件附件6-5</w:t>
            </w:r>
            <w:r>
              <w:rPr>
                <w:rFonts w:hint="eastAsia" w:ascii="仿宋" w:hAnsi="仿宋" w:eastAsia="仿宋" w:cs="仿宋"/>
                <w:b/>
                <w:color w:val="auto"/>
                <w:sz w:val="21"/>
                <w:szCs w:val="21"/>
                <w:highlight w:val="none"/>
              </w:rPr>
              <w:t>格式作出相关承诺</w:t>
            </w:r>
            <w:r>
              <w:rPr>
                <w:rFonts w:hint="eastAsia" w:ascii="仿宋" w:hAnsi="仿宋" w:eastAsia="仿宋" w:cs="仿宋"/>
                <w:b/>
                <w:color w:val="auto"/>
                <w:sz w:val="21"/>
                <w:szCs w:val="21"/>
                <w:highlight w:val="none"/>
                <w:lang w:eastAsia="zh-CN"/>
              </w:rPr>
              <w:t>。</w:t>
            </w:r>
          </w:p>
        </w:tc>
        <w:tc>
          <w:tcPr>
            <w:tcW w:w="1200" w:type="dxa"/>
            <w:noWrap w:val="0"/>
            <w:vAlign w:val="center"/>
          </w:tcPr>
          <w:p w14:paraId="16C0817F">
            <w:pPr>
              <w:pStyle w:val="188"/>
              <w:ind w:right="179"/>
              <w:rPr>
                <w:rFonts w:hint="eastAsia" w:ascii="仿宋" w:hAnsi="仿宋" w:eastAsia="仿宋" w:cs="仿宋"/>
                <w:color w:val="auto"/>
                <w:sz w:val="21"/>
                <w:szCs w:val="21"/>
                <w:highlight w:val="none"/>
              </w:rPr>
            </w:pPr>
          </w:p>
        </w:tc>
      </w:tr>
      <w:tr w14:paraId="52DA2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2303E595">
            <w:pPr>
              <w:pStyle w:val="188"/>
              <w:jc w:val="center"/>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6</w:t>
            </w:r>
          </w:p>
        </w:tc>
        <w:tc>
          <w:tcPr>
            <w:tcW w:w="1862" w:type="dxa"/>
            <w:noWrap w:val="0"/>
            <w:vAlign w:val="center"/>
          </w:tcPr>
          <w:p w14:paraId="51E2F141">
            <w:pPr>
              <w:pStyle w:val="188"/>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参加政府采购活动前3年内在经营活动中没有重大违法记录的书面</w:t>
            </w:r>
            <w:r>
              <w:rPr>
                <w:rFonts w:hint="eastAsia" w:ascii="仿宋" w:hAnsi="仿宋" w:eastAsia="仿宋" w:cs="仿宋"/>
                <w:color w:val="auto"/>
                <w:spacing w:val="-3"/>
                <w:sz w:val="21"/>
                <w:szCs w:val="21"/>
                <w:highlight w:val="none"/>
              </w:rPr>
              <w:t>声明</w:t>
            </w:r>
          </w:p>
        </w:tc>
        <w:tc>
          <w:tcPr>
            <w:tcW w:w="5269" w:type="dxa"/>
            <w:noWrap w:val="0"/>
            <w:vAlign w:val="center"/>
          </w:tcPr>
          <w:p w14:paraId="5BB79AFE">
            <w:pPr>
              <w:pStyle w:val="188"/>
              <w:ind w:left="105" w:leftChars="50" w:right="17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资格证明文件附件6-6</w:t>
            </w:r>
            <w:r>
              <w:rPr>
                <w:rFonts w:hint="eastAsia" w:ascii="仿宋" w:hAnsi="仿宋" w:eastAsia="仿宋" w:cs="仿宋"/>
                <w:b/>
                <w:color w:val="auto"/>
                <w:sz w:val="21"/>
                <w:szCs w:val="21"/>
                <w:highlight w:val="none"/>
              </w:rPr>
              <w:t>格式作出相关承诺。</w:t>
            </w:r>
          </w:p>
        </w:tc>
        <w:tc>
          <w:tcPr>
            <w:tcW w:w="1200" w:type="dxa"/>
            <w:noWrap w:val="0"/>
            <w:vAlign w:val="center"/>
          </w:tcPr>
          <w:p w14:paraId="47A7A575">
            <w:pPr>
              <w:pStyle w:val="188"/>
              <w:ind w:right="179"/>
              <w:rPr>
                <w:rFonts w:hint="eastAsia" w:ascii="仿宋" w:hAnsi="仿宋" w:eastAsia="仿宋" w:cs="仿宋"/>
                <w:color w:val="auto"/>
                <w:sz w:val="21"/>
                <w:szCs w:val="21"/>
                <w:highlight w:val="none"/>
              </w:rPr>
            </w:pPr>
          </w:p>
        </w:tc>
      </w:tr>
      <w:tr w14:paraId="40ED3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restart"/>
            <w:noWrap w:val="0"/>
            <w:vAlign w:val="center"/>
          </w:tcPr>
          <w:p w14:paraId="5B162EC0">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7</w:t>
            </w:r>
          </w:p>
        </w:tc>
        <w:tc>
          <w:tcPr>
            <w:tcW w:w="1862" w:type="dxa"/>
            <w:vMerge w:val="restart"/>
            <w:noWrap w:val="0"/>
            <w:vAlign w:val="center"/>
          </w:tcPr>
          <w:p w14:paraId="2923FE0A">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特定资格要求</w:t>
            </w:r>
          </w:p>
        </w:tc>
        <w:tc>
          <w:tcPr>
            <w:tcW w:w="5269" w:type="dxa"/>
            <w:noWrap w:val="0"/>
            <w:vAlign w:val="center"/>
          </w:tcPr>
          <w:p w14:paraId="43F07E9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-1投标人在递交投标文件截止时间前被“信用中国”网站（www.creditchina.gov.cn）和中国政府采购网（www.ccgp.gov.cn）上被列入失信被执行人、重大税收违法失信主体、政府采购严重违法失信行为记录名单的，不得参加投标；</w:t>
            </w:r>
          </w:p>
          <w:p w14:paraId="6BD8BDCA">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lang w:eastAsia="zh-CN"/>
              </w:rPr>
              <w:t>（以采购代理机构于递交投标文件截止时间当天进行资格审查时在“信用中国”网站（www.creditchina.gov.cn）及中国政府采购网(www.ccgp.gov.cn)查询结果为准）</w:t>
            </w:r>
            <w:r>
              <w:rPr>
                <w:rFonts w:hint="eastAsia" w:ascii="仿宋" w:hAnsi="仿宋" w:eastAsia="仿宋" w:cs="仿宋"/>
                <w:color w:val="auto"/>
                <w:sz w:val="21"/>
                <w:szCs w:val="21"/>
                <w:highlight w:val="none"/>
                <w:lang w:eastAsia="zh-CN"/>
              </w:rPr>
              <w:t>。</w:t>
            </w:r>
          </w:p>
        </w:tc>
        <w:tc>
          <w:tcPr>
            <w:tcW w:w="1200" w:type="dxa"/>
            <w:noWrap w:val="0"/>
            <w:vAlign w:val="center"/>
          </w:tcPr>
          <w:p w14:paraId="28F1788B">
            <w:pPr>
              <w:pStyle w:val="188"/>
              <w:ind w:left="111" w:right="237"/>
              <w:rPr>
                <w:rFonts w:hint="eastAsia" w:ascii="仿宋" w:hAnsi="仿宋" w:eastAsia="仿宋" w:cs="仿宋"/>
                <w:color w:val="auto"/>
                <w:sz w:val="21"/>
                <w:szCs w:val="21"/>
                <w:highlight w:val="none"/>
                <w:lang w:eastAsia="zh-CN"/>
              </w:rPr>
            </w:pPr>
          </w:p>
        </w:tc>
      </w:tr>
      <w:tr w14:paraId="49513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3E7E759B">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2D82508">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B05116F">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-2法定代表人/单位负责人身份证明书、授权委托书及授权代表在本单位缴纳养老保险证明</w:t>
            </w:r>
          </w:p>
          <w:p w14:paraId="25BA8F41">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（1）法定代表人或单位负责人投标的，应提供法定代表人或单位负责人身份证明；</w:t>
            </w:r>
          </w:p>
          <w:p w14:paraId="1078BCC8">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（2）授权代表投标的，应提供法定代表人或单位负责人身份证明、授权委托书及授权代表在本单位缴纳养老保险证明。</w:t>
            </w:r>
          </w:p>
        </w:tc>
        <w:tc>
          <w:tcPr>
            <w:tcW w:w="1200" w:type="dxa"/>
            <w:noWrap w:val="0"/>
            <w:vAlign w:val="center"/>
          </w:tcPr>
          <w:p w14:paraId="2D11A78D">
            <w:pPr>
              <w:pStyle w:val="188"/>
              <w:ind w:left="111" w:right="237"/>
              <w:rPr>
                <w:rFonts w:hint="eastAsia" w:ascii="仿宋" w:hAnsi="仿宋" w:eastAsia="仿宋" w:cs="仿宋"/>
                <w:color w:val="auto"/>
                <w:sz w:val="21"/>
                <w:szCs w:val="21"/>
                <w:highlight w:val="none"/>
                <w:lang w:eastAsia="zh-CN"/>
              </w:rPr>
            </w:pPr>
          </w:p>
        </w:tc>
      </w:tr>
      <w:tr w14:paraId="17670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34167B2A">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69D06BC0">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0E7A9E91">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lang w:eastAsia="zh-CN"/>
              </w:rPr>
              <w:t>供应商须具备建筑工程施工总承包三级及以上资质，并具备合法有效的安全生产许可证；</w:t>
            </w:r>
          </w:p>
        </w:tc>
        <w:tc>
          <w:tcPr>
            <w:tcW w:w="1200" w:type="dxa"/>
            <w:noWrap w:val="0"/>
            <w:vAlign w:val="center"/>
          </w:tcPr>
          <w:p w14:paraId="4C47C5EB">
            <w:pPr>
              <w:pStyle w:val="188"/>
              <w:ind w:left="111" w:right="237"/>
              <w:rPr>
                <w:rFonts w:hint="eastAsia" w:ascii="仿宋" w:hAnsi="仿宋" w:eastAsia="仿宋" w:cs="仿宋"/>
                <w:color w:val="auto"/>
                <w:sz w:val="21"/>
                <w:szCs w:val="21"/>
                <w:highlight w:val="none"/>
                <w:lang w:eastAsia="zh-CN"/>
              </w:rPr>
            </w:pPr>
          </w:p>
        </w:tc>
      </w:tr>
      <w:tr w14:paraId="6B470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59DA8247">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A442BE5">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6B4CDB83">
            <w:pPr>
              <w:pStyle w:val="188"/>
              <w:ind w:left="105" w:leftChars="50" w:right="237"/>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7-4拟派项目经理须具有建筑工程专业二级及以上注册建造师证书和有效的安全生产考核证书（B证）且无在建工程、无不良记录（提供无在建工程、无不良记录承诺书）；</w:t>
            </w:r>
          </w:p>
        </w:tc>
        <w:tc>
          <w:tcPr>
            <w:tcW w:w="1200" w:type="dxa"/>
            <w:noWrap w:val="0"/>
            <w:vAlign w:val="center"/>
          </w:tcPr>
          <w:p w14:paraId="4E8B7509">
            <w:pPr>
              <w:pStyle w:val="188"/>
              <w:ind w:left="111" w:right="237"/>
              <w:rPr>
                <w:rFonts w:hint="eastAsia" w:ascii="仿宋" w:hAnsi="仿宋" w:eastAsia="仿宋" w:cs="仿宋"/>
                <w:color w:val="auto"/>
                <w:sz w:val="21"/>
                <w:szCs w:val="21"/>
                <w:highlight w:val="none"/>
                <w:lang w:eastAsia="zh-CN"/>
              </w:rPr>
            </w:pPr>
          </w:p>
        </w:tc>
      </w:tr>
      <w:tr w14:paraId="218E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77E00F66">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27BA04C6">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6C6A761B">
            <w:pPr>
              <w:pStyle w:val="188"/>
              <w:ind w:left="105" w:leftChars="50" w:right="237"/>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7-5</w:t>
            </w:r>
            <w:r>
              <w:rPr>
                <w:rFonts w:hint="eastAsia" w:ascii="仿宋" w:hAnsi="仿宋" w:eastAsia="仿宋" w:cs="仿宋"/>
                <w:b w:val="0"/>
                <w:bCs w:val="0"/>
                <w:color w:val="auto"/>
                <w:sz w:val="21"/>
                <w:szCs w:val="21"/>
                <w:highlight w:val="none"/>
                <w:lang w:eastAsia="zh-CN"/>
              </w:rPr>
              <w:t>供应商基本信息及拟派项目经理基本信息：供应商基本信息及拟派项目经理(建造师)的基本信息在“陕西省住房和城乡建设厅网站(http://js.shaanxi.gov.cn/)”可查询；</w:t>
            </w:r>
          </w:p>
        </w:tc>
        <w:tc>
          <w:tcPr>
            <w:tcW w:w="1200" w:type="dxa"/>
            <w:noWrap w:val="0"/>
            <w:vAlign w:val="center"/>
          </w:tcPr>
          <w:p w14:paraId="0C21C57A">
            <w:pPr>
              <w:pStyle w:val="188"/>
              <w:ind w:left="111" w:right="237"/>
              <w:rPr>
                <w:rFonts w:hint="eastAsia" w:ascii="仿宋" w:hAnsi="仿宋" w:eastAsia="仿宋" w:cs="仿宋"/>
                <w:color w:val="auto"/>
                <w:sz w:val="21"/>
                <w:szCs w:val="21"/>
                <w:highlight w:val="none"/>
                <w:lang w:eastAsia="zh-CN"/>
              </w:rPr>
            </w:pPr>
          </w:p>
        </w:tc>
      </w:tr>
      <w:tr w14:paraId="59DAC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1B50F3E8">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766E690A">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A6C6294">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-1单位负责人为同一人或者存在直接控股、管理关系的不同供应商，不得参加同一合同项下的政府采购活动</w:t>
            </w:r>
          </w:p>
          <w:p w14:paraId="0BF14DA5">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按照资格证明文件附件6-7格式做出说明</w:t>
            </w:r>
          </w:p>
        </w:tc>
        <w:tc>
          <w:tcPr>
            <w:tcW w:w="1200" w:type="dxa"/>
            <w:noWrap w:val="0"/>
            <w:vAlign w:val="center"/>
          </w:tcPr>
          <w:p w14:paraId="76C48373">
            <w:pPr>
              <w:pStyle w:val="188"/>
              <w:ind w:left="111" w:right="237"/>
              <w:rPr>
                <w:rFonts w:hint="eastAsia" w:ascii="仿宋" w:hAnsi="仿宋" w:eastAsia="仿宋" w:cs="仿宋"/>
                <w:color w:val="auto"/>
                <w:sz w:val="21"/>
                <w:szCs w:val="21"/>
                <w:highlight w:val="none"/>
                <w:lang w:eastAsia="zh-CN"/>
              </w:rPr>
            </w:pPr>
          </w:p>
        </w:tc>
      </w:tr>
      <w:tr w14:paraId="1E64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066FBB33">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797DD89F">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2F9433C4">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7-</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2为本项目提供整体设计、规范编制或者项目管理、监理、检测等服务的供应商，不得再参加本项目的采购活动</w:t>
            </w:r>
          </w:p>
          <w:p w14:paraId="673E912C">
            <w:pPr>
              <w:pStyle w:val="188"/>
              <w:ind w:left="105" w:leftChars="50" w:right="237"/>
              <w:rPr>
                <w:rFonts w:hint="eastAsia" w:ascii="仿宋" w:hAnsi="仿宋" w:eastAsia="仿宋" w:cs="仿宋"/>
                <w:b/>
                <w:bCs/>
                <w:color w:val="auto"/>
                <w:sz w:val="21"/>
                <w:szCs w:val="21"/>
                <w:highlight w:val="none"/>
                <w:lang w:eastAsia="zh-CN"/>
              </w:rPr>
            </w:pPr>
            <w:r>
              <w:rPr>
                <w:rFonts w:hint="eastAsia" w:ascii="仿宋" w:hAnsi="仿宋" w:eastAsia="仿宋" w:cs="仿宋"/>
                <w:b/>
                <w:color w:val="auto"/>
                <w:sz w:val="21"/>
                <w:szCs w:val="21"/>
                <w:highlight w:val="none"/>
              </w:rPr>
              <w:t>按照</w:t>
            </w:r>
            <w:r>
              <w:rPr>
                <w:rFonts w:hint="eastAsia" w:ascii="仿宋" w:hAnsi="仿宋" w:eastAsia="仿宋" w:cs="仿宋"/>
                <w:b/>
                <w:color w:val="auto"/>
                <w:sz w:val="21"/>
                <w:szCs w:val="21"/>
                <w:highlight w:val="none"/>
                <w:lang w:eastAsia="zh-CN"/>
              </w:rPr>
              <w:t>资格证明文件附件6-8</w:t>
            </w:r>
            <w:r>
              <w:rPr>
                <w:rFonts w:hint="eastAsia" w:ascii="仿宋" w:hAnsi="仿宋" w:eastAsia="仿宋" w:cs="仿宋"/>
                <w:b/>
                <w:color w:val="auto"/>
                <w:sz w:val="21"/>
                <w:szCs w:val="21"/>
                <w:highlight w:val="none"/>
              </w:rPr>
              <w:t>格式</w:t>
            </w:r>
            <w:r>
              <w:rPr>
                <w:rFonts w:hint="eastAsia" w:ascii="仿宋" w:hAnsi="仿宋" w:eastAsia="仿宋" w:cs="仿宋"/>
                <w:b/>
                <w:color w:val="auto"/>
                <w:sz w:val="21"/>
                <w:szCs w:val="21"/>
                <w:highlight w:val="none"/>
                <w:lang w:eastAsia="zh-CN"/>
              </w:rPr>
              <w:t>做出声明。</w:t>
            </w:r>
          </w:p>
        </w:tc>
        <w:tc>
          <w:tcPr>
            <w:tcW w:w="1200" w:type="dxa"/>
            <w:noWrap w:val="0"/>
            <w:vAlign w:val="center"/>
          </w:tcPr>
          <w:p w14:paraId="33B7FC3F">
            <w:pPr>
              <w:pStyle w:val="188"/>
              <w:ind w:left="111" w:right="237"/>
              <w:rPr>
                <w:rFonts w:hint="eastAsia" w:ascii="仿宋" w:hAnsi="仿宋" w:eastAsia="仿宋" w:cs="仿宋"/>
                <w:color w:val="auto"/>
                <w:sz w:val="21"/>
                <w:szCs w:val="21"/>
                <w:highlight w:val="none"/>
                <w:lang w:eastAsia="zh-CN"/>
              </w:rPr>
            </w:pPr>
          </w:p>
        </w:tc>
      </w:tr>
      <w:tr w14:paraId="3B239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vMerge w:val="continue"/>
            <w:noWrap w:val="0"/>
            <w:vAlign w:val="center"/>
          </w:tcPr>
          <w:p w14:paraId="5C9207EB">
            <w:pPr>
              <w:pStyle w:val="188"/>
              <w:jc w:val="center"/>
              <w:rPr>
                <w:rFonts w:hint="eastAsia" w:ascii="仿宋" w:hAnsi="仿宋" w:eastAsia="仿宋" w:cs="仿宋"/>
                <w:color w:val="auto"/>
                <w:spacing w:val="-4"/>
                <w:sz w:val="21"/>
                <w:szCs w:val="21"/>
                <w:highlight w:val="none"/>
                <w:lang w:eastAsia="zh-CN"/>
              </w:rPr>
            </w:pPr>
          </w:p>
        </w:tc>
        <w:tc>
          <w:tcPr>
            <w:tcW w:w="1862" w:type="dxa"/>
            <w:vMerge w:val="continue"/>
            <w:noWrap w:val="0"/>
            <w:vAlign w:val="center"/>
          </w:tcPr>
          <w:p w14:paraId="48D92C0A">
            <w:pPr>
              <w:pStyle w:val="188"/>
              <w:ind w:left="111" w:right="237"/>
              <w:rPr>
                <w:rFonts w:hint="eastAsia" w:ascii="仿宋" w:hAnsi="仿宋" w:eastAsia="仿宋" w:cs="仿宋"/>
                <w:color w:val="auto"/>
                <w:sz w:val="21"/>
                <w:szCs w:val="21"/>
                <w:highlight w:val="none"/>
                <w:lang w:eastAsia="zh-CN"/>
              </w:rPr>
            </w:pPr>
          </w:p>
        </w:tc>
        <w:tc>
          <w:tcPr>
            <w:tcW w:w="5269" w:type="dxa"/>
            <w:noWrap w:val="0"/>
            <w:vAlign w:val="center"/>
          </w:tcPr>
          <w:p w14:paraId="59B93E31">
            <w:pPr>
              <w:pStyle w:val="188"/>
              <w:ind w:left="105" w:leftChars="50" w:right="237"/>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7-7需向采购代理机构获取招标文件并登记备案，未向采购代理机构获取招标文件并登记备案的供应商均无资格参加投标</w:t>
            </w:r>
          </w:p>
        </w:tc>
        <w:tc>
          <w:tcPr>
            <w:tcW w:w="1200" w:type="dxa"/>
            <w:noWrap w:val="0"/>
            <w:vAlign w:val="center"/>
          </w:tcPr>
          <w:p w14:paraId="510315DD">
            <w:pPr>
              <w:pStyle w:val="188"/>
              <w:ind w:left="111" w:right="237"/>
              <w:rPr>
                <w:rFonts w:hint="eastAsia" w:ascii="仿宋" w:hAnsi="仿宋" w:eastAsia="仿宋" w:cs="仿宋"/>
                <w:color w:val="auto"/>
                <w:sz w:val="21"/>
                <w:szCs w:val="21"/>
                <w:highlight w:val="none"/>
                <w:lang w:eastAsia="zh-CN"/>
              </w:rPr>
            </w:pPr>
          </w:p>
        </w:tc>
      </w:tr>
      <w:tr w14:paraId="2EEB3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708" w:type="dxa"/>
            <w:noWrap w:val="0"/>
            <w:vAlign w:val="center"/>
          </w:tcPr>
          <w:p w14:paraId="5FDD299A">
            <w:pPr>
              <w:pStyle w:val="188"/>
              <w:jc w:val="center"/>
              <w:rPr>
                <w:rFonts w:hint="eastAsia" w:ascii="仿宋" w:hAnsi="仿宋" w:eastAsia="仿宋" w:cs="仿宋"/>
                <w:color w:val="auto"/>
                <w:spacing w:val="-4"/>
                <w:sz w:val="21"/>
                <w:szCs w:val="21"/>
                <w:highlight w:val="none"/>
                <w:lang w:eastAsia="zh-CN"/>
              </w:rPr>
            </w:pPr>
            <w:r>
              <w:rPr>
                <w:rFonts w:hint="eastAsia" w:ascii="仿宋" w:hAnsi="仿宋" w:eastAsia="仿宋" w:cs="仿宋"/>
                <w:color w:val="auto"/>
                <w:spacing w:val="-4"/>
                <w:sz w:val="21"/>
                <w:szCs w:val="21"/>
                <w:highlight w:val="none"/>
                <w:lang w:eastAsia="zh-CN"/>
              </w:rPr>
              <w:t>8</w:t>
            </w:r>
          </w:p>
        </w:tc>
        <w:tc>
          <w:tcPr>
            <w:tcW w:w="1862" w:type="dxa"/>
            <w:noWrap w:val="0"/>
            <w:vAlign w:val="center"/>
          </w:tcPr>
          <w:p w14:paraId="175B1E9C">
            <w:pPr>
              <w:pStyle w:val="188"/>
              <w:ind w:left="111"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法律、行政法规规定的其他条件</w:t>
            </w:r>
          </w:p>
        </w:tc>
        <w:tc>
          <w:tcPr>
            <w:tcW w:w="5269" w:type="dxa"/>
            <w:noWrap w:val="0"/>
            <w:vAlign w:val="center"/>
          </w:tcPr>
          <w:p w14:paraId="2E9676B7">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不存在违反法律法规的情况</w:t>
            </w:r>
          </w:p>
        </w:tc>
        <w:tc>
          <w:tcPr>
            <w:tcW w:w="1200" w:type="dxa"/>
            <w:noWrap w:val="0"/>
            <w:vAlign w:val="center"/>
          </w:tcPr>
          <w:p w14:paraId="39CD4301">
            <w:pPr>
              <w:pStyle w:val="188"/>
              <w:ind w:left="111" w:right="237"/>
              <w:rPr>
                <w:rFonts w:hint="eastAsia" w:ascii="仿宋" w:hAnsi="仿宋" w:eastAsia="仿宋" w:cs="仿宋"/>
                <w:color w:val="auto"/>
                <w:sz w:val="21"/>
                <w:szCs w:val="21"/>
                <w:highlight w:val="none"/>
                <w:lang w:eastAsia="zh-CN"/>
              </w:rPr>
            </w:pPr>
          </w:p>
        </w:tc>
      </w:tr>
      <w:tr w14:paraId="1FF26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2570" w:type="dxa"/>
            <w:gridSpan w:val="2"/>
            <w:noWrap w:val="0"/>
            <w:vAlign w:val="center"/>
          </w:tcPr>
          <w:p w14:paraId="5B59E082">
            <w:pPr>
              <w:pStyle w:val="188"/>
              <w:ind w:left="111" w:right="237"/>
              <w:jc w:val="center"/>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审查结论</w:t>
            </w:r>
          </w:p>
        </w:tc>
        <w:tc>
          <w:tcPr>
            <w:tcW w:w="6469" w:type="dxa"/>
            <w:gridSpan w:val="2"/>
            <w:noWrap w:val="0"/>
            <w:vAlign w:val="center"/>
          </w:tcPr>
          <w:p w14:paraId="73147AF5">
            <w:pPr>
              <w:pStyle w:val="188"/>
              <w:ind w:left="105" w:leftChars="50" w:right="237"/>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通过/不通过</w:t>
            </w:r>
          </w:p>
        </w:tc>
      </w:tr>
    </w:tbl>
    <w:p w14:paraId="2E6FA63F">
      <w:pPr>
        <w:pStyle w:val="11"/>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11E130C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1．采购人或采购代理机构对投标</w:t>
      </w:r>
      <w:r>
        <w:rPr>
          <w:rFonts w:hint="eastAsia" w:ascii="仿宋" w:hAnsi="仿宋" w:eastAsia="仿宋" w:cs="仿宋"/>
          <w:color w:val="auto"/>
          <w:highlight w:val="none"/>
          <w:lang w:val="en-US" w:eastAsia="zh-CN"/>
        </w:rPr>
        <w:t>文件</w:t>
      </w:r>
      <w:r>
        <w:rPr>
          <w:rFonts w:hint="eastAsia" w:ascii="仿宋" w:hAnsi="仿宋" w:eastAsia="仿宋" w:cs="仿宋"/>
          <w:color w:val="auto"/>
          <w:highlight w:val="none"/>
        </w:rPr>
        <w:t>是否满足要求逐条标注</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p>
    <w:p w14:paraId="426CB262">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，不进入后续评审</w:t>
      </w:r>
      <w:r>
        <w:rPr>
          <w:rFonts w:hint="eastAsia" w:ascii="仿宋" w:hAnsi="仿宋" w:eastAsia="仿宋" w:cs="仿宋"/>
          <w:color w:val="auto"/>
          <w:highlight w:val="none"/>
        </w:rPr>
        <w:t>；</w:t>
      </w:r>
    </w:p>
    <w:p w14:paraId="1F4CFE9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p>
    <w:p w14:paraId="56AE6702">
      <w:pPr>
        <w:pStyle w:val="11"/>
        <w:tabs>
          <w:tab w:val="clear" w:pos="567"/>
        </w:tabs>
        <w:spacing w:before="0" w:line="360" w:lineRule="auto"/>
        <w:jc w:val="center"/>
        <w:outlineLvl w:val="1"/>
        <w:rPr>
          <w:rFonts w:hint="eastAsia" w:ascii="仿宋" w:hAnsi="仿宋" w:eastAsia="仿宋" w:cs="仿宋"/>
          <w:b/>
          <w:color w:val="auto"/>
          <w:sz w:val="32"/>
          <w:szCs w:val="32"/>
          <w:highlight w:val="none"/>
        </w:rPr>
      </w:pPr>
      <w:r>
        <w:rPr>
          <w:rFonts w:hint="eastAsia" w:ascii="仿宋" w:hAnsi="仿宋" w:eastAsia="仿宋" w:cs="仿宋"/>
          <w:b w:val="0"/>
          <w:bCs/>
          <w:color w:val="auto"/>
          <w:sz w:val="24"/>
          <w:szCs w:val="24"/>
          <w:highlight w:val="none"/>
        </w:rPr>
        <w:br w:type="page"/>
      </w:r>
      <w:bookmarkStart w:id="437" w:name="_Toc32054"/>
      <w:bookmarkStart w:id="438" w:name="_Toc23469"/>
      <w:bookmarkStart w:id="439" w:name="_Toc9605"/>
      <w:r>
        <w:rPr>
          <w:rFonts w:hint="eastAsia" w:ascii="仿宋" w:hAnsi="仿宋" w:eastAsia="仿宋" w:cs="仿宋"/>
          <w:b/>
          <w:color w:val="auto"/>
          <w:sz w:val="32"/>
          <w:szCs w:val="32"/>
          <w:highlight w:val="none"/>
        </w:rPr>
        <w:t>附表二  符合性审查标准</w:t>
      </w:r>
      <w:bookmarkEnd w:id="437"/>
      <w:bookmarkEnd w:id="438"/>
      <w:bookmarkEnd w:id="439"/>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1618"/>
        <w:gridCol w:w="5152"/>
        <w:gridCol w:w="1598"/>
      </w:tblGrid>
      <w:tr w14:paraId="1C3A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62ABE8A">
            <w:pPr>
              <w:pStyle w:val="11"/>
              <w:spacing w:before="0" w:line="24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1638" w:type="dxa"/>
            <w:noWrap w:val="0"/>
            <w:vAlign w:val="center"/>
          </w:tcPr>
          <w:p w14:paraId="1BB9F698">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rPr>
              <w:t>审查</w:t>
            </w:r>
            <w:r>
              <w:rPr>
                <w:rFonts w:hint="eastAsia" w:ascii="仿宋" w:hAnsi="仿宋" w:eastAsia="仿宋" w:cs="仿宋"/>
                <w:b/>
                <w:bCs/>
                <w:color w:val="auto"/>
                <w:highlight w:val="none"/>
                <w:lang w:val="en-US" w:eastAsia="zh-CN"/>
              </w:rPr>
              <w:t>要素</w:t>
            </w:r>
          </w:p>
        </w:tc>
        <w:tc>
          <w:tcPr>
            <w:tcW w:w="5244" w:type="dxa"/>
            <w:noWrap w:val="0"/>
            <w:vAlign w:val="center"/>
          </w:tcPr>
          <w:p w14:paraId="2BFAAEF2">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审查标准</w:t>
            </w:r>
          </w:p>
        </w:tc>
        <w:tc>
          <w:tcPr>
            <w:tcW w:w="1623" w:type="dxa"/>
            <w:noWrap w:val="0"/>
            <w:vAlign w:val="center"/>
          </w:tcPr>
          <w:p w14:paraId="7EA0054D">
            <w:pPr>
              <w:pStyle w:val="11"/>
              <w:spacing w:before="0" w:line="240" w:lineRule="auto"/>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审查结果</w:t>
            </w:r>
          </w:p>
        </w:tc>
      </w:tr>
      <w:tr w14:paraId="7536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27F8E5B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1638" w:type="dxa"/>
            <w:noWrap w:val="0"/>
            <w:vAlign w:val="center"/>
          </w:tcPr>
          <w:p w14:paraId="6D60BFC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投标文件</w:t>
            </w:r>
            <w:r>
              <w:rPr>
                <w:rFonts w:hint="eastAsia" w:ascii="仿宋" w:hAnsi="仿宋" w:eastAsia="仿宋" w:cs="仿宋"/>
                <w:color w:val="auto"/>
                <w:highlight w:val="none"/>
              </w:rPr>
              <w:t>签署、盖章</w:t>
            </w:r>
          </w:p>
        </w:tc>
        <w:tc>
          <w:tcPr>
            <w:tcW w:w="5244" w:type="dxa"/>
            <w:noWrap w:val="0"/>
            <w:vAlign w:val="center"/>
          </w:tcPr>
          <w:p w14:paraId="488D3D53">
            <w:pPr>
              <w:pStyle w:val="11"/>
              <w:spacing w:line="24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投标文件按招标文件要求签署、盖章</w:t>
            </w:r>
          </w:p>
        </w:tc>
        <w:tc>
          <w:tcPr>
            <w:tcW w:w="1623" w:type="dxa"/>
            <w:noWrap w:val="0"/>
            <w:vAlign w:val="center"/>
          </w:tcPr>
          <w:p w14:paraId="64308773">
            <w:pPr>
              <w:pStyle w:val="11"/>
              <w:spacing w:line="240" w:lineRule="auto"/>
              <w:rPr>
                <w:rFonts w:hint="eastAsia" w:ascii="仿宋" w:hAnsi="仿宋" w:eastAsia="仿宋" w:cs="仿宋"/>
                <w:color w:val="auto"/>
                <w:highlight w:val="none"/>
              </w:rPr>
            </w:pPr>
          </w:p>
        </w:tc>
      </w:tr>
      <w:tr w14:paraId="142B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9F05E26">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2</w:t>
            </w:r>
          </w:p>
        </w:tc>
        <w:tc>
          <w:tcPr>
            <w:tcW w:w="1638" w:type="dxa"/>
            <w:noWrap w:val="0"/>
            <w:vAlign w:val="center"/>
          </w:tcPr>
          <w:p w14:paraId="03BA388F">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投标有效期</w:t>
            </w:r>
          </w:p>
        </w:tc>
        <w:tc>
          <w:tcPr>
            <w:tcW w:w="5244" w:type="dxa"/>
            <w:noWrap w:val="0"/>
            <w:vAlign w:val="center"/>
          </w:tcPr>
          <w:p w14:paraId="79A06B62">
            <w:pPr>
              <w:pStyle w:val="11"/>
              <w:spacing w:line="24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投标有效期</w:t>
            </w:r>
            <w:r>
              <w:rPr>
                <w:rFonts w:hint="eastAsia" w:ascii="仿宋" w:hAnsi="仿宋" w:eastAsia="仿宋" w:cs="仿宋"/>
                <w:color w:val="auto"/>
                <w:highlight w:val="none"/>
                <w:lang w:val="en-US" w:eastAsia="zh-CN"/>
              </w:rPr>
              <w:t>满足</w:t>
            </w:r>
            <w:r>
              <w:rPr>
                <w:rFonts w:hint="eastAsia" w:ascii="仿宋" w:hAnsi="仿宋" w:eastAsia="仿宋" w:cs="仿宋"/>
                <w:color w:val="auto"/>
                <w:highlight w:val="none"/>
              </w:rPr>
              <w:t>招标文件要求</w:t>
            </w:r>
            <w:r>
              <w:rPr>
                <w:rFonts w:hint="eastAsia" w:ascii="仿宋" w:hAnsi="仿宋" w:eastAsia="仿宋" w:cs="仿宋"/>
                <w:color w:val="auto"/>
                <w:highlight w:val="none"/>
                <w:lang w:eastAsia="zh-CN"/>
              </w:rPr>
              <w:t>的</w:t>
            </w:r>
          </w:p>
        </w:tc>
        <w:tc>
          <w:tcPr>
            <w:tcW w:w="1623" w:type="dxa"/>
            <w:noWrap w:val="0"/>
            <w:vAlign w:val="center"/>
          </w:tcPr>
          <w:p w14:paraId="7CB83155">
            <w:pPr>
              <w:pStyle w:val="11"/>
              <w:spacing w:line="240" w:lineRule="auto"/>
              <w:rPr>
                <w:rFonts w:hint="eastAsia" w:ascii="仿宋" w:hAnsi="仿宋" w:eastAsia="仿宋" w:cs="仿宋"/>
                <w:color w:val="auto"/>
                <w:highlight w:val="none"/>
              </w:rPr>
            </w:pPr>
          </w:p>
        </w:tc>
      </w:tr>
      <w:tr w14:paraId="32B6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522CF51E">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3</w:t>
            </w:r>
          </w:p>
        </w:tc>
        <w:tc>
          <w:tcPr>
            <w:tcW w:w="1638" w:type="dxa"/>
            <w:noWrap w:val="0"/>
            <w:vAlign w:val="center"/>
          </w:tcPr>
          <w:p w14:paraId="5F19839D">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投标报价</w:t>
            </w:r>
          </w:p>
        </w:tc>
        <w:tc>
          <w:tcPr>
            <w:tcW w:w="5244" w:type="dxa"/>
            <w:noWrap w:val="0"/>
            <w:vAlign w:val="center"/>
          </w:tcPr>
          <w:p w14:paraId="547A5E85">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rPr>
              <w:t>投标人投标报价</w:t>
            </w:r>
            <w:r>
              <w:rPr>
                <w:rFonts w:hint="eastAsia" w:ascii="仿宋" w:hAnsi="仿宋" w:eastAsia="仿宋" w:cs="仿宋"/>
                <w:color w:val="auto"/>
                <w:highlight w:val="none"/>
                <w:lang w:val="en-US" w:eastAsia="zh-CN"/>
              </w:rPr>
              <w:t>没有</w:t>
            </w:r>
            <w:r>
              <w:rPr>
                <w:rFonts w:hint="eastAsia" w:ascii="仿宋" w:hAnsi="仿宋" w:eastAsia="仿宋" w:cs="仿宋"/>
                <w:color w:val="auto"/>
                <w:highlight w:val="none"/>
              </w:rPr>
              <w:t>超出采购预算或最高限价</w:t>
            </w:r>
          </w:p>
        </w:tc>
        <w:tc>
          <w:tcPr>
            <w:tcW w:w="1623" w:type="dxa"/>
            <w:noWrap w:val="0"/>
            <w:vAlign w:val="center"/>
          </w:tcPr>
          <w:p w14:paraId="3F3D4FC7">
            <w:pPr>
              <w:pStyle w:val="11"/>
              <w:spacing w:before="0" w:line="240" w:lineRule="auto"/>
              <w:rPr>
                <w:rFonts w:hint="eastAsia" w:ascii="仿宋" w:hAnsi="仿宋" w:eastAsia="仿宋" w:cs="仿宋"/>
                <w:color w:val="auto"/>
                <w:highlight w:val="none"/>
              </w:rPr>
            </w:pPr>
          </w:p>
        </w:tc>
      </w:tr>
      <w:tr w14:paraId="5938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0E4EE25">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rPr>
              <w:t>4</w:t>
            </w:r>
          </w:p>
        </w:tc>
        <w:tc>
          <w:tcPr>
            <w:tcW w:w="1638" w:type="dxa"/>
            <w:noWrap w:val="0"/>
            <w:vAlign w:val="center"/>
          </w:tcPr>
          <w:p w14:paraId="15D34D35">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投标信用承诺书</w:t>
            </w:r>
          </w:p>
        </w:tc>
        <w:tc>
          <w:tcPr>
            <w:tcW w:w="5244" w:type="dxa"/>
            <w:noWrap w:val="0"/>
            <w:vAlign w:val="center"/>
          </w:tcPr>
          <w:p w14:paraId="4D7A620F">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sz w:val="24"/>
                <w:highlight w:val="none"/>
              </w:rPr>
              <w:t>投标信用承诺书</w:t>
            </w:r>
          </w:p>
        </w:tc>
        <w:tc>
          <w:tcPr>
            <w:tcW w:w="1623" w:type="dxa"/>
            <w:noWrap w:val="0"/>
            <w:vAlign w:val="center"/>
          </w:tcPr>
          <w:p w14:paraId="669EC9E5">
            <w:pPr>
              <w:pStyle w:val="11"/>
              <w:spacing w:before="0" w:line="240" w:lineRule="auto"/>
              <w:rPr>
                <w:rFonts w:hint="eastAsia" w:ascii="仿宋" w:hAnsi="仿宋" w:eastAsia="仿宋" w:cs="仿宋"/>
                <w:color w:val="auto"/>
                <w:highlight w:val="none"/>
              </w:rPr>
            </w:pPr>
          </w:p>
        </w:tc>
      </w:tr>
      <w:tr w14:paraId="4E22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36ABAC8E">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5</w:t>
            </w:r>
          </w:p>
        </w:tc>
        <w:tc>
          <w:tcPr>
            <w:tcW w:w="1638" w:type="dxa"/>
            <w:noWrap w:val="0"/>
            <w:vAlign w:val="center"/>
          </w:tcPr>
          <w:p w14:paraId="54D23A04">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预防不正当竞争</w:t>
            </w:r>
          </w:p>
        </w:tc>
        <w:tc>
          <w:tcPr>
            <w:tcW w:w="5244" w:type="dxa"/>
            <w:noWrap w:val="0"/>
            <w:vAlign w:val="center"/>
          </w:tcPr>
          <w:p w14:paraId="2BF1F12D">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投标人的报价</w:t>
            </w:r>
            <w:r>
              <w:rPr>
                <w:rFonts w:hint="eastAsia" w:ascii="仿宋" w:hAnsi="仿宋" w:eastAsia="仿宋" w:cs="仿宋"/>
                <w:color w:val="auto"/>
                <w:highlight w:val="none"/>
                <w:lang w:val="en-US" w:eastAsia="zh-CN"/>
              </w:rPr>
              <w:t>不存在</w:t>
            </w:r>
            <w:r>
              <w:rPr>
                <w:rFonts w:hint="eastAsia" w:ascii="仿宋" w:hAnsi="仿宋" w:eastAsia="仿宋" w:cs="仿宋"/>
                <w:color w:val="auto"/>
                <w:highlight w:val="none"/>
              </w:rPr>
              <w:t>明显低于其他通过符合性审查投标人的报价，有可能影响产品质量或者不能诚信履约的，且投标人不能证明其报价合理性的</w:t>
            </w:r>
            <w:r>
              <w:rPr>
                <w:rFonts w:hint="eastAsia" w:ascii="仿宋" w:hAnsi="仿宋" w:eastAsia="仿宋" w:cs="仿宋"/>
                <w:color w:val="auto"/>
                <w:highlight w:val="none"/>
                <w:lang w:val="en-US" w:eastAsia="zh-CN"/>
              </w:rPr>
              <w:t>情况</w:t>
            </w:r>
          </w:p>
        </w:tc>
        <w:tc>
          <w:tcPr>
            <w:tcW w:w="1623" w:type="dxa"/>
            <w:noWrap w:val="0"/>
            <w:vAlign w:val="center"/>
          </w:tcPr>
          <w:p w14:paraId="4DD090C3">
            <w:pPr>
              <w:pStyle w:val="11"/>
              <w:spacing w:before="0" w:line="240" w:lineRule="auto"/>
              <w:rPr>
                <w:rFonts w:hint="eastAsia" w:ascii="仿宋" w:hAnsi="仿宋" w:eastAsia="仿宋" w:cs="仿宋"/>
                <w:color w:val="auto"/>
                <w:highlight w:val="none"/>
              </w:rPr>
            </w:pPr>
          </w:p>
        </w:tc>
      </w:tr>
      <w:tr w14:paraId="1BB9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779BCAC1">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6</w:t>
            </w:r>
          </w:p>
        </w:tc>
        <w:tc>
          <w:tcPr>
            <w:tcW w:w="1638" w:type="dxa"/>
            <w:noWrap w:val="0"/>
            <w:vAlign w:val="center"/>
          </w:tcPr>
          <w:p w14:paraId="2FC340CE">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投标内容</w:t>
            </w:r>
          </w:p>
        </w:tc>
        <w:tc>
          <w:tcPr>
            <w:tcW w:w="5244" w:type="dxa"/>
            <w:noWrap w:val="0"/>
            <w:vAlign w:val="center"/>
          </w:tcPr>
          <w:p w14:paraId="7E19026A">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投标内容</w:t>
            </w:r>
            <w:r>
              <w:rPr>
                <w:rFonts w:hint="eastAsia" w:ascii="仿宋" w:hAnsi="仿宋" w:eastAsia="仿宋" w:cs="仿宋"/>
                <w:color w:val="auto"/>
                <w:highlight w:val="none"/>
                <w:lang w:val="en-US" w:eastAsia="zh-CN"/>
              </w:rPr>
              <w:t>满足招标文件中商务要求及技术实质性要求（★为实质性要求）、不存在漏项或数量与要求不符</w:t>
            </w:r>
          </w:p>
        </w:tc>
        <w:tc>
          <w:tcPr>
            <w:tcW w:w="1623" w:type="dxa"/>
            <w:noWrap w:val="0"/>
            <w:vAlign w:val="center"/>
          </w:tcPr>
          <w:p w14:paraId="50895AE1">
            <w:pPr>
              <w:pStyle w:val="11"/>
              <w:spacing w:before="0" w:line="240" w:lineRule="auto"/>
              <w:rPr>
                <w:rFonts w:hint="eastAsia" w:ascii="仿宋" w:hAnsi="仿宋" w:eastAsia="仿宋" w:cs="仿宋"/>
                <w:color w:val="auto"/>
                <w:highlight w:val="none"/>
              </w:rPr>
            </w:pPr>
          </w:p>
        </w:tc>
      </w:tr>
      <w:tr w14:paraId="71B7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17D7E306">
            <w:pPr>
              <w:pStyle w:val="11"/>
              <w:spacing w:before="0" w:line="24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highlight w:val="none"/>
                <w:lang w:val="en-US" w:eastAsia="zh-CN"/>
              </w:rPr>
              <w:t>7</w:t>
            </w:r>
          </w:p>
        </w:tc>
        <w:tc>
          <w:tcPr>
            <w:tcW w:w="1638" w:type="dxa"/>
            <w:noWrap w:val="0"/>
            <w:vAlign w:val="center"/>
          </w:tcPr>
          <w:p w14:paraId="0FDB681D">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公平竞争</w:t>
            </w:r>
          </w:p>
        </w:tc>
        <w:tc>
          <w:tcPr>
            <w:tcW w:w="5244" w:type="dxa"/>
            <w:noWrap w:val="0"/>
            <w:vAlign w:val="center"/>
          </w:tcPr>
          <w:p w14:paraId="6F8A201E">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rPr>
              <w:t>遵循公平竞争的原则，没有弄虚作假、恶意串通或妨碍其他投标人的竞争行为，损害采购人或者其他投标人的合法权益。</w:t>
            </w:r>
          </w:p>
          <w:p w14:paraId="1209942D">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rPr>
              <w:t>弄虚作假、串通投标的情形见附注</w:t>
            </w:r>
            <w:r>
              <w:rPr>
                <w:rFonts w:hint="eastAsia" w:ascii="仿宋" w:hAnsi="仿宋" w:eastAsia="仿宋" w:cs="仿宋"/>
                <w:color w:val="auto"/>
                <w:highlight w:val="none"/>
                <w:lang w:eastAsia="zh-CN"/>
              </w:rPr>
              <w:t>）</w:t>
            </w:r>
          </w:p>
        </w:tc>
        <w:tc>
          <w:tcPr>
            <w:tcW w:w="1623" w:type="dxa"/>
            <w:noWrap w:val="0"/>
            <w:vAlign w:val="center"/>
          </w:tcPr>
          <w:p w14:paraId="121C8541">
            <w:pPr>
              <w:pStyle w:val="11"/>
              <w:spacing w:before="0" w:line="240" w:lineRule="auto"/>
              <w:rPr>
                <w:rFonts w:hint="eastAsia" w:ascii="仿宋" w:hAnsi="仿宋" w:eastAsia="仿宋" w:cs="仿宋"/>
                <w:color w:val="auto"/>
                <w:highlight w:val="none"/>
              </w:rPr>
            </w:pPr>
          </w:p>
        </w:tc>
      </w:tr>
      <w:tr w14:paraId="5EC1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noWrap w:val="0"/>
            <w:vAlign w:val="center"/>
          </w:tcPr>
          <w:p w14:paraId="65B886DA">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8</w:t>
            </w:r>
          </w:p>
        </w:tc>
        <w:tc>
          <w:tcPr>
            <w:tcW w:w="1638" w:type="dxa"/>
            <w:noWrap w:val="0"/>
            <w:vAlign w:val="center"/>
          </w:tcPr>
          <w:p w14:paraId="27306D19">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其它</w:t>
            </w:r>
          </w:p>
        </w:tc>
        <w:tc>
          <w:tcPr>
            <w:tcW w:w="5244" w:type="dxa"/>
            <w:noWrap w:val="0"/>
            <w:vAlign w:val="center"/>
          </w:tcPr>
          <w:p w14:paraId="6C3F5B12">
            <w:pPr>
              <w:pStyle w:val="11"/>
              <w:spacing w:before="0" w:line="240" w:lineRule="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不</w:t>
            </w:r>
            <w:r>
              <w:rPr>
                <w:rFonts w:hint="eastAsia" w:ascii="仿宋" w:hAnsi="仿宋" w:eastAsia="仿宋" w:cs="仿宋"/>
                <w:color w:val="auto"/>
                <w:highlight w:val="none"/>
              </w:rPr>
              <w:t>存在其它不符合法律法规或招标文件规定的投标无效条款</w:t>
            </w:r>
            <w:r>
              <w:rPr>
                <w:rFonts w:hint="eastAsia" w:ascii="仿宋" w:hAnsi="仿宋" w:eastAsia="仿宋" w:cs="仿宋"/>
                <w:color w:val="auto"/>
                <w:highlight w:val="none"/>
                <w:lang w:eastAsia="zh-CN"/>
              </w:rPr>
              <w:t>的</w:t>
            </w:r>
            <w:r>
              <w:rPr>
                <w:rFonts w:hint="eastAsia" w:ascii="仿宋" w:hAnsi="仿宋" w:eastAsia="仿宋" w:cs="仿宋"/>
                <w:color w:val="auto"/>
                <w:highlight w:val="none"/>
                <w:lang w:val="en-US" w:eastAsia="zh-CN"/>
              </w:rPr>
              <w:t>情形</w:t>
            </w:r>
          </w:p>
        </w:tc>
        <w:tc>
          <w:tcPr>
            <w:tcW w:w="1623" w:type="dxa"/>
            <w:noWrap w:val="0"/>
            <w:vAlign w:val="center"/>
          </w:tcPr>
          <w:p w14:paraId="58F5EB35">
            <w:pPr>
              <w:pStyle w:val="11"/>
              <w:spacing w:before="0" w:line="240" w:lineRule="auto"/>
              <w:rPr>
                <w:rFonts w:hint="eastAsia" w:ascii="仿宋" w:hAnsi="仿宋" w:eastAsia="仿宋" w:cs="仿宋"/>
                <w:color w:val="auto"/>
                <w:highlight w:val="none"/>
              </w:rPr>
            </w:pPr>
          </w:p>
        </w:tc>
      </w:tr>
      <w:tr w14:paraId="14980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3B318352">
            <w:pPr>
              <w:pStyle w:val="11"/>
              <w:spacing w:before="0" w:line="240" w:lineRule="auto"/>
              <w:jc w:val="center"/>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审查结论</w:t>
            </w:r>
          </w:p>
        </w:tc>
        <w:tc>
          <w:tcPr>
            <w:tcW w:w="6867" w:type="dxa"/>
            <w:gridSpan w:val="2"/>
            <w:noWrap w:val="0"/>
            <w:vAlign w:val="center"/>
          </w:tcPr>
          <w:p w14:paraId="5CCE6269">
            <w:pPr>
              <w:pStyle w:val="11"/>
              <w:spacing w:before="0" w:line="24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通过/不通过</w:t>
            </w:r>
          </w:p>
        </w:tc>
      </w:tr>
      <w:tr w14:paraId="3BA1E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18" w:type="dxa"/>
            <w:gridSpan w:val="2"/>
            <w:noWrap w:val="0"/>
            <w:vAlign w:val="center"/>
          </w:tcPr>
          <w:p w14:paraId="52455161">
            <w:pPr>
              <w:pStyle w:val="11"/>
              <w:spacing w:before="0" w:line="240" w:lineRule="auto"/>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不通过原因说明</w:t>
            </w:r>
          </w:p>
        </w:tc>
        <w:tc>
          <w:tcPr>
            <w:tcW w:w="6867" w:type="dxa"/>
            <w:gridSpan w:val="2"/>
            <w:noWrap w:val="0"/>
            <w:vAlign w:val="center"/>
          </w:tcPr>
          <w:p w14:paraId="1CCAC383">
            <w:pPr>
              <w:pStyle w:val="11"/>
              <w:spacing w:before="0" w:line="240" w:lineRule="auto"/>
              <w:rPr>
                <w:rFonts w:hint="eastAsia" w:ascii="仿宋" w:hAnsi="仿宋" w:eastAsia="仿宋" w:cs="仿宋"/>
                <w:color w:val="auto"/>
                <w:highlight w:val="none"/>
              </w:rPr>
            </w:pPr>
          </w:p>
        </w:tc>
      </w:tr>
    </w:tbl>
    <w:p w14:paraId="6306DDD9">
      <w:pPr>
        <w:pStyle w:val="11"/>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w:t>
      </w:r>
    </w:p>
    <w:p w14:paraId="05BF93DB">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评审委员会</w:t>
      </w:r>
      <w:r>
        <w:rPr>
          <w:rFonts w:hint="eastAsia" w:ascii="仿宋" w:hAnsi="仿宋" w:eastAsia="仿宋" w:cs="仿宋"/>
          <w:color w:val="auto"/>
          <w:highlight w:val="none"/>
        </w:rPr>
        <w:t>对投标</w:t>
      </w:r>
      <w:r>
        <w:rPr>
          <w:rFonts w:hint="eastAsia" w:ascii="仿宋" w:hAnsi="仿宋" w:eastAsia="仿宋" w:cs="仿宋"/>
          <w:color w:val="auto"/>
          <w:highlight w:val="none"/>
          <w:lang w:val="en-US" w:eastAsia="zh-CN"/>
        </w:rPr>
        <w:t>文件</w:t>
      </w:r>
      <w:r>
        <w:rPr>
          <w:rFonts w:hint="eastAsia" w:ascii="仿宋" w:hAnsi="仿宋" w:eastAsia="仿宋" w:cs="仿宋"/>
          <w:color w:val="auto"/>
          <w:highlight w:val="none"/>
        </w:rPr>
        <w:t>是否满足要求逐条标注</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意见，</w:t>
      </w:r>
      <w:r>
        <w:rPr>
          <w:rFonts w:hint="eastAsia" w:ascii="仿宋" w:hAnsi="仿宋" w:eastAsia="仿宋" w:cs="仿宋"/>
          <w:color w:val="auto"/>
          <w:highlight w:val="none"/>
          <w:lang w:val="en-US" w:eastAsia="zh-CN"/>
        </w:rPr>
        <w:t>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不符合的</w:t>
      </w:r>
      <w:r>
        <w:rPr>
          <w:rFonts w:hint="eastAsia" w:ascii="仿宋" w:hAnsi="仿宋" w:eastAsia="仿宋" w:cs="仿宋"/>
          <w:color w:val="auto"/>
          <w:highlight w:val="none"/>
        </w:rPr>
        <w:t>标记为“×”；</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结论栏统一填写为“通过”或“不通过” ，出现一个“×”为“不通过”</w:t>
      </w:r>
      <w:r>
        <w:rPr>
          <w:rFonts w:hint="eastAsia" w:ascii="仿宋" w:hAnsi="仿宋" w:eastAsia="仿宋" w:cs="仿宋"/>
          <w:color w:val="auto"/>
          <w:highlight w:val="none"/>
          <w:lang w:eastAsia="zh-CN"/>
        </w:rPr>
        <w:t>，不进入后续评审</w:t>
      </w:r>
      <w:r>
        <w:rPr>
          <w:rFonts w:hint="eastAsia" w:ascii="仿宋" w:hAnsi="仿宋" w:eastAsia="仿宋" w:cs="仿宋"/>
          <w:color w:val="auto"/>
          <w:highlight w:val="none"/>
        </w:rPr>
        <w:t>；对</w:t>
      </w:r>
      <w:r>
        <w:rPr>
          <w:rFonts w:hint="eastAsia" w:ascii="仿宋" w:hAnsi="仿宋" w:eastAsia="仿宋" w:cs="仿宋"/>
          <w:color w:val="auto"/>
          <w:highlight w:val="none"/>
          <w:lang w:val="en-US" w:eastAsia="zh-CN"/>
        </w:rPr>
        <w:t>审查</w:t>
      </w:r>
      <w:r>
        <w:rPr>
          <w:rFonts w:hint="eastAsia" w:ascii="仿宋" w:hAnsi="仿宋" w:eastAsia="仿宋" w:cs="仿宋"/>
          <w:color w:val="auto"/>
          <w:highlight w:val="none"/>
        </w:rPr>
        <w:t>结论为“不通过”的，要说明原因。</w:t>
      </w:r>
    </w:p>
    <w:p w14:paraId="5B70FAD8">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2、有下列情形之一的，视为投标人相互串通投标：</w:t>
      </w:r>
    </w:p>
    <w:p w14:paraId="72A745E5">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（1）不同投标人的投标文件由同一单位或者个人编制；</w:t>
      </w:r>
    </w:p>
    <w:p w14:paraId="6F5C148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（2）不同投标人委托同一单位或者个人办理投标事宜；</w:t>
      </w:r>
    </w:p>
    <w:p w14:paraId="0DAF05D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（3）不同投标人的投标文件载明的项目管理成员或者联系人员为同一人；</w:t>
      </w:r>
    </w:p>
    <w:p w14:paraId="77C8F650">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（4）不同投标人的投标文件异常一致或者投标报价呈规律性差异；</w:t>
      </w:r>
    </w:p>
    <w:p w14:paraId="6E5CB809">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（5）不同投标人的投标文件相互混装；</w:t>
      </w:r>
    </w:p>
    <w:p w14:paraId="506E90F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（6）不同投标人的投标保证金从同一单位或者个人的账户转出。</w:t>
      </w:r>
    </w:p>
    <w:p w14:paraId="6A5A4EB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3、有下列情形之一的，属于提供虚假材料谋取中标的行为：</w:t>
      </w:r>
    </w:p>
    <w:p w14:paraId="4E70AEBE">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（1）使用伪造、变造的许可证件；</w:t>
      </w:r>
    </w:p>
    <w:p w14:paraId="2DCE4F8D">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（2）提供虚假的财务状况或者业绩；</w:t>
      </w:r>
    </w:p>
    <w:p w14:paraId="1DF989C0">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（3）提供虚假的项目负责人或者主要技术人员简历、劳动关系证明；</w:t>
      </w:r>
    </w:p>
    <w:p w14:paraId="6BFC4596">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（4）提供虚假的信用状况；</w:t>
      </w:r>
    </w:p>
    <w:p w14:paraId="7B390AB1">
      <w:pPr>
        <w:pStyle w:val="11"/>
        <w:bidi w:val="0"/>
        <w:rPr>
          <w:rFonts w:hint="eastAsia" w:ascii="仿宋" w:hAnsi="仿宋" w:eastAsia="仿宋" w:cs="仿宋"/>
          <w:color w:val="auto"/>
          <w:highlight w:val="none"/>
        </w:rPr>
      </w:pPr>
      <w:r>
        <w:rPr>
          <w:rFonts w:hint="eastAsia" w:ascii="仿宋" w:hAnsi="仿宋" w:eastAsia="仿宋" w:cs="仿宋"/>
          <w:color w:val="auto"/>
          <w:highlight w:val="none"/>
        </w:rPr>
        <w:t>（5）其他弄虚作假的行为。</w:t>
      </w:r>
    </w:p>
    <w:p w14:paraId="6F0D58FE">
      <w:pPr>
        <w:pStyle w:val="11"/>
        <w:tabs>
          <w:tab w:val="clear" w:pos="567"/>
        </w:tabs>
        <w:spacing w:before="0" w:line="360" w:lineRule="auto"/>
        <w:jc w:val="center"/>
        <w:outlineLvl w:val="1"/>
        <w:rPr>
          <w:rFonts w:hint="eastAsia" w:ascii="仿宋" w:hAnsi="仿宋" w:eastAsia="仿宋" w:cs="仿宋"/>
          <w:b/>
          <w:color w:val="auto"/>
          <w:sz w:val="32"/>
          <w:szCs w:val="32"/>
          <w:highlight w:val="none"/>
          <w:lang w:eastAsia="zh-CN"/>
        </w:rPr>
      </w:pPr>
      <w:r>
        <w:rPr>
          <w:rFonts w:hint="eastAsia" w:ascii="仿宋" w:hAnsi="仿宋" w:eastAsia="仿宋" w:cs="仿宋"/>
          <w:color w:val="auto"/>
          <w:highlight w:val="none"/>
        </w:rPr>
        <w:br w:type="page"/>
      </w:r>
      <w:bookmarkStart w:id="440" w:name="_Toc22657"/>
      <w:bookmarkStart w:id="441" w:name="_Toc13130"/>
      <w:bookmarkStart w:id="442" w:name="_Toc9129"/>
      <w:r>
        <w:rPr>
          <w:rFonts w:hint="eastAsia" w:ascii="仿宋" w:hAnsi="仿宋" w:eastAsia="仿宋" w:cs="仿宋"/>
          <w:b/>
          <w:color w:val="auto"/>
          <w:sz w:val="32"/>
          <w:szCs w:val="32"/>
          <w:highlight w:val="none"/>
        </w:rPr>
        <w:t>附表三  评审</w:t>
      </w:r>
      <w:r>
        <w:rPr>
          <w:rFonts w:hint="eastAsia" w:ascii="仿宋" w:hAnsi="仿宋" w:eastAsia="仿宋" w:cs="仿宋"/>
          <w:b/>
          <w:color w:val="auto"/>
          <w:sz w:val="32"/>
          <w:szCs w:val="32"/>
          <w:highlight w:val="none"/>
          <w:lang w:val="en-US" w:eastAsia="zh-CN"/>
        </w:rPr>
        <w:t>标准</w:t>
      </w:r>
      <w:bookmarkEnd w:id="440"/>
      <w:bookmarkEnd w:id="441"/>
      <w:bookmarkEnd w:id="442"/>
    </w:p>
    <w:p w14:paraId="10A23B14">
      <w:pPr>
        <w:widowControl/>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（采用综合评分法时适用）</w:t>
      </w:r>
    </w:p>
    <w:p w14:paraId="3BC30818">
      <w:pPr>
        <w:pStyle w:val="33"/>
        <w:jc w:val="center"/>
        <w:rPr>
          <w:rFonts w:hint="eastAsia" w:ascii="仿宋" w:hAnsi="仿宋" w:eastAsia="仿宋" w:cs="仿宋"/>
          <w:b/>
          <w:bCs/>
          <w:color w:val="auto"/>
          <w:highlight w:val="none"/>
          <w:lang w:val="en-US" w:eastAsia="zh-CN"/>
        </w:rPr>
      </w:pPr>
      <w:r>
        <w:rPr>
          <w:rFonts w:hint="eastAsia" w:ascii="仿宋" w:hAnsi="仿宋" w:eastAsia="仿宋" w:cs="仿宋"/>
          <w:b/>
          <w:bCs/>
          <w:color w:val="auto"/>
          <w:sz w:val="28"/>
          <w:szCs w:val="28"/>
          <w:highlight w:val="none"/>
          <w:lang w:val="en-US" w:eastAsia="zh-CN"/>
        </w:rPr>
        <w:t>合同包1-7</w:t>
      </w:r>
    </w:p>
    <w:tbl>
      <w:tblPr>
        <w:tblStyle w:val="34"/>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854"/>
        <w:gridCol w:w="7362"/>
      </w:tblGrid>
      <w:tr w14:paraId="4B2F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17B4DDB3">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评标要素</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4E21855F">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6512C22">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评标标准</w:t>
            </w:r>
          </w:p>
        </w:tc>
      </w:tr>
      <w:tr w14:paraId="3CFD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5BD7522">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3731C20A">
            <w:pPr>
              <w:keepNext w:val="0"/>
              <w:keepLines w:val="0"/>
              <w:pageBreakBefore w:val="0"/>
              <w:widowControl w:val="0"/>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63FDFD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满足招标文件要求且投标价格最低的投标报价为评标基准价，其价格分为满分。其他投标人的价格分统一按照下列公式计算：投标报价得分=（评标基准价/投标报价）×30</w:t>
            </w:r>
          </w:p>
          <w:p w14:paraId="30B030C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（小微企业、监狱企业或残疾人福利性单位用投标报价扣除后的价格参加评审。专门面向中小企业采购的项目不进行价格扣除。）</w:t>
            </w:r>
          </w:p>
          <w:p w14:paraId="6FA0CDD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政府采购货物项目和服务项目中涉及的货物，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r>
      <w:tr w14:paraId="78ED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3B728F77">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技术指标</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43DF0B78">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45</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72AD6743">
            <w:pPr>
              <w:keepNext w:val="0"/>
              <w:keepLines w:val="0"/>
              <w:pageBreakBefore w:val="0"/>
              <w:widowControl w:val="0"/>
              <w:kinsoku/>
              <w:wordWrap/>
              <w:overflowPunct/>
              <w:topLinePunct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rPr>
              <w:t>一、节能、环境标志产品（</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p>
          <w:p w14:paraId="463B5769">
            <w:pPr>
              <w:keepNext w:val="0"/>
              <w:keepLines w:val="0"/>
              <w:pageBreakBefore w:val="0"/>
              <w:widowControl w:val="0"/>
              <w:kinsoku/>
              <w:wordWrap/>
              <w:overflowPunct/>
              <w:topLinePunct w:val="0"/>
              <w:bidi w:val="0"/>
              <w:adjustRightInd w:val="0"/>
              <w:snapToGrid w:val="0"/>
              <w:spacing w:line="400" w:lineRule="exact"/>
              <w:jc w:val="both"/>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所投产品</w:t>
            </w:r>
            <w:r>
              <w:rPr>
                <w:rFonts w:hint="eastAsia" w:ascii="仿宋" w:hAnsi="仿宋" w:eastAsia="仿宋" w:cs="仿宋"/>
                <w:color w:val="auto"/>
                <w:sz w:val="24"/>
                <w:highlight w:val="none"/>
                <w:lang w:val="en-US" w:eastAsia="zh-CN"/>
              </w:rPr>
              <w:t>含有</w:t>
            </w:r>
            <w:r>
              <w:rPr>
                <w:rFonts w:hint="eastAsia" w:ascii="仿宋" w:hAnsi="仿宋" w:eastAsia="仿宋" w:cs="仿宋"/>
                <w:color w:val="auto"/>
                <w:sz w:val="24"/>
                <w:highlight w:val="none"/>
              </w:rPr>
              <w:t>属于政府优先采购产品类别</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，须按照《财政部 发展改革委 生态环境部</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市场监管总局关于调整优化节能产品、环境标志产品政府采购执行机制的通知》（财库〔2019〕9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关于印发节能产品政府采购品目清单的通知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（财库〔2019〕19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关于印发环境标志产品政府采购品目清单的通知</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（财库〔2019〕18 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市场监</w:t>
            </w:r>
            <w:r>
              <w:rPr>
                <w:rFonts w:hint="eastAsia" w:ascii="仿宋" w:hAnsi="仿宋" w:eastAsia="仿宋" w:cs="仿宋"/>
                <w:i w:val="0"/>
                <w:iCs w:val="0"/>
                <w:color w:val="auto"/>
                <w:sz w:val="24"/>
                <w:highlight w:val="none"/>
                <w:u w:val="none"/>
              </w:rPr>
              <w:t>管总局关于发布参与实施政府采购节能产品、环境标志产品认证机构名录的公告</w:t>
            </w:r>
            <w:r>
              <w:rPr>
                <w:rFonts w:hint="eastAsia" w:ascii="仿宋" w:hAnsi="仿宋" w:eastAsia="仿宋" w:cs="仿宋"/>
                <w:i w:val="0"/>
                <w:iCs w:val="0"/>
                <w:color w:val="auto"/>
                <w:sz w:val="24"/>
                <w:highlight w:val="none"/>
                <w:u w:val="none"/>
                <w:lang w:eastAsia="zh-CN"/>
              </w:rPr>
              <w:t>》</w:t>
            </w:r>
            <w:r>
              <w:rPr>
                <w:rFonts w:hint="eastAsia" w:ascii="仿宋" w:hAnsi="仿宋" w:eastAsia="仿宋" w:cs="仿宋"/>
                <w:i w:val="0"/>
                <w:iCs w:val="0"/>
                <w:color w:val="auto"/>
                <w:sz w:val="24"/>
                <w:highlight w:val="none"/>
                <w:u w:val="none"/>
              </w:rPr>
              <w:t>（2019 年第 16 号）要求提供国家确定的认证机构出具的、处于有效期之内的节能产品</w:t>
            </w:r>
            <w:r>
              <w:rPr>
                <w:rFonts w:hint="eastAsia" w:ascii="仿宋" w:hAnsi="仿宋" w:eastAsia="仿宋" w:cs="仿宋"/>
                <w:i w:val="0"/>
                <w:iCs w:val="0"/>
                <w:color w:val="auto"/>
                <w:sz w:val="24"/>
                <w:highlight w:val="none"/>
                <w:u w:val="none"/>
                <w:lang w:val="en-US" w:eastAsia="zh-CN"/>
              </w:rPr>
              <w:t>或</w:t>
            </w:r>
            <w:r>
              <w:rPr>
                <w:rFonts w:hint="eastAsia" w:ascii="仿宋" w:hAnsi="仿宋" w:eastAsia="仿宋" w:cs="仿宋"/>
                <w:i w:val="0"/>
                <w:iCs w:val="0"/>
                <w:color w:val="auto"/>
                <w:sz w:val="24"/>
                <w:highlight w:val="none"/>
                <w:u w:val="none"/>
              </w:rPr>
              <w:t>环境标志产品认证证书，每提供一个得0.</w:t>
            </w:r>
            <w:r>
              <w:rPr>
                <w:rFonts w:hint="eastAsia" w:ascii="仿宋" w:hAnsi="仿宋" w:eastAsia="仿宋" w:cs="仿宋"/>
                <w:i w:val="0"/>
                <w:iCs w:val="0"/>
                <w:color w:val="auto"/>
                <w:sz w:val="24"/>
                <w:highlight w:val="none"/>
                <w:u w:val="none"/>
                <w:lang w:val="en-US" w:eastAsia="zh-CN"/>
              </w:rPr>
              <w:t>5</w:t>
            </w:r>
            <w:r>
              <w:rPr>
                <w:rFonts w:hint="eastAsia" w:ascii="仿宋" w:hAnsi="仿宋" w:eastAsia="仿宋" w:cs="仿宋"/>
                <w:i w:val="0"/>
                <w:iCs w:val="0"/>
                <w:color w:val="auto"/>
                <w:sz w:val="24"/>
                <w:highlight w:val="none"/>
                <w:u w:val="none"/>
              </w:rPr>
              <w:t>分，满分</w:t>
            </w:r>
            <w:r>
              <w:rPr>
                <w:rFonts w:hint="eastAsia" w:ascii="仿宋" w:hAnsi="仿宋" w:eastAsia="仿宋" w:cs="仿宋"/>
                <w:i w:val="0"/>
                <w:iCs w:val="0"/>
                <w:color w:val="auto"/>
                <w:sz w:val="24"/>
                <w:highlight w:val="none"/>
                <w:u w:val="none"/>
                <w:lang w:val="en-US" w:eastAsia="zh-CN"/>
              </w:rPr>
              <w:t>1</w:t>
            </w:r>
            <w:r>
              <w:rPr>
                <w:rFonts w:hint="eastAsia" w:ascii="仿宋" w:hAnsi="仿宋" w:eastAsia="仿宋" w:cs="仿宋"/>
                <w:i w:val="0"/>
                <w:iCs w:val="0"/>
                <w:color w:val="auto"/>
                <w:sz w:val="24"/>
                <w:highlight w:val="none"/>
                <w:u w:val="none"/>
              </w:rPr>
              <w:t>分。</w:t>
            </w:r>
            <w:r>
              <w:rPr>
                <w:rFonts w:hint="eastAsia" w:ascii="仿宋" w:hAnsi="仿宋" w:eastAsia="仿宋" w:cs="仿宋"/>
                <w:b/>
                <w:bCs/>
                <w:color w:val="auto"/>
                <w:sz w:val="24"/>
                <w:highlight w:val="none"/>
                <w:lang w:val="en-US" w:eastAsia="zh-CN"/>
              </w:rPr>
              <w:t>政府</w:t>
            </w:r>
            <w:r>
              <w:rPr>
                <w:rFonts w:hint="eastAsia" w:ascii="仿宋" w:hAnsi="仿宋" w:eastAsia="仿宋" w:cs="仿宋"/>
                <w:b/>
                <w:bCs/>
                <w:color w:val="auto"/>
                <w:sz w:val="24"/>
                <w:highlight w:val="none"/>
              </w:rPr>
              <w:t>强制采购产品</w:t>
            </w:r>
            <w:r>
              <w:rPr>
                <w:rFonts w:hint="eastAsia" w:ascii="仿宋" w:hAnsi="仿宋" w:eastAsia="仿宋" w:cs="仿宋"/>
                <w:b/>
                <w:bCs/>
                <w:color w:val="auto"/>
                <w:sz w:val="24"/>
                <w:highlight w:val="none"/>
                <w:lang w:val="en-US" w:eastAsia="zh-CN"/>
              </w:rPr>
              <w:t>不予加分。</w:t>
            </w:r>
          </w:p>
          <w:p w14:paraId="1608F9EE">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备注：以加盖投标人公章的证明材料为计分依据。</w:t>
            </w:r>
          </w:p>
          <w:p w14:paraId="4DCE33AD">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二、投标产品技术指标评审内容（</w:t>
            </w:r>
            <w:r>
              <w:rPr>
                <w:rFonts w:hint="eastAsia" w:ascii="仿宋" w:hAnsi="仿宋" w:eastAsia="仿宋" w:cs="仿宋"/>
                <w:b/>
                <w:bCs/>
                <w:color w:val="auto"/>
                <w:sz w:val="24"/>
                <w:highlight w:val="none"/>
                <w:lang w:val="en-US" w:eastAsia="zh-CN"/>
              </w:rPr>
              <w:t>44</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val="zh-CN"/>
              </w:rPr>
              <w:t>）</w:t>
            </w:r>
          </w:p>
          <w:p w14:paraId="55D7C958">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投标产品的技术指标评审：完全响应得</w:t>
            </w:r>
            <w:r>
              <w:rPr>
                <w:rFonts w:hint="eastAsia" w:ascii="仿宋" w:hAnsi="仿宋" w:eastAsia="仿宋" w:cs="仿宋"/>
                <w:color w:val="auto"/>
                <w:sz w:val="24"/>
                <w:highlight w:val="none"/>
                <w:lang w:val="en-US" w:eastAsia="zh-CN"/>
              </w:rPr>
              <w:t>44</w:t>
            </w:r>
            <w:r>
              <w:rPr>
                <w:rFonts w:hint="eastAsia" w:ascii="仿宋" w:hAnsi="仿宋" w:eastAsia="仿宋" w:cs="仿宋"/>
                <w:color w:val="auto"/>
                <w:sz w:val="24"/>
                <w:highlight w:val="none"/>
                <w:lang w:val="zh-CN"/>
              </w:rPr>
              <w:t>分。技术指标参数一项不满足扣</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rPr>
              <w:t>分，扣完为止</w:t>
            </w:r>
            <w:r>
              <w:rPr>
                <w:rFonts w:hint="eastAsia" w:ascii="仿宋" w:hAnsi="仿宋" w:eastAsia="仿宋" w:cs="仿宋"/>
                <w:color w:val="auto"/>
                <w:sz w:val="24"/>
                <w:highlight w:val="none"/>
              </w:rPr>
              <w:t>。</w:t>
            </w:r>
          </w:p>
          <w:p w14:paraId="5F40475F">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评审依据：按照技术参数要求提供相应的证明文件（包括不限于检测报告、技术白皮书、厂家产品说明、彩页、官网截图等），在技术偏离表“说明”栏中标明证明材料的页码；无技术材料支持视为负偏离。</w:t>
            </w:r>
          </w:p>
          <w:p w14:paraId="1E1D58B8">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val="en-US" w:eastAsia="zh-CN"/>
              </w:rPr>
              <w:t>注：</w:t>
            </w:r>
            <w:r>
              <w:rPr>
                <w:rFonts w:hint="eastAsia" w:ascii="仿宋" w:hAnsi="仿宋" w:eastAsia="仿宋" w:cs="仿宋"/>
                <w:b/>
                <w:bCs/>
                <w:color w:val="auto"/>
                <w:sz w:val="24"/>
                <w:highlight w:val="none"/>
                <w:lang w:val="zh-CN"/>
              </w:rPr>
              <w:t>技术指标中“★”类为核心指标，如发生负偏离视为非实质性响应，其投标将被认定为无效投标。</w:t>
            </w:r>
          </w:p>
        </w:tc>
      </w:tr>
      <w:tr w14:paraId="26CB7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2849B5B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业绩</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1567CD5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382F1D43">
            <w:pPr>
              <w:keepNext w:val="0"/>
              <w:keepLines w:val="0"/>
              <w:pageBreakBefore w:val="0"/>
              <w:widowControl w:val="0"/>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提供202</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rPr>
              <w:t>1月1日</w:t>
            </w:r>
            <w:r>
              <w:rPr>
                <w:rFonts w:hint="eastAsia" w:ascii="仿宋" w:hAnsi="仿宋" w:eastAsia="仿宋" w:cs="仿宋"/>
                <w:color w:val="auto"/>
                <w:sz w:val="24"/>
                <w:highlight w:val="none"/>
                <w:lang w:val="zh-CN"/>
              </w:rPr>
              <w:t>至投标截止时间（以合同签订时间为准）所投核心产品品牌</w:t>
            </w:r>
            <w:r>
              <w:rPr>
                <w:rFonts w:hint="eastAsia" w:ascii="仿宋" w:hAnsi="仿宋" w:eastAsia="仿宋" w:cs="仿宋"/>
                <w:color w:val="auto"/>
                <w:sz w:val="24"/>
                <w:highlight w:val="none"/>
                <w:u w:val="single"/>
                <w:lang w:val="zh-CN"/>
              </w:rPr>
              <w:t>同类产品</w:t>
            </w:r>
            <w:r>
              <w:rPr>
                <w:rFonts w:hint="eastAsia" w:ascii="仿宋" w:hAnsi="仿宋" w:eastAsia="仿宋" w:cs="仿宋"/>
                <w:color w:val="auto"/>
                <w:sz w:val="24"/>
                <w:highlight w:val="none"/>
                <w:lang w:val="zh-CN"/>
              </w:rPr>
              <w:t>业绩，每提供一个业绩得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val="zh-CN"/>
              </w:rPr>
              <w:t>分，满分</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val="zh-CN"/>
              </w:rPr>
              <w:t>分。</w:t>
            </w:r>
          </w:p>
          <w:p w14:paraId="1EA43B83">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zh-CN"/>
              </w:rPr>
              <w:t>评审依据：</w:t>
            </w:r>
            <w:r>
              <w:rPr>
                <w:rFonts w:hint="eastAsia" w:ascii="仿宋" w:hAnsi="仿宋" w:eastAsia="仿宋" w:cs="仿宋"/>
                <w:color w:val="auto"/>
                <w:sz w:val="24"/>
                <w:highlight w:val="none"/>
                <w:lang w:val="zh-CN"/>
              </w:rPr>
              <w:t>以加盖公章的业绩合同复印件为准，合同至少需包含合同首页、产品页、签章页。</w:t>
            </w:r>
          </w:p>
        </w:tc>
      </w:tr>
      <w:tr w14:paraId="33FDD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13AFEC7">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实施方案</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2AFF6BF9">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ind w:firstLine="240" w:firstLineChars="1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1D04ABC2">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⼀、评审内容：提供完整可⾏有针对性的实施⽅案，包含：①供货⽅案、②安装调试⽅案、③技术⽀持⽅案、④质量保证措施、⑤验收⽅案。 </w:t>
            </w:r>
          </w:p>
          <w:p w14:paraId="21A02811">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⼆、评审标准：每项内容完整可⾏且有针对性得2分，缺漏项不</w:t>
            </w:r>
          </w:p>
          <w:p w14:paraId="75F6AF51">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得分，满分10分；每项内容中每有⼀处有缺陷扣0.5分，扣完为⽌。</w:t>
            </w:r>
          </w:p>
          <w:p w14:paraId="7AAF0BE5">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r w14:paraId="37D5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501E60A6">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售后服务方案</w:t>
            </w:r>
          </w:p>
        </w:tc>
        <w:tc>
          <w:tcPr>
            <w:tcW w:w="854" w:type="dxa"/>
            <w:tcBorders>
              <w:top w:val="single" w:color="auto" w:sz="4" w:space="0"/>
              <w:left w:val="single" w:color="auto" w:sz="4" w:space="0"/>
              <w:bottom w:val="single" w:color="auto" w:sz="4" w:space="0"/>
              <w:right w:val="single" w:color="auto" w:sz="4" w:space="0"/>
            </w:tcBorders>
            <w:noWrap w:val="0"/>
            <w:vAlign w:val="center"/>
          </w:tcPr>
          <w:p w14:paraId="072EA6B8">
            <w:pPr>
              <w:keepNext w:val="0"/>
              <w:keepLines w:val="0"/>
              <w:pageBreakBefore w:val="0"/>
              <w:widowControl w:val="0"/>
              <w:shd w:val="clear" w:color="auto" w:fill="auto"/>
              <w:kinsoku/>
              <w:wordWrap/>
              <w:overflowPunct/>
              <w:topLinePunct w:val="0"/>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p>
        </w:tc>
        <w:tc>
          <w:tcPr>
            <w:tcW w:w="7362" w:type="dxa"/>
            <w:tcBorders>
              <w:top w:val="single" w:color="auto" w:sz="4" w:space="0"/>
              <w:left w:val="single" w:color="auto" w:sz="4" w:space="0"/>
              <w:bottom w:val="single" w:color="auto" w:sz="4" w:space="0"/>
              <w:right w:val="single" w:color="auto" w:sz="4" w:space="0"/>
            </w:tcBorders>
            <w:noWrap w:val="0"/>
            <w:vAlign w:val="center"/>
          </w:tcPr>
          <w:p w14:paraId="4451C912">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⼀、评审内容：提供完整可⾏有针对性的售后服务⽅案，包含：①售后服务范围及保障措施、②应急保障⽅案、③培训⽅案、④故障处理及补救措施、⑤备品配件服务承诺。 </w:t>
            </w:r>
          </w:p>
          <w:p w14:paraId="59E4F3BC">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⼆、评审标准：每项内容完整可⾏且有针对性得2分，缺漏项不得分，满分10分；每项内容中每有⼀处有缺陷扣0.5分，扣完为⽌。 </w:t>
            </w:r>
          </w:p>
          <w:p w14:paraId="34877C93">
            <w:pPr>
              <w:keepNext w:val="0"/>
              <w:keepLines w:val="0"/>
              <w:pageBreakBefore w:val="0"/>
              <w:widowControl w:val="0"/>
              <w:shd w:val="clear" w:color="auto" w:fill="auto"/>
              <w:kinsoku/>
              <w:wordWrap/>
              <w:overflowPunct/>
              <w:topLinePunct w:val="0"/>
              <w:autoSpaceDE w:val="0"/>
              <w:autoSpaceDN w:val="0"/>
              <w:bidi w:val="0"/>
              <w:adjustRightInd w:val="0"/>
              <w:snapToGrid w:val="0"/>
              <w:spacing w:line="400" w:lineRule="exact"/>
              <w:textAlignment w:va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缺陷是指内容缺项、不完整或缺少关键点、只有简单描述⽆实质性内容；⾮专⻔针对本项⽬或不适⽤本项⽬特性、套⽤其他项⽬内容；对同⼀问题前后表述⽭盾；存在逻辑漏洞、科学原理或常识错误；不利于本项⽬⽬标的实现、现有技术条件下不可能出现的情形等任意⼀种情形。）</w:t>
            </w:r>
          </w:p>
        </w:tc>
      </w:tr>
    </w:tbl>
    <w:p w14:paraId="2C9EA746">
      <w:pPr>
        <w:spacing w:line="360" w:lineRule="auto"/>
        <w:jc w:val="both"/>
        <w:rPr>
          <w:rFonts w:hint="eastAsia" w:ascii="仿宋" w:hAnsi="仿宋" w:eastAsia="仿宋" w:cs="仿宋"/>
          <w:color w:val="auto"/>
          <w:highlight w:val="none"/>
          <w:lang w:val="en-US" w:eastAsia="zh-CN"/>
        </w:rPr>
      </w:pPr>
    </w:p>
    <w:p w14:paraId="449FD1CC">
      <w:pPr>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r>
        <w:rPr>
          <w:rFonts w:hint="eastAsia" w:ascii="仿宋" w:hAnsi="仿宋" w:eastAsia="仿宋" w:cs="仿宋"/>
          <w:b/>
          <w:bCs/>
          <w:color w:val="auto"/>
          <w:sz w:val="28"/>
          <w:szCs w:val="28"/>
          <w:highlight w:val="none"/>
          <w:lang w:val="en-US" w:eastAsia="zh-CN"/>
        </w:rPr>
        <w:t>合同包8</w:t>
      </w:r>
    </w:p>
    <w:tbl>
      <w:tblPr>
        <w:tblStyle w:val="189"/>
        <w:tblW w:w="9069"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7"/>
        <w:gridCol w:w="975"/>
        <w:gridCol w:w="7207"/>
      </w:tblGrid>
      <w:tr w14:paraId="3E92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887" w:type="dxa"/>
            <w:vAlign w:val="center"/>
          </w:tcPr>
          <w:p w14:paraId="7388F0C0">
            <w:pPr>
              <w:pStyle w:val="188"/>
              <w:spacing w:before="35" w:line="224"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11"/>
                <w:sz w:val="24"/>
                <w:szCs w:val="24"/>
                <w:highlight w:val="none"/>
              </w:rPr>
              <w:t>项目</w:t>
            </w:r>
          </w:p>
        </w:tc>
        <w:tc>
          <w:tcPr>
            <w:tcW w:w="975" w:type="dxa"/>
            <w:vAlign w:val="center"/>
          </w:tcPr>
          <w:p w14:paraId="3C04A250">
            <w:pPr>
              <w:pStyle w:val="188"/>
              <w:spacing w:before="36" w:line="223" w:lineRule="auto"/>
              <w:ind w:left="166"/>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12"/>
                <w:sz w:val="24"/>
                <w:szCs w:val="24"/>
                <w:highlight w:val="none"/>
              </w:rPr>
              <w:t>分值</w:t>
            </w:r>
          </w:p>
        </w:tc>
        <w:tc>
          <w:tcPr>
            <w:tcW w:w="7207" w:type="dxa"/>
            <w:vAlign w:val="center"/>
          </w:tcPr>
          <w:p w14:paraId="0A4797F0">
            <w:pPr>
              <w:pStyle w:val="188"/>
              <w:spacing w:before="36" w:line="222" w:lineRule="auto"/>
              <w:ind w:firstLine="2872" w:firstLineChars="1300"/>
              <w:jc w:val="both"/>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评审内容</w:t>
            </w:r>
          </w:p>
        </w:tc>
      </w:tr>
      <w:tr w14:paraId="65C88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0" w:hRule="atLeast"/>
        </w:trPr>
        <w:tc>
          <w:tcPr>
            <w:tcW w:w="887" w:type="dxa"/>
            <w:vAlign w:val="center"/>
          </w:tcPr>
          <w:p w14:paraId="48446804">
            <w:pPr>
              <w:pStyle w:val="188"/>
              <w:spacing w:before="78" w:line="222" w:lineRule="auto"/>
              <w:ind w:left="329"/>
              <w:jc w:val="both"/>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报价</w:t>
            </w:r>
          </w:p>
        </w:tc>
        <w:tc>
          <w:tcPr>
            <w:tcW w:w="975" w:type="dxa"/>
            <w:vAlign w:val="center"/>
          </w:tcPr>
          <w:p w14:paraId="23099D59">
            <w:pPr>
              <w:pStyle w:val="188"/>
              <w:spacing w:before="78" w:line="241" w:lineRule="auto"/>
              <w:ind w:left="276"/>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pacing w:val="-7"/>
                <w:sz w:val="24"/>
                <w:szCs w:val="24"/>
                <w:highlight w:val="none"/>
                <w:lang w:val="en-US" w:eastAsia="zh-CN"/>
              </w:rPr>
              <w:t>30</w:t>
            </w:r>
          </w:p>
        </w:tc>
        <w:tc>
          <w:tcPr>
            <w:tcW w:w="7207" w:type="dxa"/>
            <w:vAlign w:val="center"/>
          </w:tcPr>
          <w:p w14:paraId="4C450DDF">
            <w:pPr>
              <w:pStyle w:val="188"/>
              <w:spacing w:before="34" w:line="220" w:lineRule="auto"/>
              <w:ind w:left="2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1.所有有效投标报价的算术平均值作为评标基准价；</w:t>
            </w:r>
          </w:p>
          <w:p w14:paraId="62D40D01">
            <w:pPr>
              <w:pStyle w:val="188"/>
              <w:spacing w:before="179" w:line="222" w:lineRule="auto"/>
              <w:ind w:left="8"/>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lang w:eastAsia="zh-CN"/>
              </w:rPr>
              <w:t>2.投标报价等于评标基准价得满分</w:t>
            </w:r>
            <w:r>
              <w:rPr>
                <w:rFonts w:hint="eastAsia" w:ascii="仿宋" w:hAnsi="仿宋" w:eastAsia="仿宋" w:cs="仿宋"/>
                <w:color w:val="auto"/>
                <w:spacing w:val="-2"/>
                <w:sz w:val="24"/>
                <w:szCs w:val="24"/>
                <w:highlight w:val="none"/>
                <w:lang w:val="en-US" w:eastAsia="zh-CN"/>
              </w:rPr>
              <w:t>30</w:t>
            </w:r>
            <w:r>
              <w:rPr>
                <w:rFonts w:hint="eastAsia" w:ascii="仿宋" w:hAnsi="仿宋" w:eastAsia="仿宋" w:cs="仿宋"/>
                <w:color w:val="auto"/>
                <w:spacing w:val="-2"/>
                <w:sz w:val="24"/>
                <w:szCs w:val="24"/>
                <w:highlight w:val="none"/>
                <w:lang w:eastAsia="zh-CN"/>
              </w:rPr>
              <w:t>分；</w:t>
            </w:r>
          </w:p>
          <w:p w14:paraId="48670C2D">
            <w:pPr>
              <w:pStyle w:val="188"/>
              <w:spacing w:before="176" w:line="360" w:lineRule="auto"/>
              <w:ind w:left="13" w:right="204" w:hanging="3"/>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lang w:eastAsia="zh-CN"/>
              </w:rPr>
              <w:t>3.有效投标报价每高于评审基准价一个百分点扣</w:t>
            </w:r>
            <w:r>
              <w:rPr>
                <w:rFonts w:hint="eastAsia" w:ascii="仿宋" w:hAnsi="仿宋" w:eastAsia="仿宋" w:cs="仿宋"/>
                <w:color w:val="auto"/>
                <w:spacing w:val="-3"/>
                <w:sz w:val="24"/>
                <w:szCs w:val="24"/>
                <w:highlight w:val="none"/>
                <w:lang w:val="en-US" w:eastAsia="zh-CN"/>
              </w:rPr>
              <w:t>0.2</w:t>
            </w:r>
            <w:r>
              <w:rPr>
                <w:rFonts w:hint="eastAsia" w:ascii="仿宋" w:hAnsi="仿宋" w:eastAsia="仿宋" w:cs="仿宋"/>
                <w:color w:val="auto"/>
                <w:spacing w:val="-4"/>
                <w:sz w:val="24"/>
                <w:szCs w:val="24"/>
                <w:highlight w:val="none"/>
                <w:lang w:eastAsia="zh-CN"/>
              </w:rPr>
              <w:t>分，每低于评审基准价一个百分点扣</w:t>
            </w:r>
            <w:r>
              <w:rPr>
                <w:rFonts w:hint="eastAsia" w:ascii="仿宋" w:hAnsi="仿宋" w:eastAsia="仿宋" w:cs="仿宋"/>
                <w:color w:val="auto"/>
                <w:spacing w:val="-4"/>
                <w:sz w:val="24"/>
                <w:szCs w:val="24"/>
                <w:highlight w:val="none"/>
                <w:lang w:val="en-US" w:eastAsia="zh-CN"/>
              </w:rPr>
              <w:t>0.1</w:t>
            </w:r>
            <w:r>
              <w:rPr>
                <w:rFonts w:hint="eastAsia" w:ascii="仿宋" w:hAnsi="仿宋" w:eastAsia="仿宋" w:cs="仿宋"/>
                <w:color w:val="auto"/>
                <w:spacing w:val="-4"/>
                <w:sz w:val="24"/>
                <w:szCs w:val="24"/>
                <w:highlight w:val="none"/>
                <w:lang w:eastAsia="zh-CN"/>
              </w:rPr>
              <w:t>分，扣完为止。不足1%，按插值法计算。</w:t>
            </w:r>
          </w:p>
        </w:tc>
      </w:tr>
      <w:tr w14:paraId="65682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6" w:hRule="atLeast"/>
        </w:trPr>
        <w:tc>
          <w:tcPr>
            <w:tcW w:w="887" w:type="dxa"/>
            <w:vAlign w:val="center"/>
          </w:tcPr>
          <w:p w14:paraId="24AC7112">
            <w:pPr>
              <w:pStyle w:val="188"/>
              <w:spacing w:before="78" w:line="222" w:lineRule="auto"/>
              <w:jc w:val="center"/>
              <w:rPr>
                <w:rFonts w:hint="eastAsia" w:ascii="仿宋" w:hAnsi="仿宋" w:eastAsia="仿宋" w:cs="仿宋"/>
                <w:color w:val="auto"/>
                <w:spacing w:val="-8"/>
                <w:sz w:val="24"/>
                <w:szCs w:val="24"/>
                <w:highlight w:val="none"/>
                <w:lang w:eastAsia="zh-CN"/>
              </w:rPr>
            </w:pPr>
            <w:r>
              <w:rPr>
                <w:rFonts w:hint="eastAsia" w:ascii="仿宋" w:hAnsi="仿宋" w:eastAsia="仿宋" w:cs="仿宋"/>
                <w:color w:val="auto"/>
                <w:spacing w:val="-8"/>
                <w:sz w:val="24"/>
                <w:szCs w:val="24"/>
                <w:highlight w:val="none"/>
                <w:lang w:eastAsia="zh-CN"/>
              </w:rPr>
              <w:t>价格（小型微型企业优惠）</w:t>
            </w:r>
          </w:p>
        </w:tc>
        <w:tc>
          <w:tcPr>
            <w:tcW w:w="975" w:type="dxa"/>
            <w:vAlign w:val="center"/>
          </w:tcPr>
          <w:p w14:paraId="2222F26C">
            <w:pPr>
              <w:pStyle w:val="188"/>
              <w:spacing w:before="78" w:line="241" w:lineRule="auto"/>
              <w:ind w:left="276"/>
              <w:jc w:val="center"/>
              <w:rPr>
                <w:rFonts w:hint="default" w:ascii="仿宋" w:hAnsi="仿宋" w:eastAsia="仿宋" w:cs="仿宋"/>
                <w:color w:val="auto"/>
                <w:spacing w:val="-7"/>
                <w:sz w:val="24"/>
                <w:szCs w:val="24"/>
                <w:highlight w:val="none"/>
                <w:lang w:val="en-US" w:eastAsia="zh-CN"/>
              </w:rPr>
            </w:pPr>
            <w:r>
              <w:rPr>
                <w:rFonts w:hint="eastAsia" w:ascii="仿宋" w:hAnsi="仿宋" w:eastAsia="仿宋" w:cs="仿宋"/>
                <w:color w:val="auto"/>
                <w:spacing w:val="-7"/>
                <w:sz w:val="24"/>
                <w:szCs w:val="24"/>
                <w:highlight w:val="none"/>
                <w:lang w:val="en-US" w:eastAsia="zh-CN"/>
              </w:rPr>
              <w:t>0.9</w:t>
            </w:r>
          </w:p>
        </w:tc>
        <w:tc>
          <w:tcPr>
            <w:tcW w:w="7207" w:type="dxa"/>
            <w:vAlign w:val="center"/>
          </w:tcPr>
          <w:p w14:paraId="52882E64">
            <w:pPr>
              <w:pStyle w:val="188"/>
              <w:spacing w:before="0" w:line="359" w:lineRule="auto"/>
              <w:ind w:left="17" w:right="101" w:hanging="4"/>
              <w:rPr>
                <w:rFonts w:hint="eastAsia" w:ascii="仿宋" w:hAnsi="仿宋" w:eastAsia="仿宋" w:cs="仿宋"/>
                <w:b/>
                <w:bCs/>
                <w:color w:val="auto"/>
                <w:spacing w:val="-5"/>
                <w:sz w:val="24"/>
                <w:szCs w:val="24"/>
                <w:highlight w:val="none"/>
                <w:lang w:eastAsia="zh-CN"/>
              </w:rPr>
            </w:pPr>
            <w:r>
              <w:rPr>
                <w:rFonts w:hint="eastAsia" w:ascii="仿宋" w:hAnsi="仿宋" w:eastAsia="仿宋" w:cs="仿宋"/>
                <w:color w:val="auto"/>
                <w:spacing w:val="0"/>
                <w:sz w:val="24"/>
                <w:szCs w:val="24"/>
                <w:highlight w:val="none"/>
                <w:lang w:eastAsia="zh-CN"/>
              </w:rPr>
              <w:t>小型、微型企业，监狱企业，残疾人福利性单位(</w:t>
            </w:r>
            <w:r>
              <w:rPr>
                <w:rFonts w:hint="eastAsia" w:ascii="仿宋" w:hAnsi="仿宋" w:eastAsia="仿宋" w:cs="仿宋"/>
                <w:color w:val="auto"/>
                <w:spacing w:val="0"/>
                <w:sz w:val="24"/>
                <w:szCs w:val="24"/>
                <w:highlight w:val="none"/>
                <w:lang w:val="en-US" w:eastAsia="zh-CN"/>
              </w:rPr>
              <w:t>0.9</w:t>
            </w:r>
            <w:r>
              <w:rPr>
                <w:rFonts w:hint="eastAsia" w:ascii="仿宋" w:hAnsi="仿宋" w:eastAsia="仿宋" w:cs="仿宋"/>
                <w:color w:val="auto"/>
                <w:spacing w:val="0"/>
                <w:sz w:val="24"/>
                <w:szCs w:val="24"/>
                <w:highlight w:val="none"/>
                <w:lang w:eastAsia="zh-CN"/>
              </w:rPr>
              <w:t>分)对满足价格扣除条件且在投标文件中提交了《中小企业声明函》《残疾人福利性单位声明函》或省级以上监狱管理局、戒毒管理局(含新疆生产建设兵团)出具的属于监狱企业的证明文件的投标人，价格(小微企业价格)价格(投标报价得分)x3%。对于同时属于小微企业、监狱企业或残疾人福利性单位约，不重复进行计分。例:A单位价格(小微企业价格)=A单位价格(投标报价得分)x3%</w:t>
            </w:r>
          </w:p>
        </w:tc>
      </w:tr>
      <w:tr w14:paraId="4C5EB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87" w:type="dxa"/>
            <w:shd w:val="clear" w:color="auto" w:fill="auto"/>
            <w:vAlign w:val="center"/>
          </w:tcPr>
          <w:p w14:paraId="2E7B4B9F">
            <w:pPr>
              <w:pStyle w:val="196"/>
              <w:jc w:val="center"/>
              <w:rPr>
                <w:rFonts w:hint="eastAsia" w:ascii="仿宋" w:hAnsi="仿宋" w:eastAsia="仿宋" w:cs="仿宋"/>
                <w:color w:val="auto"/>
                <w:spacing w:val="0"/>
                <w:kern w:val="2"/>
                <w:sz w:val="24"/>
                <w:szCs w:val="24"/>
                <w:highlight w:val="none"/>
                <w:lang w:val="en-US" w:eastAsia="zh-Hans" w:bidi="ar-SA"/>
              </w:rPr>
            </w:pPr>
            <w:r>
              <w:rPr>
                <w:rFonts w:hint="eastAsia" w:ascii="仿宋" w:hAnsi="仿宋" w:eastAsia="仿宋" w:cs="仿宋"/>
                <w:color w:val="auto"/>
                <w:spacing w:val="0"/>
                <w:kern w:val="2"/>
                <w:sz w:val="24"/>
                <w:szCs w:val="24"/>
                <w:highlight w:val="none"/>
                <w:lang w:val="en-US" w:eastAsia="zh-CN" w:bidi="ar-SA"/>
              </w:rPr>
              <w:t>项目部组成方案</w:t>
            </w:r>
          </w:p>
        </w:tc>
        <w:tc>
          <w:tcPr>
            <w:tcW w:w="975" w:type="dxa"/>
            <w:shd w:val="clear" w:color="auto" w:fill="auto"/>
            <w:vAlign w:val="center"/>
          </w:tcPr>
          <w:p w14:paraId="1445C4B3">
            <w:pPr>
              <w:pStyle w:val="196"/>
              <w:jc w:val="center"/>
              <w:rPr>
                <w:rFonts w:hint="default"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468F4884">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一、评审内容：根据供应商针对本项目编写的项目部组成方案：包含但不限于①人员组织架构②分配计划③人员岗前职责④人员名单及相关证书（包含但不限于身份证、资格证）等进行计分： 二、评审标准： 项目部组成方案科学合理、人员表配置充足，有详细的人员配置清单，针对性强，能够很好的满足项目需求，得10分；项目部组成方案基本合理、人员表配置基本齐全，具有人员配置清单，有一定的针对性，能够满足项目需求，得8分；提供项目部组成方案情况，配置基本合理但组成不全面得6分；项目部组成人员缺乏科学合理性，无人员配置清单，无法满足项目需求，得4分； 项目部组成内容简单笼统得2分。未提供项目部组成不得0分。</w:t>
            </w:r>
          </w:p>
        </w:tc>
      </w:tr>
      <w:tr w14:paraId="07159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156ED5ED">
            <w:pPr>
              <w:pStyle w:val="196"/>
              <w:jc w:val="center"/>
              <w:rPr>
                <w:rFonts w:hint="eastAsia" w:ascii="仿宋" w:hAnsi="仿宋" w:eastAsia="仿宋" w:cs="仿宋"/>
                <w:color w:val="auto"/>
                <w:spacing w:val="0"/>
                <w:kern w:val="2"/>
                <w:sz w:val="24"/>
                <w:szCs w:val="24"/>
                <w:highlight w:val="none"/>
                <w:lang w:val="en-US" w:eastAsia="zh-Hans" w:bidi="ar-SA"/>
              </w:rPr>
            </w:pPr>
            <w:r>
              <w:rPr>
                <w:rFonts w:hint="eastAsia" w:ascii="仿宋" w:hAnsi="仿宋" w:eastAsia="仿宋" w:cs="仿宋"/>
                <w:color w:val="auto"/>
                <w:spacing w:val="0"/>
                <w:kern w:val="2"/>
                <w:sz w:val="24"/>
                <w:szCs w:val="24"/>
                <w:highlight w:val="none"/>
                <w:lang w:val="en-US" w:eastAsia="zh-CN" w:bidi="ar-SA"/>
              </w:rPr>
              <w:t>整体施工方案</w:t>
            </w:r>
          </w:p>
        </w:tc>
        <w:tc>
          <w:tcPr>
            <w:tcW w:w="975" w:type="dxa"/>
            <w:shd w:val="clear" w:color="auto" w:fill="auto"/>
            <w:vAlign w:val="center"/>
          </w:tcPr>
          <w:p w14:paraId="498A69CA">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36020EF9">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一、评审内容：根据供应商针对本项目编写的整体施工方案：包含但不限于①服务管理流程及组织架构描述②操作规程描述③施工部署、技术重点、难点描述④维修维护方案等进行计分： 二、评审标准： 整体施工方案专门针对本项目编制，符合项目实际情况及实施要求，内容详尽且涵盖角度全面，合理性和可行性强，能够保障项目顺利实施的，得10分; 整体施工方案能够针对本项目编制，符合项目实际情况及实施要求，内容详尽且涵盖角度基本全面，有一定的合理性和可行性的，得8分; 方案基本能够针对本项目编制，基本符合项目实际情况及实施要求，内容较宽泛，涵盖角度不够全面，内容基本合理可行的，得6分; 具有方案内容但内容未贴合本项目，内容涵盖角度不够全面且实施有难度的，得4分; 具有方案内容但内容未针对本项目，内容空洞宽泛，基本不具有可实施性，得2分;未提供方案内容得0分。</w:t>
            </w:r>
          </w:p>
        </w:tc>
      </w:tr>
      <w:tr w14:paraId="0F9A3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887" w:type="dxa"/>
            <w:shd w:val="clear" w:color="auto" w:fill="auto"/>
            <w:vAlign w:val="center"/>
          </w:tcPr>
          <w:p w14:paraId="46AAAC0C">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安全生产、文明施工技术组织措施</w:t>
            </w:r>
          </w:p>
        </w:tc>
        <w:tc>
          <w:tcPr>
            <w:tcW w:w="975" w:type="dxa"/>
            <w:shd w:val="clear" w:color="auto" w:fill="auto"/>
            <w:vAlign w:val="center"/>
          </w:tcPr>
          <w:p w14:paraId="6494553E">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5B203586">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Hans"/>
              </w:rPr>
            </w:pPr>
            <w:r>
              <w:rPr>
                <w:rFonts w:hint="eastAsia" w:ascii="仿宋" w:hAnsi="仿宋" w:eastAsia="仿宋" w:cs="仿宋"/>
                <w:color w:val="auto"/>
                <w:sz w:val="24"/>
                <w:highlight w:val="none"/>
                <w:lang w:val="en-US" w:eastAsia="zh-CN"/>
              </w:rPr>
              <w:t>一、评审内容：根据供应商针对本项目编写的安全生产、文明施工技术组织措施：包含但不限于①安全生产组织方案②环境保护措施③文明施工的技术组织措施④季节性施工安全措施⑤安全管理制度等进行计分： 二、评审标准： 措施内容专门针对本项目编制，符合项目实际情况及实施要求，内容详尽且涵盖角度全面，合理性和可行性强，能够保障项目顺利实施的，得10分; 措施内容能够针对本项目编制，符合项目实际情况及实施要求，内容详尽且涵盖角度基本全面，有一定的合理性和可行性的，得8分; 措施内容基本能够针对本项目编制，基本符合项目实际情况及实施要求，内容较详细，涵盖角度较全面，基本合理可行的，得6分; 具有措施内容但措施内容未贴合本项目，措施内容涵盖角度不全面且实施有难度的，得4分; 具有措施内容但内容未针对本项目，内容空洞宽泛，可实施性不强，得2分;未提供措施内容得0分。</w:t>
            </w:r>
          </w:p>
        </w:tc>
      </w:tr>
      <w:tr w14:paraId="0381D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887" w:type="dxa"/>
            <w:shd w:val="clear" w:color="auto" w:fill="auto"/>
            <w:vAlign w:val="center"/>
          </w:tcPr>
          <w:p w14:paraId="75EAAC22">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施工机械及材料方案</w:t>
            </w:r>
          </w:p>
        </w:tc>
        <w:tc>
          <w:tcPr>
            <w:tcW w:w="975" w:type="dxa"/>
            <w:shd w:val="clear" w:color="auto" w:fill="auto"/>
            <w:vAlign w:val="center"/>
          </w:tcPr>
          <w:p w14:paraId="2A3BA34F">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7F1058DA">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一、评审内容：根据供应商针对本项目编写的施工机械及材料方案：包含但不限于①施工机械方案②拟用材料明细③到场离场计划④质量控制措施⑤安全管理等进行计分： 二、评审标准： 投入计划专门针对本项目编制，符合项目实际情况及实施要求，内容详尽且涵盖角度全面，合理性和可行性强，能够保障项目顺利实施的，得5分; 投入计划基本针对本项目编制，符合项目实际情况及实施要求，内容详尽且涵盖角度基本全面，有一定的合理性和可行性的，得4分; 投入计划能够针对本项目编制，基本符合项目实际情况及实施要求，内容较详细，涵盖角度较全面但略有不完善，基本合理可行的，得3分;提供投入计划，但内容涵盖角度不够全面且实施具有一定难度，得2分; 投入计划内容简单笼统，实施难度大的，得1分;未提供投入计划内容得0分。</w:t>
            </w:r>
          </w:p>
        </w:tc>
      </w:tr>
      <w:tr w14:paraId="61D55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246B2317">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确保工期的技术组织措施</w:t>
            </w:r>
          </w:p>
        </w:tc>
        <w:tc>
          <w:tcPr>
            <w:tcW w:w="975" w:type="dxa"/>
            <w:shd w:val="clear" w:color="auto" w:fill="auto"/>
            <w:vAlign w:val="center"/>
          </w:tcPr>
          <w:p w14:paraId="273B8BC3">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0E5165C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一、评审内容：根据供应商针对本项目编写的确保工期的技术组织措施：包含但不限于①接到委托后施工进度安排②工期及施工效率保证措施进行计分：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6CFBA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02B59508">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工程质量技术组织措施</w:t>
            </w:r>
          </w:p>
        </w:tc>
        <w:tc>
          <w:tcPr>
            <w:tcW w:w="975" w:type="dxa"/>
            <w:shd w:val="clear" w:color="auto" w:fill="auto"/>
            <w:vAlign w:val="center"/>
          </w:tcPr>
          <w:p w14:paraId="4A1C5BBB">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4267C27C">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一、评审内容：根据供应商针对本项目编写的工程质量技术组织措施：包含但不限于①保证质量，降低成本，防止环境污染措施②季节性施工质量保证措施等进行计分：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57B1A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2790D21A">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施工现场保护及扬尘污染防治措施措施</w:t>
            </w:r>
          </w:p>
        </w:tc>
        <w:tc>
          <w:tcPr>
            <w:tcW w:w="975" w:type="dxa"/>
            <w:shd w:val="clear" w:color="auto" w:fill="auto"/>
            <w:vAlign w:val="center"/>
          </w:tcPr>
          <w:p w14:paraId="26CD00DE">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5FED5345">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en-US"/>
              </w:rPr>
            </w:pPr>
            <w:r>
              <w:rPr>
                <w:rFonts w:hint="eastAsia" w:ascii="仿宋" w:hAnsi="仿宋" w:eastAsia="仿宋" w:cs="仿宋"/>
                <w:color w:val="auto"/>
                <w:sz w:val="24"/>
                <w:highlight w:val="none"/>
                <w:lang w:val="en-US" w:eastAsia="zh-CN"/>
              </w:rPr>
              <w:t>一、评审内容：根据供应商针对本项目编写的现场保护措施：①原有设施保护措施②已完工保护措施③扬尘污染防治措施措施等进行计分： 二、评审标准： 措施内容专门针对本项目编制，符合项目实际情况及实施要求，内容详尽且涵盖角度全面，合理性和可行性强，能够保障项目顺利实施的，得5分; 措施内容能够针对本项目编制，符合项目实际情况及实施要求，内容详尽且涵盖角度基本全面，有一定的合理性和可行性的，得4分; 措施内容基本能够针对本项目编制，基本符合项目实际情况及实施要求，内容较详细，涵盖角度较全面，基本合理可行的，得3分; 具有措施内容但措施内容未贴合本项目，措施内容涵盖角度不全面且实施有难度的，得2分; 具有措施内容但内容未针对本项目，内容空洞宽泛，可实施性不强，得1分;未提供措施内容得0分。</w:t>
            </w:r>
          </w:p>
        </w:tc>
      </w:tr>
      <w:tr w14:paraId="5EC9D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5F1019A4">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新技术、新产品、新工艺、新材料应用</w:t>
            </w:r>
          </w:p>
        </w:tc>
        <w:tc>
          <w:tcPr>
            <w:tcW w:w="975" w:type="dxa"/>
            <w:shd w:val="clear" w:color="auto" w:fill="auto"/>
            <w:vAlign w:val="center"/>
          </w:tcPr>
          <w:p w14:paraId="489A864A">
            <w:pPr>
              <w:jc w:val="center"/>
              <w:rPr>
                <w:rFonts w:hint="default"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2.1</w:t>
            </w:r>
          </w:p>
        </w:tc>
        <w:tc>
          <w:tcPr>
            <w:tcW w:w="7207" w:type="dxa"/>
            <w:shd w:val="clear" w:color="auto" w:fill="auto"/>
            <w:vAlign w:val="center"/>
          </w:tcPr>
          <w:p w14:paraId="4EFEFF3D">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应用的技术、产品、工艺、材料等先进科学、可行性高得2.1分； 应用的技术、产品、工艺、材料等科学性、可行性缺乏得1分；未提供新技术、新产品、新工艺、新材料应用内容得0分。</w:t>
            </w:r>
          </w:p>
        </w:tc>
      </w:tr>
      <w:tr w14:paraId="1BBD7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87" w:type="dxa"/>
            <w:shd w:val="clear" w:color="auto" w:fill="auto"/>
            <w:vAlign w:val="center"/>
          </w:tcPr>
          <w:p w14:paraId="467873C8">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应急预案</w:t>
            </w:r>
          </w:p>
        </w:tc>
        <w:tc>
          <w:tcPr>
            <w:tcW w:w="975" w:type="dxa"/>
            <w:shd w:val="clear" w:color="auto" w:fill="auto"/>
            <w:vAlign w:val="center"/>
          </w:tcPr>
          <w:p w14:paraId="4B551859">
            <w:pPr>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5</w:t>
            </w:r>
          </w:p>
        </w:tc>
        <w:tc>
          <w:tcPr>
            <w:tcW w:w="7207" w:type="dxa"/>
            <w:shd w:val="clear" w:color="auto" w:fill="auto"/>
            <w:vAlign w:val="center"/>
          </w:tcPr>
          <w:p w14:paraId="517195BE">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一、评审内容：根据供应商针对本项目编写的突发事件应急预案：①安全事故应急预案②设施损坏预案③极端天气应急预案④学校重大活动应急预案等进行计分： 应急预案专门针对本项目编制，符合项目实际情况及实施要求，内容详尽且涵盖角度全面，合理性和可行性强，能够保障项目顺利实施的，得5分; 应急预案能够针对本项目编制，符合项目实际情况及实施要求，内容详尽且涵盖角度基本全面，有一定的合理性和可行性的，得4分; 预案基本能够针对本项目编制，基本符合项目实际情况及实施要求，内容较宽泛，涵盖角度不够全面，内容基本合理可行的，得3分; 具有方案内容但内容未贴合本项目，内容涵盖角度不够全面且实施有难度的，得2分; 具有方案内容但内容未针对本项目，内容空洞宽泛，基本不具有可实施性，得1分;未提供方案内容得0分。</w:t>
            </w:r>
          </w:p>
        </w:tc>
      </w:tr>
      <w:tr w14:paraId="5895C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trPr>
        <w:tc>
          <w:tcPr>
            <w:tcW w:w="887" w:type="dxa"/>
            <w:shd w:val="clear" w:color="auto" w:fill="auto"/>
            <w:vAlign w:val="center"/>
          </w:tcPr>
          <w:p w14:paraId="2D84EB16">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zh-CN" w:bidi="ar-SA"/>
              </w:rPr>
              <w:t>业绩</w:t>
            </w:r>
          </w:p>
        </w:tc>
        <w:tc>
          <w:tcPr>
            <w:tcW w:w="975" w:type="dxa"/>
            <w:shd w:val="clear" w:color="auto" w:fill="auto"/>
            <w:vAlign w:val="center"/>
          </w:tcPr>
          <w:p w14:paraId="201C76C7">
            <w:pPr>
              <w:pStyle w:val="196"/>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10</w:t>
            </w:r>
          </w:p>
        </w:tc>
        <w:tc>
          <w:tcPr>
            <w:tcW w:w="7207" w:type="dxa"/>
            <w:shd w:val="clear" w:color="auto" w:fill="auto"/>
            <w:vAlign w:val="center"/>
          </w:tcPr>
          <w:p w14:paraId="1563E730">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供应商2023年4月1日至今类似项目业绩，每提供1份得2.5 分，最高得10分。 注：以供应商加盖公章的业绩合同或中标通知书复印件或扫描件为准，时间以合同签订时间或中标通知书日期为准</w:t>
            </w:r>
          </w:p>
        </w:tc>
      </w:tr>
      <w:tr w14:paraId="08EDE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887" w:type="dxa"/>
            <w:shd w:val="clear" w:color="auto" w:fill="auto"/>
            <w:vAlign w:val="center"/>
          </w:tcPr>
          <w:p w14:paraId="04646AC5">
            <w:pPr>
              <w:pStyle w:val="196"/>
              <w:jc w:val="center"/>
              <w:rPr>
                <w:rFonts w:hint="eastAsia" w:ascii="仿宋" w:hAnsi="仿宋" w:eastAsia="仿宋" w:cs="仿宋"/>
                <w:color w:val="auto"/>
                <w:spacing w:val="0"/>
                <w:kern w:val="2"/>
                <w:sz w:val="24"/>
                <w:szCs w:val="24"/>
                <w:highlight w:val="none"/>
                <w:lang w:val="en-US" w:eastAsia="en-US" w:bidi="ar-SA"/>
              </w:rPr>
            </w:pPr>
            <w:r>
              <w:rPr>
                <w:rFonts w:hint="eastAsia" w:ascii="仿宋" w:hAnsi="仿宋" w:eastAsia="仿宋" w:cs="仿宋"/>
                <w:color w:val="auto"/>
                <w:spacing w:val="0"/>
                <w:kern w:val="2"/>
                <w:sz w:val="24"/>
                <w:szCs w:val="24"/>
                <w:highlight w:val="none"/>
                <w:lang w:val="en-US" w:eastAsia="en-US" w:bidi="ar-SA"/>
              </w:rPr>
              <w:t>节能、环境标志产品</w:t>
            </w:r>
          </w:p>
        </w:tc>
        <w:tc>
          <w:tcPr>
            <w:tcW w:w="975" w:type="dxa"/>
            <w:shd w:val="clear" w:color="auto" w:fill="auto"/>
            <w:vAlign w:val="center"/>
          </w:tcPr>
          <w:p w14:paraId="15E28255">
            <w:pPr>
              <w:pStyle w:val="188"/>
              <w:spacing w:before="0" w:line="359" w:lineRule="auto"/>
              <w:ind w:left="17" w:right="101" w:hanging="4"/>
              <w:jc w:val="center"/>
              <w:rPr>
                <w:rFonts w:hint="eastAsia" w:ascii="仿宋" w:hAnsi="仿宋" w:eastAsia="仿宋" w:cs="仿宋"/>
                <w:color w:val="auto"/>
                <w:spacing w:val="0"/>
                <w:kern w:val="2"/>
                <w:sz w:val="24"/>
                <w:szCs w:val="24"/>
                <w:highlight w:val="none"/>
                <w:lang w:val="en-US" w:eastAsia="zh-CN" w:bidi="ar-SA"/>
              </w:rPr>
            </w:pPr>
            <w:r>
              <w:rPr>
                <w:rFonts w:hint="eastAsia" w:ascii="仿宋" w:hAnsi="仿宋" w:eastAsia="仿宋" w:cs="仿宋"/>
                <w:color w:val="auto"/>
                <w:spacing w:val="0"/>
                <w:kern w:val="2"/>
                <w:sz w:val="24"/>
                <w:szCs w:val="24"/>
                <w:highlight w:val="none"/>
                <w:lang w:val="en-US" w:eastAsia="zh-CN" w:bidi="ar-SA"/>
              </w:rPr>
              <w:t>2</w:t>
            </w:r>
          </w:p>
        </w:tc>
        <w:tc>
          <w:tcPr>
            <w:tcW w:w="7207" w:type="dxa"/>
            <w:shd w:val="clear" w:color="auto" w:fill="auto"/>
            <w:vAlign w:val="center"/>
          </w:tcPr>
          <w:p w14:paraId="60D979A7">
            <w:pPr>
              <w:keepNext w:val="0"/>
              <w:keepLines w:val="0"/>
              <w:pageBreakBefore w:val="0"/>
              <w:widowControl w:val="0"/>
              <w:kinsoku/>
              <w:wordWrap/>
              <w:overflowPunct/>
              <w:topLinePunct w:val="0"/>
              <w:bidi w:val="0"/>
              <w:adjustRightInd w:val="0"/>
              <w:snapToGrid w:val="0"/>
              <w:spacing w:line="40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投标人所投产品含有属于政府优先采购产品类别的产品，须按照《财政部 发展改革委 生态环境部 市场监管总局关于调整优化节能产品、环境标志产品政府采购执行机制的通知》（财库〔2019〕9 号）、《关于印发节能产品政府采购品目清单的通知》（财库〔2019〕19 号）、《关于印发环境标志产品政府采购品目清单的通知》（财库〔2019〕18 号）、《市场监管总局关于发布参与实施政府采购节能产品、环境标志产品认证机构名录的公告》（2019 年第 16 号）要求提供国家确定的认证机构出具的、处于有效期之内的节能产品或环境标志产品认证证书，每提供一个得1分，满分2分。政府强制采购产品不予加分。 备注：以加盖投标人公章的证明材料为计分依据。</w:t>
            </w:r>
          </w:p>
        </w:tc>
      </w:tr>
    </w:tbl>
    <w:p w14:paraId="155BD7F5">
      <w:pPr>
        <w:pStyle w:val="2"/>
        <w:bidi w:val="0"/>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bookmarkStart w:id="443" w:name="_Toc6865"/>
      <w:bookmarkStart w:id="444" w:name="_Toc515647833"/>
      <w:bookmarkStart w:id="445" w:name="_Toc532044541"/>
      <w:bookmarkStart w:id="446" w:name="_Toc532473757"/>
      <w:bookmarkStart w:id="447" w:name="_Toc4796"/>
      <w:bookmarkStart w:id="448" w:name="_Toc12617"/>
      <w:bookmarkStart w:id="449" w:name="_Toc12319"/>
      <w:r>
        <w:rPr>
          <w:rStyle w:val="50"/>
          <w:rFonts w:hint="eastAsia" w:ascii="仿宋" w:hAnsi="仿宋" w:eastAsia="仿宋" w:cs="仿宋"/>
          <w:b/>
          <w:color w:val="auto"/>
          <w:szCs w:val="32"/>
          <w:highlight w:val="none"/>
        </w:rPr>
        <w:t>第四章  拟签订的合同</w:t>
      </w:r>
      <w:bookmarkEnd w:id="443"/>
      <w:bookmarkEnd w:id="444"/>
      <w:bookmarkEnd w:id="445"/>
      <w:bookmarkEnd w:id="446"/>
      <w:bookmarkEnd w:id="447"/>
      <w:bookmarkStart w:id="450" w:name="_Hlt487972895"/>
      <w:bookmarkEnd w:id="450"/>
      <w:bookmarkStart w:id="451" w:name="_Toc216513788"/>
      <w:bookmarkStart w:id="452" w:name="_Toc487900382"/>
      <w:r>
        <w:rPr>
          <w:rStyle w:val="50"/>
          <w:rFonts w:hint="eastAsia" w:ascii="仿宋" w:hAnsi="仿宋" w:eastAsia="仿宋" w:cs="仿宋"/>
          <w:b/>
          <w:color w:val="auto"/>
          <w:szCs w:val="32"/>
          <w:highlight w:val="none"/>
        </w:rPr>
        <w:t>文本</w:t>
      </w:r>
      <w:bookmarkEnd w:id="448"/>
      <w:bookmarkEnd w:id="449"/>
    </w:p>
    <w:bookmarkEnd w:id="451"/>
    <w:bookmarkEnd w:id="452"/>
    <w:p w14:paraId="14E56B7B">
      <w:pPr>
        <w:jc w:val="center"/>
        <w:rPr>
          <w:rFonts w:hint="eastAsia" w:ascii="仿宋" w:hAnsi="仿宋" w:eastAsia="仿宋" w:cs="仿宋"/>
          <w:color w:val="auto"/>
          <w:sz w:val="24"/>
          <w:highlight w:val="none"/>
          <w:u w:val="single"/>
          <w:lang w:val="en-US"/>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编号： </w:t>
      </w:r>
    </w:p>
    <w:p w14:paraId="518A3784">
      <w:pPr>
        <w:jc w:val="center"/>
        <w:rPr>
          <w:rFonts w:hint="eastAsia" w:ascii="仿宋" w:hAnsi="仿宋" w:eastAsia="仿宋" w:cs="仿宋"/>
          <w:color w:val="auto"/>
          <w:sz w:val="44"/>
          <w:szCs w:val="44"/>
          <w:highlight w:val="none"/>
          <w:u w:val="single"/>
        </w:rPr>
      </w:pPr>
      <w:r>
        <w:rPr>
          <w:rFonts w:hint="eastAsia" w:ascii="仿宋" w:hAnsi="仿宋" w:eastAsia="仿宋" w:cs="仿宋"/>
          <w:color w:val="auto"/>
          <w:sz w:val="44"/>
          <w:szCs w:val="44"/>
          <w:highlight w:val="none"/>
          <w:u w:val="single"/>
        </w:rPr>
        <w:t>设备购销合同</w:t>
      </w:r>
    </w:p>
    <w:p w14:paraId="1431669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需方：</w:t>
      </w:r>
      <w:r>
        <w:rPr>
          <w:rFonts w:hint="eastAsia" w:ascii="仿宋" w:hAnsi="仿宋" w:eastAsia="仿宋" w:cs="仿宋"/>
          <w:b/>
          <w:color w:val="auto"/>
          <w:sz w:val="24"/>
          <w:szCs w:val="24"/>
          <w:highlight w:val="none"/>
          <w:lang w:val="en-US" w:eastAsia="zh-CN"/>
        </w:rPr>
        <w:t>靖边县卫生健康局</w:t>
      </w:r>
    </w:p>
    <w:p w14:paraId="3F5831B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供方：</w:t>
      </w:r>
    </w:p>
    <w:p w14:paraId="3D0261CE">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供需双方经过招标程序，就需方购买供方的如下设备达成一致，为确定供需双方的权利和义务关系，现依据《中华人民共和国民法典》及有关法律法规的规定，特订立如下协议条款供双方共同遵照执行。</w:t>
      </w:r>
    </w:p>
    <w:p w14:paraId="77417622">
      <w:pPr>
        <w:keepNext w:val="0"/>
        <w:keepLines w:val="0"/>
        <w:pageBreakBefore w:val="0"/>
        <w:widowControl w:val="0"/>
        <w:numPr>
          <w:ilvl w:val="0"/>
          <w:numId w:val="3"/>
        </w:numPr>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购销产品</w:t>
      </w:r>
    </w:p>
    <w:p w14:paraId="2B115B29">
      <w:pPr>
        <w:keepNext w:val="0"/>
        <w:keepLines w:val="0"/>
        <w:pageBreakBefore w:val="0"/>
        <w:widowControl w:val="0"/>
        <w:tabs>
          <w:tab w:val="left" w:pos="735"/>
        </w:tabs>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详见购销清单</w:t>
      </w:r>
    </w:p>
    <w:p w14:paraId="61A3C550">
      <w:pPr>
        <w:keepNext w:val="0"/>
        <w:keepLines w:val="0"/>
        <w:pageBreakBefore w:val="0"/>
        <w:widowControl w:val="0"/>
        <w:tabs>
          <w:tab w:val="left" w:pos="735"/>
        </w:tabs>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二、合同价款</w:t>
      </w:r>
      <w:r>
        <w:rPr>
          <w:rFonts w:hint="eastAsia" w:ascii="仿宋" w:hAnsi="仿宋" w:eastAsia="仿宋" w:cs="仿宋"/>
          <w:b/>
          <w:color w:val="auto"/>
          <w:sz w:val="24"/>
          <w:szCs w:val="24"/>
          <w:highlight w:val="none"/>
          <w:lang w:eastAsia="zh-CN"/>
        </w:rPr>
        <w:t>：</w:t>
      </w:r>
    </w:p>
    <w:p w14:paraId="233C506A">
      <w:pPr>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1、合同总价</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元</w:t>
      </w:r>
      <w:r>
        <w:rPr>
          <w:rFonts w:hint="eastAsia" w:ascii="仿宋" w:hAnsi="仿宋" w:eastAsia="仿宋" w:cs="仿宋"/>
          <w:color w:val="auto"/>
          <w:kern w:val="0"/>
          <w:sz w:val="24"/>
          <w:szCs w:val="24"/>
          <w:highlight w:val="none"/>
        </w:rPr>
        <w:t>（大写：</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整</w:t>
      </w: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）（为含税价）</w:t>
      </w:r>
    </w:p>
    <w:p w14:paraId="386F1965">
      <w:pPr>
        <w:keepNext w:val="0"/>
        <w:keepLines w:val="0"/>
        <w:pageBreakBefore w:val="0"/>
        <w:widowControl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2、合同总价包括：运杂费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装卸费、</w:t>
      </w:r>
      <w:r>
        <w:rPr>
          <w:rFonts w:hint="eastAsia" w:ascii="仿宋" w:hAnsi="仿宋" w:eastAsia="仿宋" w:cs="仿宋"/>
          <w:color w:val="auto"/>
          <w:sz w:val="24"/>
          <w:szCs w:val="24"/>
          <w:highlight w:val="none"/>
        </w:rPr>
        <w:t>安装调试费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培训费和税费等全部费用。</w:t>
      </w:r>
    </w:p>
    <w:p w14:paraId="33A0F99B">
      <w:pPr>
        <w:keepNext w:val="0"/>
        <w:keepLines w:val="0"/>
        <w:pageBreakBefore w:val="0"/>
        <w:widowControl w:val="0"/>
        <w:tabs>
          <w:tab w:val="left" w:pos="735"/>
        </w:tabs>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3、合同总价一次包死，不受市场价变化的影响</w:t>
      </w:r>
      <w:r>
        <w:rPr>
          <w:rFonts w:hint="eastAsia" w:ascii="仿宋" w:hAnsi="仿宋" w:eastAsia="仿宋" w:cs="仿宋"/>
          <w:color w:val="auto"/>
          <w:sz w:val="24"/>
          <w:szCs w:val="24"/>
          <w:highlight w:val="none"/>
          <w:lang w:eastAsia="zh-CN"/>
        </w:rPr>
        <w:t>。</w:t>
      </w:r>
    </w:p>
    <w:p w14:paraId="3629E702">
      <w:pPr>
        <w:keepNext w:val="0"/>
        <w:keepLines w:val="0"/>
        <w:pageBreakBefore w:val="0"/>
        <w:widowControl w:val="0"/>
        <w:tabs>
          <w:tab w:val="left" w:pos="735"/>
        </w:tabs>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4、所有配置清单详见附件</w:t>
      </w:r>
      <w:r>
        <w:rPr>
          <w:rFonts w:hint="eastAsia" w:ascii="仿宋" w:hAnsi="仿宋" w:eastAsia="仿宋" w:cs="仿宋"/>
          <w:color w:val="auto"/>
          <w:sz w:val="24"/>
          <w:szCs w:val="24"/>
          <w:highlight w:val="none"/>
          <w:lang w:eastAsia="zh-CN"/>
        </w:rPr>
        <w:t>。</w:t>
      </w:r>
    </w:p>
    <w:p w14:paraId="0BFC531A">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
          <w:color w:val="auto"/>
          <w:sz w:val="24"/>
          <w:szCs w:val="24"/>
          <w:highlight w:val="none"/>
        </w:rPr>
        <w:t>三、知识产权：</w:t>
      </w:r>
      <w:r>
        <w:rPr>
          <w:rFonts w:hint="eastAsia" w:ascii="仿宋" w:hAnsi="仿宋" w:eastAsia="仿宋" w:cs="仿宋"/>
          <w:color w:val="auto"/>
          <w:kern w:val="0"/>
          <w:sz w:val="24"/>
          <w:szCs w:val="24"/>
          <w:highlight w:val="none"/>
        </w:rPr>
        <w:t>供方应保证，需方在中华人民共和国使用该货物或货物的任何一部分时，免受第三方提出的侵犯其专利权、商标权、著作权或其它知识产权的起诉。</w:t>
      </w:r>
      <w:r>
        <w:rPr>
          <w:rFonts w:hint="eastAsia" w:ascii="仿宋" w:hAnsi="仿宋" w:eastAsia="仿宋" w:cs="仿宋"/>
          <w:color w:val="auto"/>
          <w:kern w:val="0"/>
          <w:sz w:val="24"/>
          <w:szCs w:val="24"/>
          <w:highlight w:val="none"/>
          <w:lang w:eastAsia="zh-CN"/>
        </w:rPr>
        <w:t>如发生第三方权利主张，供方应无条件承担全部法律责任、赔偿需方全部损失并负责协调解决。如因知识产权纠纷导致需方无法正常使用设备，供方应无条件退货、退款并赔偿全部损失。</w:t>
      </w:r>
    </w:p>
    <w:p w14:paraId="326F8E6C">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四、交货(完工)期：</w:t>
      </w:r>
      <w:r>
        <w:rPr>
          <w:rFonts w:hint="eastAsia" w:ascii="仿宋" w:hAnsi="仿宋" w:eastAsia="仿宋" w:cs="仿宋"/>
          <w:b/>
          <w:color w:val="auto"/>
          <w:sz w:val="24"/>
          <w:szCs w:val="24"/>
          <w:highlight w:val="none"/>
          <w:u w:val="single"/>
          <w:lang w:val="en-US" w:eastAsia="zh-CN"/>
        </w:rPr>
        <w:t>合同签订后  日内。</w:t>
      </w:r>
    </w:p>
    <w:p w14:paraId="35274C2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五、项目（交货）地点</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u w:val="single"/>
          <w:lang w:val="en-US" w:eastAsia="zh-CN"/>
        </w:rPr>
        <w:t>靖边县人民医院指定位置。</w:t>
      </w:r>
      <w:r>
        <w:rPr>
          <w:rFonts w:hint="eastAsia" w:ascii="仿宋" w:hAnsi="仿宋" w:eastAsia="仿宋" w:cs="仿宋"/>
          <w:color w:val="auto"/>
          <w:sz w:val="24"/>
          <w:szCs w:val="24"/>
          <w:highlight w:val="none"/>
        </w:rPr>
        <w:t xml:space="preserve"> </w:t>
      </w:r>
    </w:p>
    <w:p w14:paraId="4C858B42">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六、包装：</w:t>
      </w:r>
      <w:r>
        <w:rPr>
          <w:rFonts w:hint="eastAsia" w:ascii="仿宋" w:hAnsi="仿宋" w:eastAsia="仿宋" w:cs="仿宋"/>
          <w:color w:val="auto"/>
          <w:sz w:val="24"/>
          <w:szCs w:val="24"/>
          <w:highlight w:val="none"/>
        </w:rPr>
        <w:t>包装必须适应货物特性和交通运输要求，以及国家有关标准或企业标准或合同要求。供方应承担由于包装、防护措施不妥引起的所有损失的责任和费用。</w:t>
      </w:r>
    </w:p>
    <w:p w14:paraId="6B1ABB94">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七、运输：</w:t>
      </w:r>
      <w:r>
        <w:rPr>
          <w:rFonts w:hint="eastAsia" w:ascii="仿宋" w:hAnsi="仿宋" w:eastAsia="仿宋" w:cs="仿宋"/>
          <w:color w:val="auto"/>
          <w:sz w:val="24"/>
          <w:szCs w:val="24"/>
          <w:highlight w:val="none"/>
        </w:rPr>
        <w:t>供方可根据交货（完工）期、运输条件自行选择运输方式（另有规定的除外）并承担一切运输费用</w:t>
      </w:r>
      <w:r>
        <w:rPr>
          <w:rFonts w:hint="eastAsia" w:ascii="仿宋" w:hAnsi="仿宋" w:eastAsia="仿宋" w:cs="仿宋"/>
          <w:color w:val="auto"/>
          <w:sz w:val="24"/>
          <w:szCs w:val="24"/>
          <w:highlight w:val="none"/>
          <w:lang w:val="en-US" w:eastAsia="zh-CN"/>
        </w:rPr>
        <w:t>及风险</w:t>
      </w:r>
      <w:r>
        <w:rPr>
          <w:rFonts w:hint="eastAsia" w:ascii="仿宋" w:hAnsi="仿宋" w:eastAsia="仿宋" w:cs="仿宋"/>
          <w:color w:val="auto"/>
          <w:sz w:val="24"/>
          <w:szCs w:val="24"/>
          <w:highlight w:val="none"/>
        </w:rPr>
        <w:t xml:space="preserve">。 </w:t>
      </w:r>
    </w:p>
    <w:p w14:paraId="75ECDB1B">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供方在运输、装卸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安装</w:t>
      </w:r>
      <w:r>
        <w:rPr>
          <w:rFonts w:hint="eastAsia" w:ascii="仿宋" w:hAnsi="仿宋" w:eastAsia="仿宋" w:cs="仿宋"/>
          <w:color w:val="auto"/>
          <w:sz w:val="24"/>
          <w:szCs w:val="24"/>
          <w:highlight w:val="none"/>
        </w:rPr>
        <w:t>过程中造成的设备、材料损失、人身安全，均由其承担一切责任和后果。</w:t>
      </w:r>
    </w:p>
    <w:p w14:paraId="4F191F4B">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八、付款</w:t>
      </w:r>
      <w:r>
        <w:rPr>
          <w:rFonts w:hint="eastAsia" w:ascii="仿宋" w:hAnsi="仿宋" w:eastAsia="仿宋" w:cs="仿宋"/>
          <w:b/>
          <w:color w:val="auto"/>
          <w:sz w:val="24"/>
          <w:szCs w:val="24"/>
          <w:highlight w:val="none"/>
          <w:lang w:val="en-US" w:eastAsia="zh-CN"/>
        </w:rPr>
        <w:t>方式</w:t>
      </w:r>
      <w:r>
        <w:rPr>
          <w:rFonts w:hint="eastAsia" w:ascii="仿宋" w:hAnsi="仿宋" w:eastAsia="仿宋" w:cs="仿宋"/>
          <w:b/>
          <w:color w:val="auto"/>
          <w:sz w:val="24"/>
          <w:szCs w:val="24"/>
          <w:highlight w:val="none"/>
        </w:rPr>
        <w:t>：</w:t>
      </w:r>
    </w:p>
    <w:p w14:paraId="3F413004">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合同签订，乙方向甲方开具中标价5%履约保函后，甲方30日内支付合同总金额的40%的预付款，设备全部安装、调试完成，验收合格交付使用，达到付款条件起 30 日内，支付合同总金额的60.00%。</w:t>
      </w:r>
    </w:p>
    <w:p w14:paraId="4FC6B1CF">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若在规定期限内供方不能提供</w:t>
      </w:r>
      <w:r>
        <w:rPr>
          <w:rFonts w:hint="eastAsia" w:ascii="仿宋" w:hAnsi="仿宋" w:eastAsia="仿宋" w:cs="仿宋"/>
          <w:color w:val="auto"/>
          <w:sz w:val="24"/>
          <w:szCs w:val="24"/>
          <w:highlight w:val="none"/>
          <w:u w:val="single"/>
          <w:lang w:val="en-US" w:eastAsia="zh-CN"/>
        </w:rPr>
        <w:t>履约</w:t>
      </w:r>
      <w:r>
        <w:rPr>
          <w:rFonts w:hint="eastAsia" w:ascii="仿宋" w:hAnsi="仿宋" w:eastAsia="仿宋" w:cs="仿宋"/>
          <w:color w:val="auto"/>
          <w:sz w:val="24"/>
          <w:szCs w:val="24"/>
          <w:highlight w:val="none"/>
          <w:lang w:val="en-US" w:eastAsia="zh-CN"/>
        </w:rPr>
        <w:t>保函的，需方拒付预付款，设备到货后经安装、调试、验收、试运行合格后，需方一次性付清设备货款。</w:t>
      </w:r>
    </w:p>
    <w:p w14:paraId="62AB61FC">
      <w:pPr>
        <w:keepNext w:val="0"/>
        <w:keepLines w:val="0"/>
        <w:pageBreakBefore w:val="0"/>
        <w:widowControl w:val="0"/>
        <w:kinsoku/>
        <w:wordWrap/>
        <w:overflowPunct/>
        <w:topLinePunct w:val="0"/>
        <w:bidi w:val="0"/>
        <w:adjustRightInd w:val="0"/>
        <w:snapToGrid w:val="0"/>
        <w:spacing w:line="360" w:lineRule="auto"/>
        <w:ind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付款前，供方需向需方提供合法有效的增值税</w:t>
      </w:r>
      <w:r>
        <w:rPr>
          <w:rFonts w:hint="eastAsia" w:ascii="仿宋" w:hAnsi="仿宋" w:eastAsia="仿宋" w:cs="仿宋"/>
          <w:color w:val="auto"/>
          <w:sz w:val="24"/>
          <w:szCs w:val="24"/>
          <w:highlight w:val="none"/>
          <w:lang w:val="en-US" w:eastAsia="zh-CN"/>
        </w:rPr>
        <w:sym w:font="Wingdings 2" w:char="0052"/>
      </w:r>
      <w:r>
        <w:rPr>
          <w:rFonts w:hint="eastAsia" w:ascii="仿宋" w:hAnsi="仿宋" w:eastAsia="仿宋" w:cs="仿宋"/>
          <w:color w:val="auto"/>
          <w:sz w:val="24"/>
          <w:szCs w:val="24"/>
          <w:highlight w:val="none"/>
          <w:lang w:val="en-US" w:eastAsia="zh-CN"/>
        </w:rPr>
        <w:t>专用/</w:t>
      </w:r>
      <w:r>
        <w:rPr>
          <w:rFonts w:hint="eastAsia" w:ascii="仿宋" w:hAnsi="仿宋" w:eastAsia="仿宋" w:cs="仿宋"/>
          <w:color w:val="auto"/>
          <w:sz w:val="24"/>
          <w:szCs w:val="24"/>
          <w:highlight w:val="none"/>
          <w:lang w:val="en-US" w:eastAsia="zh-CN"/>
        </w:rPr>
        <w:sym w:font="Wingdings 2" w:char="00A3"/>
      </w:r>
      <w:r>
        <w:rPr>
          <w:rFonts w:hint="eastAsia" w:ascii="仿宋" w:hAnsi="仿宋" w:eastAsia="仿宋" w:cs="仿宋"/>
          <w:color w:val="auto"/>
          <w:sz w:val="24"/>
          <w:szCs w:val="24"/>
          <w:highlight w:val="none"/>
          <w:lang w:val="en-US" w:eastAsia="zh-CN"/>
        </w:rPr>
        <w:t>普通发票及需方要求的其他材料，否则，需方有权暂时拒付款项。如供方存在任何违约、质量问题、延迟交付、资料不全等情形，需方有权暂停或拒绝付款，且不承担任何违约责任。</w:t>
      </w:r>
    </w:p>
    <w:p w14:paraId="7503D686">
      <w:pPr>
        <w:keepNext w:val="0"/>
        <w:keepLines w:val="0"/>
        <w:pageBreakBefore w:val="0"/>
        <w:widowControl w:val="0"/>
        <w:numPr>
          <w:ilvl w:val="0"/>
          <w:numId w:val="4"/>
        </w:numPr>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技术保障：</w:t>
      </w:r>
    </w:p>
    <w:p w14:paraId="063E5870">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应随货提供相应的中文技术文件（包括产品合格证、装箱清单、操作手册、使用说明、检测报告、维护手册、服务指南等资料），技术保障服务。合同内所购设备必须能够和医院现有设备以及信息系统相匹配相链接，科室有需求的所购设备</w:t>
      </w:r>
      <w:r>
        <w:rPr>
          <w:rFonts w:hint="eastAsia" w:ascii="仿宋" w:hAnsi="仿宋" w:eastAsia="仿宋" w:cs="仿宋"/>
          <w:color w:val="auto"/>
          <w:sz w:val="24"/>
          <w:szCs w:val="24"/>
          <w:highlight w:val="none"/>
          <w:lang w:val="en-US" w:eastAsia="zh-CN"/>
        </w:rPr>
        <w:t>接</w:t>
      </w:r>
      <w:r>
        <w:rPr>
          <w:rFonts w:hint="eastAsia" w:ascii="仿宋" w:hAnsi="仿宋" w:eastAsia="仿宋" w:cs="仿宋"/>
          <w:color w:val="auto"/>
          <w:sz w:val="24"/>
          <w:szCs w:val="24"/>
          <w:highlight w:val="none"/>
        </w:rPr>
        <w:t>入医院所有网络端口费用均由供方承担。</w:t>
      </w:r>
    </w:p>
    <w:p w14:paraId="7D79CAAB">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十、质量保证</w:t>
      </w:r>
      <w:r>
        <w:rPr>
          <w:rFonts w:hint="eastAsia" w:ascii="仿宋" w:hAnsi="仿宋" w:eastAsia="仿宋" w:cs="仿宋"/>
          <w:b/>
          <w:color w:val="auto"/>
          <w:sz w:val="24"/>
          <w:szCs w:val="24"/>
          <w:highlight w:val="none"/>
          <w:lang w:eastAsia="zh-CN"/>
        </w:rPr>
        <w:t>：</w:t>
      </w:r>
    </w:p>
    <w:p w14:paraId="4F8FF63F">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供方应当保证所供货物的来源渠道正常，产品是全新的、未使用过的，且</w:t>
      </w:r>
      <w:r>
        <w:rPr>
          <w:rFonts w:hint="eastAsia" w:ascii="仿宋" w:hAnsi="仿宋" w:eastAsia="仿宋" w:cs="仿宋"/>
          <w:color w:val="auto"/>
          <w:sz w:val="24"/>
          <w:szCs w:val="24"/>
          <w:highlight w:val="none"/>
          <w:lang w:eastAsia="zh-CN"/>
        </w:rPr>
        <w:t>符合国家医疗器械注册证核准的适用范围及技术参数，并</w:t>
      </w:r>
      <w:r>
        <w:rPr>
          <w:rFonts w:hint="eastAsia" w:ascii="仿宋" w:hAnsi="仿宋" w:eastAsia="仿宋" w:cs="仿宋"/>
          <w:color w:val="auto"/>
          <w:sz w:val="24"/>
          <w:szCs w:val="24"/>
          <w:highlight w:val="none"/>
        </w:rPr>
        <w:t>完全符合合同规定的质量、规格、技术、指标等要求，并在质保期内、对于产品设计、工艺的缺陷而产生的质量问题负责。</w:t>
      </w:r>
    </w:p>
    <w:p w14:paraId="17D4FF7C">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验收合格起，全套产品整机免费原厂保修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延保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年</w:t>
      </w:r>
      <w:r>
        <w:rPr>
          <w:rFonts w:hint="eastAsia" w:ascii="仿宋" w:hAnsi="仿宋" w:eastAsia="仿宋" w:cs="仿宋"/>
          <w:color w:val="auto"/>
          <w:sz w:val="24"/>
          <w:szCs w:val="24"/>
          <w:highlight w:val="none"/>
        </w:rPr>
        <w:t>，负责终身软件升级，</w:t>
      </w:r>
      <w:r>
        <w:rPr>
          <w:rFonts w:hint="eastAsia" w:ascii="仿宋" w:hAnsi="仿宋" w:eastAsia="仿宋" w:cs="仿宋"/>
          <w:color w:val="auto"/>
          <w:sz w:val="24"/>
          <w:szCs w:val="24"/>
          <w:highlight w:val="none"/>
          <w:lang w:val="en-US" w:eastAsia="zh-CN"/>
        </w:rPr>
        <w:t>提供由原厂出具的质保证明文件，</w:t>
      </w:r>
      <w:r>
        <w:rPr>
          <w:rFonts w:hint="eastAsia" w:ascii="仿宋" w:hAnsi="仿宋" w:eastAsia="仿宋" w:cs="仿宋"/>
          <w:color w:val="auto"/>
          <w:sz w:val="24"/>
          <w:szCs w:val="24"/>
          <w:highlight w:val="none"/>
        </w:rPr>
        <w:t>保修期内</w:t>
      </w:r>
      <w:r>
        <w:rPr>
          <w:rFonts w:hint="eastAsia" w:ascii="仿宋" w:hAnsi="仿宋" w:eastAsia="仿宋" w:cs="仿宋"/>
          <w:color w:val="auto"/>
          <w:sz w:val="24"/>
          <w:szCs w:val="24"/>
          <w:highlight w:val="none"/>
          <w:lang w:eastAsia="zh-CN"/>
        </w:rPr>
        <w:t>因任何非人为因素导致</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损坏的设备</w:t>
      </w:r>
      <w:r>
        <w:rPr>
          <w:rFonts w:hint="eastAsia" w:ascii="仿宋" w:hAnsi="仿宋" w:eastAsia="仿宋" w:cs="仿宋"/>
          <w:color w:val="auto"/>
          <w:sz w:val="24"/>
          <w:szCs w:val="24"/>
          <w:highlight w:val="none"/>
          <w:lang w:eastAsia="zh-CN"/>
        </w:rPr>
        <w:t>故障，供方应</w:t>
      </w:r>
      <w:r>
        <w:rPr>
          <w:rFonts w:hint="eastAsia" w:ascii="仿宋" w:hAnsi="仿宋" w:eastAsia="仿宋" w:cs="仿宋"/>
          <w:color w:val="auto"/>
          <w:sz w:val="24"/>
          <w:szCs w:val="24"/>
          <w:highlight w:val="none"/>
        </w:rPr>
        <w:t>免费更换</w:t>
      </w:r>
      <w:r>
        <w:rPr>
          <w:rFonts w:hint="eastAsia" w:ascii="仿宋" w:hAnsi="仿宋" w:eastAsia="仿宋" w:cs="仿宋"/>
          <w:color w:val="auto"/>
          <w:sz w:val="24"/>
          <w:szCs w:val="24"/>
          <w:highlight w:val="none"/>
          <w:lang w:eastAsia="zh-CN"/>
        </w:rPr>
        <w:t>整机或核心组件</w:t>
      </w:r>
      <w:r>
        <w:rPr>
          <w:rFonts w:hint="eastAsia" w:ascii="仿宋" w:hAnsi="仿宋" w:eastAsia="仿宋" w:cs="仿宋"/>
          <w:color w:val="auto"/>
          <w:sz w:val="24"/>
          <w:szCs w:val="24"/>
          <w:highlight w:val="none"/>
        </w:rPr>
        <w:t>，终身维修并提供配件</w:t>
      </w:r>
      <w:r>
        <w:rPr>
          <w:rFonts w:hint="eastAsia" w:ascii="仿宋" w:hAnsi="仿宋" w:eastAsia="仿宋" w:cs="仿宋"/>
          <w:color w:val="auto"/>
          <w:sz w:val="24"/>
          <w:szCs w:val="24"/>
          <w:highlight w:val="none"/>
          <w:lang w:eastAsia="zh-CN"/>
        </w:rPr>
        <w:t>价格不高于同期市场公开报价</w:t>
      </w:r>
      <w:r>
        <w:rPr>
          <w:rFonts w:hint="eastAsia" w:ascii="仿宋" w:hAnsi="仿宋" w:eastAsia="仿宋" w:cs="仿宋"/>
          <w:color w:val="auto"/>
          <w:sz w:val="24"/>
          <w:szCs w:val="24"/>
          <w:highlight w:val="none"/>
          <w:lang w:val="en-US" w:eastAsia="zh-CN"/>
        </w:rPr>
        <w:t>的70%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如供方未履行终身维修承诺，需方有权要求供方承担违约责任并赔偿因此造成的全部损失</w:t>
      </w:r>
      <w:r>
        <w:rPr>
          <w:rFonts w:hint="eastAsia" w:ascii="仿宋" w:hAnsi="仿宋" w:eastAsia="仿宋" w:cs="仿宋"/>
          <w:color w:val="auto"/>
          <w:sz w:val="24"/>
          <w:szCs w:val="24"/>
          <w:highlight w:val="none"/>
        </w:rPr>
        <w:t>。</w:t>
      </w:r>
    </w:p>
    <w:p w14:paraId="401C29B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十一、应提供的伴随服务</w:t>
      </w:r>
      <w:r>
        <w:rPr>
          <w:rFonts w:hint="eastAsia" w:ascii="仿宋" w:hAnsi="仿宋" w:eastAsia="仿宋" w:cs="仿宋"/>
          <w:b/>
          <w:color w:val="auto"/>
          <w:sz w:val="24"/>
          <w:szCs w:val="24"/>
          <w:highlight w:val="none"/>
          <w:lang w:eastAsia="zh-CN"/>
        </w:rPr>
        <w:t>：</w:t>
      </w:r>
    </w:p>
    <w:p w14:paraId="19B811BC">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监督所供货物的现场组装，实施所供货物的试运行；</w:t>
      </w:r>
    </w:p>
    <w:p w14:paraId="79CC1021">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提供货物组装和维修所需的工具；</w:t>
      </w:r>
    </w:p>
    <w:p w14:paraId="5D4C1D1D">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为所供货物的每一台设备提供详细的操作和维护手册；</w:t>
      </w:r>
    </w:p>
    <w:p w14:paraId="18FF4248">
      <w:pPr>
        <w:keepNext w:val="0"/>
        <w:keepLines w:val="0"/>
        <w:pageBreakBefore w:val="0"/>
        <w:widowControl w:val="0"/>
        <w:kinsoku/>
        <w:wordWrap/>
        <w:overflowPunct/>
        <w:topLinePunct w:val="0"/>
        <w:bidi w:val="0"/>
        <w:adjustRightInd w:val="0"/>
        <w:snapToGrid w:val="0"/>
        <w:spacing w:line="360" w:lineRule="auto"/>
        <w:ind w:firstLine="600" w:firstLineChars="25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在双方商定的一定期限内对所供货物实施运行、监督、维护、修理，但前提条件是该服务并不能免除供方在合同保证期内所承担的义务；</w:t>
      </w:r>
    </w:p>
    <w:p w14:paraId="47B10527">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5) 在项目现场就所供货物进行安装、调试及运行，对科室使用人员及维修人员不限人数和次数进行培训，直到熟练掌握为止。对科室有培训需求的设备厂家或者经销商负责培训医</w:t>
      </w:r>
      <w:r>
        <w:rPr>
          <w:rFonts w:hint="eastAsia" w:ascii="仿宋" w:hAnsi="仿宋" w:eastAsia="仿宋" w:cs="仿宋"/>
          <w:color w:val="auto"/>
          <w:sz w:val="24"/>
          <w:szCs w:val="24"/>
          <w:highlight w:val="none"/>
          <w:lang w:val="en-US" w:eastAsia="zh-CN"/>
        </w:rPr>
        <w:t>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人、技师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人、护士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人，到</w:t>
      </w:r>
      <w:r>
        <w:rPr>
          <w:rFonts w:hint="eastAsia" w:ascii="仿宋" w:hAnsi="仿宋" w:eastAsia="仿宋" w:cs="仿宋"/>
          <w:color w:val="auto"/>
          <w:sz w:val="24"/>
          <w:szCs w:val="24"/>
          <w:highlight w:val="none"/>
          <w:lang w:val="en-US" w:eastAsia="zh-CN"/>
        </w:rPr>
        <w:t>国</w:t>
      </w:r>
      <w:r>
        <w:rPr>
          <w:rFonts w:hint="eastAsia" w:ascii="仿宋" w:hAnsi="仿宋" w:eastAsia="仿宋" w:cs="仿宋"/>
          <w:color w:val="auto"/>
          <w:sz w:val="24"/>
          <w:szCs w:val="24"/>
          <w:highlight w:val="none"/>
        </w:rPr>
        <w:t>内</w:t>
      </w:r>
      <w:r>
        <w:rPr>
          <w:rFonts w:hint="eastAsia" w:ascii="仿宋" w:hAnsi="仿宋" w:eastAsia="仿宋" w:cs="仿宋"/>
          <w:color w:val="auto"/>
          <w:sz w:val="24"/>
          <w:szCs w:val="24"/>
          <w:highlight w:val="none"/>
          <w:lang w:val="en-US" w:eastAsia="zh-CN"/>
        </w:rPr>
        <w:t>顶级</w:t>
      </w:r>
      <w:r>
        <w:rPr>
          <w:rFonts w:hint="eastAsia" w:ascii="仿宋" w:hAnsi="仿宋" w:eastAsia="仿宋" w:cs="仿宋"/>
          <w:color w:val="auto"/>
          <w:sz w:val="24"/>
          <w:szCs w:val="24"/>
          <w:highlight w:val="none"/>
        </w:rPr>
        <w:t>医院培训时间不少于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个月。</w:t>
      </w:r>
    </w:p>
    <w:p w14:paraId="659634F6">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十二、验收：</w:t>
      </w:r>
    </w:p>
    <w:p w14:paraId="195C9C19">
      <w:pPr>
        <w:keepNext w:val="0"/>
        <w:keepLines w:val="0"/>
        <w:pageBreakBefore w:val="0"/>
        <w:widowControl w:val="0"/>
        <w:kinsoku/>
        <w:wordWrap/>
        <w:overflowPunct/>
        <w:topLinePunct w:val="0"/>
        <w:bidi w:val="0"/>
        <w:adjustRightInd w:val="0"/>
        <w:snapToGrid w:val="0"/>
        <w:spacing w:line="360" w:lineRule="auto"/>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设备安装完毕后由需方负责组织验收，验收合格须交接全部相关资料，验收须以合同、国家</w:t>
      </w:r>
      <w:r>
        <w:rPr>
          <w:rFonts w:hint="eastAsia" w:ascii="仿宋" w:hAnsi="仿宋" w:eastAsia="仿宋" w:cs="仿宋"/>
          <w:color w:val="auto"/>
          <w:sz w:val="24"/>
          <w:szCs w:val="24"/>
          <w:highlight w:val="none"/>
          <w:lang w:eastAsia="zh-CN"/>
        </w:rPr>
        <w:t>/行业</w:t>
      </w:r>
      <w:r>
        <w:rPr>
          <w:rFonts w:hint="eastAsia" w:ascii="仿宋" w:hAnsi="仿宋" w:eastAsia="仿宋" w:cs="仿宋"/>
          <w:color w:val="auto"/>
          <w:sz w:val="24"/>
          <w:szCs w:val="24"/>
          <w:highlight w:val="none"/>
        </w:rPr>
        <w:t>标准、规范等为依据。验收不合格的，需方有权要求供方限期整改并按照合同第十七条承担违约责任。</w:t>
      </w:r>
    </w:p>
    <w:p w14:paraId="5C260A50">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十三、售后服务</w:t>
      </w:r>
      <w:r>
        <w:rPr>
          <w:rFonts w:hint="eastAsia" w:ascii="仿宋" w:hAnsi="仿宋" w:eastAsia="仿宋" w:cs="仿宋"/>
          <w:b/>
          <w:color w:val="auto"/>
          <w:sz w:val="24"/>
          <w:szCs w:val="24"/>
          <w:highlight w:val="none"/>
          <w:lang w:eastAsia="zh-CN"/>
        </w:rPr>
        <w:t>：</w:t>
      </w:r>
    </w:p>
    <w:p w14:paraId="62B65D1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供方接到需方仪器故障报修后，须在2小时内做出回应，24小时内到达需方医院。</w:t>
      </w:r>
      <w:r>
        <w:rPr>
          <w:rFonts w:hint="eastAsia" w:ascii="仿宋" w:hAnsi="仿宋" w:eastAsia="仿宋" w:cs="仿宋"/>
          <w:color w:val="auto"/>
          <w:sz w:val="24"/>
          <w:szCs w:val="24"/>
          <w:highlight w:val="none"/>
          <w:lang w:eastAsia="zh-CN"/>
        </w:rPr>
        <w:t>如供方未按上述时限响应或到场，</w:t>
      </w:r>
      <w:r>
        <w:rPr>
          <w:rFonts w:hint="eastAsia" w:ascii="仿宋" w:hAnsi="仿宋" w:eastAsia="仿宋" w:cs="仿宋"/>
          <w:color w:val="auto"/>
          <w:sz w:val="24"/>
          <w:szCs w:val="24"/>
          <w:highlight w:val="none"/>
          <w:lang w:val="en-US" w:eastAsia="zh-CN"/>
        </w:rPr>
        <w:t>需方有权委托第三方机构代为维修，由此发生的费用由供方承担</w:t>
      </w:r>
      <w:r>
        <w:rPr>
          <w:rFonts w:hint="eastAsia" w:ascii="仿宋" w:hAnsi="仿宋" w:eastAsia="仿宋" w:cs="仿宋"/>
          <w:color w:val="auto"/>
          <w:sz w:val="24"/>
          <w:szCs w:val="24"/>
          <w:highlight w:val="none"/>
          <w:lang w:eastAsia="zh-CN"/>
        </w:rPr>
        <w:t>。</w:t>
      </w:r>
    </w:p>
    <w:p w14:paraId="2076B5F9">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十四、终止解除</w:t>
      </w:r>
      <w:r>
        <w:rPr>
          <w:rFonts w:hint="eastAsia" w:ascii="仿宋" w:hAnsi="仿宋" w:eastAsia="仿宋" w:cs="仿宋"/>
          <w:b/>
          <w:color w:val="auto"/>
          <w:sz w:val="24"/>
          <w:szCs w:val="24"/>
          <w:highlight w:val="none"/>
          <w:lang w:eastAsia="zh-CN"/>
        </w:rPr>
        <w:t>：</w:t>
      </w:r>
    </w:p>
    <w:p w14:paraId="1E4DF4D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本合同因履行完毕、或出现本合同约定解除事由的、或双方协商一致而终止和解除；除本合同有约定外，任何一方无权单方解除合同。</w:t>
      </w:r>
      <w:r>
        <w:rPr>
          <w:rFonts w:hint="eastAsia" w:ascii="仿宋" w:hAnsi="仿宋" w:eastAsia="仿宋" w:cs="仿宋"/>
          <w:color w:val="auto"/>
          <w:sz w:val="24"/>
          <w:szCs w:val="24"/>
          <w:highlight w:val="none"/>
          <w:lang w:eastAsia="zh-CN"/>
        </w:rPr>
        <w:t>需方有权在供方违约、设备存在重大质量问题、供方资信恶化等情况下单方解除合同，并有权要求供方赔偿因此造成的全部损失。</w:t>
      </w:r>
    </w:p>
    <w:p w14:paraId="302EAD8C">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十五、纠纷解决</w:t>
      </w:r>
      <w:r>
        <w:rPr>
          <w:rFonts w:hint="eastAsia" w:ascii="仿宋" w:hAnsi="仿宋" w:eastAsia="仿宋" w:cs="仿宋"/>
          <w:b/>
          <w:color w:val="auto"/>
          <w:sz w:val="24"/>
          <w:szCs w:val="24"/>
          <w:highlight w:val="none"/>
          <w:lang w:eastAsia="zh-CN"/>
        </w:rPr>
        <w:t>：</w:t>
      </w:r>
    </w:p>
    <w:p w14:paraId="0CFE4AC5">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本合同履行过程中发生纠纷时，双方首先应友好协商解决，协商不成，双方均可向需方所在地人民法院提起诉讼。</w:t>
      </w:r>
    </w:p>
    <w:p w14:paraId="4E0974C8">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十六、不可抗力</w:t>
      </w:r>
      <w:r>
        <w:rPr>
          <w:rFonts w:hint="eastAsia" w:ascii="仿宋" w:hAnsi="仿宋" w:eastAsia="仿宋" w:cs="仿宋"/>
          <w:b/>
          <w:color w:val="auto"/>
          <w:sz w:val="24"/>
          <w:szCs w:val="24"/>
          <w:highlight w:val="none"/>
          <w:lang w:eastAsia="zh-CN"/>
        </w:rPr>
        <w:t>：</w:t>
      </w:r>
    </w:p>
    <w:p w14:paraId="1BF4F37A">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由于不可抗</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因素而导致延期交货，供方不承担责任。但供方必须在事件发生时尽快电告需方。不可抗</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因素事件继续存在60天以上，供方可以解除合同或未交货合同的部分。</w:t>
      </w:r>
    </w:p>
    <w:p w14:paraId="5A2FA287">
      <w:pPr>
        <w:keepNext w:val="0"/>
        <w:keepLines w:val="0"/>
        <w:pageBreakBefore w:val="0"/>
        <w:widowControl w:val="0"/>
        <w:numPr>
          <w:ilvl w:val="0"/>
          <w:numId w:val="0"/>
        </w:numPr>
        <w:kinsoku/>
        <w:wordWrap/>
        <w:overflowPunct/>
        <w:topLinePunct w:val="0"/>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lang w:val="en-US" w:eastAsia="zh-CN" w:bidi="ar-SA"/>
        </w:rPr>
        <w:t>十七、</w:t>
      </w:r>
      <w:r>
        <w:rPr>
          <w:rFonts w:hint="eastAsia" w:ascii="仿宋" w:hAnsi="仿宋" w:eastAsia="仿宋" w:cs="仿宋"/>
          <w:b/>
          <w:bCs/>
          <w:color w:val="auto"/>
          <w:sz w:val="24"/>
          <w:szCs w:val="24"/>
          <w:highlight w:val="none"/>
        </w:rPr>
        <w:t>违约责任：</w:t>
      </w:r>
    </w:p>
    <w:p w14:paraId="51B162F7">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依据《中华人民共和国民法典》《中华人民共和国政府采购法》的相关条款规定和本合同约定，除不可抗力外，供方未足量交货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逾期交货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未</w:t>
      </w:r>
      <w:r>
        <w:rPr>
          <w:rFonts w:hint="eastAsia" w:ascii="仿宋" w:hAnsi="仿宋" w:eastAsia="仿宋" w:cs="仿宋"/>
          <w:color w:val="auto"/>
          <w:sz w:val="24"/>
          <w:szCs w:val="24"/>
          <w:highlight w:val="none"/>
          <w:lang w:eastAsia="zh-CN"/>
        </w:rPr>
        <w:t>按约定标准完成安装调试培训服务、未</w:t>
      </w:r>
      <w:r>
        <w:rPr>
          <w:rFonts w:hint="eastAsia" w:ascii="仿宋" w:hAnsi="仿宋" w:eastAsia="仿宋" w:cs="仿宋"/>
          <w:color w:val="auto"/>
          <w:sz w:val="24"/>
          <w:szCs w:val="24"/>
          <w:highlight w:val="none"/>
        </w:rPr>
        <w:t>履行</w:t>
      </w:r>
      <w:r>
        <w:rPr>
          <w:rFonts w:hint="eastAsia" w:ascii="仿宋" w:hAnsi="仿宋" w:eastAsia="仿宋" w:cs="仿宋"/>
          <w:color w:val="auto"/>
          <w:sz w:val="24"/>
          <w:szCs w:val="24"/>
          <w:highlight w:val="none"/>
          <w:lang w:eastAsia="zh-CN"/>
        </w:rPr>
        <w:t>质保或售后服务</w:t>
      </w:r>
      <w:r>
        <w:rPr>
          <w:rFonts w:hint="eastAsia" w:ascii="仿宋" w:hAnsi="仿宋" w:eastAsia="仿宋" w:cs="仿宋"/>
          <w:color w:val="auto"/>
          <w:sz w:val="24"/>
          <w:szCs w:val="24"/>
          <w:highlight w:val="none"/>
        </w:rPr>
        <w:t>义务</w:t>
      </w:r>
      <w:r>
        <w:rPr>
          <w:rFonts w:hint="eastAsia" w:ascii="仿宋" w:hAnsi="仿宋" w:eastAsia="仿宋" w:cs="仿宋"/>
          <w:color w:val="auto"/>
          <w:sz w:val="24"/>
          <w:szCs w:val="24"/>
          <w:highlight w:val="none"/>
          <w:lang w:eastAsia="zh-CN"/>
        </w:rPr>
        <w:t>、提供</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技术文件不完整等任一情形</w:t>
      </w:r>
      <w:r>
        <w:rPr>
          <w:rFonts w:hint="eastAsia" w:ascii="仿宋" w:hAnsi="仿宋" w:eastAsia="仿宋" w:cs="仿宋"/>
          <w:color w:val="auto"/>
          <w:sz w:val="24"/>
          <w:szCs w:val="24"/>
          <w:highlight w:val="none"/>
        </w:rPr>
        <w:t>，需方</w:t>
      </w:r>
      <w:r>
        <w:rPr>
          <w:rFonts w:hint="eastAsia" w:ascii="仿宋" w:hAnsi="仿宋" w:eastAsia="仿宋" w:cs="仿宋"/>
          <w:color w:val="auto"/>
          <w:sz w:val="24"/>
          <w:szCs w:val="24"/>
          <w:highlight w:val="none"/>
          <w:lang w:val="en-US" w:eastAsia="zh-CN"/>
        </w:rPr>
        <w:t>有权要求供方进行整改</w:t>
      </w:r>
      <w:r>
        <w:rPr>
          <w:rFonts w:hint="eastAsia" w:ascii="仿宋" w:hAnsi="仿宋" w:eastAsia="仿宋" w:cs="仿宋"/>
          <w:color w:val="auto"/>
          <w:sz w:val="24"/>
          <w:szCs w:val="24"/>
          <w:highlight w:val="none"/>
        </w:rPr>
        <w:t>，合同继续履行。如供方交付的货物产品质量不合格，需方有权解除本合同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要求供方退还已付款，供方需要立即拆除并搬离该设备及</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合同总</w:t>
      </w:r>
      <w:r>
        <w:rPr>
          <w:rFonts w:hint="eastAsia" w:ascii="仿宋" w:hAnsi="仿宋" w:eastAsia="仿宋" w:cs="仿宋"/>
          <w:color w:val="auto"/>
          <w:sz w:val="24"/>
          <w:szCs w:val="24"/>
          <w:highlight w:val="none"/>
          <w:lang w:val="en-US" w:eastAsia="zh-CN"/>
        </w:rPr>
        <w:t>标的额</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%向需方承担违约责任。</w:t>
      </w:r>
    </w:p>
    <w:p w14:paraId="65669B6B">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供方不得将合同权利义务转让、分包、委托第三方履行，除非经需方书面同意。供方在运输、装卸、安装、调试、培训等全过程中发生的任何人身、财产损失、行政处罚等均由供方全额承担，需方免责。需方有权随时对供方履约情况进行监督、检查，供方应无条件配合。</w:t>
      </w:r>
    </w:p>
    <w:p w14:paraId="2C712B47">
      <w:pPr>
        <w:keepNext w:val="0"/>
        <w:keepLines w:val="0"/>
        <w:pageBreakBefore w:val="0"/>
        <w:widowControl w:val="0"/>
        <w:numPr>
          <w:ilvl w:val="0"/>
          <w:numId w:val="0"/>
        </w:numPr>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供方应对在履行本合同过程中知悉的需方商业秘密、患者数据、系统信息等保密信息承担保密义务，未经需方书面同意不得向第三方披露，本条款在合同终止后继续有效。 供方违反保密义务约定的，应当按照合同价款的30%承担违约责任，违约金不能弥补需方损失的，供方应当予以补足。</w:t>
      </w:r>
    </w:p>
    <w:p w14:paraId="21F81F1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十八、</w:t>
      </w: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份，供方执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份，需方执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份，具有相同的法律效</w:t>
      </w:r>
      <w:r>
        <w:rPr>
          <w:rFonts w:hint="eastAsia" w:ascii="仿宋" w:hAnsi="仿宋" w:eastAsia="仿宋" w:cs="仿宋"/>
          <w:color w:val="auto"/>
          <w:sz w:val="24"/>
          <w:szCs w:val="24"/>
          <w:highlight w:val="none"/>
          <w:lang w:val="en-US" w:eastAsia="zh-CN"/>
        </w:rPr>
        <w:t>力</w:t>
      </w:r>
      <w:r>
        <w:rPr>
          <w:rFonts w:hint="eastAsia" w:ascii="仿宋" w:hAnsi="仿宋" w:eastAsia="仿宋" w:cs="仿宋"/>
          <w:color w:val="auto"/>
          <w:sz w:val="24"/>
          <w:szCs w:val="24"/>
          <w:highlight w:val="none"/>
        </w:rPr>
        <w:t>。本合同自签字盖章之日起生效。</w:t>
      </w:r>
      <w:r>
        <w:rPr>
          <w:rFonts w:hint="eastAsia" w:ascii="仿宋" w:hAnsi="仿宋" w:eastAsia="仿宋" w:cs="仿宋"/>
          <w:color w:val="auto"/>
          <w:sz w:val="24"/>
          <w:szCs w:val="24"/>
          <w:highlight w:val="none"/>
          <w:lang w:eastAsia="zh-CN"/>
        </w:rPr>
        <w:t>合同任何变更、补充、解释均须双方书面签署，口头或单方变更无效。</w:t>
      </w:r>
      <w:r>
        <w:rPr>
          <w:rFonts w:hint="eastAsia" w:ascii="仿宋" w:hAnsi="仿宋" w:eastAsia="仿宋" w:cs="仿宋"/>
          <w:color w:val="auto"/>
          <w:sz w:val="24"/>
          <w:szCs w:val="24"/>
          <w:highlight w:val="none"/>
        </w:rPr>
        <w:t>未经双方同意，任何一方不得擅自修改合同内容或撤销合同，法律法规另有规定的情形除外。</w:t>
      </w:r>
      <w:r>
        <w:rPr>
          <w:rFonts w:hint="eastAsia" w:ascii="仿宋" w:hAnsi="仿宋" w:eastAsia="仿宋" w:cs="仿宋"/>
          <w:color w:val="auto"/>
          <w:sz w:val="24"/>
          <w:szCs w:val="24"/>
          <w:highlight w:val="none"/>
          <w:lang w:eastAsia="zh-CN"/>
        </w:rPr>
        <w:t>如因法律法规变化导致合同履行受影响，双方应协商调整，需方有权决定是否继续履行。</w:t>
      </w:r>
    </w:p>
    <w:p w14:paraId="563893A8">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十九、</w:t>
      </w:r>
      <w:r>
        <w:rPr>
          <w:rFonts w:hint="eastAsia" w:ascii="仿宋" w:hAnsi="仿宋" w:eastAsia="仿宋" w:cs="仿宋"/>
          <w:color w:val="auto"/>
          <w:sz w:val="24"/>
          <w:szCs w:val="24"/>
          <w:highlight w:val="none"/>
        </w:rPr>
        <w:t>本合同未尽事宜，</w:t>
      </w:r>
      <w:r>
        <w:rPr>
          <w:rFonts w:hint="eastAsia" w:ascii="仿宋" w:hAnsi="仿宋" w:eastAsia="仿宋" w:cs="仿宋"/>
          <w:color w:val="auto"/>
          <w:sz w:val="24"/>
          <w:szCs w:val="24"/>
          <w:highlight w:val="none"/>
          <w:lang w:val="en-US" w:eastAsia="zh-CN"/>
        </w:rPr>
        <w:t>双方可另行签订补充协议，补充协议与本合同具有同等法律效力，补充协议内容与本合同内容不一致的，以补充协议内容为准</w:t>
      </w:r>
      <w:r>
        <w:rPr>
          <w:rFonts w:hint="eastAsia" w:ascii="仿宋" w:hAnsi="仿宋" w:eastAsia="仿宋" w:cs="仿宋"/>
          <w:color w:val="auto"/>
          <w:sz w:val="24"/>
          <w:szCs w:val="24"/>
          <w:highlight w:val="none"/>
        </w:rPr>
        <w:t>。</w:t>
      </w:r>
    </w:p>
    <w:p w14:paraId="163B3A64">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以下无正文</w:t>
      </w:r>
      <w:r>
        <w:rPr>
          <w:rFonts w:hint="eastAsia" w:ascii="仿宋" w:hAnsi="仿宋" w:eastAsia="仿宋" w:cs="仿宋"/>
          <w:color w:val="auto"/>
          <w:sz w:val="24"/>
          <w:szCs w:val="24"/>
          <w:highlight w:val="none"/>
          <w:lang w:eastAsia="zh-CN"/>
        </w:rPr>
        <w:t>）</w:t>
      </w:r>
    </w:p>
    <w:p w14:paraId="221DBA15">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eastAsia="zh-CN"/>
        </w:rPr>
      </w:pPr>
    </w:p>
    <w:p w14:paraId="2C256FD2">
      <w:pPr>
        <w:keepNext w:val="0"/>
        <w:keepLines w:val="0"/>
        <w:pageBreakBefore w:val="0"/>
        <w:widowControl w:val="0"/>
        <w:kinsoku/>
        <w:wordWrap/>
        <w:overflowPunct/>
        <w:topLinePunct w:val="0"/>
        <w:autoSpaceDE/>
        <w:autoSpaceDN/>
        <w:bidi w:val="0"/>
        <w:adjustRightInd w:val="0"/>
        <w:snapToGrid w:val="0"/>
        <w:spacing w:line="360" w:lineRule="auto"/>
        <w:ind w:left="0" w:hanging="6626" w:hangingChars="27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需方单位：</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供方单位：</w:t>
      </w:r>
    </w:p>
    <w:p w14:paraId="2C46E0A5">
      <w:pPr>
        <w:keepNext w:val="0"/>
        <w:keepLines w:val="0"/>
        <w:pageBreakBefore w:val="0"/>
        <w:widowControl w:val="0"/>
        <w:kinsoku/>
        <w:wordWrap/>
        <w:overflowPunct/>
        <w:topLinePunct w:val="0"/>
        <w:autoSpaceDE/>
        <w:autoSpaceDN/>
        <w:bidi w:val="0"/>
        <w:adjustRightInd w:val="0"/>
        <w:snapToGrid w:val="0"/>
        <w:spacing w:line="360" w:lineRule="auto"/>
        <w:ind w:left="0" w:hanging="6600" w:hangingChars="2750"/>
        <w:textAlignment w:val="auto"/>
        <w:rPr>
          <w:rFonts w:hint="eastAsia" w:ascii="仿宋" w:hAnsi="仿宋" w:eastAsia="仿宋" w:cs="仿宋"/>
          <w:color w:val="auto"/>
          <w:sz w:val="24"/>
          <w:szCs w:val="24"/>
          <w:highlight w:val="none"/>
          <w:lang w:val="en-US" w:eastAsia="zh-CN"/>
        </w:rPr>
      </w:pPr>
    </w:p>
    <w:p w14:paraId="61321289">
      <w:pPr>
        <w:keepNext w:val="0"/>
        <w:keepLines w:val="0"/>
        <w:pageBreakBefore w:val="0"/>
        <w:widowControl w:val="0"/>
        <w:kinsoku/>
        <w:wordWrap/>
        <w:overflowPunct/>
        <w:topLinePunct w:val="0"/>
        <w:autoSpaceDE/>
        <w:autoSpaceDN/>
        <w:bidi w:val="0"/>
        <w:adjustRightInd w:val="0"/>
        <w:snapToGrid w:val="0"/>
        <w:spacing w:line="360" w:lineRule="auto"/>
        <w:ind w:left="0" w:hanging="6385" w:hangingChars="265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开户银行：</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开户银行：</w:t>
      </w:r>
    </w:p>
    <w:p w14:paraId="6DA1B49F">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账号：</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账号：</w:t>
      </w:r>
    </w:p>
    <w:p w14:paraId="4A8AB97D">
      <w:pPr>
        <w:keepNext w:val="0"/>
        <w:keepLines w:val="0"/>
        <w:pageBreakBefore w:val="0"/>
        <w:widowControl w:val="0"/>
        <w:kinsoku/>
        <w:wordWrap/>
        <w:overflowPunct/>
        <w:topLinePunct w:val="0"/>
        <w:autoSpaceDE/>
        <w:autoSpaceDN/>
        <w:bidi w:val="0"/>
        <w:adjustRightInd w:val="0"/>
        <w:snapToGrid w:val="0"/>
        <w:spacing w:line="360" w:lineRule="auto"/>
        <w:ind w:left="0" w:hanging="6023" w:hangingChars="25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rPr>
        <w:t>地址：</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地址：</w:t>
      </w:r>
      <w:r>
        <w:rPr>
          <w:rFonts w:hint="eastAsia" w:ascii="仿宋" w:hAnsi="仿宋" w:eastAsia="仿宋" w:cs="仿宋"/>
          <w:b w:val="0"/>
          <w:bCs w:val="0"/>
          <w:color w:val="auto"/>
          <w:sz w:val="24"/>
          <w:szCs w:val="24"/>
          <w:highlight w:val="none"/>
        </w:rPr>
        <w:t xml:space="preserve"> </w:t>
      </w:r>
    </w:p>
    <w:p w14:paraId="7B50BDC1">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电话：</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电话：</w:t>
      </w:r>
    </w:p>
    <w:p w14:paraId="2698151D">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法人签章：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法人签章：</w:t>
      </w:r>
    </w:p>
    <w:p w14:paraId="0A519F45">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委托授权人签章：</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委托授权人签章：</w:t>
      </w:r>
    </w:p>
    <w:p w14:paraId="66F9AD8E">
      <w:pPr>
        <w:keepNext w:val="0"/>
        <w:keepLines w:val="0"/>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签署日期：    年   月   日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签署日期：     年   月   日</w:t>
      </w:r>
    </w:p>
    <w:p w14:paraId="2BBBA4D1">
      <w:pPr>
        <w:rPr>
          <w:rFonts w:hint="eastAsia" w:ascii="仿宋" w:hAnsi="仿宋" w:eastAsia="仿宋" w:cs="仿宋"/>
          <w:color w:val="auto"/>
          <w:highlight w:val="none"/>
        </w:rPr>
      </w:pPr>
    </w:p>
    <w:p w14:paraId="2965ED9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16273BA">
      <w:pPr>
        <w:adjustRightInd w:val="0"/>
        <w:snapToGrid w:val="0"/>
        <w:spacing w:line="360" w:lineRule="auto"/>
        <w:ind w:firstLine="480" w:firstLineChars="200"/>
        <w:rPr>
          <w:rFonts w:hint="eastAsia" w:ascii="仿宋" w:hAnsi="仿宋" w:eastAsia="仿宋" w:cs="仿宋"/>
          <w:color w:val="auto"/>
          <w:sz w:val="24"/>
          <w:highlight w:val="none"/>
        </w:rPr>
      </w:pPr>
    </w:p>
    <w:p w14:paraId="569D9095">
      <w:pPr>
        <w:jc w:val="center"/>
        <w:rPr>
          <w:rFonts w:hint="eastAsia" w:ascii="仿宋" w:hAnsi="仿宋" w:eastAsia="仿宋" w:cs="仿宋"/>
          <w:color w:val="auto"/>
          <w:sz w:val="52"/>
          <w:szCs w:val="52"/>
          <w:highlight w:val="none"/>
        </w:rPr>
      </w:pPr>
    </w:p>
    <w:p w14:paraId="59F005FF">
      <w:pPr>
        <w:ind w:firstLine="3233" w:firstLineChars="350"/>
        <w:rPr>
          <w:rFonts w:hint="eastAsia" w:ascii="仿宋" w:hAnsi="仿宋" w:eastAsia="仿宋" w:cs="仿宋"/>
          <w:b/>
          <w:color w:val="auto"/>
          <w:spacing w:val="-20"/>
          <w:sz w:val="96"/>
          <w:szCs w:val="58"/>
          <w:highlight w:val="none"/>
        </w:rPr>
      </w:pPr>
    </w:p>
    <w:p w14:paraId="0772EE9F">
      <w:pPr>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lang w:val="en-US" w:eastAsia="zh-CN"/>
        </w:rPr>
        <w:t>施 工</w:t>
      </w:r>
      <w:r>
        <w:rPr>
          <w:rFonts w:hint="eastAsia" w:ascii="仿宋" w:hAnsi="仿宋" w:eastAsia="仿宋" w:cs="仿宋"/>
          <w:b/>
          <w:color w:val="auto"/>
          <w:sz w:val="72"/>
          <w:szCs w:val="72"/>
          <w:highlight w:val="none"/>
        </w:rPr>
        <w:t xml:space="preserve"> 合 同</w:t>
      </w:r>
    </w:p>
    <w:p w14:paraId="29D77755">
      <w:pPr>
        <w:jc w:val="center"/>
        <w:rPr>
          <w:rFonts w:hint="eastAsia" w:ascii="仿宋" w:hAnsi="仿宋" w:eastAsia="仿宋" w:cs="仿宋"/>
          <w:b/>
          <w:color w:val="auto"/>
          <w:sz w:val="72"/>
          <w:szCs w:val="72"/>
          <w:highlight w:val="none"/>
        </w:rPr>
      </w:pPr>
    </w:p>
    <w:p w14:paraId="021907CB">
      <w:pPr>
        <w:ind w:firstLine="640" w:firstLineChars="200"/>
        <w:jc w:val="both"/>
        <w:rPr>
          <w:rFonts w:hint="eastAsia" w:ascii="仿宋" w:hAnsi="仿宋" w:eastAsia="仿宋" w:cs="仿宋"/>
          <w:color w:val="auto"/>
          <w:sz w:val="32"/>
          <w:szCs w:val="32"/>
          <w:highlight w:val="none"/>
        </w:rPr>
      </w:pPr>
    </w:p>
    <w:p w14:paraId="6B228875">
      <w:pPr>
        <w:ind w:firstLine="640" w:firstLineChars="200"/>
        <w:jc w:val="both"/>
        <w:rPr>
          <w:rFonts w:hint="eastAsia" w:ascii="仿宋" w:hAnsi="仿宋" w:eastAsia="仿宋" w:cs="仿宋"/>
          <w:color w:val="auto"/>
          <w:sz w:val="32"/>
          <w:szCs w:val="32"/>
          <w:highlight w:val="none"/>
        </w:rPr>
      </w:pPr>
    </w:p>
    <w:p w14:paraId="45378401">
      <w:pPr>
        <w:ind w:firstLine="640" w:firstLineChars="200"/>
        <w:jc w:val="both"/>
        <w:rPr>
          <w:rFonts w:hint="eastAsia" w:ascii="仿宋" w:hAnsi="仿宋" w:eastAsia="仿宋" w:cs="仿宋"/>
          <w:color w:val="auto"/>
          <w:sz w:val="32"/>
          <w:szCs w:val="32"/>
          <w:highlight w:val="none"/>
        </w:rPr>
      </w:pPr>
    </w:p>
    <w:p w14:paraId="015017EB">
      <w:pPr>
        <w:ind w:firstLine="640" w:firstLineChars="200"/>
        <w:jc w:val="both"/>
        <w:rPr>
          <w:rFonts w:hint="eastAsia" w:ascii="仿宋" w:hAnsi="仿宋" w:eastAsia="仿宋" w:cs="仿宋"/>
          <w:color w:val="auto"/>
          <w:sz w:val="32"/>
          <w:szCs w:val="32"/>
          <w:highlight w:val="none"/>
        </w:rPr>
      </w:pPr>
    </w:p>
    <w:p w14:paraId="4D746D6B">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lang w:eastAsia="zh-CN"/>
        </w:rPr>
        <w:t>靖边县人民医院基础设施改造项目(一期)</w:t>
      </w:r>
    </w:p>
    <w:p w14:paraId="0E325311">
      <w:pPr>
        <w:ind w:firstLine="640" w:firstLineChars="2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eastAsia="zh-CN"/>
        </w:rPr>
        <w:t>项目编号：</w:t>
      </w:r>
      <w:r>
        <w:rPr>
          <w:rFonts w:hint="eastAsia" w:ascii="仿宋" w:hAnsi="仿宋" w:eastAsia="仿宋" w:cs="仿宋"/>
          <w:color w:val="auto"/>
          <w:sz w:val="32"/>
          <w:szCs w:val="32"/>
          <w:highlight w:val="none"/>
          <w:lang w:val="zh-CN" w:eastAsia="zh-CN"/>
        </w:rPr>
        <w:t>SCZD2026-ZB-1877/001</w:t>
      </w:r>
    </w:p>
    <w:p w14:paraId="68064EC5">
      <w:pPr>
        <w:pStyle w:val="6"/>
        <w:rPr>
          <w:rFonts w:hint="eastAsia" w:ascii="仿宋" w:hAnsi="仿宋" w:eastAsia="仿宋" w:cs="仿宋"/>
          <w:color w:val="auto"/>
          <w:highlight w:val="none"/>
        </w:rPr>
      </w:pPr>
    </w:p>
    <w:p w14:paraId="16FDEDCE">
      <w:pPr>
        <w:pStyle w:val="6"/>
        <w:rPr>
          <w:rFonts w:hint="eastAsia" w:ascii="仿宋" w:hAnsi="仿宋" w:eastAsia="仿宋" w:cs="仿宋"/>
          <w:color w:val="auto"/>
          <w:highlight w:val="none"/>
        </w:rPr>
      </w:pPr>
    </w:p>
    <w:p w14:paraId="714D72C9">
      <w:pPr>
        <w:jc w:val="center"/>
        <w:rPr>
          <w:rFonts w:hint="eastAsia" w:ascii="仿宋" w:hAnsi="仿宋" w:eastAsia="仿宋" w:cs="仿宋"/>
          <w:color w:val="auto"/>
          <w:sz w:val="28"/>
          <w:szCs w:val="30"/>
          <w:highlight w:val="none"/>
        </w:rPr>
      </w:pPr>
    </w:p>
    <w:p w14:paraId="2B1A5EEC">
      <w:pPr>
        <w:ind w:firstLine="1600" w:firstLineChars="500"/>
        <w:jc w:val="left"/>
        <w:rPr>
          <w:rFonts w:hint="eastAsia" w:ascii="仿宋" w:hAnsi="仿宋" w:eastAsia="仿宋" w:cs="仿宋"/>
          <w:color w:val="auto"/>
          <w:sz w:val="32"/>
          <w:szCs w:val="32"/>
          <w:highlight w:val="none"/>
        </w:rPr>
      </w:pPr>
    </w:p>
    <w:p w14:paraId="1AB6CB73">
      <w:pPr>
        <w:ind w:firstLine="1600" w:firstLineChars="500"/>
        <w:jc w:val="left"/>
        <w:rPr>
          <w:rFonts w:hint="eastAsia" w:ascii="仿宋" w:hAnsi="仿宋" w:eastAsia="仿宋" w:cs="仿宋"/>
          <w:color w:val="auto"/>
          <w:sz w:val="32"/>
          <w:szCs w:val="32"/>
          <w:highlight w:val="none"/>
        </w:rPr>
      </w:pPr>
    </w:p>
    <w:p w14:paraId="53E795C0">
      <w:pPr>
        <w:ind w:firstLine="1600" w:firstLineChars="5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甲  方：靖边县</w:t>
      </w:r>
      <w:r>
        <w:rPr>
          <w:rFonts w:hint="eastAsia" w:ascii="仿宋" w:hAnsi="仿宋" w:eastAsia="仿宋" w:cs="仿宋"/>
          <w:color w:val="auto"/>
          <w:sz w:val="32"/>
          <w:szCs w:val="32"/>
          <w:highlight w:val="none"/>
          <w:lang w:val="en-US" w:eastAsia="zh-CN"/>
        </w:rPr>
        <w:t>卫生健康局</w:t>
      </w:r>
    </w:p>
    <w:p w14:paraId="499325A7">
      <w:pPr>
        <w:tabs>
          <w:tab w:val="left" w:pos="480"/>
        </w:tabs>
        <w:ind w:firstLine="1600" w:firstLineChars="500"/>
        <w:jc w:val="left"/>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乙  方：</w:t>
      </w:r>
      <w:r>
        <w:rPr>
          <w:rFonts w:hint="eastAsia" w:ascii="仿宋" w:hAnsi="仿宋" w:eastAsia="仿宋" w:cs="仿宋"/>
          <w:color w:val="auto"/>
          <w:sz w:val="32"/>
          <w:szCs w:val="32"/>
          <w:highlight w:val="none"/>
          <w:lang w:val="en-US" w:eastAsia="zh-CN"/>
        </w:rPr>
        <w:t>XXX</w:t>
      </w:r>
    </w:p>
    <w:p w14:paraId="59037228">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w:t>
      </w:r>
    </w:p>
    <w:p w14:paraId="7ED4CFF5">
      <w:pPr>
        <w:jc w:val="center"/>
        <w:rPr>
          <w:rFonts w:hint="eastAsia" w:ascii="仿宋" w:hAnsi="仿宋" w:eastAsia="仿宋" w:cs="仿宋"/>
          <w:color w:val="auto"/>
          <w:sz w:val="28"/>
          <w:szCs w:val="30"/>
          <w:highlight w:val="none"/>
        </w:rPr>
      </w:pPr>
    </w:p>
    <w:p w14:paraId="72A9AB1B">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二O二</w:t>
      </w:r>
      <w:r>
        <w:rPr>
          <w:rFonts w:hint="eastAsia" w:ascii="仿宋" w:hAnsi="仿宋" w:eastAsia="仿宋" w:cs="仿宋"/>
          <w:color w:val="auto"/>
          <w:sz w:val="32"/>
          <w:szCs w:val="32"/>
          <w:highlight w:val="none"/>
          <w:lang w:eastAsia="zh-CN"/>
        </w:rPr>
        <w:t>六</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X</w:t>
      </w:r>
      <w:r>
        <w:rPr>
          <w:rFonts w:hint="eastAsia" w:ascii="仿宋" w:hAnsi="仿宋" w:eastAsia="仿宋" w:cs="仿宋"/>
          <w:color w:val="auto"/>
          <w:sz w:val="32"/>
          <w:szCs w:val="32"/>
          <w:highlight w:val="none"/>
        </w:rPr>
        <w:t>月</w:t>
      </w:r>
    </w:p>
    <w:p w14:paraId="218636C3">
      <w:pPr>
        <w:spacing w:line="360" w:lineRule="auto"/>
        <w:ind w:right="68"/>
        <w:rPr>
          <w:rFonts w:hint="eastAsia" w:ascii="仿宋" w:hAnsi="仿宋" w:eastAsia="仿宋" w:cs="仿宋"/>
          <w:color w:val="auto"/>
          <w:sz w:val="28"/>
          <w:szCs w:val="28"/>
          <w:highlight w:val="none"/>
        </w:rPr>
      </w:pPr>
    </w:p>
    <w:p w14:paraId="3C0340C5">
      <w:pPr>
        <w:spacing w:line="360" w:lineRule="auto"/>
        <w:ind w:right="68"/>
        <w:rPr>
          <w:rFonts w:hint="eastAsia" w:ascii="仿宋" w:hAnsi="仿宋" w:eastAsia="仿宋" w:cs="仿宋"/>
          <w:color w:val="auto"/>
          <w:sz w:val="24"/>
          <w:szCs w:val="24"/>
          <w:highlight w:val="none"/>
        </w:rPr>
      </w:pPr>
    </w:p>
    <w:p w14:paraId="6F45F423">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B6A8992">
      <w:pPr>
        <w:spacing w:line="360" w:lineRule="auto"/>
        <w:ind w:right="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甲方：靖边县</w:t>
      </w:r>
      <w:r>
        <w:rPr>
          <w:rFonts w:hint="eastAsia" w:ascii="仿宋" w:hAnsi="仿宋" w:eastAsia="仿宋" w:cs="仿宋"/>
          <w:color w:val="auto"/>
          <w:sz w:val="24"/>
          <w:szCs w:val="24"/>
          <w:highlight w:val="none"/>
          <w:lang w:val="en-US" w:eastAsia="zh-CN"/>
        </w:rPr>
        <w:t>卫生健康局</w:t>
      </w:r>
      <w:r>
        <w:rPr>
          <w:rFonts w:hint="eastAsia" w:ascii="仿宋" w:hAnsi="仿宋" w:eastAsia="仿宋" w:cs="仿宋"/>
          <w:color w:val="auto"/>
          <w:sz w:val="24"/>
          <w:szCs w:val="24"/>
          <w:highlight w:val="none"/>
        </w:rPr>
        <w:t xml:space="preserve">             </w:t>
      </w:r>
    </w:p>
    <w:p w14:paraId="4C795305">
      <w:pPr>
        <w:tabs>
          <w:tab w:val="left" w:pos="480"/>
        </w:tabs>
        <w:jc w:val="lef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XXX</w:t>
      </w:r>
    </w:p>
    <w:p w14:paraId="6E210129">
      <w:pPr>
        <w:spacing w:line="360" w:lineRule="auto"/>
        <w:ind w:right="68" w:firstLine="480" w:firstLineChars="200"/>
        <w:rPr>
          <w:rFonts w:hint="eastAsia" w:ascii="仿宋" w:hAnsi="仿宋" w:eastAsia="仿宋" w:cs="仿宋"/>
          <w:color w:val="auto"/>
          <w:spacing w:val="-13"/>
          <w:sz w:val="24"/>
          <w:szCs w:val="24"/>
          <w:highlight w:val="none"/>
        </w:rPr>
      </w:pPr>
      <w:r>
        <w:rPr>
          <w:rFonts w:hint="eastAsia" w:ascii="仿宋" w:hAnsi="仿宋" w:eastAsia="仿宋" w:cs="仿宋"/>
          <w:color w:val="auto"/>
          <w:sz w:val="24"/>
          <w:szCs w:val="24"/>
          <w:highlight w:val="none"/>
        </w:rPr>
        <w:t>按照《中华人民共和国民法典》 《中华人民共和国建筑法》 《建设工程质量管理条例》 《建设工程安全生产管理条例》及其他有关法律、行政法规，遵循平等、自愿、公平和诚实信用的原则，双方就施工事项协商一致，签订本合同。</w:t>
      </w:r>
    </w:p>
    <w:p w14:paraId="47BC94AD">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工程概况</w:t>
      </w:r>
    </w:p>
    <w:p w14:paraId="1809B1AC">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工程名称：靖边县人民医院基础设施改造项目（一期）</w:t>
      </w:r>
    </w:p>
    <w:p w14:paraId="33796ACD">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工程地点：靖边县人民医院</w:t>
      </w:r>
    </w:p>
    <w:p w14:paraId="6C624C08">
      <w:pPr>
        <w:adjustRightInd w:val="0"/>
        <w:snapToGri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工程内容：</w:t>
      </w:r>
      <w:r>
        <w:rPr>
          <w:rFonts w:hint="eastAsia" w:ascii="仿宋" w:hAnsi="仿宋" w:eastAsia="仿宋" w:cs="仿宋"/>
          <w:color w:val="auto"/>
          <w:sz w:val="24"/>
          <w:szCs w:val="24"/>
          <w:highlight w:val="none"/>
          <w:lang w:val="en-US" w:eastAsia="zh-CN"/>
        </w:rPr>
        <w:t>装修改造</w:t>
      </w:r>
    </w:p>
    <w:p w14:paraId="772DC026">
      <w:pPr>
        <w:adjustRightInd w:val="0"/>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合同承包形式：本工程为交钥匙工程，施工产生的垃圾由乙方</w:t>
      </w:r>
      <w:r>
        <w:rPr>
          <w:rFonts w:hint="eastAsia" w:ascii="仿宋" w:hAnsi="仿宋" w:eastAsia="仿宋" w:cs="仿宋"/>
          <w:color w:val="auto"/>
          <w:sz w:val="24"/>
          <w:szCs w:val="24"/>
          <w:highlight w:val="none"/>
          <w:lang w:eastAsia="zh-CN"/>
        </w:rPr>
        <w:t>负责处理。</w:t>
      </w:r>
    </w:p>
    <w:p w14:paraId="4B218C28">
      <w:pPr>
        <w:numPr>
          <w:ilvl w:val="0"/>
          <w:numId w:val="5"/>
        </w:numPr>
        <w:adjustRightInd w:val="0"/>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合同工期：</w:t>
      </w:r>
      <w:r>
        <w:rPr>
          <w:rFonts w:hint="eastAsia" w:ascii="仿宋" w:hAnsi="仿宋" w:eastAsia="仿宋" w:cs="仿宋"/>
          <w:b/>
          <w:color w:val="auto"/>
          <w:sz w:val="24"/>
          <w:szCs w:val="24"/>
          <w:highlight w:val="none"/>
          <w:lang w:val="en-US" w:eastAsia="zh-CN"/>
        </w:rPr>
        <w:t>2026年11月15日前完成施工。</w:t>
      </w:r>
    </w:p>
    <w:p w14:paraId="58255EB9">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工程主要内容及技术标准</w:t>
      </w:r>
    </w:p>
    <w:p w14:paraId="529EAAAC">
      <w:pPr>
        <w:numPr>
          <w:ilvl w:val="-1"/>
          <w:numId w:val="0"/>
        </w:numPr>
        <w:tabs>
          <w:tab w:val="left" w:pos="709"/>
        </w:tabs>
        <w:adjustRightInd w:val="0"/>
        <w:snapToGrid w:val="0"/>
        <w:spacing w:line="360" w:lineRule="auto"/>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用于本项目施工所用的材料质量，必须符合国家相关质量规定要求，同时要提供材料检验合格证、出厂合格证及相关证明文件，如无法提供的视为乙方所使用材料质量不合格，选用的材料必须保证指标先进、质量可靠、进货渠道正规，</w:t>
      </w:r>
      <w:r>
        <w:rPr>
          <w:rFonts w:hint="eastAsia" w:ascii="仿宋" w:hAnsi="仿宋" w:eastAsia="仿宋" w:cs="仿宋"/>
          <w:color w:val="auto"/>
          <w:sz w:val="24"/>
          <w:szCs w:val="24"/>
          <w:highlight w:val="none"/>
          <w:lang w:val="en-US" w:eastAsia="zh-CN"/>
        </w:rPr>
        <w:t>否则，甲方有权要求乙方更换合格材料重新施工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且工期不予顺延。    </w:t>
      </w:r>
    </w:p>
    <w:p w14:paraId="0B51707D">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严格按照国家现行有关质量标准、施工及验收规范进行施工，其观感质量评定必须达到合格标准。</w:t>
      </w:r>
    </w:p>
    <w:p w14:paraId="13AACBB7">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施工不得影响医院的正常医疗秩序。</w:t>
      </w:r>
    </w:p>
    <w:p w14:paraId="6A9478D0">
      <w:pPr>
        <w:numPr>
          <w:ilvl w:val="0"/>
          <w:numId w:val="0"/>
        </w:numPr>
        <w:tabs>
          <w:tab w:val="left" w:pos="709"/>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乙方提供的货物、工程、服务等需符合现行的国家、行业、地区、企业质量安全标准及要求，标准不一致的，以更为严格的为准，供应商对提供的货物、工程、服务等的质量、安全、环保等负全权责任。</w:t>
      </w:r>
    </w:p>
    <w:p w14:paraId="2EA65390">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合同价款、支付条件和支付进度</w:t>
      </w:r>
    </w:p>
    <w:p w14:paraId="633F4704">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本合同总造价为人民币（大写）：</w:t>
      </w:r>
      <w:r>
        <w:rPr>
          <w:rFonts w:hint="eastAsia" w:ascii="仿宋" w:hAnsi="仿宋" w:eastAsia="仿宋" w:cs="仿宋"/>
          <w:color w:val="auto"/>
          <w:sz w:val="24"/>
          <w:szCs w:val="24"/>
          <w:highlight w:val="none"/>
          <w:lang w:val="en-US" w:eastAsia="zh-CN"/>
        </w:rPr>
        <w:t>XXX</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XXX</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rPr>
        <w:t>如在施工过程中，甲方以书面通知的方式要求增加、减少、变更工程设计和工程量而导致工程造价变更的，双方可以对该工程总造价进行相应变更，否则工程总造价不得以任何理由擅自变更，待工程竣工，验收合格，审计结束后，工程结算价以审计结果为准。</w:t>
      </w:r>
    </w:p>
    <w:p w14:paraId="500FDCC4">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本工程为交钥匙工程，施工产生垃圾由乙方负责及时处理，合同价款包括所有施工直接费用及损耗、管理费、税费，安全措施费等全部费用。</w:t>
      </w:r>
    </w:p>
    <w:p w14:paraId="72D8C480">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3、合同价款支付：</w:t>
      </w:r>
    </w:p>
    <w:p w14:paraId="658FDDBE">
      <w:pPr>
        <w:numPr>
          <w:ilvl w:val="0"/>
          <w:numId w:val="0"/>
        </w:num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本工程无预付款，工程完成验收合格后，付合同价款的80%，审计结束后，按审计结果付至审定价的97%，剩余3%在工程整体质量保修期结束后支付。工程整体质量保修期自</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lang w:val="en-US" w:eastAsia="zh-CN"/>
        </w:rPr>
        <w:t>贰</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其他相关专业工程质量保修期按照国家相关标准执行，工程整体</w:t>
      </w:r>
      <w:r>
        <w:rPr>
          <w:rFonts w:hint="eastAsia" w:ascii="仿宋" w:hAnsi="仿宋" w:eastAsia="仿宋" w:cs="仿宋"/>
          <w:color w:val="auto"/>
          <w:sz w:val="24"/>
          <w:szCs w:val="24"/>
          <w:highlight w:val="none"/>
        </w:rPr>
        <w:t>质保期满无质量问题一次性无息付清余款。乙方应于甲方每次付款前提供等额合规发票，否则甲方有权拒付合同款项，且不承担任何责任，乙方亦不得以此为由拒绝履行任意合同义务。</w:t>
      </w:r>
    </w:p>
    <w:p w14:paraId="1107316B">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现场指令和授权代表</w:t>
      </w:r>
    </w:p>
    <w:p w14:paraId="71F1B64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甲方的指令通知由其授权代表</w:t>
      </w:r>
      <w:r>
        <w:rPr>
          <w:rFonts w:hint="eastAsia" w:ascii="仿宋" w:hAnsi="仿宋" w:eastAsia="仿宋" w:cs="仿宋"/>
          <w:color w:val="auto"/>
          <w:sz w:val="24"/>
          <w:szCs w:val="24"/>
          <w:highlight w:val="none"/>
          <w:u w:val="single"/>
          <w:lang w:val="en-US" w:eastAsia="zh-CN"/>
        </w:rPr>
        <w:t>XXX</w:t>
      </w:r>
      <w:r>
        <w:rPr>
          <w:rFonts w:hint="eastAsia" w:ascii="仿宋" w:hAnsi="仿宋" w:eastAsia="仿宋" w:cs="仿宋"/>
          <w:color w:val="auto"/>
          <w:sz w:val="24"/>
          <w:szCs w:val="24"/>
          <w:highlight w:val="none"/>
        </w:rPr>
        <w:t>签字后，以书面形式交给乙方代表，乙方代表</w:t>
      </w:r>
      <w:r>
        <w:rPr>
          <w:rFonts w:hint="eastAsia" w:ascii="仿宋" w:hAnsi="仿宋" w:eastAsia="仿宋" w:cs="仿宋"/>
          <w:color w:val="auto"/>
          <w:sz w:val="24"/>
          <w:szCs w:val="24"/>
          <w:highlight w:val="none"/>
          <w:u w:val="single"/>
          <w:lang w:val="en-US" w:eastAsia="zh-CN"/>
        </w:rPr>
        <w:t>XXXX</w:t>
      </w:r>
      <w:r>
        <w:rPr>
          <w:rFonts w:hint="eastAsia" w:ascii="仿宋" w:hAnsi="仿宋" w:eastAsia="仿宋" w:cs="仿宋"/>
          <w:color w:val="auto"/>
          <w:sz w:val="24"/>
          <w:szCs w:val="24"/>
          <w:highlight w:val="none"/>
        </w:rPr>
        <w:t>在回执上签署姓名和收到时间后生效。</w:t>
      </w:r>
    </w:p>
    <w:p w14:paraId="43E90F06">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认为甲方指令不合理，应在收到指令后24小时内向甲方提出修改指令的书面报告。甲方应在收到乙方报告后24小时内做出修改或决定。乙方未在上述期限内向甲方提出修改指令的书面报告的，视为认可甲方指令。</w:t>
      </w:r>
    </w:p>
    <w:p w14:paraId="7BE16BEE">
      <w:pPr>
        <w:numPr>
          <w:ilvl w:val="0"/>
          <w:numId w:val="5"/>
        </w:num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甲方的工作</w:t>
      </w:r>
    </w:p>
    <w:p w14:paraId="2B04B4B9">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甲方按约定的时间和内容完成以下工作：</w:t>
      </w:r>
    </w:p>
    <w:p w14:paraId="5CA29FD8">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1、使维修场地具备施工条件，负责协调周边关系；</w:t>
      </w:r>
    </w:p>
    <w:p w14:paraId="50AAF950">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2、对乙方的维修提供必要的协助和方便。</w:t>
      </w:r>
    </w:p>
    <w:p w14:paraId="7D670B89">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七、</w:t>
      </w:r>
      <w:r>
        <w:rPr>
          <w:rFonts w:hint="eastAsia" w:ascii="仿宋" w:hAnsi="仿宋" w:eastAsia="仿宋" w:cs="仿宋"/>
          <w:b/>
          <w:color w:val="auto"/>
          <w:sz w:val="24"/>
          <w:szCs w:val="24"/>
          <w:highlight w:val="none"/>
        </w:rPr>
        <w:t>乙方义务</w:t>
      </w:r>
    </w:p>
    <w:p w14:paraId="1325D991">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1、根据工程需要，做好施工现场的保护工作。</w:t>
      </w:r>
    </w:p>
    <w:p w14:paraId="01C4235E">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2、遵守政府有关主管部门对施工场地交通、施工噪音以及场地保护和安全生产、消防安全等的管理。</w:t>
      </w:r>
    </w:p>
    <w:p w14:paraId="3549248F">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3、遵守政府有关主管部门对施工现场的管理规定并办理相关手续。否则，由此产生的损失和责任全部由乙方负责。</w:t>
      </w:r>
    </w:p>
    <w:p w14:paraId="53F098C6">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4、提供相应的临建，以保护工人能安全有效的施工。</w:t>
      </w:r>
    </w:p>
    <w:p w14:paraId="655154F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5、隐蔽工程和的检查验收：隐蔽工程具备验收条件，乙方自检合格后提前1日通知甲方参加隐蔽工程的检查验收，验收合格后方可继续施工。否则应拆除后再行验收，所造成的后果及损失由全部乙方承担。</w:t>
      </w:r>
    </w:p>
    <w:p w14:paraId="1C6B8791">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八、工期延误</w:t>
      </w:r>
    </w:p>
    <w:p w14:paraId="79427389">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1、因甲方原因造成的因素或不可抗力因素影响，由甲方授权的代表签字认可，工期顺延。</w:t>
      </w:r>
    </w:p>
    <w:p w14:paraId="65C41D88">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2、因乙方原因造成的工程延误，工期不予顺延。</w:t>
      </w:r>
    </w:p>
    <w:p w14:paraId="1B45E931">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九、售后与质保</w:t>
      </w:r>
    </w:p>
    <w:p w14:paraId="64F32D5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1、质保期：</w:t>
      </w:r>
      <w:r>
        <w:rPr>
          <w:rFonts w:hint="eastAsia" w:ascii="仿宋" w:hAnsi="仿宋" w:eastAsia="仿宋" w:cs="仿宋"/>
          <w:color w:val="auto"/>
          <w:sz w:val="24"/>
          <w:szCs w:val="24"/>
          <w:highlight w:val="none"/>
          <w:lang w:val="en-US" w:eastAsia="zh-CN"/>
        </w:rPr>
        <w:t>工程整体质量保修期自</w:t>
      </w:r>
      <w:r>
        <w:rPr>
          <w:rFonts w:hint="eastAsia" w:ascii="仿宋" w:hAnsi="仿宋" w:eastAsia="仿宋" w:cs="仿宋"/>
          <w:color w:val="auto"/>
          <w:sz w:val="24"/>
          <w:szCs w:val="24"/>
          <w:highlight w:val="none"/>
        </w:rPr>
        <w:t>验收合格之日起</w:t>
      </w:r>
      <w:r>
        <w:rPr>
          <w:rFonts w:hint="eastAsia" w:ascii="仿宋" w:hAnsi="仿宋" w:eastAsia="仿宋" w:cs="仿宋"/>
          <w:color w:val="auto"/>
          <w:sz w:val="24"/>
          <w:szCs w:val="24"/>
          <w:highlight w:val="none"/>
          <w:lang w:val="en-US" w:eastAsia="zh-CN"/>
        </w:rPr>
        <w:t>贰</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其他相关专业工程质量保修期按照国家相关标准执行</w:t>
      </w:r>
      <w:r>
        <w:rPr>
          <w:rFonts w:hint="eastAsia" w:ascii="仿宋" w:hAnsi="仿宋" w:eastAsia="仿宋" w:cs="仿宋"/>
          <w:color w:val="auto"/>
          <w:sz w:val="24"/>
          <w:szCs w:val="24"/>
          <w:highlight w:val="none"/>
        </w:rPr>
        <w:t>。</w:t>
      </w:r>
    </w:p>
    <w:p w14:paraId="2F869EB5">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2、售后：质保期内乙方在接到甲方维修通知后2小时内派员到达现场，24小时内排除故障或修复工程，否则甲方可委托其他单位或人员维修，所发生的费用甲方有权直接从</w:t>
      </w:r>
      <w:r>
        <w:rPr>
          <w:rFonts w:hint="eastAsia" w:ascii="仿宋" w:hAnsi="仿宋" w:eastAsia="仿宋" w:cs="仿宋"/>
          <w:color w:val="auto"/>
          <w:sz w:val="24"/>
          <w:szCs w:val="24"/>
          <w:highlight w:val="none"/>
          <w:lang w:val="en-US" w:eastAsia="zh-CN"/>
        </w:rPr>
        <w:t>剩余款项</w:t>
      </w:r>
      <w:r>
        <w:rPr>
          <w:rFonts w:hint="eastAsia" w:ascii="仿宋" w:hAnsi="仿宋" w:eastAsia="仿宋" w:cs="仿宋"/>
          <w:color w:val="auto"/>
          <w:sz w:val="24"/>
          <w:szCs w:val="24"/>
          <w:highlight w:val="none"/>
        </w:rPr>
        <w:t>中扣除，不足部分由乙方另行支付。</w:t>
      </w:r>
    </w:p>
    <w:p w14:paraId="6C930376">
      <w:pPr>
        <w:adjustRightInd w:val="0"/>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十、安全施工</w:t>
      </w:r>
    </w:p>
    <w:p w14:paraId="26B034B1">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1、乙方应严格按安全标准施工，并随时接受甲方和行业安全检查人员依法实施的监督检查。</w:t>
      </w:r>
    </w:p>
    <w:p w14:paraId="31FD577C">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2、文明施工，不得损坏附近建筑物及附属设备。否则，由此产生的损失和责任全部由乙方负责。</w:t>
      </w:r>
    </w:p>
    <w:p w14:paraId="6DE45E40">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3、乙方按有关规定采取严格的安全防护措施，承担由于乙方安全措施不力造成人员伤亡事故的责任和因此发生的费用。</w:t>
      </w:r>
    </w:p>
    <w:p w14:paraId="0573ED34">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4、因履行本合同造成甲方、乙方、甲乙双方工作人员或任意第三方人身损害或财产损失的，由乙方承担全部责任。</w:t>
      </w:r>
    </w:p>
    <w:p w14:paraId="2B04E61B">
      <w:pPr>
        <w:adjustRightInd w:val="0"/>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十一、不可抗力</w:t>
      </w:r>
    </w:p>
    <w:p w14:paraId="2FA712A6">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1、不可抗力包括战争、动乱、空中飞行物体坠落及其他非甲方、乙方责任造成的爆炸、火灾以及约定的十级以上大风，达80mm以上的日降雨、雪、洪水、五级以上的地震，零摄氏度以下的低温等自然原因。</w:t>
      </w:r>
    </w:p>
    <w:p w14:paraId="7F54DA94">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2、不可抗力事件发生后，乙方应在力所能及的条件下迅速采取措施，尽力减少损失。</w:t>
      </w:r>
    </w:p>
    <w:p w14:paraId="7252785A">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3、因不可抗力事件导致的费用及延误工期由双方按以下方法分别承担：</w:t>
      </w:r>
    </w:p>
    <w:p w14:paraId="4BCCE74B">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（1）人员伤亡由各自单位负责，并各自承担相应费用。</w:t>
      </w:r>
    </w:p>
    <w:p w14:paraId="4000D1DE">
      <w:pPr>
        <w:adjustRightInd w:val="0"/>
        <w:snapToGrid w:val="0"/>
        <w:spacing w:line="360" w:lineRule="auto"/>
        <w:ind w:firstLine="501" w:firstLineChars="20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（2）乙方机械设备损坏及停工损失，由乙方负责。</w:t>
      </w:r>
    </w:p>
    <w:p w14:paraId="4A9F760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（3）工程所需清理、修复费用，由甲方负责。延误工期相应顺延。</w:t>
      </w:r>
    </w:p>
    <w:p w14:paraId="652928D0">
      <w:pPr>
        <w:tabs>
          <w:tab w:val="left" w:pos="480"/>
        </w:tabs>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十二、</w:t>
      </w:r>
      <w:r>
        <w:rPr>
          <w:rFonts w:hint="eastAsia" w:ascii="仿宋" w:hAnsi="仿宋" w:eastAsia="仿宋" w:cs="仿宋"/>
          <w:b/>
          <w:color w:val="auto"/>
          <w:sz w:val="24"/>
          <w:szCs w:val="24"/>
          <w:highlight w:val="none"/>
          <w:lang w:val="en-US" w:eastAsia="zh-CN"/>
        </w:rPr>
        <w:t>违约责任</w:t>
      </w:r>
    </w:p>
    <w:p w14:paraId="2EE29A4E">
      <w:pPr>
        <w:adjustRightInd w:val="0"/>
        <w:snapToGrid w:val="0"/>
        <w:spacing w:line="360" w:lineRule="auto"/>
        <w:ind w:left="283" w:leftChars="135"/>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lang w:val="en-US" w:eastAsia="zh-CN"/>
        </w:rPr>
        <w:t xml:space="preserve">    （一）</w:t>
      </w:r>
      <w:r>
        <w:rPr>
          <w:rFonts w:hint="eastAsia" w:ascii="仿宋" w:hAnsi="仿宋" w:eastAsia="仿宋" w:cs="仿宋"/>
          <w:color w:val="auto"/>
          <w:sz w:val="24"/>
          <w:szCs w:val="24"/>
          <w:highlight w:val="none"/>
          <w:lang w:val="en-US" w:eastAsia="zh-Hans"/>
        </w:rPr>
        <w:t>乙方未按合同约定时限</w:t>
      </w:r>
      <w:r>
        <w:rPr>
          <w:rFonts w:hint="eastAsia" w:ascii="仿宋" w:hAnsi="仿宋" w:eastAsia="仿宋" w:cs="仿宋"/>
          <w:color w:val="auto"/>
          <w:sz w:val="24"/>
          <w:szCs w:val="24"/>
          <w:highlight w:val="none"/>
          <w:lang w:val="en-US" w:eastAsia="zh-CN"/>
        </w:rPr>
        <w:t>内竣工并交付甲方验收合格</w:t>
      </w:r>
      <w:r>
        <w:rPr>
          <w:rFonts w:hint="eastAsia" w:ascii="仿宋" w:hAnsi="仿宋" w:eastAsia="仿宋" w:cs="仿宋"/>
          <w:color w:val="auto"/>
          <w:sz w:val="24"/>
          <w:szCs w:val="24"/>
          <w:highlight w:val="none"/>
          <w:lang w:val="en-US" w:eastAsia="zh-Hans"/>
        </w:rPr>
        <w:t>的，每逾期</w:t>
      </w:r>
      <w:r>
        <w:rPr>
          <w:rFonts w:hint="eastAsia" w:ascii="仿宋" w:hAnsi="仿宋" w:eastAsia="仿宋" w:cs="仿宋"/>
          <w:color w:val="auto"/>
          <w:sz w:val="24"/>
          <w:szCs w:val="24"/>
          <w:highlight w:val="none"/>
          <w:lang w:eastAsia="zh-Hans"/>
        </w:rPr>
        <w:t>1</w:t>
      </w:r>
      <w:r>
        <w:rPr>
          <w:rFonts w:hint="eastAsia" w:ascii="仿宋" w:hAnsi="仿宋" w:eastAsia="仿宋" w:cs="仿宋"/>
          <w:color w:val="auto"/>
          <w:sz w:val="24"/>
          <w:szCs w:val="24"/>
          <w:highlight w:val="none"/>
          <w:lang w:val="en-US" w:eastAsia="zh-Hans"/>
        </w:rPr>
        <w:t>日，应支付合同价款</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的</w:t>
      </w:r>
      <w:r>
        <w:rPr>
          <w:rFonts w:hint="eastAsia" w:ascii="仿宋" w:hAnsi="仿宋" w:eastAsia="仿宋" w:cs="仿宋"/>
          <w:color w:val="auto"/>
          <w:sz w:val="24"/>
          <w:szCs w:val="24"/>
          <w:highlight w:val="none"/>
        </w:rPr>
        <w:t>违约金，</w:t>
      </w:r>
      <w:r>
        <w:rPr>
          <w:rFonts w:hint="eastAsia" w:ascii="仿宋" w:hAnsi="仿宋" w:eastAsia="仿宋" w:cs="仿宋"/>
          <w:color w:val="auto"/>
          <w:sz w:val="24"/>
          <w:szCs w:val="24"/>
          <w:highlight w:val="none"/>
          <w:lang w:val="en-US" w:eastAsia="zh-Hans"/>
        </w:rPr>
        <w:t>逾期超过【</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天的，</w:t>
      </w:r>
      <w:r>
        <w:rPr>
          <w:rFonts w:hint="eastAsia" w:ascii="仿宋" w:hAnsi="仿宋" w:eastAsia="仿宋" w:cs="仿宋"/>
          <w:color w:val="auto"/>
          <w:sz w:val="24"/>
          <w:szCs w:val="24"/>
          <w:highlight w:val="none"/>
          <w:lang w:val="en-US" w:eastAsia="zh-CN"/>
        </w:rPr>
        <w:t>视为乙方根本违约，</w:t>
      </w:r>
      <w:r>
        <w:rPr>
          <w:rFonts w:hint="eastAsia" w:ascii="仿宋" w:hAnsi="仿宋" w:eastAsia="仿宋" w:cs="仿宋"/>
          <w:color w:val="auto"/>
          <w:sz w:val="24"/>
          <w:szCs w:val="24"/>
          <w:highlight w:val="none"/>
          <w:lang w:val="en-US" w:eastAsia="zh-Hans"/>
        </w:rPr>
        <w:t>甲方有权单方解除合同，合同自甲方书面解除通知送达乙方之日起解除</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Hans"/>
        </w:rPr>
        <w:t>应向甲方支付合同价款【</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Hans"/>
        </w:rPr>
        <w:t>的违约金</w:t>
      </w:r>
      <w:r>
        <w:rPr>
          <w:rFonts w:hint="eastAsia" w:ascii="仿宋" w:hAnsi="仿宋" w:eastAsia="仿宋" w:cs="仿宋"/>
          <w:color w:val="auto"/>
          <w:sz w:val="24"/>
          <w:szCs w:val="24"/>
          <w:highlight w:val="none"/>
          <w:lang w:val="en-US" w:eastAsia="zh-CN"/>
        </w:rPr>
        <w:t>，违约金不足以赔偿甲方损失的，由乙方另行承担</w:t>
      </w:r>
      <w:r>
        <w:rPr>
          <w:rFonts w:hint="eastAsia" w:ascii="仿宋" w:hAnsi="仿宋" w:eastAsia="仿宋" w:cs="仿宋"/>
          <w:color w:val="auto"/>
          <w:sz w:val="24"/>
          <w:szCs w:val="24"/>
          <w:highlight w:val="none"/>
        </w:rPr>
        <w:t>。</w:t>
      </w:r>
    </w:p>
    <w:p w14:paraId="3B59C855">
      <w:pPr>
        <w:adjustRightInd w:val="0"/>
        <w:snapToGrid w:val="0"/>
        <w:spacing w:line="360" w:lineRule="auto"/>
        <w:ind w:left="283" w:leftChars="135"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若工程质量未能达到合同约定的标准，乙方应按甲方要求的时限返工，由此造成工程逾期的，</w:t>
      </w:r>
      <w:r>
        <w:rPr>
          <w:rFonts w:hint="eastAsia" w:ascii="仿宋" w:hAnsi="仿宋" w:eastAsia="仿宋" w:cs="仿宋"/>
          <w:color w:val="auto"/>
          <w:sz w:val="24"/>
          <w:szCs w:val="24"/>
          <w:highlight w:val="none"/>
          <w:lang w:val="en-US" w:eastAsia="zh-Hans"/>
        </w:rPr>
        <w:t>按照本合同</w:t>
      </w:r>
      <w:r>
        <w:rPr>
          <w:rFonts w:hint="eastAsia" w:ascii="仿宋" w:hAnsi="仿宋" w:eastAsia="仿宋" w:cs="仿宋"/>
          <w:color w:val="auto"/>
          <w:sz w:val="24"/>
          <w:szCs w:val="24"/>
          <w:highlight w:val="none"/>
          <w:lang w:val="en-US" w:eastAsia="zh-CN"/>
        </w:rPr>
        <w:t>第十二条第一款</w:t>
      </w:r>
      <w:r>
        <w:rPr>
          <w:rFonts w:hint="eastAsia" w:ascii="仿宋" w:hAnsi="仿宋" w:eastAsia="仿宋" w:cs="仿宋"/>
          <w:color w:val="auto"/>
          <w:sz w:val="24"/>
          <w:szCs w:val="24"/>
          <w:highlight w:val="none"/>
          <w:lang w:val="en-US" w:eastAsia="zh-Hans"/>
        </w:rPr>
        <w:t>的规定承担违约责任。</w:t>
      </w:r>
    </w:p>
    <w:p w14:paraId="4AA457AA">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十三、</w:t>
      </w:r>
      <w:r>
        <w:rPr>
          <w:rFonts w:hint="eastAsia" w:ascii="仿宋" w:hAnsi="仿宋" w:eastAsia="仿宋" w:cs="仿宋"/>
          <w:b/>
          <w:color w:val="auto"/>
          <w:sz w:val="24"/>
          <w:szCs w:val="24"/>
          <w:highlight w:val="none"/>
        </w:rPr>
        <w:t>合同争议解决的方式</w:t>
      </w:r>
    </w:p>
    <w:p w14:paraId="1690393C">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本合同在履行过程中发生的争议，由甲、乙双方当事人协商解决，协商不成的按以下第</w:t>
      </w:r>
      <w:r>
        <w:rPr>
          <w:rFonts w:hint="eastAsia" w:ascii="仿宋" w:hAnsi="仿宋" w:eastAsia="仿宋" w:cs="仿宋"/>
          <w:color w:val="auto"/>
          <w:sz w:val="24"/>
          <w:szCs w:val="24"/>
          <w:highlight w:val="none"/>
          <w:u w:val="single"/>
        </w:rPr>
        <w:sym w:font="Wingdings" w:char="F082"/>
      </w:r>
      <w:r>
        <w:rPr>
          <w:rFonts w:hint="eastAsia" w:ascii="仿宋" w:hAnsi="仿宋" w:eastAsia="仿宋" w:cs="仿宋"/>
          <w:color w:val="auto"/>
          <w:sz w:val="24"/>
          <w:szCs w:val="24"/>
          <w:highlight w:val="none"/>
        </w:rPr>
        <w:t>种方式解决：</w:t>
      </w:r>
    </w:p>
    <w:p w14:paraId="11BB2264">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1、提交</w:t>
      </w:r>
      <w:r>
        <w:rPr>
          <w:rFonts w:hint="eastAsia" w:ascii="仿宋" w:hAnsi="仿宋" w:eastAsia="仿宋" w:cs="仿宋"/>
          <w:color w:val="auto"/>
          <w:sz w:val="24"/>
          <w:szCs w:val="24"/>
          <w:highlight w:val="none"/>
          <w:lang w:val="en-US" w:eastAsia="zh-CN"/>
        </w:rPr>
        <w:t>靖边县</w:t>
      </w:r>
      <w:r>
        <w:rPr>
          <w:rFonts w:hint="eastAsia" w:ascii="仿宋" w:hAnsi="仿宋" w:eastAsia="仿宋" w:cs="仿宋"/>
          <w:color w:val="auto"/>
          <w:sz w:val="24"/>
          <w:szCs w:val="24"/>
          <w:highlight w:val="none"/>
        </w:rPr>
        <w:t>仲裁委员会仲裁；</w:t>
      </w:r>
    </w:p>
    <w:p w14:paraId="380E5EC0">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2、依法向甲方所在地人民法院起诉。</w:t>
      </w:r>
    </w:p>
    <w:p w14:paraId="164A2F0B">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、双方特别做出以下确认</w:t>
      </w:r>
    </w:p>
    <w:p w14:paraId="6029A37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1、双方已经仔细审阅本合同的内容，并完全了解本合同条款的法律含义。</w:t>
      </w:r>
    </w:p>
    <w:p w14:paraId="7FD92889">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2、双方确认，本合同是双方在自愿、平等、互利、公平、公正，协商一致的基础上达成的共识，双方对本合同中的所有条款均无任何异议。</w:t>
      </w:r>
    </w:p>
    <w:p w14:paraId="145B562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3、本合同自双方盖章签字之日生效。</w:t>
      </w:r>
    </w:p>
    <w:p w14:paraId="10B918F7">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4、本合同一式陆份，甲方肆份，乙方贰份，各份具有同等法律效力。</w:t>
      </w:r>
    </w:p>
    <w:p w14:paraId="7EF08D70">
      <w:pPr>
        <w:tabs>
          <w:tab w:val="left" w:pos="480"/>
        </w:tabs>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、其他事项</w:t>
      </w:r>
    </w:p>
    <w:p w14:paraId="09A9B3A4">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1、报价单、澄清表、中标通知书、合同附件均成为合同不可分割的部分。</w:t>
      </w:r>
    </w:p>
    <w:p w14:paraId="684BE721">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2、合同未尽事宜，由甲、乙双方协商、确认后，作为合同补充，与原合同具有同等法律效力。</w:t>
      </w:r>
    </w:p>
    <w:p w14:paraId="103B2AFD">
      <w:pPr>
        <w:tabs>
          <w:tab w:val="left" w:pos="48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3、合同一经签订，不得擅自变更、中止或终止合同。对确需变更、调整或中止、终止合同的，应按规定履行相应的手续。</w:t>
      </w:r>
    </w:p>
    <w:p w14:paraId="69A0C279">
      <w:pPr>
        <w:tabs>
          <w:tab w:val="left" w:pos="480"/>
        </w:tabs>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4、本合同按照中华人民共和国的现行法律进行解释。</w:t>
      </w:r>
    </w:p>
    <w:p w14:paraId="330C49FE">
      <w:pPr>
        <w:tabs>
          <w:tab w:val="left" w:pos="480"/>
        </w:tabs>
        <w:ind w:firstLine="480" w:firstLineChars="200"/>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（以下无正文）</w:t>
      </w:r>
    </w:p>
    <w:p w14:paraId="4D311565">
      <w:pPr>
        <w:tabs>
          <w:tab w:val="left" w:pos="480"/>
        </w:tabs>
        <w:rPr>
          <w:rFonts w:hint="eastAsia" w:ascii="仿宋" w:hAnsi="仿宋" w:eastAsia="仿宋" w:cs="仿宋"/>
          <w:color w:val="auto"/>
          <w:sz w:val="24"/>
          <w:szCs w:val="24"/>
          <w:highlight w:val="none"/>
        </w:rPr>
      </w:pPr>
    </w:p>
    <w:p w14:paraId="785AAAF4">
      <w:pPr>
        <w:tabs>
          <w:tab w:val="left" w:pos="480"/>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甲方（公章）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乙方（公章）</w:t>
      </w:r>
    </w:p>
    <w:p w14:paraId="7BDE5675">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rPr>
      </w:pPr>
    </w:p>
    <w:p w14:paraId="5752C17D">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rPr>
      </w:pPr>
    </w:p>
    <w:p w14:paraId="59C16AED">
      <w:pPr>
        <w:pageBreakBefore w:val="0"/>
        <w:widowControl w:val="0"/>
        <w:tabs>
          <w:tab w:val="left" w:pos="480"/>
        </w:tabs>
        <w:kinsoku/>
        <w:wordWrap/>
        <w:overflowPunct/>
        <w:topLinePunct w:val="0"/>
        <w:autoSpaceDE/>
        <w:autoSpaceDN/>
        <w:bidi w:val="0"/>
        <w:adjustRightInd/>
        <w:snapToGrid/>
        <w:spacing w:line="240" w:lineRule="auto"/>
        <w:ind w:left="6160" w:hanging="5280" w:hangingChars="2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单位名称：靖边县人民医院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单位名称:</w:t>
      </w:r>
    </w:p>
    <w:p w14:paraId="24C87A5E">
      <w:pPr>
        <w:pageBreakBefore w:val="0"/>
        <w:widowControl w:val="0"/>
        <w:tabs>
          <w:tab w:val="left" w:pos="480"/>
        </w:tabs>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w:t>
      </w:r>
    </w:p>
    <w:p w14:paraId="743A0C09">
      <w:pPr>
        <w:pageBreakBefore w:val="0"/>
        <w:widowControl w:val="0"/>
        <w:tabs>
          <w:tab w:val="left" w:pos="480"/>
        </w:tabs>
        <w:kinsoku/>
        <w:wordWrap/>
        <w:overflowPunct/>
        <w:topLinePunct w:val="0"/>
        <w:autoSpaceDE/>
        <w:autoSpaceDN/>
        <w:bidi w:val="0"/>
        <w:adjustRightInd/>
        <w:snapToGrid/>
        <w:spacing w:line="240" w:lineRule="auto"/>
        <w:ind w:left="6440" w:hanging="5520" w:hangingChars="2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w:t>
      </w:r>
    </w:p>
    <w:p w14:paraId="4721D65B">
      <w:pPr>
        <w:tabs>
          <w:tab w:val="left" w:pos="480"/>
        </w:tabs>
        <w:jc w:val="left"/>
        <w:rPr>
          <w:rFonts w:hint="eastAsia" w:ascii="仿宋" w:hAnsi="仿宋" w:eastAsia="仿宋" w:cs="仿宋"/>
          <w:color w:val="auto"/>
          <w:sz w:val="24"/>
          <w:szCs w:val="24"/>
          <w:highlight w:val="none"/>
        </w:rPr>
      </w:pPr>
    </w:p>
    <w:p w14:paraId="23627991">
      <w:pPr>
        <w:tabs>
          <w:tab w:val="left" w:pos="480"/>
        </w:tabs>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     </w:t>
      </w:r>
      <w:r>
        <w:rPr>
          <w:rFonts w:hint="eastAsia" w:ascii="仿宋" w:hAnsi="仿宋" w:eastAsia="仿宋" w:cs="仿宋"/>
          <w:color w:val="auto"/>
          <w:sz w:val="24"/>
          <w:szCs w:val="24"/>
          <w:highlight w:val="none"/>
          <w:lang w:val="en-US" w:eastAsia="zh-CN"/>
        </w:rPr>
        <w:t xml:space="preserve">           </w:t>
      </w:r>
    </w:p>
    <w:p w14:paraId="7C086660">
      <w:pPr>
        <w:tabs>
          <w:tab w:val="left" w:pos="480"/>
        </w:tabs>
        <w:ind w:firstLine="4320" w:firstLineChars="18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开户银行: </w:t>
      </w:r>
    </w:p>
    <w:p w14:paraId="3A050060">
      <w:pPr>
        <w:ind w:firstLine="4320" w:firstLineChars="18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号：</w:t>
      </w:r>
    </w:p>
    <w:p w14:paraId="4A78B25C">
      <w:pPr>
        <w:pStyle w:val="2"/>
        <w:bidi w:val="0"/>
        <w:jc w:val="both"/>
        <w:rPr>
          <w:rFonts w:hint="eastAsia" w:ascii="仿宋" w:hAnsi="仿宋" w:eastAsia="仿宋" w:cs="仿宋"/>
          <w:color w:val="auto"/>
          <w:sz w:val="24"/>
          <w:szCs w:val="24"/>
          <w:highlight w:val="none"/>
        </w:rPr>
      </w:pPr>
      <w:bookmarkStart w:id="453" w:name="_Toc10709"/>
      <w:bookmarkStart w:id="454" w:name="_Toc22366"/>
      <w:r>
        <w:rPr>
          <w:rFonts w:hint="eastAsia" w:ascii="仿宋" w:hAnsi="仿宋" w:eastAsia="仿宋" w:cs="仿宋"/>
          <w:color w:val="auto"/>
          <w:sz w:val="24"/>
          <w:szCs w:val="24"/>
          <w:highlight w:val="none"/>
        </w:rPr>
        <w:t xml:space="preserve">签订日期：    年    月    日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签订日期：    年    月    日</w:t>
      </w:r>
      <w:bookmarkEnd w:id="453"/>
      <w:bookmarkEnd w:id="454"/>
    </w:p>
    <w:p w14:paraId="5797773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7743660">
      <w:pPr>
        <w:pStyle w:val="2"/>
        <w:bidi w:val="0"/>
        <w:rPr>
          <w:rFonts w:hint="eastAsia" w:ascii="仿宋" w:hAnsi="仿宋" w:eastAsia="仿宋" w:cs="仿宋"/>
          <w:color w:val="auto"/>
          <w:highlight w:val="none"/>
          <w:lang w:val="en-US" w:eastAsia="zh-CN"/>
        </w:rPr>
      </w:pPr>
      <w:bookmarkStart w:id="455" w:name="_Toc6106"/>
      <w:r>
        <w:rPr>
          <w:rFonts w:hint="eastAsia" w:ascii="仿宋" w:hAnsi="仿宋" w:eastAsia="仿宋" w:cs="仿宋"/>
          <w:color w:val="auto"/>
          <w:highlight w:val="none"/>
        </w:rPr>
        <w:t>第五章  采购需求及</w:t>
      </w:r>
      <w:r>
        <w:rPr>
          <w:rFonts w:hint="eastAsia" w:ascii="仿宋" w:hAnsi="仿宋" w:eastAsia="仿宋" w:cs="仿宋"/>
          <w:color w:val="auto"/>
          <w:highlight w:val="none"/>
          <w:lang w:val="en-US" w:eastAsia="zh-CN"/>
        </w:rPr>
        <w:t>参数</w:t>
      </w:r>
      <w:r>
        <w:rPr>
          <w:rFonts w:hint="eastAsia" w:ascii="仿宋" w:hAnsi="仿宋" w:eastAsia="仿宋" w:cs="仿宋"/>
          <w:color w:val="auto"/>
          <w:highlight w:val="none"/>
        </w:rPr>
        <w:t>要求</w:t>
      </w:r>
      <w:bookmarkEnd w:id="455"/>
    </w:p>
    <w:p w14:paraId="24323734">
      <w:pP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一、采购需求</w:t>
      </w:r>
    </w:p>
    <w:p w14:paraId="71C2A786">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合同包1</w:t>
      </w:r>
    </w:p>
    <w:p w14:paraId="6C34B404">
      <w:pPr>
        <w:spacing w:before="91" w:line="222" w:lineRule="auto"/>
        <w:ind w:left="3720"/>
        <w:outlineLvl w:val="0"/>
        <w:rPr>
          <w:rFonts w:hint="eastAsia" w:ascii="仿宋" w:hAnsi="仿宋" w:eastAsia="仿宋" w:cs="仿宋"/>
          <w:color w:val="auto"/>
          <w:sz w:val="24"/>
          <w:szCs w:val="24"/>
          <w:highlight w:val="none"/>
        </w:rPr>
      </w:pPr>
      <w:bookmarkStart w:id="456" w:name="_Toc17773"/>
      <w:bookmarkStart w:id="457" w:name="_Toc30951"/>
      <w:r>
        <w:rPr>
          <w:rFonts w:hint="eastAsia" w:ascii="仿宋" w:hAnsi="仿宋" w:eastAsia="仿宋" w:cs="仿宋"/>
          <w:b/>
          <w:bCs/>
          <w:color w:val="auto"/>
          <w:spacing w:val="-6"/>
          <w:sz w:val="24"/>
          <w:szCs w:val="24"/>
          <w:highlight w:val="none"/>
        </w:rPr>
        <w:t>1.血液透析机参数</w:t>
      </w:r>
      <w:bookmarkEnd w:id="456"/>
      <w:bookmarkEnd w:id="457"/>
    </w:p>
    <w:p w14:paraId="12D961B3">
      <w:pPr>
        <w:keepNext w:val="0"/>
        <w:keepLines w:val="0"/>
        <w:pageBreakBefore w:val="0"/>
        <w:widowControl w:val="0"/>
        <w:kinsoku/>
        <w:wordWrap/>
        <w:overflowPunct/>
        <w:topLinePunct w:val="0"/>
        <w:autoSpaceDE/>
        <w:autoSpaceDN/>
        <w:bidi w:val="0"/>
        <w:adjustRightInd/>
        <w:snapToGrid/>
        <w:spacing w:before="91" w:line="360" w:lineRule="auto"/>
        <w:ind w:left="9"/>
        <w:textAlignment w:val="auto"/>
        <w:outlineLvl w:val="1"/>
        <w:rPr>
          <w:rFonts w:hint="eastAsia" w:ascii="仿宋" w:hAnsi="仿宋" w:eastAsia="仿宋" w:cs="仿宋"/>
          <w:color w:val="auto"/>
          <w:sz w:val="24"/>
          <w:szCs w:val="24"/>
          <w:highlight w:val="none"/>
        </w:rPr>
      </w:pPr>
      <w:bookmarkStart w:id="458" w:name="_Toc31378"/>
      <w:bookmarkStart w:id="459" w:name="_Toc2304"/>
      <w:r>
        <w:rPr>
          <w:rFonts w:hint="eastAsia" w:ascii="仿宋" w:hAnsi="仿宋" w:eastAsia="仿宋" w:cs="仿宋"/>
          <w:b/>
          <w:bCs/>
          <w:color w:val="auto"/>
          <w:spacing w:val="-6"/>
          <w:sz w:val="24"/>
          <w:szCs w:val="24"/>
          <w:highlight w:val="none"/>
        </w:rPr>
        <w:t>一、基本要求</w:t>
      </w:r>
      <w:bookmarkEnd w:id="458"/>
      <w:bookmarkEnd w:id="459"/>
    </w:p>
    <w:p w14:paraId="3F2E872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1.1≥10 英寸彩色液晶触摸显示屏，设备报警灯与显示器一体化设计。</w:t>
      </w:r>
    </w:p>
    <w:p w14:paraId="7500841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 水电上下分离设计，单独水路控制。</w:t>
      </w:r>
    </w:p>
    <w:p w14:paraId="5E099A0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1.3 标配原装内置电池，停电后可连续工作≥15分钟，不丢失数据，压力监测、漏血和气泡检测功能正常工作。</w:t>
      </w:r>
    </w:p>
    <w:p w14:paraId="06EA3CE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1.4 工作寿命≥10 年。</w:t>
      </w:r>
    </w:p>
    <w:p w14:paraId="5D545D0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1.5 每台血液透析机配 1 台护理床。</w:t>
      </w:r>
    </w:p>
    <w:p w14:paraId="10DBB9B1">
      <w:pPr>
        <w:keepNext w:val="0"/>
        <w:keepLines w:val="0"/>
        <w:pageBreakBefore w:val="0"/>
        <w:widowControl w:val="0"/>
        <w:kinsoku/>
        <w:wordWrap/>
        <w:overflowPunct/>
        <w:topLinePunct w:val="0"/>
        <w:autoSpaceDE/>
        <w:autoSpaceDN/>
        <w:bidi w:val="0"/>
        <w:adjustRightInd/>
        <w:snapToGrid/>
        <w:spacing w:before="91" w:line="360" w:lineRule="auto"/>
        <w:ind w:left="14"/>
        <w:textAlignment w:val="auto"/>
        <w:outlineLvl w:val="1"/>
        <w:rPr>
          <w:rFonts w:hint="eastAsia" w:ascii="仿宋" w:hAnsi="仿宋" w:eastAsia="仿宋" w:cs="仿宋"/>
          <w:color w:val="auto"/>
          <w:sz w:val="24"/>
          <w:szCs w:val="24"/>
          <w:highlight w:val="none"/>
        </w:rPr>
      </w:pPr>
      <w:bookmarkStart w:id="460" w:name="_Toc8181"/>
      <w:bookmarkStart w:id="461" w:name="_Toc24884"/>
      <w:r>
        <w:rPr>
          <w:rFonts w:hint="eastAsia" w:ascii="仿宋" w:hAnsi="仿宋" w:eastAsia="仿宋" w:cs="仿宋"/>
          <w:b/>
          <w:bCs/>
          <w:color w:val="auto"/>
          <w:spacing w:val="-5"/>
          <w:sz w:val="24"/>
          <w:szCs w:val="24"/>
          <w:highlight w:val="none"/>
        </w:rPr>
        <w:t>二、治疗模式与耗材兼容性</w:t>
      </w:r>
      <w:bookmarkEnd w:id="460"/>
      <w:bookmarkEnd w:id="461"/>
    </w:p>
    <w:p w14:paraId="2155423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 支持碳酸氢盐、醋酸盐常规透析。</w:t>
      </w:r>
    </w:p>
    <w:p w14:paraId="444ADAE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2.2 治疗耗材全开放（血路管、原液配方等无限制）。</w:t>
      </w:r>
    </w:p>
    <w:p w14:paraId="5D7E04E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2.3 配有透析液过滤器支架和透析液过滤器，单支可使用≥900 小时或≥150 人次；能监测滤器使用寿命并提示更换。</w:t>
      </w:r>
    </w:p>
    <w:p w14:paraId="609F92F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2.4 具备碳酸氢盐干粉自动配制系统，标配新型联机B粉接口。</w:t>
      </w:r>
    </w:p>
    <w:p w14:paraId="2475367C">
      <w:pPr>
        <w:keepNext w:val="0"/>
        <w:keepLines w:val="0"/>
        <w:pageBreakBefore w:val="0"/>
        <w:widowControl w:val="0"/>
        <w:kinsoku/>
        <w:wordWrap/>
        <w:overflowPunct/>
        <w:topLinePunct w:val="0"/>
        <w:autoSpaceDE/>
        <w:autoSpaceDN/>
        <w:bidi w:val="0"/>
        <w:adjustRightInd/>
        <w:snapToGrid/>
        <w:spacing w:before="92" w:line="360" w:lineRule="auto"/>
        <w:ind w:left="13"/>
        <w:textAlignment w:val="auto"/>
        <w:outlineLvl w:val="1"/>
        <w:rPr>
          <w:rFonts w:hint="eastAsia" w:ascii="仿宋" w:hAnsi="仿宋" w:eastAsia="仿宋" w:cs="仿宋"/>
          <w:color w:val="auto"/>
          <w:sz w:val="24"/>
          <w:szCs w:val="24"/>
          <w:highlight w:val="none"/>
        </w:rPr>
      </w:pPr>
      <w:bookmarkStart w:id="462" w:name="_Toc1507"/>
      <w:bookmarkStart w:id="463" w:name="_Toc2065"/>
      <w:r>
        <w:rPr>
          <w:rFonts w:hint="eastAsia" w:ascii="仿宋" w:hAnsi="仿宋" w:eastAsia="仿宋" w:cs="仿宋"/>
          <w:b/>
          <w:bCs/>
          <w:color w:val="auto"/>
          <w:spacing w:val="-6"/>
          <w:sz w:val="24"/>
          <w:szCs w:val="24"/>
          <w:highlight w:val="none"/>
        </w:rPr>
        <w:t>三、监测与保护功能</w:t>
      </w:r>
      <w:bookmarkEnd w:id="462"/>
      <w:bookmarkEnd w:id="463"/>
    </w:p>
    <w:p w14:paraId="3D90D74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3.1 压力监测 动脉压：-400~+400mmHg，精度±10mmHg；静脉压：-50~+390mmHg，精度±10mmHg；跨膜压：-100~+700mmHg，精度±20mmHg。</w:t>
      </w:r>
    </w:p>
    <w:p w14:paraId="7017E8C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3.2 漏血检测采用光学原理检测 。</w:t>
      </w:r>
    </w:p>
    <w:p w14:paraId="1E0D791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3.3 具有气泡超声监测及液位监测功能。</w:t>
      </w:r>
    </w:p>
    <w:p w14:paraId="70EE661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3.4 电导度监测：监测总电导度；监测范围 13~15mS/cm （25℃) , 精度±0.1mS/cm。</w:t>
      </w:r>
    </w:p>
    <w:p w14:paraId="36C0FA2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5</w:t>
      </w:r>
      <w:r>
        <w:rPr>
          <w:rFonts w:hint="eastAsia" w:ascii="仿宋" w:hAnsi="仿宋" w:eastAsia="仿宋" w:cs="仿宋"/>
          <w:color w:val="auto"/>
          <w:spacing w:val="-2"/>
          <w:sz w:val="24"/>
          <w:szCs w:val="24"/>
          <w:highlight w:val="none"/>
        </w:rPr>
        <w:t xml:space="preserve"> 具有透析液温度监测和超温保护功能。</w:t>
      </w:r>
    </w:p>
    <w:p w14:paraId="5877957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rPr>
        <w:t xml:space="preserve"> 具备血温监测功能，可实时监测患者血液温度并异常报警；</w:t>
      </w:r>
    </w:p>
    <w:p w14:paraId="3F0DA48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rPr>
        <w:t xml:space="preserve"> 具备血容量监测功能。</w:t>
      </w:r>
    </w:p>
    <w:p w14:paraId="33592201">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color w:val="auto"/>
          <w:sz w:val="24"/>
          <w:szCs w:val="24"/>
          <w:highlight w:val="none"/>
        </w:rPr>
      </w:pPr>
      <w:bookmarkStart w:id="464" w:name="_Toc27203"/>
      <w:bookmarkStart w:id="465" w:name="_Toc16154"/>
      <w:r>
        <w:rPr>
          <w:rFonts w:hint="eastAsia" w:ascii="仿宋" w:hAnsi="仿宋" w:eastAsia="仿宋" w:cs="仿宋"/>
          <w:b/>
          <w:bCs/>
          <w:color w:val="auto"/>
          <w:spacing w:val="-8"/>
          <w:sz w:val="24"/>
          <w:szCs w:val="24"/>
          <w:highlight w:val="none"/>
        </w:rPr>
        <w:t>四、超滤与脱水控制</w:t>
      </w:r>
      <w:bookmarkEnd w:id="464"/>
      <w:bookmarkEnd w:id="465"/>
    </w:p>
    <w:p w14:paraId="3D796FE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4.1 超滤控制采用容量式平衡腔/双容量平衡腔控制，超滤精度≤1%。</w:t>
      </w:r>
    </w:p>
    <w:p w14:paraId="3862B98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4.2 超滤率调节：脱水速度 0-4000ml/h 连续可调，超滤泵精度±1%，平衡精确度为透析液总量的±0.1%。</w:t>
      </w:r>
    </w:p>
    <w:p w14:paraId="2E93AD9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rPr>
        <w:t xml:space="preserve"> 具备水路密闭性检测。</w:t>
      </w:r>
    </w:p>
    <w:p w14:paraId="1B464A55">
      <w:pPr>
        <w:keepNext w:val="0"/>
        <w:keepLines w:val="0"/>
        <w:pageBreakBefore w:val="0"/>
        <w:widowControl w:val="0"/>
        <w:kinsoku/>
        <w:wordWrap/>
        <w:overflowPunct/>
        <w:topLinePunct w:val="0"/>
        <w:autoSpaceDE/>
        <w:autoSpaceDN/>
        <w:bidi w:val="0"/>
        <w:adjustRightInd/>
        <w:snapToGrid/>
        <w:spacing w:before="92" w:line="360" w:lineRule="auto"/>
        <w:ind w:left="14"/>
        <w:textAlignment w:val="auto"/>
        <w:outlineLvl w:val="1"/>
        <w:rPr>
          <w:rFonts w:hint="eastAsia" w:ascii="仿宋" w:hAnsi="仿宋" w:eastAsia="仿宋" w:cs="仿宋"/>
          <w:color w:val="auto"/>
          <w:sz w:val="24"/>
          <w:szCs w:val="24"/>
          <w:highlight w:val="none"/>
        </w:rPr>
      </w:pPr>
      <w:bookmarkStart w:id="466" w:name="_Toc20416"/>
      <w:bookmarkStart w:id="467" w:name="_Toc12448"/>
      <w:r>
        <w:rPr>
          <w:rFonts w:hint="eastAsia" w:ascii="仿宋" w:hAnsi="仿宋" w:eastAsia="仿宋" w:cs="仿宋"/>
          <w:b/>
          <w:bCs/>
          <w:color w:val="auto"/>
          <w:spacing w:val="-5"/>
          <w:sz w:val="24"/>
          <w:szCs w:val="24"/>
          <w:highlight w:val="none"/>
        </w:rPr>
        <w:t>五、流量与温度控制</w:t>
      </w:r>
      <w:bookmarkEnd w:id="466"/>
      <w:bookmarkEnd w:id="467"/>
    </w:p>
    <w:p w14:paraId="3CDC4AF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5.1 血泵流量范围 50~600ml/min 可调，步长≤10ml/min，精度≤±10%。   </w:t>
      </w:r>
    </w:p>
    <w:p w14:paraId="66ECEBF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5.2 透析液流量范围 300~800ml/min，精度±10%，可根据有效血流量智能匹配流速。</w:t>
      </w:r>
    </w:p>
    <w:p w14:paraId="60AA221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5.3 透析液温度控制范围35℃~39℃ , 精度±0.5℃。</w:t>
      </w:r>
    </w:p>
    <w:p w14:paraId="4FB79A0D">
      <w:pPr>
        <w:keepNext w:val="0"/>
        <w:keepLines w:val="0"/>
        <w:pageBreakBefore w:val="0"/>
        <w:widowControl w:val="0"/>
        <w:kinsoku/>
        <w:wordWrap/>
        <w:overflowPunct/>
        <w:topLinePunct w:val="0"/>
        <w:autoSpaceDE/>
        <w:autoSpaceDN/>
        <w:bidi w:val="0"/>
        <w:adjustRightInd/>
        <w:snapToGrid/>
        <w:spacing w:before="92" w:line="360" w:lineRule="auto"/>
        <w:ind w:left="12"/>
        <w:textAlignment w:val="auto"/>
        <w:outlineLvl w:val="1"/>
        <w:rPr>
          <w:rFonts w:hint="eastAsia" w:ascii="仿宋" w:hAnsi="仿宋" w:eastAsia="仿宋" w:cs="仿宋"/>
          <w:b/>
          <w:bCs/>
          <w:color w:val="auto"/>
          <w:spacing w:val="-4"/>
          <w:sz w:val="24"/>
          <w:szCs w:val="24"/>
          <w:highlight w:val="none"/>
        </w:rPr>
      </w:pPr>
      <w:bookmarkStart w:id="468" w:name="_Toc10749"/>
      <w:bookmarkStart w:id="469" w:name="_Toc2493"/>
      <w:r>
        <w:rPr>
          <w:rFonts w:hint="eastAsia" w:ascii="仿宋" w:hAnsi="仿宋" w:eastAsia="仿宋" w:cs="仿宋"/>
          <w:b/>
          <w:bCs/>
          <w:color w:val="auto"/>
          <w:spacing w:val="-4"/>
          <w:sz w:val="24"/>
          <w:szCs w:val="24"/>
          <w:highlight w:val="none"/>
        </w:rPr>
        <w:t>六、个性化治疗与评估</w:t>
      </w:r>
      <w:bookmarkEnd w:id="468"/>
      <w:bookmarkEnd w:id="469"/>
    </w:p>
    <w:p w14:paraId="5CEA172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6.1 治疗曲线功能:支持钠离子、碳酸盐、肝素、透析液流量、透析液温度、超滤六大曲线；≥8 种固定超滤曲线。</w:t>
      </w:r>
    </w:p>
    <w:p w14:paraId="526BD3F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6.2 具有实时清除率监测 Kt/V 功能（软件+硬件），无需耗材，非计算值，可实时测量并图形显示清除率 K 值、Kt/V 值，可显示血浆钠浓度。</w:t>
      </w:r>
    </w:p>
    <w:p w14:paraId="4CB00ECF">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0" w:name="_Toc12378"/>
      <w:bookmarkStart w:id="471" w:name="_Toc9159"/>
      <w:r>
        <w:rPr>
          <w:rFonts w:hint="eastAsia" w:ascii="仿宋" w:hAnsi="仿宋" w:eastAsia="仿宋" w:cs="仿宋"/>
          <w:b w:val="0"/>
          <w:bCs w:val="0"/>
          <w:color w:val="auto"/>
          <w:spacing w:val="-8"/>
          <w:sz w:val="24"/>
          <w:szCs w:val="24"/>
          <w:highlight w:val="none"/>
        </w:rPr>
        <w:t>6.3 具有透析过程补液功能，可自动累计计算总补液量。</w:t>
      </w:r>
      <w:bookmarkEnd w:id="470"/>
      <w:bookmarkEnd w:id="471"/>
    </w:p>
    <w:p w14:paraId="29819CE2">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2" w:name="_Toc21947"/>
      <w:bookmarkStart w:id="473" w:name="_Toc17144"/>
      <w:r>
        <w:rPr>
          <w:rFonts w:hint="eastAsia" w:ascii="仿宋" w:hAnsi="仿宋" w:eastAsia="仿宋" w:cs="仿宋"/>
          <w:b w:val="0"/>
          <w:bCs w:val="0"/>
          <w:color w:val="auto"/>
          <w:spacing w:val="-8"/>
          <w:sz w:val="24"/>
          <w:szCs w:val="24"/>
          <w:highlight w:val="none"/>
        </w:rPr>
        <w:t>6.4 具备定时器提醒功能。</w:t>
      </w:r>
      <w:bookmarkEnd w:id="472"/>
      <w:bookmarkEnd w:id="473"/>
    </w:p>
    <w:p w14:paraId="1E8C66D7">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bCs/>
          <w:color w:val="auto"/>
          <w:spacing w:val="-8"/>
          <w:sz w:val="24"/>
          <w:szCs w:val="24"/>
          <w:highlight w:val="none"/>
        </w:rPr>
      </w:pPr>
      <w:bookmarkStart w:id="474" w:name="_Toc12057"/>
      <w:bookmarkStart w:id="475" w:name="_Toc11053"/>
      <w:r>
        <w:rPr>
          <w:rFonts w:hint="eastAsia" w:ascii="仿宋" w:hAnsi="仿宋" w:eastAsia="仿宋" w:cs="仿宋"/>
          <w:b/>
          <w:bCs/>
          <w:color w:val="auto"/>
          <w:spacing w:val="-8"/>
          <w:sz w:val="24"/>
          <w:szCs w:val="24"/>
          <w:highlight w:val="none"/>
        </w:rPr>
        <w:t>七、辅助功能与消毒维护</w:t>
      </w:r>
      <w:bookmarkEnd w:id="474"/>
      <w:bookmarkEnd w:id="475"/>
    </w:p>
    <w:p w14:paraId="21DED883">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6" w:name="_Toc14356"/>
      <w:bookmarkStart w:id="477" w:name="_Toc11709"/>
      <w:r>
        <w:rPr>
          <w:rFonts w:hint="eastAsia" w:ascii="仿宋" w:hAnsi="仿宋" w:eastAsia="仿宋" w:cs="仿宋"/>
          <w:b w:val="0"/>
          <w:bCs w:val="0"/>
          <w:color w:val="auto"/>
          <w:spacing w:val="-8"/>
          <w:sz w:val="24"/>
          <w:szCs w:val="24"/>
          <w:highlight w:val="none"/>
        </w:rPr>
        <w:t>7.1 标配血压监测组件，可实时监测血压、心率变化，数据可在屏幕显示；</w:t>
      </w:r>
      <w:bookmarkEnd w:id="476"/>
      <w:bookmarkEnd w:id="477"/>
    </w:p>
    <w:p w14:paraId="6842274C">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78" w:name="_Toc18503"/>
      <w:bookmarkStart w:id="479" w:name="_Toc4026"/>
      <w:r>
        <w:rPr>
          <w:rFonts w:hint="eastAsia" w:ascii="仿宋" w:hAnsi="仿宋" w:eastAsia="仿宋" w:cs="仿宋"/>
          <w:b w:val="0"/>
          <w:bCs w:val="0"/>
          <w:color w:val="auto"/>
          <w:spacing w:val="-8"/>
          <w:sz w:val="24"/>
          <w:szCs w:val="24"/>
          <w:highlight w:val="none"/>
        </w:rPr>
        <w:t>7.2 监测范围：收缩压 30~280mmHg、舒张压 10~240mmHg，血压分辨率 1mmHg，心率分辨率 1/min。</w:t>
      </w:r>
      <w:bookmarkEnd w:id="478"/>
      <w:bookmarkEnd w:id="479"/>
    </w:p>
    <w:p w14:paraId="0A00FFC9">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0" w:name="_Toc20792"/>
      <w:bookmarkStart w:id="481" w:name="_Toc24806"/>
      <w:r>
        <w:rPr>
          <w:rFonts w:hint="eastAsia" w:ascii="仿宋" w:hAnsi="仿宋" w:eastAsia="仿宋" w:cs="仿宋"/>
          <w:b w:val="0"/>
          <w:bCs w:val="0"/>
          <w:color w:val="auto"/>
          <w:spacing w:val="-8"/>
          <w:sz w:val="24"/>
          <w:szCs w:val="24"/>
          <w:highlight w:val="none"/>
        </w:rPr>
        <w:t>7.3 具有自检功能、维修菜单、故障自我诊断功能。</w:t>
      </w:r>
      <w:bookmarkEnd w:id="480"/>
      <w:bookmarkEnd w:id="481"/>
    </w:p>
    <w:p w14:paraId="280CE522">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2" w:name="_Toc11126"/>
      <w:bookmarkStart w:id="483" w:name="_Toc6380"/>
      <w:r>
        <w:rPr>
          <w:rFonts w:hint="eastAsia" w:ascii="仿宋" w:hAnsi="仿宋" w:eastAsia="仿宋" w:cs="仿宋"/>
          <w:b w:val="0"/>
          <w:bCs w:val="0"/>
          <w:color w:val="auto"/>
          <w:spacing w:val="-8"/>
          <w:sz w:val="24"/>
          <w:szCs w:val="24"/>
          <w:highlight w:val="none"/>
        </w:rPr>
        <w:t>7.4 具有待机模式，可将透析液一侧关闭。</w:t>
      </w:r>
      <w:bookmarkEnd w:id="482"/>
      <w:bookmarkEnd w:id="483"/>
    </w:p>
    <w:p w14:paraId="324331FD">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4" w:name="_Toc32315"/>
      <w:bookmarkStart w:id="485" w:name="_Toc5544"/>
      <w:r>
        <w:rPr>
          <w:rFonts w:hint="eastAsia" w:ascii="仿宋" w:hAnsi="仿宋" w:eastAsia="仿宋" w:cs="仿宋"/>
          <w:b w:val="0"/>
          <w:bCs w:val="0"/>
          <w:color w:val="auto"/>
          <w:spacing w:val="-8"/>
          <w:sz w:val="24"/>
          <w:szCs w:val="24"/>
          <w:highlight w:val="none"/>
        </w:rPr>
        <w:t>7.5 消毒程序:具备水、热、化学等消毒模式，消毒、除钙、管路自动消毒一次完成，总时长≤35 分钟。</w:t>
      </w:r>
      <w:bookmarkEnd w:id="484"/>
      <w:bookmarkEnd w:id="485"/>
    </w:p>
    <w:p w14:paraId="5827E5CD">
      <w:pPr>
        <w:keepNext w:val="0"/>
        <w:keepLines w:val="0"/>
        <w:pageBreakBefore w:val="0"/>
        <w:widowControl w:val="0"/>
        <w:kinsoku/>
        <w:wordWrap/>
        <w:overflowPunct/>
        <w:topLinePunct w:val="0"/>
        <w:autoSpaceDE/>
        <w:autoSpaceDN/>
        <w:bidi w:val="0"/>
        <w:adjustRightInd/>
        <w:snapToGrid/>
        <w:spacing w:before="92" w:line="360" w:lineRule="auto"/>
        <w:ind w:left="42"/>
        <w:textAlignment w:val="auto"/>
        <w:outlineLvl w:val="1"/>
        <w:rPr>
          <w:rFonts w:hint="eastAsia" w:ascii="仿宋" w:hAnsi="仿宋" w:eastAsia="仿宋" w:cs="仿宋"/>
          <w:b w:val="0"/>
          <w:bCs w:val="0"/>
          <w:color w:val="auto"/>
          <w:spacing w:val="-8"/>
          <w:sz w:val="24"/>
          <w:szCs w:val="24"/>
          <w:highlight w:val="none"/>
        </w:rPr>
      </w:pPr>
      <w:bookmarkStart w:id="486" w:name="_Toc29085"/>
      <w:bookmarkStart w:id="487" w:name="_Toc26747"/>
      <w:r>
        <w:rPr>
          <w:rFonts w:hint="eastAsia" w:ascii="仿宋" w:hAnsi="仿宋" w:eastAsia="仿宋" w:cs="仿宋"/>
          <w:b w:val="0"/>
          <w:bCs w:val="0"/>
          <w:color w:val="auto"/>
          <w:spacing w:val="-8"/>
          <w:sz w:val="24"/>
          <w:szCs w:val="24"/>
          <w:highlight w:val="none"/>
        </w:rPr>
        <w:t>7.6 标配数据软件接 口，实现网络安全功能，具备数据传输协议。</w:t>
      </w:r>
      <w:bookmarkEnd w:id="486"/>
      <w:bookmarkEnd w:id="487"/>
    </w:p>
    <w:p w14:paraId="0CB6E1C0">
      <w:pPr>
        <w:spacing w:before="91" w:line="360" w:lineRule="auto"/>
        <w:ind w:left="17"/>
        <w:outlineLvl w:val="9"/>
        <w:rPr>
          <w:rFonts w:hint="eastAsia" w:ascii="仿宋" w:hAnsi="仿宋" w:eastAsia="仿宋" w:cs="仿宋"/>
          <w:b/>
          <w:bCs/>
          <w:color w:val="auto"/>
          <w:spacing w:val="-3"/>
          <w:sz w:val="24"/>
          <w:szCs w:val="24"/>
          <w:highlight w:val="none"/>
        </w:rPr>
      </w:pPr>
      <w:r>
        <w:rPr>
          <w:rFonts w:hint="eastAsia" w:ascii="仿宋" w:hAnsi="仿宋" w:eastAsia="仿宋" w:cs="仿宋"/>
          <w:color w:val="auto"/>
          <w:spacing w:val="-2"/>
          <w:sz w:val="24"/>
          <w:szCs w:val="24"/>
          <w:highlight w:val="none"/>
        </w:rPr>
        <w:t>7.7 血路管及血泵适用耗材管径可调，范围2~10 毫米，可适配各品牌管路。</w:t>
      </w:r>
      <w:bookmarkStart w:id="488" w:name="_Toc23259"/>
      <w:bookmarkStart w:id="489" w:name="_Toc15924"/>
    </w:p>
    <w:p w14:paraId="7ABD4F69">
      <w:pPr>
        <w:spacing w:before="91" w:line="360" w:lineRule="auto"/>
        <w:ind w:left="17"/>
        <w:outlineLvl w:val="9"/>
        <w:rPr>
          <w:rFonts w:hint="eastAsia" w:ascii="仿宋" w:hAnsi="仿宋" w:eastAsia="仿宋" w:cs="仿宋"/>
          <w:b/>
          <w:bCs/>
          <w:color w:val="auto"/>
          <w:spacing w:val="-3"/>
          <w:sz w:val="24"/>
          <w:szCs w:val="24"/>
          <w:highlight w:val="none"/>
        </w:rPr>
      </w:pPr>
    </w:p>
    <w:p w14:paraId="45EF1D3B">
      <w:pPr>
        <w:spacing w:before="91" w:line="360" w:lineRule="auto"/>
        <w:ind w:left="17"/>
        <w:outlineLvl w:val="9"/>
        <w:rPr>
          <w:rFonts w:hint="eastAsia" w:ascii="仿宋" w:hAnsi="仿宋" w:eastAsia="仿宋" w:cs="仿宋"/>
          <w:b/>
          <w:bCs/>
          <w:color w:val="auto"/>
          <w:spacing w:val="-3"/>
          <w:sz w:val="24"/>
          <w:szCs w:val="24"/>
          <w:highlight w:val="none"/>
        </w:rPr>
      </w:pPr>
    </w:p>
    <w:p w14:paraId="56EF2972">
      <w:pPr>
        <w:spacing w:before="91" w:line="360" w:lineRule="auto"/>
        <w:ind w:left="17"/>
        <w:jc w:val="center"/>
        <w:outlineLvl w:val="9"/>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2.血液透析滤过机参数</w:t>
      </w:r>
      <w:bookmarkEnd w:id="488"/>
      <w:bookmarkEnd w:id="489"/>
    </w:p>
    <w:p w14:paraId="194C4D40">
      <w:pPr>
        <w:keepNext w:val="0"/>
        <w:keepLines w:val="0"/>
        <w:pageBreakBefore w:val="0"/>
        <w:widowControl w:val="0"/>
        <w:kinsoku/>
        <w:wordWrap/>
        <w:overflowPunct/>
        <w:topLinePunct w:val="0"/>
        <w:autoSpaceDE/>
        <w:autoSpaceDN/>
        <w:bidi w:val="0"/>
        <w:adjustRightInd/>
        <w:snapToGrid/>
        <w:spacing w:before="91" w:line="360" w:lineRule="auto"/>
        <w:ind w:left="9"/>
        <w:textAlignment w:val="auto"/>
        <w:outlineLvl w:val="1"/>
        <w:rPr>
          <w:rFonts w:hint="eastAsia" w:ascii="仿宋" w:hAnsi="仿宋" w:eastAsia="仿宋" w:cs="仿宋"/>
          <w:color w:val="auto"/>
          <w:sz w:val="24"/>
          <w:szCs w:val="24"/>
          <w:highlight w:val="none"/>
        </w:rPr>
      </w:pPr>
      <w:bookmarkStart w:id="490" w:name="_Toc29247"/>
      <w:bookmarkStart w:id="491" w:name="_Toc18528"/>
      <w:bookmarkStart w:id="492" w:name="_Toc19719"/>
      <w:r>
        <w:rPr>
          <w:rFonts w:hint="eastAsia" w:ascii="仿宋" w:hAnsi="仿宋" w:eastAsia="仿宋" w:cs="仿宋"/>
          <w:b/>
          <w:bCs/>
          <w:color w:val="auto"/>
          <w:spacing w:val="-6"/>
          <w:sz w:val="24"/>
          <w:szCs w:val="24"/>
          <w:highlight w:val="none"/>
        </w:rPr>
        <w:t>一、基本要求</w:t>
      </w:r>
      <w:bookmarkEnd w:id="490"/>
      <w:bookmarkEnd w:id="491"/>
      <w:bookmarkEnd w:id="492"/>
    </w:p>
    <w:p w14:paraId="7925E90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1.1≥15 英寸高分辨率彩色可旋转式液晶触摸显示屏，设备报警灯与显示器一体化设计。</w:t>
      </w:r>
    </w:p>
    <w:p w14:paraId="66F6C11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 水电上下分离设计，单独水路控制系统。</w:t>
      </w:r>
    </w:p>
    <w:p w14:paraId="6DD83B8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1.3 标配原装内置电池，停电后可连续工作≥15分钟，不丢失数据，压力监测、漏血和气泡检测功能正常工作。</w:t>
      </w:r>
    </w:p>
    <w:p w14:paraId="210B122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1.4 工作寿命≥10 年。</w:t>
      </w:r>
    </w:p>
    <w:p w14:paraId="63E7628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1.5 适配水压范围：0.5-6.0bar。</w:t>
      </w:r>
    </w:p>
    <w:p w14:paraId="0E91447A">
      <w:pPr>
        <w:keepNext w:val="0"/>
        <w:keepLines w:val="0"/>
        <w:pageBreakBefore w:val="0"/>
        <w:widowControl w:val="0"/>
        <w:kinsoku/>
        <w:wordWrap/>
        <w:overflowPunct/>
        <w:topLinePunct w:val="0"/>
        <w:autoSpaceDE/>
        <w:autoSpaceDN/>
        <w:bidi w:val="0"/>
        <w:adjustRightInd/>
        <w:snapToGrid/>
        <w:spacing w:before="91" w:line="360" w:lineRule="auto"/>
        <w:ind w:left="14"/>
        <w:textAlignment w:val="auto"/>
        <w:outlineLvl w:val="1"/>
        <w:rPr>
          <w:rFonts w:hint="eastAsia" w:ascii="仿宋" w:hAnsi="仿宋" w:eastAsia="仿宋" w:cs="仿宋"/>
          <w:color w:val="auto"/>
          <w:sz w:val="24"/>
          <w:szCs w:val="24"/>
          <w:highlight w:val="none"/>
        </w:rPr>
      </w:pPr>
      <w:bookmarkStart w:id="493" w:name="_Toc5914"/>
      <w:bookmarkStart w:id="494" w:name="_Toc15641"/>
      <w:bookmarkStart w:id="495" w:name="_Toc31089"/>
      <w:r>
        <w:rPr>
          <w:rFonts w:hint="eastAsia" w:ascii="仿宋" w:hAnsi="仿宋" w:eastAsia="仿宋" w:cs="仿宋"/>
          <w:b/>
          <w:bCs/>
          <w:color w:val="auto"/>
          <w:spacing w:val="-5"/>
          <w:sz w:val="24"/>
          <w:szCs w:val="24"/>
          <w:highlight w:val="none"/>
        </w:rPr>
        <w:t>二、治疗模式与耗材兼容性</w:t>
      </w:r>
      <w:bookmarkEnd w:id="493"/>
      <w:bookmarkEnd w:id="494"/>
      <w:bookmarkEnd w:id="495"/>
    </w:p>
    <w:p w14:paraId="11932F5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 治疗模式：支持血液透析、血液滤过、血液透析滤过等多种治疗模式，可进行全天20小时缓慢持续治疗，可应用于急性肾脏替代治疗；支持碳酸氢盐、醋酸盐常规透析。2.2 治疗耗材全开放（血路管、原液配方等无限制）。</w:t>
      </w:r>
    </w:p>
    <w:p w14:paraId="6772C2B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2.3 配有透析液过滤器支架和透析液过滤器，单支可使用≥900 小时或≥150 人次，能进行次氯酸钠消毒，监测滤器使用寿命并提示更换；配置 B 干粉装置。</w:t>
      </w:r>
    </w:p>
    <w:p w14:paraId="424176E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2.4 具备碳酸氢盐干粉自动配制系统，标配新型联机B干粉接口，一手即可完成安装，可进行超纯透析。</w:t>
      </w:r>
    </w:p>
    <w:p w14:paraId="01705E4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2.5 支持置换液预充管路功能，可使用置换液完成体外循环管路预充。</w:t>
      </w:r>
    </w:p>
    <w:p w14:paraId="41A2E09F">
      <w:pPr>
        <w:keepNext w:val="0"/>
        <w:keepLines w:val="0"/>
        <w:pageBreakBefore w:val="0"/>
        <w:widowControl w:val="0"/>
        <w:kinsoku/>
        <w:wordWrap/>
        <w:overflowPunct/>
        <w:topLinePunct w:val="0"/>
        <w:autoSpaceDE/>
        <w:autoSpaceDN/>
        <w:bidi w:val="0"/>
        <w:adjustRightInd/>
        <w:snapToGrid/>
        <w:spacing w:before="91" w:line="360" w:lineRule="auto"/>
        <w:ind w:left="10"/>
        <w:textAlignment w:val="auto"/>
        <w:outlineLvl w:val="1"/>
        <w:rPr>
          <w:rFonts w:hint="eastAsia" w:ascii="仿宋" w:hAnsi="仿宋" w:eastAsia="仿宋" w:cs="仿宋"/>
          <w:color w:val="auto"/>
          <w:sz w:val="24"/>
          <w:szCs w:val="24"/>
          <w:highlight w:val="none"/>
        </w:rPr>
      </w:pPr>
      <w:bookmarkStart w:id="496" w:name="_Toc27797"/>
      <w:bookmarkStart w:id="497" w:name="_Toc21966"/>
      <w:bookmarkStart w:id="498" w:name="_Toc31297"/>
      <w:r>
        <w:rPr>
          <w:rFonts w:hint="eastAsia" w:ascii="仿宋" w:hAnsi="仿宋" w:eastAsia="仿宋" w:cs="仿宋"/>
          <w:b/>
          <w:bCs/>
          <w:color w:val="auto"/>
          <w:spacing w:val="-5"/>
          <w:sz w:val="24"/>
          <w:szCs w:val="24"/>
          <w:highlight w:val="none"/>
        </w:rPr>
        <w:t>三、核心监测与报警功能</w:t>
      </w:r>
      <w:bookmarkEnd w:id="496"/>
      <w:bookmarkEnd w:id="497"/>
      <w:bookmarkEnd w:id="498"/>
    </w:p>
    <w:p w14:paraId="52496C3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3.1 压力监测：动脉压：-400~+400mmHg，精度±10mmHg；静脉压：-50~+390mmHg，精度±10mmHg；跨膜压：-100~+700mmHg，分辨率≤20mmHg。</w:t>
      </w:r>
    </w:p>
    <w:p w14:paraId="1BA6829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3.2 漏血检测采用光学原理检测。</w:t>
      </w:r>
    </w:p>
    <w:p w14:paraId="02C5DDC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3.3 具有气泡超声监测及液位监测功能。</w:t>
      </w:r>
    </w:p>
    <w:p w14:paraId="1917054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3.4 电导度监测：监测总电导度；监测范围13~15mS/cm （25℃) 。</w:t>
      </w:r>
    </w:p>
    <w:p w14:paraId="67246C2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3.5 具有透析液温度监测和超温报警保护功能。</w:t>
      </w:r>
    </w:p>
    <w:p w14:paraId="4F707CB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3.6 具备血温监测功能，可实时监测患者血液温度并异常报警。</w:t>
      </w:r>
    </w:p>
    <w:p w14:paraId="33AB49B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3.7 具备血容量监测功能。</w:t>
      </w:r>
    </w:p>
    <w:p w14:paraId="3DFDD407">
      <w:pPr>
        <w:keepNext w:val="0"/>
        <w:keepLines w:val="0"/>
        <w:pageBreakBefore w:val="0"/>
        <w:widowControl w:val="0"/>
        <w:kinsoku/>
        <w:wordWrap/>
        <w:overflowPunct/>
        <w:topLinePunct w:val="0"/>
        <w:autoSpaceDE/>
        <w:autoSpaceDN/>
        <w:bidi w:val="0"/>
        <w:adjustRightInd/>
        <w:snapToGrid/>
        <w:spacing w:before="91" w:line="360" w:lineRule="auto"/>
        <w:ind w:left="36"/>
        <w:textAlignment w:val="auto"/>
        <w:outlineLvl w:val="1"/>
        <w:rPr>
          <w:rFonts w:hint="eastAsia" w:ascii="仿宋" w:hAnsi="仿宋" w:eastAsia="仿宋" w:cs="仿宋"/>
          <w:color w:val="auto"/>
          <w:sz w:val="24"/>
          <w:szCs w:val="24"/>
          <w:highlight w:val="none"/>
        </w:rPr>
      </w:pPr>
      <w:bookmarkStart w:id="499" w:name="_Toc26220"/>
      <w:bookmarkStart w:id="500" w:name="_Toc23959"/>
      <w:bookmarkStart w:id="501" w:name="_Toc20033"/>
      <w:r>
        <w:rPr>
          <w:rFonts w:hint="eastAsia" w:ascii="仿宋" w:hAnsi="仿宋" w:eastAsia="仿宋" w:cs="仿宋"/>
          <w:b/>
          <w:bCs/>
          <w:color w:val="auto"/>
          <w:spacing w:val="-8"/>
          <w:sz w:val="24"/>
          <w:szCs w:val="24"/>
          <w:highlight w:val="none"/>
        </w:rPr>
        <w:t>四、超滤与脱水控制</w:t>
      </w:r>
      <w:bookmarkEnd w:id="499"/>
      <w:bookmarkEnd w:id="500"/>
      <w:bookmarkEnd w:id="501"/>
    </w:p>
    <w:p w14:paraId="6894CF4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4.1 采用容量式/密闭式双容量平衡腔超滤控制系统，超滤精度≤1%。</w:t>
      </w:r>
    </w:p>
    <w:p w14:paraId="12AA077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4.2 超滤率调节：脱水速度 0~4000ml/h 连续可调，超滤泵精度±1%</w:t>
      </w:r>
    </w:p>
    <w:p w14:paraId="6982258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4.3 具有一键最低超滤/一键终止超滤功能；配备紧急按钮，患者低血压时可一键终止超滤、 自动测血压、追加置换液。</w:t>
      </w:r>
    </w:p>
    <w:p w14:paraId="21E18BA1">
      <w:pPr>
        <w:keepNext w:val="0"/>
        <w:keepLines w:val="0"/>
        <w:pageBreakBefore w:val="0"/>
        <w:widowControl w:val="0"/>
        <w:kinsoku/>
        <w:wordWrap/>
        <w:overflowPunct/>
        <w:topLinePunct w:val="0"/>
        <w:autoSpaceDE/>
        <w:autoSpaceDN/>
        <w:bidi w:val="0"/>
        <w:adjustRightInd/>
        <w:snapToGrid/>
        <w:spacing w:before="276" w:line="360" w:lineRule="auto"/>
        <w:ind w:left="7"/>
        <w:textAlignment w:val="auto"/>
        <w:outlineLvl w:val="1"/>
        <w:rPr>
          <w:rFonts w:hint="eastAsia" w:ascii="仿宋" w:hAnsi="仿宋" w:eastAsia="仿宋" w:cs="仿宋"/>
          <w:color w:val="auto"/>
          <w:sz w:val="24"/>
          <w:szCs w:val="24"/>
          <w:highlight w:val="none"/>
        </w:rPr>
      </w:pPr>
      <w:bookmarkStart w:id="502" w:name="_Toc26536"/>
      <w:bookmarkStart w:id="503" w:name="_Toc2512"/>
      <w:bookmarkStart w:id="504" w:name="_Toc18281"/>
      <w:r>
        <w:rPr>
          <w:rFonts w:hint="eastAsia" w:ascii="仿宋" w:hAnsi="仿宋" w:eastAsia="仿宋" w:cs="仿宋"/>
          <w:b/>
          <w:bCs/>
          <w:color w:val="auto"/>
          <w:spacing w:val="-5"/>
          <w:sz w:val="24"/>
          <w:szCs w:val="24"/>
          <w:highlight w:val="none"/>
        </w:rPr>
        <w:t>五、流量与温度控制</w:t>
      </w:r>
      <w:bookmarkEnd w:id="502"/>
      <w:bookmarkEnd w:id="503"/>
      <w:bookmarkEnd w:id="504"/>
    </w:p>
    <w:p w14:paraId="5B78C3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5.1 血泵流量范围 50~600ml/min 可调，步长≤10ml/min，精度≤±10%</w:t>
      </w:r>
    </w:p>
    <w:p w14:paraId="719A3C0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5.2 透析液流量范围 300~800ml/min</w:t>
      </w:r>
    </w:p>
    <w:p w14:paraId="2A98639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5.3 透析液温度控制范围 34.5℃~39.5℃ , 精度±0.5℃</w:t>
      </w:r>
    </w:p>
    <w:p w14:paraId="3D5E359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5.4 置换液流量范围 25~400ml/min</w:t>
      </w:r>
    </w:p>
    <w:p w14:paraId="0D27ECE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六、个性化治疗与评估</w:t>
      </w:r>
    </w:p>
    <w:p w14:paraId="6E5C114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6.1 治疗曲线功能：支持钠离子、碳酸盐、肝素、透析液流量、透析液温度、超滤六大曲线； ≥8 种固定超滤曲线。</w:t>
      </w:r>
    </w:p>
    <w:p w14:paraId="5C3828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6.2 配置实时清除率监测 Kt/V 功能。</w:t>
      </w:r>
    </w:p>
    <w:p w14:paraId="3481C3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6.3 具有透析过程补液功能，可自动累计计算总补液量。</w:t>
      </w:r>
    </w:p>
    <w:p w14:paraId="46E6964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6.4 具备定时器提醒功能，可输入提醒信息。</w:t>
      </w:r>
    </w:p>
    <w:p w14:paraId="5CDC577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6.5 肝素注射流速调节范围 0.5~10ml/h，支持 20ml/30ml 注射器，可设定停止时间、读取累计肝素容量。</w:t>
      </w:r>
    </w:p>
    <w:p w14:paraId="36B3E707">
      <w:pPr>
        <w:keepNext w:val="0"/>
        <w:keepLines w:val="0"/>
        <w:pageBreakBefore w:val="0"/>
        <w:widowControl w:val="0"/>
        <w:kinsoku/>
        <w:wordWrap/>
        <w:overflowPunct/>
        <w:topLinePunct w:val="0"/>
        <w:autoSpaceDE/>
        <w:autoSpaceDN/>
        <w:bidi w:val="0"/>
        <w:adjustRightInd/>
        <w:snapToGrid/>
        <w:spacing w:before="277" w:line="360" w:lineRule="auto"/>
        <w:ind w:left="13"/>
        <w:textAlignment w:val="auto"/>
        <w:outlineLvl w:val="1"/>
        <w:rPr>
          <w:rFonts w:hint="eastAsia" w:ascii="仿宋" w:hAnsi="仿宋" w:eastAsia="仿宋" w:cs="仿宋"/>
          <w:color w:val="auto"/>
          <w:sz w:val="24"/>
          <w:szCs w:val="24"/>
          <w:highlight w:val="none"/>
        </w:rPr>
      </w:pPr>
      <w:bookmarkStart w:id="505" w:name="_Toc29664"/>
      <w:bookmarkStart w:id="506" w:name="_Toc3293"/>
      <w:bookmarkStart w:id="507" w:name="_Toc24545"/>
      <w:r>
        <w:rPr>
          <w:rFonts w:hint="eastAsia" w:ascii="仿宋" w:hAnsi="仿宋" w:eastAsia="仿宋" w:cs="仿宋"/>
          <w:b/>
          <w:bCs/>
          <w:color w:val="auto"/>
          <w:spacing w:val="-5"/>
          <w:sz w:val="24"/>
          <w:szCs w:val="24"/>
          <w:highlight w:val="none"/>
        </w:rPr>
        <w:t>七、辅助功能与消毒维护</w:t>
      </w:r>
      <w:bookmarkEnd w:id="505"/>
      <w:bookmarkEnd w:id="506"/>
      <w:bookmarkEnd w:id="507"/>
    </w:p>
    <w:p w14:paraId="5853076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7.1 标配无创血压监测组件，可实时监测血压、心率变化，数据可在屏幕显示及生成图表趋势</w:t>
      </w:r>
    </w:p>
    <w:p w14:paraId="4CA8C51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7.2 具有自检功能、维修菜单、故障自我诊断功能。</w:t>
      </w:r>
    </w:p>
    <w:p w14:paraId="6D22EF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7.3 具有支持待机模式，可将透析液一侧关闭。</w:t>
      </w:r>
    </w:p>
    <w:p w14:paraId="703F0B3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7.4 具备水、热、化学等消毒模式，消毒、除钙、冲洗一体化一键操作。</w:t>
      </w:r>
    </w:p>
    <w:p w14:paraId="2BCCA32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7.5 标配数据软件接 口，实现网络安全功能，具备数据传输协议。</w:t>
      </w:r>
    </w:p>
    <w:p w14:paraId="6606C33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7.6 血路管及血泵适用耗材管径可调，可适配各品牌管路。</w:t>
      </w:r>
    </w:p>
    <w:p w14:paraId="4348D250">
      <w:pPr>
        <w:keepNext w:val="0"/>
        <w:keepLines w:val="0"/>
        <w:pageBreakBefore w:val="0"/>
        <w:widowControl w:val="0"/>
        <w:kinsoku/>
        <w:wordWrap/>
        <w:overflowPunct/>
        <w:topLinePunct w:val="0"/>
        <w:autoSpaceDE/>
        <w:autoSpaceDN/>
        <w:bidi w:val="0"/>
        <w:adjustRightInd/>
        <w:snapToGrid/>
        <w:spacing w:before="286" w:line="360" w:lineRule="auto"/>
        <w:ind w:left="6"/>
        <w:jc w:val="center"/>
        <w:textAlignment w:val="auto"/>
        <w:rPr>
          <w:rFonts w:hint="eastAsia" w:ascii="仿宋" w:hAnsi="仿宋" w:eastAsia="仿宋" w:cs="仿宋"/>
          <w:b/>
          <w:bCs/>
          <w:color w:val="auto"/>
          <w:spacing w:val="-6"/>
          <w:sz w:val="24"/>
          <w:szCs w:val="24"/>
          <w:highlight w:val="none"/>
        </w:rPr>
      </w:pPr>
      <w:r>
        <w:rPr>
          <w:rFonts w:hint="eastAsia" w:ascii="仿宋" w:hAnsi="仿宋" w:eastAsia="仿宋" w:cs="仿宋"/>
          <w:b/>
          <w:bCs/>
          <w:color w:val="auto"/>
          <w:spacing w:val="-6"/>
          <w:sz w:val="24"/>
          <w:szCs w:val="24"/>
          <w:highlight w:val="none"/>
          <w:lang w:val="en-US" w:eastAsia="zh-CN"/>
        </w:rPr>
        <w:t>3、</w:t>
      </w:r>
      <w:r>
        <w:rPr>
          <w:rFonts w:hint="eastAsia" w:ascii="仿宋" w:hAnsi="仿宋" w:eastAsia="仿宋" w:cs="仿宋"/>
          <w:b/>
          <w:bCs/>
          <w:color w:val="auto"/>
          <w:spacing w:val="-6"/>
          <w:sz w:val="24"/>
          <w:szCs w:val="24"/>
          <w:highlight w:val="none"/>
        </w:rPr>
        <w:t>血液透析机</w:t>
      </w:r>
      <w:r>
        <w:rPr>
          <w:rFonts w:hint="eastAsia" w:ascii="仿宋" w:hAnsi="仿宋" w:eastAsia="仿宋" w:cs="仿宋"/>
          <w:b/>
          <w:bCs/>
          <w:color w:val="auto"/>
          <w:spacing w:val="-6"/>
          <w:sz w:val="24"/>
          <w:szCs w:val="24"/>
          <w:highlight w:val="none"/>
          <w:lang w:val="en-US" w:eastAsia="zh-CN"/>
        </w:rPr>
        <w:t>和</w:t>
      </w:r>
      <w:r>
        <w:rPr>
          <w:rFonts w:hint="eastAsia" w:ascii="仿宋" w:hAnsi="仿宋" w:eastAsia="仿宋" w:cs="仿宋"/>
          <w:b/>
          <w:bCs/>
          <w:color w:val="auto"/>
          <w:spacing w:val="-6"/>
          <w:sz w:val="24"/>
          <w:szCs w:val="24"/>
          <w:highlight w:val="none"/>
        </w:rPr>
        <w:t>血液透析滤过机配置要求</w:t>
      </w:r>
    </w:p>
    <w:p w14:paraId="6E528FB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default" w:ascii="仿宋" w:hAnsi="仿宋" w:eastAsia="仿宋" w:cs="仿宋"/>
          <w:color w:val="auto"/>
          <w:spacing w:val="-2"/>
          <w:sz w:val="24"/>
          <w:szCs w:val="24"/>
          <w:highlight w:val="none"/>
          <w:lang w:eastAsia="zh-CN"/>
        </w:rPr>
        <w:t>1、</w:t>
      </w:r>
      <w:r>
        <w:rPr>
          <w:rFonts w:hint="eastAsia" w:ascii="仿宋" w:hAnsi="仿宋" w:eastAsia="仿宋" w:cs="仿宋"/>
          <w:color w:val="auto"/>
          <w:spacing w:val="-2"/>
          <w:sz w:val="24"/>
          <w:szCs w:val="24"/>
          <w:highlight w:val="none"/>
        </w:rPr>
        <w:t>每台透析机标配：带轮、可升降摇高透析床 1 张；床旁放置治疗盘 1 个，治疗车 1 台。</w:t>
      </w:r>
    </w:p>
    <w:p w14:paraId="7B621C1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default"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rPr>
        <w:t>每 5 台透析机集中配置：平板设备 1 台。</w:t>
      </w:r>
    </w:p>
    <w:p w14:paraId="6AEAD86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default" w:ascii="仿宋" w:hAnsi="仿宋" w:eastAsia="仿宋" w:cs="仿宋"/>
          <w:b w:val="0"/>
          <w:bCs w:val="0"/>
          <w:color w:val="auto"/>
          <w:spacing w:val="-2"/>
          <w:sz w:val="24"/>
          <w:szCs w:val="24"/>
          <w:highlight w:val="none"/>
        </w:rPr>
      </w:pPr>
      <w:r>
        <w:rPr>
          <w:rFonts w:hint="default" w:ascii="仿宋" w:hAnsi="仿宋" w:eastAsia="仿宋" w:cs="仿宋"/>
          <w:b w:val="0"/>
          <w:bCs w:val="0"/>
          <w:color w:val="auto"/>
          <w:spacing w:val="-2"/>
          <w:sz w:val="24"/>
          <w:szCs w:val="24"/>
          <w:highlight w:val="none"/>
          <w:lang w:eastAsia="zh-CN"/>
        </w:rPr>
        <w:t>3、</w:t>
      </w:r>
      <w:r>
        <w:rPr>
          <w:rFonts w:hint="default" w:ascii="仿宋" w:hAnsi="仿宋" w:eastAsia="仿宋" w:cs="仿宋"/>
          <w:b w:val="0"/>
          <w:bCs w:val="0"/>
          <w:color w:val="auto"/>
          <w:spacing w:val="-2"/>
          <w:sz w:val="24"/>
          <w:szCs w:val="24"/>
          <w:highlight w:val="none"/>
        </w:rPr>
        <w:t>病床参数</w:t>
      </w:r>
    </w:p>
    <w:p w14:paraId="6DF3487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配置：ABS 床头床尾板、铝合金折叠护栏、碳钢分离杂物架、引流钩、 ≥5吋面包静音脚轮。</w:t>
      </w:r>
    </w:p>
    <w:p w14:paraId="0AA519D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规格：2160×950(包括护栏)×500mm(不包括床头高度)(±10mm)</w:t>
      </w:r>
    </w:p>
    <w:p w14:paraId="287B11A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升降功能：</w:t>
      </w:r>
    </w:p>
    <w:p w14:paraId="5882F9F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①背部升降：升降角度 0～75 °;</w:t>
      </w:r>
    </w:p>
    <w:p w14:paraId="6E4977D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②腿部升降：升降角度0～45 °。</w:t>
      </w:r>
    </w:p>
    <w:p w14:paraId="41980BE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床面板</w:t>
      </w:r>
    </w:p>
    <w:p w14:paraId="6F23713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①床面板采用冷轧板材一次性冲压拉伸成型，断面采用滚圆工艺，表面光滑无毛刺。整体床面形成凹型面板结构，有透气孔；床板四周焊接≥15×25×1.0MM 矩管加强筋。</w:t>
      </w:r>
    </w:p>
    <w:p w14:paraId="6663E7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②病床靠背采用双支撑转轴结构，转轴与床板接触处用滑轮。</w:t>
      </w:r>
    </w:p>
    <w:p w14:paraId="774FED3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③床板链接采用钢质铰链，单片厚度≥4mm。</w:t>
      </w:r>
    </w:p>
    <w:p w14:paraId="50BEC8B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5</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床身主要部件：</w:t>
      </w:r>
    </w:p>
    <w:p w14:paraId="347E945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①床框采用≥30mm×60mm×1.2mm 碳钢矩管；</w:t>
      </w:r>
    </w:p>
    <w:p w14:paraId="17A281B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②床尾板下方设计有隐藏式餐板槽；</w:t>
      </w:r>
    </w:p>
    <w:p w14:paraId="7A3904A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③床框四角带输液架插座。</w:t>
      </w:r>
    </w:p>
    <w:p w14:paraId="232677E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④配不锈钢输液架 1 个。</w:t>
      </w:r>
    </w:p>
    <w:p w14:paraId="2785A398">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护栏</w:t>
      </w:r>
    </w:p>
    <w:p w14:paraId="4D1418D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①铝合金折叠护栏主管采用直径≥30mmD 型铝合金管，五支立管采用直径≥19mm铝合金型材管；</w:t>
      </w:r>
    </w:p>
    <w:p w14:paraId="14A9863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②护栏活动关节连接均采用钢件连接，外罩塑料件装饰；</w:t>
      </w:r>
    </w:p>
    <w:p w14:paraId="2FB55DB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③高强度铸铝枪把手内置隐藏式锁紧机构，加厚 D 形铝合金护手，表面硬化处理；</w:t>
      </w:r>
    </w:p>
    <w:p w14:paraId="77F27BA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④护栏升起后护栏上缘距离床面有效护栏高度≥30CM。</w:t>
      </w:r>
    </w:p>
    <w:p w14:paraId="744B5B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床头床尾板</w:t>
      </w:r>
    </w:p>
    <w:p w14:paraId="67C8D93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①高强度工程塑料吹塑成型；</w:t>
      </w:r>
    </w:p>
    <w:p w14:paraId="2FB8839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②采用挂式结构，床头推手位受力强度≥450N；</w:t>
      </w:r>
    </w:p>
    <w:p w14:paraId="1700EAC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③床尾板带一次成型 ABS 病历卡座。</w:t>
      </w:r>
    </w:p>
    <w:p w14:paraId="6DCEE68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床架</w:t>
      </w:r>
    </w:p>
    <w:p w14:paraId="6DB3396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整体床架采用冷轧型材，经机器人自动焊接成型，采用自动化喷涂。</w:t>
      </w:r>
    </w:p>
    <w:p w14:paraId="0FACBBC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传动装置</w:t>
      </w:r>
    </w:p>
    <w:p w14:paraId="2C4C981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①摇把采用 ABS 工程塑料一次注塑成型，具备防撞结构设计，可 0 ° ~180 °三档折叠；</w:t>
      </w:r>
    </w:p>
    <w:p w14:paraId="4AE8F32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②摇把和丝杆之间采用万向接连接技术；</w:t>
      </w:r>
    </w:p>
    <w:p w14:paraId="190DEEF7">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③手摇床丝杆有双向过盈保护装置。</w:t>
      </w:r>
    </w:p>
    <w:p w14:paraId="7EB517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具有杂物架。</w:t>
      </w:r>
    </w:p>
    <w:p w14:paraId="3DAA80E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11</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床脚采用≥50×50×1.2mm 冷轧型材焊接而成，带插杆式≥5 吋面包静音脚轮，四轮带刹。</w:t>
      </w:r>
    </w:p>
    <w:p w14:paraId="3982B63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病床两侧均配置两个引流钩。</w:t>
      </w:r>
    </w:p>
    <w:p w14:paraId="2DFFB7F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13</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床面载荷≥300KG。具有 ABS 餐桌板；</w:t>
      </w:r>
    </w:p>
    <w:p w14:paraId="7910B36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14</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床垫：</w:t>
      </w:r>
    </w:p>
    <w:p w14:paraId="6E80698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①椰丝棕，厚度≥30mm；</w:t>
      </w:r>
    </w:p>
    <w:p w14:paraId="7575DAC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②高弹性海绵，厚度≥30mm；</w:t>
      </w:r>
    </w:p>
    <w:p w14:paraId="79BCD2D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③外套为深色牛津布，外套带有拉链；</w:t>
      </w:r>
    </w:p>
    <w:p w14:paraId="50DAEFF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15</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治疗车参数</w:t>
      </w:r>
    </w:p>
    <w:p w14:paraId="4CD73CD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①板材厚度≥1.0mm；尺寸：690mm×450mm×900mm (±50mm）。</w:t>
      </w:r>
    </w:p>
    <w:p w14:paraId="16F530E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②双层台面设计，台面配三面不锈钢围栏。</w:t>
      </w:r>
    </w:p>
    <w:p w14:paraId="2821279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③配一个大不锈钢抽屉，采用静音滑轨。</w:t>
      </w:r>
    </w:p>
    <w:p w14:paraId="5B5C065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④配有≥1 个可旋转摘离污物桶。</w:t>
      </w:r>
    </w:p>
    <w:p w14:paraId="67EB069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⑤直径≥100mm 的超静音医用脚轮，两个刹车轮。</w:t>
      </w:r>
    </w:p>
    <w:p w14:paraId="26CBDF0F">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EFC1604">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合同包2</w:t>
      </w:r>
    </w:p>
    <w:p w14:paraId="45615C4B">
      <w:pPr>
        <w:rPr>
          <w:rFonts w:hint="eastAsia" w:ascii="仿宋" w:hAnsi="仿宋" w:eastAsia="仿宋" w:cs="仿宋"/>
          <w:color w:val="auto"/>
          <w:sz w:val="24"/>
          <w:szCs w:val="24"/>
          <w:highlight w:val="none"/>
        </w:rPr>
      </w:pPr>
    </w:p>
    <w:p w14:paraId="01BF3EB6">
      <w:pPr>
        <w:spacing w:before="91" w:line="222" w:lineRule="auto"/>
        <w:ind w:firstLine="3002" w:firstLineChars="1300"/>
        <w:outlineLvl w:val="0"/>
        <w:rPr>
          <w:rFonts w:hint="eastAsia" w:ascii="仿宋" w:hAnsi="仿宋" w:eastAsia="仿宋" w:cs="仿宋"/>
          <w:color w:val="auto"/>
          <w:sz w:val="24"/>
          <w:szCs w:val="24"/>
          <w:highlight w:val="none"/>
        </w:rPr>
      </w:pPr>
      <w:bookmarkStart w:id="508" w:name="_Toc7224"/>
      <w:bookmarkStart w:id="509" w:name="_Toc8284"/>
      <w:bookmarkStart w:id="510" w:name="_Toc25563"/>
      <w:r>
        <w:rPr>
          <w:rFonts w:hint="eastAsia" w:ascii="仿宋" w:hAnsi="仿宋" w:eastAsia="仿宋" w:cs="仿宋"/>
          <w:b/>
          <w:bCs/>
          <w:color w:val="auto"/>
          <w:spacing w:val="-5"/>
          <w:sz w:val="24"/>
          <w:szCs w:val="24"/>
          <w:highlight w:val="none"/>
          <w:lang w:val="en-US" w:eastAsia="zh-CN"/>
        </w:rPr>
        <w:t>1.</w:t>
      </w:r>
      <w:r>
        <w:rPr>
          <w:rFonts w:hint="eastAsia" w:ascii="仿宋" w:hAnsi="仿宋" w:eastAsia="仿宋" w:cs="仿宋"/>
          <w:b/>
          <w:bCs/>
          <w:color w:val="auto"/>
          <w:spacing w:val="-5"/>
          <w:sz w:val="24"/>
          <w:szCs w:val="24"/>
          <w:highlight w:val="none"/>
        </w:rPr>
        <w:t>麻醉机基本参数</w:t>
      </w:r>
      <w:bookmarkEnd w:id="508"/>
      <w:bookmarkEnd w:id="509"/>
      <w:bookmarkEnd w:id="510"/>
    </w:p>
    <w:p w14:paraId="3D6B170D">
      <w:pPr>
        <w:spacing w:before="91" w:line="221" w:lineRule="auto"/>
        <w:ind w:left="14"/>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一、设备名称</w:t>
      </w:r>
      <w:r>
        <w:rPr>
          <w:rFonts w:hint="eastAsia" w:ascii="仿宋" w:hAnsi="仿宋" w:eastAsia="仿宋" w:cs="仿宋"/>
          <w:color w:val="auto"/>
          <w:spacing w:val="-3"/>
          <w:sz w:val="24"/>
          <w:szCs w:val="24"/>
          <w:highlight w:val="none"/>
        </w:rPr>
        <w:t>：麻醉工作站</w:t>
      </w:r>
    </w:p>
    <w:p w14:paraId="55861F7B">
      <w:pPr>
        <w:spacing w:before="289" w:line="222" w:lineRule="auto"/>
        <w:ind w:left="18"/>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二、设备用途</w:t>
      </w:r>
      <w:r>
        <w:rPr>
          <w:rFonts w:hint="eastAsia" w:ascii="仿宋" w:hAnsi="仿宋" w:eastAsia="仿宋" w:cs="仿宋"/>
          <w:color w:val="auto"/>
          <w:spacing w:val="-1"/>
          <w:sz w:val="24"/>
          <w:szCs w:val="24"/>
          <w:highlight w:val="none"/>
        </w:rPr>
        <w:t>：病人的全身麻醉，呼吸和麻醉气体监测，麻</w:t>
      </w:r>
      <w:r>
        <w:rPr>
          <w:rFonts w:hint="eastAsia" w:ascii="仿宋" w:hAnsi="仿宋" w:eastAsia="仿宋" w:cs="仿宋"/>
          <w:color w:val="auto"/>
          <w:spacing w:val="-2"/>
          <w:sz w:val="24"/>
          <w:szCs w:val="24"/>
          <w:highlight w:val="none"/>
        </w:rPr>
        <w:t>醉呼吸的管理。</w:t>
      </w:r>
    </w:p>
    <w:p w14:paraId="1A83B098">
      <w:pPr>
        <w:spacing w:before="91" w:line="223" w:lineRule="auto"/>
        <w:ind w:left="17"/>
        <w:outlineLvl w:val="1"/>
        <w:rPr>
          <w:rFonts w:hint="eastAsia" w:ascii="仿宋" w:hAnsi="仿宋" w:eastAsia="仿宋" w:cs="仿宋"/>
          <w:color w:val="auto"/>
          <w:sz w:val="24"/>
          <w:szCs w:val="24"/>
          <w:highlight w:val="none"/>
        </w:rPr>
      </w:pPr>
      <w:bookmarkStart w:id="511" w:name="_Toc15408"/>
      <w:bookmarkStart w:id="512" w:name="_Toc24115"/>
      <w:bookmarkStart w:id="513" w:name="_Toc17427"/>
      <w:r>
        <w:rPr>
          <w:rFonts w:hint="eastAsia" w:ascii="仿宋" w:hAnsi="仿宋" w:eastAsia="仿宋" w:cs="仿宋"/>
          <w:b/>
          <w:bCs/>
          <w:color w:val="auto"/>
          <w:spacing w:val="-5"/>
          <w:sz w:val="24"/>
          <w:szCs w:val="24"/>
          <w:highlight w:val="none"/>
        </w:rPr>
        <w:t>三、主要规格和系统概述</w:t>
      </w:r>
      <w:bookmarkEnd w:id="511"/>
      <w:bookmarkEnd w:id="512"/>
      <w:bookmarkEnd w:id="513"/>
    </w:p>
    <w:p w14:paraId="7C10EAC6">
      <w:pPr>
        <w:spacing w:before="9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1.一体化设计、智能化全能麻醉工作站。</w:t>
      </w:r>
    </w:p>
    <w:p w14:paraId="0459F7A2">
      <w:pPr>
        <w:spacing w:before="289"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2.适用于成人、儿童和新生儿。</w:t>
      </w:r>
    </w:p>
    <w:p w14:paraId="1EB754E3">
      <w:pPr>
        <w:spacing w:before="287" w:line="411" w:lineRule="auto"/>
        <w:ind w:left="10" w:right="77" w:hanging="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3.整机技术标准按麻醉工作站设计：所有参数、波</w:t>
      </w:r>
      <w:r>
        <w:rPr>
          <w:rFonts w:hint="eastAsia" w:ascii="仿宋" w:hAnsi="仿宋" w:eastAsia="仿宋" w:cs="仿宋"/>
          <w:color w:val="auto"/>
          <w:spacing w:val="-5"/>
          <w:sz w:val="24"/>
          <w:szCs w:val="24"/>
          <w:highlight w:val="none"/>
        </w:rPr>
        <w:t>形由一体化彩色大屏幕同屏显</w:t>
      </w:r>
      <w:r>
        <w:rPr>
          <w:rFonts w:hint="eastAsia" w:ascii="仿宋" w:hAnsi="仿宋" w:eastAsia="仿宋" w:cs="仿宋"/>
          <w:color w:val="auto"/>
          <w:spacing w:val="-2"/>
          <w:sz w:val="24"/>
          <w:szCs w:val="24"/>
          <w:highlight w:val="none"/>
        </w:rPr>
        <w:t>示，无须外接屏幕。</w:t>
      </w:r>
    </w:p>
    <w:p w14:paraId="75FE36CC">
      <w:pPr>
        <w:spacing w:before="1" w:line="22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4.第二状态显示屏：显示气源，主电源和电池</w:t>
      </w:r>
      <w:r>
        <w:rPr>
          <w:rFonts w:hint="eastAsia" w:ascii="仿宋" w:hAnsi="仿宋" w:eastAsia="仿宋" w:cs="仿宋"/>
          <w:color w:val="auto"/>
          <w:spacing w:val="-1"/>
          <w:sz w:val="24"/>
          <w:szCs w:val="24"/>
          <w:highlight w:val="none"/>
        </w:rPr>
        <w:t>，气道压力和时间等信息。</w:t>
      </w:r>
    </w:p>
    <w:p w14:paraId="7D0B39B2">
      <w:pPr>
        <w:spacing w:before="286"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5.全自动自检、</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5"/>
          <w:sz w:val="24"/>
          <w:szCs w:val="24"/>
          <w:highlight w:val="none"/>
        </w:rPr>
        <w:t>自动定标，传感器自动校正。</w:t>
      </w:r>
    </w:p>
    <w:p w14:paraId="74C636D2">
      <w:pPr>
        <w:spacing w:before="289"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6.具有专用备用手动通气装置。</w:t>
      </w:r>
    </w:p>
    <w:p w14:paraId="5CAD810E">
      <w:pPr>
        <w:spacing w:before="92" w:line="223" w:lineRule="auto"/>
        <w:ind w:left="42"/>
        <w:outlineLvl w:val="1"/>
        <w:rPr>
          <w:rFonts w:hint="eastAsia" w:ascii="仿宋" w:hAnsi="仿宋" w:eastAsia="仿宋" w:cs="仿宋"/>
          <w:color w:val="auto"/>
          <w:sz w:val="24"/>
          <w:szCs w:val="24"/>
          <w:highlight w:val="none"/>
        </w:rPr>
      </w:pPr>
      <w:bookmarkStart w:id="514" w:name="_Toc18388"/>
      <w:bookmarkStart w:id="515" w:name="_Toc4101"/>
      <w:bookmarkStart w:id="516" w:name="_Toc11373"/>
      <w:r>
        <w:rPr>
          <w:rFonts w:hint="eastAsia" w:ascii="仿宋" w:hAnsi="仿宋" w:eastAsia="仿宋" w:cs="仿宋"/>
          <w:b/>
          <w:bCs/>
          <w:color w:val="auto"/>
          <w:spacing w:val="-11"/>
          <w:sz w:val="24"/>
          <w:szCs w:val="24"/>
          <w:highlight w:val="none"/>
        </w:rPr>
        <w:t>四、技术参数</w:t>
      </w:r>
      <w:bookmarkEnd w:id="514"/>
      <w:bookmarkEnd w:id="515"/>
      <w:bookmarkEnd w:id="516"/>
    </w:p>
    <w:p w14:paraId="0D39A93D">
      <w:pPr>
        <w:spacing w:before="91" w:line="223" w:lineRule="auto"/>
        <w:ind w:left="1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（一）气体输送系统</w:t>
      </w:r>
    </w:p>
    <w:p w14:paraId="0E9995E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1.具备电子新鲜气体混合器，新鲜气体总流量设置范围：关闭和 0.2 – 15L/min；氧浓度设置范围：21-100%（载气：空气）；25-100%（载气：笑气）。</w:t>
      </w:r>
    </w:p>
    <w:p w14:paraId="353BFB04">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2.具有笑氧保护装置。</w:t>
      </w:r>
    </w:p>
    <w:p w14:paraId="4BF1C1BA">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3.使用空气作为载气时，可设置最小 O2 流量：关闭，50-300ml/min。</w:t>
      </w:r>
    </w:p>
    <w:p w14:paraId="5BCC19F9">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4.一体化紧急氧输送+鼻吸氧装置，可快速切换，关机时也能输送氧气和麻药进行手动通气。</w:t>
      </w:r>
    </w:p>
    <w:p w14:paraId="180BE6C9">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5.所有新鲜气体流量信息以虚拟流量计的形式显示在屏幕上。</w:t>
      </w:r>
    </w:p>
    <w:p w14:paraId="134AC598">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（二）麻醉呼吸机</w:t>
      </w:r>
    </w:p>
    <w:p w14:paraId="32FBB02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1.非风箱呼吸机，流速≥160L/min。</w:t>
      </w:r>
    </w:p>
    <w:p w14:paraId="1A440E6E">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2.采用新鲜气体隔离技术。</w:t>
      </w:r>
    </w:p>
    <w:p w14:paraId="2C2C7C76">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3.通气模式：标配：手动/自主、容量控制模式、压力控制模式，待机和</w:t>
      </w:r>
      <w:r>
        <w:rPr>
          <w:rFonts w:hint="eastAsia" w:ascii="仿宋" w:hAnsi="仿宋" w:eastAsia="仿宋" w:cs="仿宋"/>
          <w:color w:val="auto"/>
          <w:spacing w:val="-2"/>
          <w:sz w:val="24"/>
          <w:szCs w:val="24"/>
          <w:highlight w:val="none"/>
          <w:lang w:val="en-US" w:eastAsia="zh-CN"/>
        </w:rPr>
        <w:t>暂</w:t>
      </w:r>
      <w:r>
        <w:rPr>
          <w:rFonts w:hint="eastAsia" w:ascii="仿宋" w:hAnsi="仿宋" w:eastAsia="仿宋" w:cs="仿宋"/>
          <w:color w:val="auto"/>
          <w:spacing w:val="-2"/>
          <w:sz w:val="24"/>
          <w:szCs w:val="24"/>
          <w:highlight w:val="none"/>
        </w:rPr>
        <w:t>停；</w:t>
      </w:r>
    </w:p>
    <w:p w14:paraId="5D1CB62B">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4.容量控制模式下潮气量设定范围:10-1500ml</w:t>
      </w:r>
    </w:p>
    <w:p w14:paraId="1F652C21">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5.吸气压力： (PEEP+5)-80cmH2O（压力模式下）</w:t>
      </w:r>
    </w:p>
    <w:p w14:paraId="2A757530">
      <w:pPr>
        <w:spacing w:before="287"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6.压力限制：</w:t>
      </w:r>
      <w:r>
        <w:rPr>
          <w:rFonts w:hint="eastAsia" w:ascii="仿宋" w:hAnsi="仿宋" w:eastAsia="仿宋" w:cs="仿宋"/>
          <w:color w:val="auto"/>
          <w:spacing w:val="-81"/>
          <w:sz w:val="24"/>
          <w:szCs w:val="24"/>
          <w:highlight w:val="none"/>
        </w:rPr>
        <w:t xml:space="preserve"> </w:t>
      </w:r>
      <w:r>
        <w:rPr>
          <w:rFonts w:hint="eastAsia" w:ascii="仿宋" w:hAnsi="仿宋" w:eastAsia="仿宋" w:cs="仿宋"/>
          <w:color w:val="auto"/>
          <w:spacing w:val="-3"/>
          <w:sz w:val="24"/>
          <w:szCs w:val="24"/>
          <w:highlight w:val="none"/>
        </w:rPr>
        <w:t>(PEEP+10)-80cmH2O</w:t>
      </w:r>
    </w:p>
    <w:p w14:paraId="6A0C763B">
      <w:pPr>
        <w:spacing w:before="286"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7.压力支持：关，3-(80-PEEP)cmH2O</w:t>
      </w:r>
    </w:p>
    <w:p w14:paraId="7C82FC61">
      <w:pPr>
        <w:spacing w:before="286"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8.呼气末正压：关，2-35cmH2O。</w:t>
      </w:r>
    </w:p>
    <w:p w14:paraId="657C9009">
      <w:pPr>
        <w:spacing w:before="286" w:line="224"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9.呼吸频率:3-100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次/分</w:t>
      </w:r>
    </w:p>
    <w:p w14:paraId="4C5F6905">
      <w:pPr>
        <w:spacing w:before="284"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10.吸气时间：0.2-10</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3"/>
          <w:sz w:val="24"/>
          <w:szCs w:val="24"/>
          <w:highlight w:val="none"/>
        </w:rPr>
        <w:t>秒</w:t>
      </w:r>
    </w:p>
    <w:p w14:paraId="066F0059">
      <w:pPr>
        <w:spacing w:before="286"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11.吸呼比：4:1～1:10 </w:t>
      </w:r>
    </w:p>
    <w:p w14:paraId="040B7F1F">
      <w:pPr>
        <w:spacing w:before="284"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12.最大吸气流速≥160L/min</w:t>
      </w:r>
    </w:p>
    <w:p w14:paraId="628DCDF5">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13.同步容量和同步压力通气时流量触发可调节，流量触发:0.3-15L/min</w:t>
      </w:r>
    </w:p>
    <w:p w14:paraId="4CD60E27">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14.压力上升时间：0-2</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秒</w:t>
      </w:r>
    </w:p>
    <w:p w14:paraId="59825C37">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15.压力支持模式下自主呼吸的吸气终止标准：</w:t>
      </w:r>
      <w:r>
        <w:rPr>
          <w:rFonts w:hint="eastAsia" w:ascii="仿宋" w:hAnsi="仿宋" w:eastAsia="仿宋" w:cs="仿宋"/>
          <w:color w:val="auto"/>
          <w:spacing w:val="-2"/>
          <w:sz w:val="24"/>
          <w:szCs w:val="24"/>
          <w:highlight w:val="none"/>
        </w:rPr>
        <w:t>5-80%</w:t>
      </w:r>
    </w:p>
    <w:p w14:paraId="5B0EECBF">
      <w:pPr>
        <w:spacing w:before="285"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16.可根据病人的理想体重预设相关的通气参数</w:t>
      </w:r>
    </w:p>
    <w:p w14:paraId="59562703">
      <w:pPr>
        <w:spacing w:before="288" w:line="224" w:lineRule="auto"/>
        <w:ind w:left="1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（三）呼吸回路：</w:t>
      </w:r>
    </w:p>
    <w:p w14:paraId="23606622">
      <w:pPr>
        <w:spacing w:before="285"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1.集成呼吸回路，耐</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2"/>
          <w:sz w:val="24"/>
          <w:szCs w:val="24"/>
          <w:highlight w:val="none"/>
        </w:rPr>
        <w:t>134℃高温蒸汽灭菌；所有回路模块不含天然乳胶。</w:t>
      </w:r>
    </w:p>
    <w:p w14:paraId="09161E07">
      <w:pPr>
        <w:spacing w:before="288" w:line="412" w:lineRule="auto"/>
        <w:ind w:left="9" w:hanging="5"/>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2.呼吸系统总容量：＞3.57升（包括可重复使用钠石灰罐容量 1.5 升和呼吸机活塞最大容量 1.5 升）。</w:t>
      </w:r>
    </w:p>
    <w:p w14:paraId="78B0BD94">
      <w:pPr>
        <w:spacing w:before="91"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3.一体化的回路主动加热系统。</w:t>
      </w:r>
    </w:p>
    <w:p w14:paraId="12387F68">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4.拆装无需工具。</w:t>
      </w:r>
    </w:p>
    <w:p w14:paraId="1BA0F6CB">
      <w:pPr>
        <w:spacing w:before="285"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5.手动和机械通气无需专用手动切换装置，APL</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4"/>
          <w:sz w:val="24"/>
          <w:szCs w:val="24"/>
          <w:highlight w:val="none"/>
        </w:rPr>
        <w:t>阀调节范围：开放，5-70cmH2O。</w:t>
      </w:r>
    </w:p>
    <w:p w14:paraId="65297B40">
      <w:pPr>
        <w:spacing w:before="287"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6.标配5</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1"/>
          <w:sz w:val="24"/>
          <w:szCs w:val="24"/>
          <w:highlight w:val="none"/>
        </w:rPr>
        <w:t>个高精度流量传感器，全自动标定。</w:t>
      </w:r>
    </w:p>
    <w:p w14:paraId="72105AED">
      <w:pPr>
        <w:spacing w:before="286" w:line="222" w:lineRule="auto"/>
        <w:ind w:left="1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（四）麻醉气体挥发罐</w:t>
      </w:r>
    </w:p>
    <w:p w14:paraId="5CA713F0">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1.挥发罐与麻醉机主机为同一厂家生产</w:t>
      </w:r>
    </w:p>
    <w:p w14:paraId="562C6A41">
      <w:pPr>
        <w:spacing w:before="288" w:line="219"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2.挥发罐，具有压力、流量、温度自动补偿；无需排空转运</w:t>
      </w:r>
    </w:p>
    <w:p w14:paraId="6F339A97">
      <w:pPr>
        <w:spacing w:before="290"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3.双罐位或单罐位，加药量</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4"/>
          <w:sz w:val="24"/>
          <w:szCs w:val="24"/>
          <w:highlight w:val="none"/>
        </w:rPr>
        <w:t>300</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4"/>
          <w:sz w:val="24"/>
          <w:szCs w:val="24"/>
          <w:highlight w:val="none"/>
        </w:rPr>
        <w:t>毫升</w:t>
      </w:r>
    </w:p>
    <w:p w14:paraId="3C619CF3">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4.配置一个七氟醚挥发罐</w:t>
      </w:r>
    </w:p>
    <w:p w14:paraId="5CECB29C">
      <w:pPr>
        <w:spacing w:before="287" w:line="222" w:lineRule="auto"/>
        <w:ind w:left="21"/>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5.只需出厂一次定标，终身免维护。</w:t>
      </w:r>
    </w:p>
    <w:p w14:paraId="1EDB8C47">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 能 够 满 足 低 、 微 流 量 麻 醉 对 挥 发 罐 精 确 度 的 要 求 ， 流 量 补 偿 范 围 在0.2-15L/min。</w:t>
      </w:r>
    </w:p>
    <w:p w14:paraId="5D830916">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（五）监测和报警</w:t>
      </w:r>
    </w:p>
    <w:p w14:paraId="6C67E13C">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1.一体化内置式≥15 吋彩色触摸幕，可快捷切换≥3 种配置视图； ≥1280x768像素。</w:t>
      </w:r>
    </w:p>
    <w:p w14:paraId="2A2CB77A">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2.开机自检，用户可选择全或部分自检功能。</w:t>
      </w:r>
    </w:p>
    <w:p w14:paraId="5AB0BDE9">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3.全自动的顺应性和泄漏测试， 自动标定所有传感器。</w:t>
      </w:r>
    </w:p>
    <w:p w14:paraId="69A0131E">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4.实时显示 2-3 道波形</w:t>
      </w:r>
    </w:p>
    <w:p w14:paraId="14A74C12">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5.日志中可保存≥20000 个条目，关机后再开机或出现电源故障后，日志中的条目仍然保留不会被删除。</w:t>
      </w:r>
    </w:p>
    <w:p w14:paraId="20B09076">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6.通气监测参数：分钟通气量（MV）和潮气量（VT 和 ΔVT）；呼吸频率；气道压（峰压、平台压、平均压、PEEP）；动态顺应性（Cdyn）；阻力（R）；弹性（E）。</w:t>
      </w:r>
    </w:p>
    <w:p w14:paraId="33850D10">
      <w:pPr>
        <w:keepNext w:val="0"/>
        <w:keepLines w:val="0"/>
        <w:pageBreakBefore w:val="0"/>
        <w:widowControl w:val="0"/>
        <w:kinsoku/>
        <w:wordWrap/>
        <w:overflowPunct/>
        <w:topLinePunct w:val="0"/>
        <w:autoSpaceDE/>
        <w:autoSpaceDN/>
        <w:bidi w:val="0"/>
        <w:adjustRightInd/>
        <w:snapToGrid/>
        <w:spacing w:before="91" w:line="360" w:lineRule="auto"/>
        <w:ind w:left="1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 监 测 范 围 ： 压 力 ： -20-99cmH2O ； 潮 气 量 监 测 范 围 ： 0-2000mL ； 顺 应性:0-200mL/cmH2O；阻力：0-100cmH2O/L/s；弹性：0.005-10mL/cmH2O。</w:t>
      </w:r>
    </w:p>
    <w:p w14:paraId="7A4047A6">
      <w:pPr>
        <w:spacing w:before="2" w:line="411" w:lineRule="auto"/>
        <w:ind w:left="6" w:hanging="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8.一体化的气体模块监测参数：O2、N2O、CO2</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及</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5</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3"/>
          <w:sz w:val="24"/>
          <w:szCs w:val="24"/>
          <w:highlight w:val="none"/>
        </w:rPr>
        <w:t>种麻醉气体（</w:t>
      </w:r>
      <w:r>
        <w:rPr>
          <w:rFonts w:hint="eastAsia" w:ascii="仿宋" w:hAnsi="仿宋" w:eastAsia="仿宋" w:cs="仿宋"/>
          <w:color w:val="auto"/>
          <w:spacing w:val="-28"/>
          <w:sz w:val="24"/>
          <w:szCs w:val="24"/>
          <w:highlight w:val="none"/>
        </w:rPr>
        <w:t xml:space="preserve"> </w:t>
      </w:r>
      <w:r>
        <w:rPr>
          <w:rFonts w:hint="eastAsia" w:ascii="仿宋" w:hAnsi="仿宋" w:eastAsia="仿宋" w:cs="仿宋"/>
          <w:color w:val="auto"/>
          <w:spacing w:val="-3"/>
          <w:sz w:val="24"/>
          <w:szCs w:val="24"/>
          <w:highlight w:val="none"/>
        </w:rPr>
        <w:t>自动识别）吸</w:t>
      </w:r>
      <w:r>
        <w:rPr>
          <w:rFonts w:hint="eastAsia" w:ascii="仿宋" w:hAnsi="仿宋" w:eastAsia="仿宋" w:cs="仿宋"/>
          <w:color w:val="auto"/>
          <w:spacing w:val="-1"/>
          <w:sz w:val="24"/>
          <w:szCs w:val="24"/>
          <w:highlight w:val="none"/>
        </w:rPr>
        <w:t>入和呼出浓度；可侦测混合麻醉气体；经年龄校正的</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1"/>
          <w:sz w:val="24"/>
          <w:szCs w:val="24"/>
          <w:highlight w:val="none"/>
        </w:rPr>
        <w:t>xMAC</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值</w:t>
      </w:r>
      <w:r>
        <w:rPr>
          <w:rFonts w:hint="eastAsia" w:ascii="仿宋" w:hAnsi="仿宋" w:eastAsia="仿宋" w:cs="仿宋"/>
          <w:color w:val="auto"/>
          <w:spacing w:val="-2"/>
          <w:sz w:val="24"/>
          <w:szCs w:val="24"/>
          <w:highlight w:val="none"/>
        </w:rPr>
        <w:t>计算和显示。氧浓度监测采用顺磁氧技术，无耗品。</w:t>
      </w:r>
    </w:p>
    <w:p w14:paraId="3E0F5E05">
      <w:pPr>
        <w:spacing w:line="22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z w:val="24"/>
          <w:szCs w:val="24"/>
          <w:highlight w:val="none"/>
        </w:rPr>
        <w:t>9.报警参数：氧浓度、潮气量、分钟通气量、</w:t>
      </w:r>
      <w:r>
        <w:rPr>
          <w:rFonts w:hint="eastAsia" w:ascii="仿宋" w:hAnsi="仿宋" w:eastAsia="仿宋" w:cs="仿宋"/>
          <w:color w:val="auto"/>
          <w:spacing w:val="-1"/>
          <w:sz w:val="24"/>
          <w:szCs w:val="24"/>
          <w:highlight w:val="none"/>
        </w:rPr>
        <w:t>窒息报警、气道压力报警等。</w:t>
      </w:r>
    </w:p>
    <w:p w14:paraId="10DC8A57">
      <w:pPr>
        <w:spacing w:line="220" w:lineRule="auto"/>
        <w:rPr>
          <w:rFonts w:hint="eastAsia" w:ascii="仿宋" w:hAnsi="仿宋" w:eastAsia="仿宋" w:cs="仿宋"/>
          <w:color w:val="auto"/>
          <w:spacing w:val="-1"/>
          <w:sz w:val="24"/>
          <w:szCs w:val="24"/>
          <w:highlight w:val="none"/>
        </w:rPr>
      </w:pPr>
    </w:p>
    <w:p w14:paraId="003DEF5A">
      <w:pPr>
        <w:spacing w:before="91" w:line="223" w:lineRule="auto"/>
        <w:ind w:left="3370"/>
        <w:outlineLvl w:val="0"/>
        <w:rPr>
          <w:rFonts w:hint="eastAsia" w:ascii="仿宋" w:hAnsi="仿宋" w:eastAsia="仿宋" w:cs="仿宋"/>
          <w:color w:val="auto"/>
          <w:sz w:val="24"/>
          <w:szCs w:val="24"/>
          <w:highlight w:val="none"/>
        </w:rPr>
      </w:pPr>
      <w:bookmarkStart w:id="517" w:name="_Toc15612"/>
      <w:bookmarkStart w:id="518" w:name="_Toc28304"/>
      <w:bookmarkStart w:id="519" w:name="_Toc32432"/>
      <w:r>
        <w:rPr>
          <w:rFonts w:hint="eastAsia" w:ascii="仿宋" w:hAnsi="仿宋" w:eastAsia="仿宋" w:cs="仿宋"/>
          <w:b/>
          <w:bCs/>
          <w:color w:val="auto"/>
          <w:spacing w:val="-5"/>
          <w:sz w:val="24"/>
          <w:szCs w:val="24"/>
          <w:highlight w:val="none"/>
          <w:lang w:val="en-US" w:eastAsia="zh-CN"/>
        </w:rPr>
        <w:t>2.</w:t>
      </w:r>
      <w:r>
        <w:rPr>
          <w:rFonts w:hint="eastAsia" w:ascii="仿宋" w:hAnsi="仿宋" w:eastAsia="仿宋" w:cs="仿宋"/>
          <w:b/>
          <w:bCs/>
          <w:color w:val="auto"/>
          <w:spacing w:val="-5"/>
          <w:sz w:val="24"/>
          <w:szCs w:val="24"/>
          <w:highlight w:val="none"/>
        </w:rPr>
        <w:t>高端监护仪招标参数</w:t>
      </w:r>
      <w:bookmarkEnd w:id="517"/>
      <w:bookmarkEnd w:id="518"/>
      <w:bookmarkEnd w:id="519"/>
    </w:p>
    <w:p w14:paraId="2C689FC5">
      <w:pPr>
        <w:pStyle w:val="11"/>
        <w:spacing w:line="313" w:lineRule="auto"/>
        <w:rPr>
          <w:rFonts w:hint="eastAsia" w:ascii="仿宋" w:hAnsi="仿宋" w:eastAsia="仿宋" w:cs="仿宋"/>
          <w:color w:val="auto"/>
          <w:sz w:val="24"/>
          <w:szCs w:val="24"/>
          <w:highlight w:val="none"/>
        </w:rPr>
      </w:pPr>
    </w:p>
    <w:p w14:paraId="6A891EC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1.1.监护能力：成人，儿童，新生儿</w:t>
      </w:r>
    </w:p>
    <w:p w14:paraId="0A92FAA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 ≥11 英寸高分辨率彩色TFT 触摸屏，分辨率≥1024×768，支持≥11 道波形</w:t>
      </w:r>
    </w:p>
    <w:p w14:paraId="27E1379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1.3.具有电源指示灯，充电指示灯，和报警指示灯，单个通道可同时显示小趋势、波形和参数</w:t>
      </w:r>
    </w:p>
    <w:p w14:paraId="18A87CB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1.4.屏幕布局可定制，可同屏显示 NIBP 测量历史记录</w:t>
      </w:r>
    </w:p>
    <w:p w14:paraId="3158FE3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1.5.支持≥多种语言选择</w:t>
      </w:r>
    </w:p>
    <w:p w14:paraId="2CE12BBE">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1.6 具有大字体显示功能，同屏支持≥8道波形显示</w:t>
      </w:r>
    </w:p>
    <w:p w14:paraId="4F051E5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1.7 新生儿呼吸氧合图</w:t>
      </w:r>
    </w:p>
    <w:p w14:paraId="2883660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1.8 可存储≥120 小时趋势数据，所有参数均可以表格或图形格式存储</w:t>
      </w:r>
    </w:p>
    <w:p w14:paraId="0EE958C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1.9 监护仪提供了全部监护参数的≥120 小时趋势数据， ≥1200 个 NIBP 测量数据和≥60 个参数报警事件的存贮</w:t>
      </w:r>
    </w:p>
    <w:p w14:paraId="3793DB8B">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1.10.具有 1 个 VGA 输出接 口，1 个 RS232 接 口，1 个以太网 口，2 个 USB 接 口， 1 个模拟输出接口和护士呼叫系统接 口</w:t>
      </w:r>
    </w:p>
    <w:p w14:paraId="0276944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1.10 内置记录仪，可打印≥3 通道信息。支持参数报警记录、趋势记录、药物计算和滴定表记录和回顾记录</w:t>
      </w:r>
    </w:p>
    <w:p w14:paraId="76D59889">
      <w:pPr>
        <w:keepNext w:val="0"/>
        <w:keepLines w:val="0"/>
        <w:pageBreakBefore w:val="0"/>
        <w:widowControl w:val="0"/>
        <w:kinsoku/>
        <w:wordWrap/>
        <w:overflowPunct/>
        <w:topLinePunct w:val="0"/>
        <w:autoSpaceDE/>
        <w:autoSpaceDN/>
        <w:bidi w:val="0"/>
        <w:adjustRightInd/>
        <w:snapToGrid/>
        <w:spacing w:before="2" w:line="360" w:lineRule="auto"/>
        <w:ind w:left="5" w:right="93" w:firstLine="1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1.11.内置可充电锂离子电池，保证工作≥240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分钟（21℃</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4"/>
          <w:sz w:val="24"/>
          <w:szCs w:val="24"/>
          <w:highlight w:val="none"/>
        </w:rPr>
        <w:t>连续SpO2</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测量模式</w:t>
      </w:r>
      <w:r>
        <w:rPr>
          <w:rFonts w:hint="eastAsia" w:ascii="仿宋" w:hAnsi="仿宋" w:eastAsia="仿宋" w:cs="仿宋"/>
          <w:color w:val="auto"/>
          <w:spacing w:val="-7"/>
          <w:sz w:val="24"/>
          <w:szCs w:val="24"/>
          <w:highlight w:val="none"/>
        </w:rPr>
        <w:t>和</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7"/>
          <w:sz w:val="24"/>
          <w:szCs w:val="24"/>
          <w:highlight w:val="none"/>
        </w:rPr>
        <w:t>NIBP 自动测量模式）</w:t>
      </w:r>
    </w:p>
    <w:p w14:paraId="1F512C6A">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1.12.可以跟现有麻醉机进行数据互通</w:t>
      </w:r>
    </w:p>
    <w:p w14:paraId="740DFDC1">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2.测量参数：心电</w:t>
      </w:r>
    </w:p>
    <w:p w14:paraId="7B39007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2.1.标配ECG1 导联可选 3/1 导联， ≥7 道心电波形同屏显示</w:t>
      </w:r>
    </w:p>
    <w:p w14:paraId="4E5A970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2.2.本监护仪可以进行≥16 种高级心律失常分析</w:t>
      </w:r>
    </w:p>
    <w:p w14:paraId="3E3A6E5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3.呼吸速率：胸阻抗法</w:t>
      </w:r>
    </w:p>
    <w:p w14:paraId="7EE4D23C">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无创血压：震荡法、步进阶梯式放气</w:t>
      </w:r>
    </w:p>
    <w:p w14:paraId="45BAF343">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4.体温：标配双道体温，支持温差测量，可选用重复性探头和一次性探头</w:t>
      </w:r>
    </w:p>
    <w:p w14:paraId="39639732">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5.脉搏血氧饱和度：一体化指套设计，可测量灌注指数，SPO2 灵敏度可调</w:t>
      </w:r>
    </w:p>
    <w:p w14:paraId="65487E36">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6.有创血压：标配 2 道有创血压，测量范围：-10—300mmHg，可测量压力：ART动脉压、PA 肺动脉压、CVP 中心静脉压、RAP 右心房压、LAP 左心房压、ICP 颅内压</w:t>
      </w:r>
    </w:p>
    <w:p w14:paraId="5E3259F9">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7.呼末二氧化碳</w:t>
      </w:r>
    </w:p>
    <w:p w14:paraId="29A308CF">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7.1.主流 etCO2</w:t>
      </w:r>
    </w:p>
    <w:p w14:paraId="679EA850">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7.2.测量方法：红外吸收技术，测量范围：0 至 150mmHg</w:t>
      </w:r>
    </w:p>
    <w:p w14:paraId="65018725">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7.3.可测量EtCO2 呼末二氧化碳浓度，FiCO2 吸入二氧化碳浓度，AwRR 呼吸速率</w:t>
      </w:r>
    </w:p>
    <w:p w14:paraId="035C1F4D">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8.脑电双频指数BIs</w:t>
      </w:r>
    </w:p>
    <w:p w14:paraId="4E3A3DF4">
      <w:pPr>
        <w:keepNext w:val="0"/>
        <w:keepLines w:val="0"/>
        <w:pageBreakBefore w:val="0"/>
        <w:widowControl w:val="0"/>
        <w:kinsoku/>
        <w:wordWrap/>
        <w:overflowPunct/>
        <w:topLinePunct w:val="0"/>
        <w:autoSpaceDE/>
        <w:autoSpaceDN/>
        <w:bidi w:val="0"/>
        <w:adjustRightInd/>
        <w:snapToGrid/>
        <w:spacing w:before="91" w:line="360" w:lineRule="auto"/>
        <w:ind w:left="17"/>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2"/>
          <w:sz w:val="24"/>
          <w:szCs w:val="24"/>
          <w:highlight w:val="none"/>
        </w:rPr>
        <w:t>8.1 具备脑电双频指数BIS 监测：采集和处理的脑电信号来监护脑部的镇静深度，可同时显示≥1 道脑电波形和测量参数，监护仪主机可以进行BIS 波形趋势的回顾。BIS 指数(0-100)、信号质量指数（SQI）（0-100%），抑制比（SR）</w:t>
      </w:r>
      <w:r>
        <w:rPr>
          <w:rFonts w:hint="eastAsia" w:ascii="仿宋" w:hAnsi="仿宋" w:eastAsia="仿宋" w:cs="仿宋"/>
          <w:color w:val="auto"/>
          <w:spacing w:val="-80"/>
          <w:sz w:val="24"/>
          <w:szCs w:val="24"/>
          <w:highlight w:val="none"/>
        </w:rPr>
        <w:t>（</w:t>
      </w:r>
      <w:r>
        <w:rPr>
          <w:rFonts w:hint="eastAsia" w:ascii="仿宋" w:hAnsi="仿宋" w:eastAsia="仿宋" w:cs="仿宋"/>
          <w:color w:val="auto"/>
          <w:spacing w:val="-5"/>
          <w:sz w:val="24"/>
          <w:szCs w:val="24"/>
          <w:highlight w:val="none"/>
        </w:rPr>
        <w:t>0-100%</w:t>
      </w:r>
      <w:r>
        <w:rPr>
          <w:rFonts w:hint="eastAsia" w:ascii="仿宋" w:hAnsi="仿宋" w:eastAsia="仿宋" w:cs="仿宋"/>
          <w:color w:val="auto"/>
          <w:spacing w:val="-80"/>
          <w:sz w:val="24"/>
          <w:szCs w:val="24"/>
          <w:highlight w:val="none"/>
        </w:rPr>
        <w:t>），</w:t>
      </w:r>
      <w:r>
        <w:rPr>
          <w:rFonts w:hint="eastAsia" w:ascii="仿宋" w:hAnsi="仿宋" w:eastAsia="仿宋" w:cs="仿宋"/>
          <w:color w:val="auto"/>
          <w:sz w:val="24"/>
          <w:szCs w:val="24"/>
          <w:highlight w:val="none"/>
        </w:rPr>
        <w:t xml:space="preserve"> EMG（30-80dB），频谱边界率（SEF）（0.5-30.0Hz），T</w:t>
      </w:r>
      <w:r>
        <w:rPr>
          <w:rFonts w:hint="eastAsia" w:ascii="仿宋" w:hAnsi="仿宋" w:eastAsia="仿宋" w:cs="仿宋"/>
          <w:color w:val="auto"/>
          <w:spacing w:val="-1"/>
          <w:sz w:val="24"/>
          <w:szCs w:val="24"/>
          <w:highlight w:val="none"/>
        </w:rPr>
        <w:t>P（40-100dB</w:t>
      </w:r>
      <w:r>
        <w:rPr>
          <w:rFonts w:hint="eastAsia" w:ascii="仿宋" w:hAnsi="仿宋" w:eastAsia="仿宋" w:cs="仿宋"/>
          <w:color w:val="auto"/>
          <w:sz w:val="24"/>
          <w:szCs w:val="24"/>
          <w:highlight w:val="none"/>
        </w:rPr>
        <w:t>），</w:t>
      </w:r>
      <w:r>
        <w:rPr>
          <w:rFonts w:hint="eastAsia" w:ascii="仿宋" w:hAnsi="仿宋" w:eastAsia="仿宋" w:cs="仿宋"/>
          <w:color w:val="auto"/>
          <w:spacing w:val="-1"/>
          <w:sz w:val="24"/>
          <w:szCs w:val="24"/>
          <w:highlight w:val="none"/>
        </w:rPr>
        <w:t>脑电</w:t>
      </w:r>
      <w:r>
        <w:rPr>
          <w:rFonts w:hint="eastAsia" w:ascii="仿宋" w:hAnsi="仿宋" w:eastAsia="仿宋" w:cs="仿宋"/>
          <w:color w:val="auto"/>
          <w:sz w:val="24"/>
          <w:szCs w:val="24"/>
          <w:highlight w:val="none"/>
        </w:rPr>
        <w:t>频宽</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z w:val="24"/>
          <w:szCs w:val="24"/>
          <w:highlight w:val="none"/>
        </w:rPr>
        <w:t>0.25Hz~100Hz，扫描速度</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z w:val="24"/>
          <w:szCs w:val="24"/>
          <w:highlight w:val="none"/>
        </w:rPr>
        <w:t>6.25</w:t>
      </w:r>
      <w:r>
        <w:rPr>
          <w:rFonts w:hint="eastAsia" w:ascii="仿宋" w:hAnsi="仿宋" w:eastAsia="仿宋" w:cs="仿宋"/>
          <w:color w:val="auto"/>
          <w:spacing w:val="-1"/>
          <w:sz w:val="24"/>
          <w:szCs w:val="24"/>
          <w:highlight w:val="none"/>
        </w:rPr>
        <w:t>mm/s、12.5mm/s、25mm/s、50mm/s。</w:t>
      </w:r>
    </w:p>
    <w:p w14:paraId="151652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1"/>
          <w:sz w:val="24"/>
          <w:szCs w:val="24"/>
          <w:highlight w:val="none"/>
        </w:rPr>
      </w:pPr>
    </w:p>
    <w:p w14:paraId="590606E2">
      <w:pPr>
        <w:spacing w:before="91" w:line="223" w:lineRule="auto"/>
        <w:ind w:left="2879"/>
        <w:outlineLvl w:val="0"/>
        <w:rPr>
          <w:rFonts w:hint="eastAsia" w:ascii="仿宋" w:hAnsi="仿宋" w:eastAsia="仿宋" w:cs="仿宋"/>
          <w:color w:val="auto"/>
          <w:sz w:val="24"/>
          <w:szCs w:val="24"/>
          <w:highlight w:val="none"/>
        </w:rPr>
      </w:pPr>
      <w:bookmarkStart w:id="520" w:name="_Toc9664"/>
      <w:bookmarkStart w:id="521" w:name="_Toc17840"/>
      <w:bookmarkStart w:id="522" w:name="_Toc8576"/>
      <w:r>
        <w:rPr>
          <w:rFonts w:hint="eastAsia" w:ascii="仿宋" w:hAnsi="仿宋" w:eastAsia="仿宋" w:cs="仿宋"/>
          <w:b/>
          <w:bCs/>
          <w:color w:val="auto"/>
          <w:spacing w:val="-4"/>
          <w:sz w:val="24"/>
          <w:szCs w:val="24"/>
          <w:highlight w:val="none"/>
          <w:lang w:val="en-US" w:eastAsia="zh-CN"/>
        </w:rPr>
        <w:t>3.</w:t>
      </w:r>
      <w:r>
        <w:rPr>
          <w:rFonts w:hint="eastAsia" w:ascii="仿宋" w:hAnsi="仿宋" w:eastAsia="仿宋" w:cs="仿宋"/>
          <w:b/>
          <w:bCs/>
          <w:color w:val="auto"/>
          <w:spacing w:val="-4"/>
          <w:sz w:val="24"/>
          <w:szCs w:val="24"/>
          <w:highlight w:val="none"/>
        </w:rPr>
        <w:t>母婴监护仪技术参数</w:t>
      </w:r>
      <w:bookmarkEnd w:id="520"/>
      <w:bookmarkEnd w:id="521"/>
      <w:bookmarkEnd w:id="522"/>
    </w:p>
    <w:p w14:paraId="434D547C">
      <w:pPr>
        <w:pStyle w:val="11"/>
        <w:spacing w:line="312" w:lineRule="auto"/>
        <w:rPr>
          <w:rFonts w:hint="eastAsia" w:ascii="仿宋" w:hAnsi="仿宋" w:eastAsia="仿宋" w:cs="仿宋"/>
          <w:color w:val="auto"/>
          <w:sz w:val="24"/>
          <w:szCs w:val="24"/>
          <w:highlight w:val="none"/>
        </w:rPr>
      </w:pPr>
    </w:p>
    <w:p w14:paraId="7700A188">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1.≥13</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6"/>
          <w:sz w:val="24"/>
          <w:szCs w:val="24"/>
          <w:highlight w:val="none"/>
        </w:rPr>
        <w:t>英寸</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6"/>
          <w:sz w:val="24"/>
          <w:szCs w:val="24"/>
          <w:highlight w:val="none"/>
        </w:rPr>
        <w:t>TFT 电容触摸屏，分辨率≥1920*1080P；</w:t>
      </w:r>
    </w:p>
    <w:p w14:paraId="00755A73">
      <w:pPr>
        <w:spacing w:before="285"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3"/>
          <w:sz w:val="24"/>
          <w:szCs w:val="24"/>
          <w:highlight w:val="none"/>
        </w:rPr>
        <w:t>支持屏幕亮度自动调节；</w:t>
      </w:r>
    </w:p>
    <w:p w14:paraId="571806C8">
      <w:pPr>
        <w:spacing w:before="287"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4"/>
          <w:sz w:val="24"/>
          <w:szCs w:val="24"/>
          <w:highlight w:val="none"/>
        </w:rPr>
        <w:t>可设置夜间模式；</w:t>
      </w:r>
    </w:p>
    <w:p w14:paraId="3BBE378D">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2"/>
          <w:sz w:val="24"/>
          <w:szCs w:val="24"/>
          <w:highlight w:val="none"/>
        </w:rPr>
        <w:t>监护参数：胎心率，宫缩压力，胎动；</w:t>
      </w:r>
    </w:p>
    <w:p w14:paraId="260B4C36">
      <w:pPr>
        <w:spacing w:before="286" w:line="217"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2"/>
          <w:sz w:val="24"/>
          <w:szCs w:val="24"/>
          <w:highlight w:val="none"/>
        </w:rPr>
        <w:t>胎心率测量范围：50bpm～240bp</w:t>
      </w:r>
      <w:r>
        <w:rPr>
          <w:rFonts w:hint="eastAsia" w:ascii="仿宋" w:hAnsi="仿宋" w:eastAsia="仿宋" w:cs="仿宋"/>
          <w:color w:val="auto"/>
          <w:spacing w:val="-3"/>
          <w:sz w:val="24"/>
          <w:szCs w:val="24"/>
          <w:highlight w:val="none"/>
        </w:rPr>
        <w:t>m；测量精度：</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3"/>
          <w:sz w:val="24"/>
          <w:szCs w:val="24"/>
          <w:highlight w:val="none"/>
        </w:rPr>
        <w:t>±1bpm；</w:t>
      </w:r>
    </w:p>
    <w:p w14:paraId="71E5D9D1">
      <w:pPr>
        <w:spacing w:before="29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3"/>
          <w:sz w:val="24"/>
          <w:szCs w:val="24"/>
          <w:highlight w:val="none"/>
        </w:rPr>
        <w:t>超声频率：1MHz；</w:t>
      </w:r>
    </w:p>
    <w:p w14:paraId="0FC3CB46">
      <w:pPr>
        <w:spacing w:before="285"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7. 宫缩压力范围：0</w:t>
      </w:r>
      <w:r>
        <w:rPr>
          <w:rFonts w:hint="eastAsia" w:ascii="仿宋" w:hAnsi="仿宋" w:eastAsia="仿宋" w:cs="仿宋"/>
          <w:color w:val="auto"/>
          <w:spacing w:val="-30"/>
          <w:sz w:val="24"/>
          <w:szCs w:val="24"/>
          <w:highlight w:val="none"/>
        </w:rPr>
        <w:t xml:space="preserve"> </w:t>
      </w:r>
      <w:r>
        <w:rPr>
          <w:rFonts w:hint="eastAsia" w:ascii="仿宋" w:hAnsi="仿宋" w:eastAsia="仿宋" w:cs="仿宋"/>
          <w:color w:val="auto"/>
          <w:spacing w:val="-7"/>
          <w:sz w:val="24"/>
          <w:szCs w:val="24"/>
          <w:highlight w:val="none"/>
        </w:rPr>
        <w:t>单位～100</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7"/>
          <w:sz w:val="24"/>
          <w:szCs w:val="24"/>
          <w:highlight w:val="none"/>
        </w:rPr>
        <w:t>单位；</w:t>
      </w:r>
    </w:p>
    <w:p w14:paraId="0B1EA52E">
      <w:pPr>
        <w:spacing w:before="288"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8. 归零方式：</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10"/>
          <w:sz w:val="24"/>
          <w:szCs w:val="24"/>
          <w:highlight w:val="none"/>
        </w:rPr>
        <w:t>自动，手动；</w:t>
      </w:r>
    </w:p>
    <w:p w14:paraId="593D8A19">
      <w:pPr>
        <w:spacing w:before="286"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9.</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3"/>
          <w:sz w:val="24"/>
          <w:szCs w:val="24"/>
          <w:highlight w:val="none"/>
        </w:rPr>
        <w:t>胎动：手动或自动；</w:t>
      </w:r>
    </w:p>
    <w:p w14:paraId="727F418C">
      <w:pPr>
        <w:spacing w:before="285"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10.心电导联类型：支持</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6"/>
          <w:sz w:val="24"/>
          <w:szCs w:val="24"/>
          <w:highlight w:val="none"/>
        </w:rPr>
        <w:t>3</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6"/>
          <w:sz w:val="24"/>
          <w:szCs w:val="24"/>
          <w:highlight w:val="none"/>
        </w:rPr>
        <w:t>导，5</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6"/>
          <w:sz w:val="24"/>
          <w:szCs w:val="24"/>
          <w:highlight w:val="none"/>
        </w:rPr>
        <w:t>导及自动；</w:t>
      </w:r>
    </w:p>
    <w:p w14:paraId="226663B4">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11.共模抑制能力≥105dB；</w:t>
      </w:r>
    </w:p>
    <w:p w14:paraId="2A045EAC">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12.直流偏置电压±800mv；</w:t>
      </w:r>
    </w:p>
    <w:p w14:paraId="1A1DE300">
      <w:pPr>
        <w:spacing w:before="285" w:line="217"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13.心率测量范围：15bpm～300bpm，精度：≤±1bpm；</w:t>
      </w:r>
    </w:p>
    <w:p w14:paraId="2CB40D45">
      <w:pPr>
        <w:spacing w:before="285" w:line="223" w:lineRule="auto"/>
        <w:ind w:left="21"/>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14.支持多导联心电同步分析功能；</w:t>
      </w:r>
    </w:p>
    <w:p w14:paraId="3359ABC6">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15.支持智能导联脱落功能。打开智能导联，断开计算导联通道的导联连接，如有其他导联仍能检测到心电波形，则仍可计算心率；</w:t>
      </w:r>
    </w:p>
    <w:p w14:paraId="550C2B90">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16.呼吸测量范围：0rpm～200rpm；</w:t>
      </w:r>
    </w:p>
    <w:p w14:paraId="5E8A4045">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17.可选配 Masimo 血氧，PI 灌注指数测量范围：0.02%～20%；</w:t>
      </w:r>
    </w:p>
    <w:p w14:paraId="7848D941">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18.脉率测量范围：20bpm～300bpm，测量精度：≤±2bpm；</w:t>
      </w:r>
    </w:p>
    <w:p w14:paraId="43D83B7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19.支持胎儿监护、母亲/胎儿监护、母亲监护等多种界面显示；</w:t>
      </w:r>
    </w:p>
    <w:p w14:paraId="0816794E">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20. 内置评分报告功能：应具有 KREBS 评分、改良 FISCHER 评分、FISCHER评分、NST 评分、NST 报告、NST 三级分类报告、牛津算法评分等≥7 种CTG 评分功能；</w:t>
      </w:r>
    </w:p>
    <w:p w14:paraId="56B54C24">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21.超声胎心探头、宫缩压力探头防水等级：IP67；</w:t>
      </w:r>
    </w:p>
    <w:p w14:paraId="44B898A1">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22.支持双胎心监护，并可选配三胎心监护；</w:t>
      </w:r>
    </w:p>
    <w:p w14:paraId="3DDA8126">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23.支持胎心率与母亲心率信号重合报警提示功能；</w:t>
      </w:r>
    </w:p>
    <w:p w14:paraId="053B31C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24.内置式宽行打印，打印走纸速度可选；</w:t>
      </w:r>
    </w:p>
    <w:p w14:paraId="7850FC9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25.支持多胎心波形的分离打印；</w:t>
      </w:r>
    </w:p>
    <w:p w14:paraId="2788D5A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26.数据存储：应能存储至少≥500 个文件或≥5000h 的监护数据；</w:t>
      </w:r>
    </w:p>
    <w:p w14:paraId="40F40444">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27.配备电池，连续工作时间≥3 小时；</w:t>
      </w:r>
    </w:p>
    <w:p w14:paraId="0F5661C1">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28.配备胎动打标器；</w:t>
      </w:r>
    </w:p>
    <w:p w14:paraId="1DD4CCA0">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29.内置 USB 接口，可接鼠标、扫码枪等设备。</w:t>
      </w:r>
    </w:p>
    <w:p w14:paraId="7E99A8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7"/>
          <w:sz w:val="24"/>
          <w:szCs w:val="24"/>
          <w:highlight w:val="none"/>
        </w:rPr>
      </w:pPr>
    </w:p>
    <w:p w14:paraId="02E599B4">
      <w:pPr>
        <w:spacing w:before="91" w:line="223" w:lineRule="auto"/>
        <w:ind w:left="3640"/>
        <w:outlineLvl w:val="0"/>
        <w:rPr>
          <w:rFonts w:hint="eastAsia" w:ascii="仿宋" w:hAnsi="仿宋" w:eastAsia="仿宋" w:cs="仿宋"/>
          <w:color w:val="auto"/>
          <w:sz w:val="24"/>
          <w:szCs w:val="24"/>
          <w:highlight w:val="none"/>
        </w:rPr>
      </w:pPr>
      <w:bookmarkStart w:id="523" w:name="_Toc805"/>
      <w:bookmarkStart w:id="524" w:name="_Toc31188"/>
      <w:bookmarkStart w:id="525" w:name="_Toc22952"/>
      <w:r>
        <w:rPr>
          <w:rFonts w:hint="eastAsia" w:ascii="仿宋" w:hAnsi="仿宋" w:eastAsia="仿宋" w:cs="仿宋"/>
          <w:b/>
          <w:bCs/>
          <w:color w:val="auto"/>
          <w:spacing w:val="-4"/>
          <w:sz w:val="24"/>
          <w:szCs w:val="24"/>
          <w:highlight w:val="none"/>
          <w:lang w:val="en-US" w:eastAsia="zh-CN"/>
        </w:rPr>
        <w:t>4.</w:t>
      </w:r>
      <w:r>
        <w:rPr>
          <w:rFonts w:hint="eastAsia" w:ascii="仿宋" w:hAnsi="仿宋" w:eastAsia="仿宋" w:cs="仿宋"/>
          <w:b/>
          <w:bCs/>
          <w:color w:val="auto"/>
          <w:spacing w:val="-4"/>
          <w:sz w:val="24"/>
          <w:szCs w:val="24"/>
          <w:highlight w:val="none"/>
        </w:rPr>
        <w:t>输液泵技术参数</w:t>
      </w:r>
      <w:bookmarkEnd w:id="523"/>
      <w:bookmarkEnd w:id="524"/>
      <w:bookmarkEnd w:id="525"/>
    </w:p>
    <w:p w14:paraId="5D86595A">
      <w:pPr>
        <w:pStyle w:val="11"/>
        <w:spacing w:line="312" w:lineRule="auto"/>
        <w:rPr>
          <w:rFonts w:hint="eastAsia" w:ascii="仿宋" w:hAnsi="仿宋" w:eastAsia="仿宋" w:cs="仿宋"/>
          <w:color w:val="auto"/>
          <w:sz w:val="24"/>
          <w:szCs w:val="24"/>
          <w:highlight w:val="none"/>
        </w:rPr>
      </w:pPr>
    </w:p>
    <w:p w14:paraId="7A1F735E">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1.使用年限≥10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年。</w:t>
      </w:r>
    </w:p>
    <w:p w14:paraId="2DA05B6D">
      <w:pPr>
        <w:spacing w:before="286"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2.支持输血功能。</w:t>
      </w:r>
    </w:p>
    <w:p w14:paraId="7DBC51D7">
      <w:pPr>
        <w:spacing w:before="286"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3.支持临床常用输血管路，无需专用输血管路。</w:t>
      </w:r>
    </w:p>
    <w:p w14:paraId="0587CC1B">
      <w:pPr>
        <w:spacing w:before="28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4.支持肠内营养液输液功能。</w:t>
      </w:r>
    </w:p>
    <w:p w14:paraId="56DF922D">
      <w:pPr>
        <w:spacing w:before="288"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5.输液精度≤±5%。</w:t>
      </w:r>
    </w:p>
    <w:p w14:paraId="3152DF9B">
      <w:pPr>
        <w:spacing w:before="285" w:line="224"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6.速率范围：0.1-1900ml/h。</w:t>
      </w:r>
    </w:p>
    <w:p w14:paraId="11979120">
      <w:pPr>
        <w:spacing w:before="284"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7.预置输液总量范围：0.1-9999.99ml。</w:t>
      </w:r>
    </w:p>
    <w:p w14:paraId="6B07E703">
      <w:pPr>
        <w:spacing w:before="285"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8.快进流速范围：0.1-1900ml/h，具有自动和手动快进可选。</w:t>
      </w:r>
    </w:p>
    <w:p w14:paraId="29124E67">
      <w:pPr>
        <w:spacing w:before="287" w:line="411" w:lineRule="auto"/>
        <w:ind w:left="15" w:right="45" w:hanging="13"/>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9.可自动统计≥4</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种累计量：24h</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5"/>
          <w:sz w:val="24"/>
          <w:szCs w:val="24"/>
          <w:highlight w:val="none"/>
        </w:rPr>
        <w:t>累计量、最近累计量、</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5"/>
          <w:sz w:val="24"/>
          <w:szCs w:val="24"/>
          <w:highlight w:val="none"/>
        </w:rPr>
        <w:t>自定义时间段累计量、</w:t>
      </w:r>
      <w:r>
        <w:rPr>
          <w:rFonts w:hint="eastAsia" w:ascii="仿宋" w:hAnsi="仿宋" w:eastAsia="仿宋" w:cs="仿宋"/>
          <w:color w:val="auto"/>
          <w:spacing w:val="-3"/>
          <w:sz w:val="24"/>
          <w:szCs w:val="24"/>
          <w:highlight w:val="none"/>
        </w:rPr>
        <w:t>定时间隔累计量等。</w:t>
      </w:r>
    </w:p>
    <w:p w14:paraId="712DFFFD">
      <w:pPr>
        <w:spacing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10.可直接在输液泵添加输液器品牌名称。</w:t>
      </w:r>
    </w:p>
    <w:p w14:paraId="33BB1BE9">
      <w:pPr>
        <w:spacing w:before="292" w:line="411" w:lineRule="auto"/>
        <w:ind w:left="9" w:right="45" w:firstLine="1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2"/>
          <w:sz w:val="24"/>
          <w:szCs w:val="24"/>
          <w:highlight w:val="none"/>
        </w:rPr>
        <w:t>≥8</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2"/>
          <w:sz w:val="24"/>
          <w:szCs w:val="24"/>
          <w:highlight w:val="none"/>
        </w:rPr>
        <w:t>种输液模式：速度模式、时间模式、体重模式、梯度模式、序列模式、</w:t>
      </w:r>
      <w:r>
        <w:rPr>
          <w:rFonts w:hint="eastAsia" w:ascii="仿宋" w:hAnsi="仿宋" w:eastAsia="仿宋" w:cs="仿宋"/>
          <w:color w:val="auto"/>
          <w:spacing w:val="-1"/>
          <w:sz w:val="24"/>
          <w:szCs w:val="24"/>
          <w:highlight w:val="none"/>
        </w:rPr>
        <w:t>剂量时间模式、点滴模式、和间断给药模式等。</w:t>
      </w:r>
    </w:p>
    <w:p w14:paraId="46DA33A5">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12.支持镇痛药、化疗药、胰岛素输注。</w:t>
      </w:r>
    </w:p>
    <w:p w14:paraId="648C747A">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13.≥4 英寸彩色触摸显示屏。</w:t>
      </w:r>
    </w:p>
    <w:p w14:paraId="27C8B993">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14.全中文软件操作界面。</w:t>
      </w:r>
    </w:p>
    <w:p w14:paraId="4BAA2243">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15.锁屏功能：支持自动锁屏， 自动锁屏时间可调。</w:t>
      </w:r>
    </w:p>
    <w:p w14:paraId="66E2A28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16.支持药物库，可储存≥5000 种药物信息。</w:t>
      </w:r>
    </w:p>
    <w:p w14:paraId="49688D71">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17.支持药物色彩标识，选择不同类型药物时对应的药物色彩标识自动显示在屏幕上，支持≥4 种颜色。</w:t>
      </w:r>
    </w:p>
    <w:p w14:paraId="642DFA32">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18.报警时可直观提示报警信息。</w:t>
      </w:r>
    </w:p>
    <w:p w14:paraId="0A03339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19.在线动态压力监测，可实时显示当前压力数值。</w:t>
      </w:r>
    </w:p>
    <w:p w14:paraId="1FF1CD1A">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20.压力报警阈值可设置。</w:t>
      </w:r>
    </w:p>
    <w:p w14:paraId="7821DD35">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21.具备阻塞前预警提示功能。</w:t>
      </w:r>
    </w:p>
    <w:p w14:paraId="78050245">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22.具备阻塞后自动重启输液功能。</w:t>
      </w:r>
    </w:p>
    <w:p w14:paraId="52271FAF">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23.具备单个气泡和累积气泡报警功能，支持最小 15 μL 的单个气泡报警。</w:t>
      </w:r>
    </w:p>
    <w:p w14:paraId="2F36C6F5">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24.信息储存：可存储≥5000 条的历史记录。</w:t>
      </w:r>
    </w:p>
    <w:p w14:paraId="7F4F44D0">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25.电池工作时间≥5 小时@25ml/h。</w:t>
      </w:r>
    </w:p>
    <w:p w14:paraId="74E38582">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26.防异物及进液等级 IP44。</w:t>
      </w:r>
    </w:p>
    <w:p w14:paraId="7AD938ED">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27.满足 EN1789 标准。</w:t>
      </w:r>
    </w:p>
    <w:p w14:paraId="18CED110">
      <w:pPr>
        <w:spacing w:before="285" w:line="222" w:lineRule="auto"/>
        <w:ind w:left="4"/>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28.可与中央输液管理系统连接实现药物输注实时查看及记录回顾。</w:t>
      </w:r>
    </w:p>
    <w:p w14:paraId="6E600F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1"/>
          <w:sz w:val="24"/>
          <w:szCs w:val="24"/>
          <w:highlight w:val="none"/>
        </w:rPr>
      </w:pPr>
    </w:p>
    <w:p w14:paraId="7793648B">
      <w:pPr>
        <w:spacing w:before="91" w:line="221" w:lineRule="auto"/>
        <w:ind w:left="2656"/>
        <w:outlineLvl w:val="0"/>
        <w:rPr>
          <w:rFonts w:hint="eastAsia" w:ascii="仿宋" w:hAnsi="仿宋" w:eastAsia="仿宋" w:cs="仿宋"/>
          <w:color w:val="auto"/>
          <w:sz w:val="24"/>
          <w:szCs w:val="24"/>
          <w:highlight w:val="none"/>
        </w:rPr>
      </w:pPr>
      <w:bookmarkStart w:id="526" w:name="_Toc31071"/>
      <w:bookmarkStart w:id="527" w:name="_Toc21461"/>
      <w:bookmarkStart w:id="528" w:name="_Toc18501"/>
      <w:r>
        <w:rPr>
          <w:rFonts w:hint="eastAsia" w:ascii="仿宋" w:hAnsi="仿宋" w:eastAsia="仿宋" w:cs="仿宋"/>
          <w:b/>
          <w:bCs/>
          <w:color w:val="auto"/>
          <w:spacing w:val="-3"/>
          <w:sz w:val="24"/>
          <w:szCs w:val="24"/>
          <w:highlight w:val="none"/>
          <w:lang w:val="en-US" w:eastAsia="zh-CN"/>
        </w:rPr>
        <w:t>5.</w:t>
      </w:r>
      <w:r>
        <w:rPr>
          <w:rFonts w:hint="eastAsia" w:ascii="仿宋" w:hAnsi="仿宋" w:eastAsia="仿宋" w:cs="仿宋"/>
          <w:b/>
          <w:bCs/>
          <w:color w:val="auto"/>
          <w:spacing w:val="-3"/>
          <w:sz w:val="24"/>
          <w:szCs w:val="24"/>
          <w:highlight w:val="none"/>
        </w:rPr>
        <w:t>输液泵、注射泵检测仪技术参数</w:t>
      </w:r>
      <w:bookmarkEnd w:id="526"/>
      <w:bookmarkEnd w:id="527"/>
      <w:bookmarkEnd w:id="528"/>
    </w:p>
    <w:p w14:paraId="3087F31E">
      <w:pPr>
        <w:pStyle w:val="11"/>
        <w:spacing w:line="315" w:lineRule="auto"/>
        <w:rPr>
          <w:rFonts w:hint="eastAsia" w:ascii="仿宋" w:hAnsi="仿宋" w:eastAsia="仿宋" w:cs="仿宋"/>
          <w:color w:val="auto"/>
          <w:sz w:val="24"/>
          <w:szCs w:val="24"/>
          <w:highlight w:val="none"/>
        </w:rPr>
      </w:pPr>
    </w:p>
    <w:p w14:paraId="61BE7B7F">
      <w:pPr>
        <w:spacing w:before="91" w:line="221"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1、用于输液泵/注射泵的质量控制检测，对输液泵注射泵流量、压力进行质控；</w:t>
      </w:r>
    </w:p>
    <w:p w14:paraId="6E955D36">
      <w:pPr>
        <w:spacing w:before="289"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2、测量软件有中文界面；</w:t>
      </w:r>
    </w:p>
    <w:p w14:paraId="29DB47D2">
      <w:pPr>
        <w:spacing w:before="287" w:line="411" w:lineRule="auto"/>
        <w:ind w:left="12" w:right="101" w:hanging="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3、主机显示屏≥4</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5"/>
          <w:sz w:val="24"/>
          <w:szCs w:val="24"/>
          <w:highlight w:val="none"/>
        </w:rPr>
        <w:t>吋触摸屏，内置≥5000mAh</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6"/>
          <w:sz w:val="24"/>
          <w:szCs w:val="24"/>
          <w:highlight w:val="none"/>
        </w:rPr>
        <w:t>锂电池，压力模块测量自动锁定最</w:t>
      </w:r>
      <w:r>
        <w:rPr>
          <w:rFonts w:hint="eastAsia" w:ascii="仿宋" w:hAnsi="仿宋" w:eastAsia="仿宋" w:cs="仿宋"/>
          <w:color w:val="auto"/>
          <w:spacing w:val="-2"/>
          <w:sz w:val="24"/>
          <w:szCs w:val="24"/>
          <w:highlight w:val="none"/>
        </w:rPr>
        <w:t>大值，可同时测量双通道输液泵/注射泵；</w:t>
      </w:r>
    </w:p>
    <w:p w14:paraId="5506F6D4">
      <w:pPr>
        <w:spacing w:before="1"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4、流量测量范围：</w:t>
      </w:r>
    </w:p>
    <w:p w14:paraId="64C506B7">
      <w:pPr>
        <w:spacing w:before="284" w:line="223" w:lineRule="auto"/>
        <w:ind w:left="89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"bookmark7"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1</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"bookmark8"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1100</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]mL/h</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分辨力：0.01mL/h；</w:t>
      </w:r>
    </w:p>
    <w:p w14:paraId="5CBA700D">
      <w:pPr>
        <w:spacing w:before="285" w:line="221" w:lineRule="auto"/>
        <w:ind w:left="89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(2)[5~20)mL/h</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最大允许误差：≤土</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3"/>
          <w:sz w:val="24"/>
          <w:szCs w:val="24"/>
          <w:highlight w:val="none"/>
        </w:rPr>
        <w:t>2%，重复性：≤1%；</w:t>
      </w:r>
    </w:p>
    <w:p w14:paraId="12298758">
      <w:pPr>
        <w:spacing w:before="289" w:line="221" w:lineRule="auto"/>
        <w:ind w:left="89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"bookmark9"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20</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"bookmark10"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200</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]mL/h</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最大允许误差：≤土</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1%，重复性：≤0</w:t>
      </w:r>
      <w:r>
        <w:rPr>
          <w:rFonts w:hint="eastAsia" w:ascii="仿宋" w:hAnsi="仿宋" w:eastAsia="仿宋" w:cs="仿宋"/>
          <w:color w:val="auto"/>
          <w:spacing w:val="-4"/>
          <w:sz w:val="24"/>
          <w:szCs w:val="24"/>
          <w:highlight w:val="none"/>
        </w:rPr>
        <w:t>.5%；</w:t>
      </w:r>
    </w:p>
    <w:p w14:paraId="7F823386">
      <w:pPr>
        <w:spacing w:before="289" w:line="221" w:lineRule="auto"/>
        <w:ind w:left="89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(4)(200~1000]mL/h</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3"/>
          <w:sz w:val="24"/>
          <w:szCs w:val="24"/>
          <w:highlight w:val="none"/>
        </w:rPr>
        <w:t>最大允许误差：≤士</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3"/>
          <w:sz w:val="24"/>
          <w:szCs w:val="24"/>
          <w:highlight w:val="none"/>
        </w:rPr>
        <w:t>2%，重复性：≤1%；</w:t>
      </w:r>
    </w:p>
    <w:p w14:paraId="25ED902C">
      <w:pPr>
        <w:spacing w:before="290" w:line="411" w:lineRule="auto"/>
        <w:ind w:left="21" w:right="101" w:firstLine="868"/>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(5)累计流量测量范围：(0~999.99)mL，累计流量超过</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7"/>
          <w:sz w:val="24"/>
          <w:szCs w:val="24"/>
          <w:highlight w:val="none"/>
        </w:rPr>
        <w:t>15mL</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7"/>
          <w:sz w:val="24"/>
          <w:szCs w:val="24"/>
          <w:highlight w:val="none"/>
        </w:rPr>
        <w:t>时，误差≤士</w:t>
      </w:r>
      <w:r>
        <w:rPr>
          <w:rFonts w:hint="eastAsia" w:ascii="仿宋" w:hAnsi="仿宋" w:eastAsia="仿宋" w:cs="仿宋"/>
          <w:color w:val="auto"/>
          <w:spacing w:val="-3"/>
          <w:sz w:val="24"/>
          <w:szCs w:val="24"/>
          <w:highlight w:val="none"/>
        </w:rPr>
        <w:t>1%，分辨力：0.01mL；</w:t>
      </w:r>
    </w:p>
    <w:p w14:paraId="13EC5F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17"/>
          <w:sz w:val="24"/>
          <w:szCs w:val="24"/>
          <w:highlight w:val="none"/>
        </w:rPr>
      </w:pPr>
      <w:r>
        <w:rPr>
          <w:rFonts w:hint="eastAsia" w:ascii="仿宋" w:hAnsi="仿宋" w:eastAsia="仿宋" w:cs="仿宋"/>
          <w:color w:val="auto"/>
          <w:spacing w:val="-16"/>
          <w:sz w:val="24"/>
          <w:szCs w:val="24"/>
          <w:highlight w:val="none"/>
        </w:rPr>
        <w:t>5、阻塞压力测量范围：(0~250)kPa</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6"/>
          <w:sz w:val="24"/>
          <w:szCs w:val="24"/>
          <w:highlight w:val="none"/>
        </w:rPr>
        <w:t>分辨力：0.01kPa：最大允许误差：≤土</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16"/>
          <w:sz w:val="24"/>
          <w:szCs w:val="24"/>
          <w:highlight w:val="none"/>
        </w:rPr>
        <w:t>2.0</w:t>
      </w:r>
      <w:r>
        <w:rPr>
          <w:rFonts w:hint="eastAsia" w:ascii="仿宋" w:hAnsi="仿宋" w:eastAsia="仿宋" w:cs="仿宋"/>
          <w:color w:val="auto"/>
          <w:spacing w:val="-17"/>
          <w:sz w:val="24"/>
          <w:szCs w:val="24"/>
          <w:highlight w:val="none"/>
        </w:rPr>
        <w:t>kPa。</w:t>
      </w:r>
    </w:p>
    <w:p w14:paraId="79E647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17"/>
          <w:sz w:val="24"/>
          <w:szCs w:val="24"/>
          <w:highlight w:val="none"/>
        </w:rPr>
      </w:pPr>
    </w:p>
    <w:p w14:paraId="4375E67D">
      <w:pPr>
        <w:spacing w:before="91" w:line="219" w:lineRule="auto"/>
        <w:ind w:left="2869"/>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6.</w:t>
      </w:r>
      <w:r>
        <w:rPr>
          <w:rFonts w:hint="eastAsia" w:ascii="仿宋" w:hAnsi="仿宋" w:eastAsia="仿宋" w:cs="仿宋"/>
          <w:b/>
          <w:bCs/>
          <w:color w:val="auto"/>
          <w:spacing w:val="-3"/>
          <w:sz w:val="24"/>
          <w:szCs w:val="24"/>
          <w:highlight w:val="none"/>
        </w:rPr>
        <w:t>病人转运监护仪技术参数</w:t>
      </w:r>
    </w:p>
    <w:p w14:paraId="4135CBED">
      <w:pPr>
        <w:pStyle w:val="11"/>
        <w:spacing w:line="318" w:lineRule="auto"/>
        <w:rPr>
          <w:rFonts w:hint="eastAsia" w:ascii="仿宋" w:hAnsi="仿宋" w:eastAsia="仿宋" w:cs="仿宋"/>
          <w:color w:val="auto"/>
          <w:sz w:val="24"/>
          <w:szCs w:val="24"/>
          <w:highlight w:val="none"/>
        </w:rPr>
      </w:pPr>
    </w:p>
    <w:p w14:paraId="257EC790">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1.适用于成人、小儿、新生儿的监测。</w:t>
      </w:r>
    </w:p>
    <w:p w14:paraId="1F7A629E">
      <w:pPr>
        <w:spacing w:before="286" w:line="219" w:lineRule="auto"/>
        <w:ind w:left="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2.转运监护仪，满足救护车，直升飞机和</w:t>
      </w:r>
      <w:r>
        <w:rPr>
          <w:rFonts w:hint="eastAsia" w:ascii="仿宋" w:hAnsi="仿宋" w:eastAsia="仿宋" w:cs="仿宋"/>
          <w:color w:val="auto"/>
          <w:spacing w:val="-1"/>
          <w:sz w:val="24"/>
          <w:szCs w:val="24"/>
          <w:highlight w:val="none"/>
        </w:rPr>
        <w:t>固定翼飞机,通过相关转运标准。</w:t>
      </w:r>
    </w:p>
    <w:p w14:paraId="7A53C6A3">
      <w:pPr>
        <w:spacing w:before="292" w:line="411" w:lineRule="auto"/>
        <w:ind w:left="12" w:hanging="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4"/>
          <w:sz w:val="24"/>
          <w:szCs w:val="24"/>
          <w:highlight w:val="none"/>
        </w:rPr>
        <w:t>≥5.5</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英寸彩色触摸电容显示屏，支持屏幕手势滑动操作，支持穿戴医用防护</w:t>
      </w:r>
      <w:r>
        <w:rPr>
          <w:rFonts w:hint="eastAsia" w:ascii="仿宋" w:hAnsi="仿宋" w:eastAsia="仿宋" w:cs="仿宋"/>
          <w:color w:val="auto"/>
          <w:spacing w:val="-6"/>
          <w:sz w:val="24"/>
          <w:szCs w:val="24"/>
          <w:highlight w:val="none"/>
        </w:rPr>
        <w:t>手套操作</w:t>
      </w:r>
    </w:p>
    <w:p w14:paraId="4C7A7303">
      <w:pPr>
        <w:spacing w:line="216"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4.整机重量≤1Kg</w:t>
      </w:r>
    </w:p>
    <w:p w14:paraId="5D5E2F96">
      <w:pPr>
        <w:spacing w:before="296"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3"/>
          <w:sz w:val="24"/>
          <w:szCs w:val="24"/>
          <w:highlight w:val="none"/>
        </w:rPr>
        <w:t>≥IP44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防尘防水，易清洁和适用医院内外不同临床救治环境。</w:t>
      </w:r>
    </w:p>
    <w:p w14:paraId="3BF5DC20">
      <w:pPr>
        <w:spacing w:before="286" w:line="219"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6.抗</w:t>
      </w:r>
      <w:r>
        <w:rPr>
          <w:rFonts w:hint="eastAsia" w:ascii="仿宋" w:hAnsi="仿宋" w:eastAsia="仿宋" w:cs="仿宋"/>
          <w:color w:val="auto"/>
          <w:spacing w:val="-22"/>
          <w:sz w:val="24"/>
          <w:szCs w:val="24"/>
          <w:highlight w:val="none"/>
        </w:rPr>
        <w:t xml:space="preserve"> </w:t>
      </w:r>
      <w:r>
        <w:rPr>
          <w:rFonts w:hint="eastAsia" w:ascii="仿宋" w:hAnsi="仿宋" w:eastAsia="仿宋" w:cs="仿宋"/>
          <w:color w:val="auto"/>
          <w:spacing w:val="-4"/>
          <w:sz w:val="24"/>
          <w:szCs w:val="24"/>
          <w:highlight w:val="none"/>
        </w:rPr>
        <w:t>1.2</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米</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4"/>
          <w:sz w:val="24"/>
          <w:szCs w:val="24"/>
          <w:highlight w:val="none"/>
        </w:rPr>
        <w:t>6</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4"/>
          <w:sz w:val="24"/>
          <w:szCs w:val="24"/>
          <w:highlight w:val="none"/>
        </w:rPr>
        <w:t>面跌落，满足转运过程中的复杂临床救治环境。</w:t>
      </w:r>
    </w:p>
    <w:p w14:paraId="190865D2">
      <w:pPr>
        <w:spacing w:before="291"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7.整机无风扇设计。</w:t>
      </w:r>
    </w:p>
    <w:p w14:paraId="72E6D93B">
      <w:pPr>
        <w:spacing w:before="286"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8.内置锂电池供电，支持≥5</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2"/>
          <w:sz w:val="24"/>
          <w:szCs w:val="24"/>
          <w:highlight w:val="none"/>
        </w:rPr>
        <w:t>小时的持续监测。</w:t>
      </w:r>
    </w:p>
    <w:p w14:paraId="063688E7">
      <w:pPr>
        <w:spacing w:before="286"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9.内置</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8"/>
          <w:sz w:val="24"/>
          <w:szCs w:val="24"/>
          <w:highlight w:val="none"/>
        </w:rPr>
        <w:t>DC 电源接</w:t>
      </w:r>
      <w:r>
        <w:rPr>
          <w:rFonts w:hint="eastAsia" w:ascii="仿宋" w:hAnsi="仿宋" w:eastAsia="仿宋" w:cs="仿宋"/>
          <w:color w:val="auto"/>
          <w:spacing w:val="-72"/>
          <w:sz w:val="24"/>
          <w:szCs w:val="24"/>
          <w:highlight w:val="none"/>
        </w:rPr>
        <w:t xml:space="preserve"> </w:t>
      </w:r>
      <w:r>
        <w:rPr>
          <w:rFonts w:hint="eastAsia" w:ascii="仿宋" w:hAnsi="仿宋" w:eastAsia="仿宋" w:cs="仿宋"/>
          <w:color w:val="auto"/>
          <w:spacing w:val="-8"/>
          <w:sz w:val="24"/>
          <w:szCs w:val="24"/>
          <w:highlight w:val="none"/>
        </w:rPr>
        <w:t>口，可以进行车载充电。</w:t>
      </w:r>
    </w:p>
    <w:p w14:paraId="17E993E1">
      <w:pPr>
        <w:spacing w:before="2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10.具备</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3"/>
          <w:sz w:val="24"/>
          <w:szCs w:val="24"/>
          <w:highlight w:val="none"/>
        </w:rPr>
        <w:t>3/5</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3"/>
          <w:sz w:val="24"/>
          <w:szCs w:val="24"/>
          <w:highlight w:val="none"/>
        </w:rPr>
        <w:t>导心电，阻抗呼吸，血氧、无创血压、2</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通道体温。</w:t>
      </w:r>
    </w:p>
    <w:p w14:paraId="07B52D9B">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11.支持2</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z w:val="24"/>
          <w:szCs w:val="24"/>
          <w:highlight w:val="none"/>
        </w:rPr>
        <w:t>通道有创血压及模拟输出/除颤同步。</w:t>
      </w:r>
    </w:p>
    <w:p w14:paraId="1FDEF7CF">
      <w:pPr>
        <w:spacing w:before="285"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12.可选配内置EtCO2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z w:val="24"/>
          <w:szCs w:val="24"/>
          <w:highlight w:val="none"/>
        </w:rPr>
        <w:t>监测，与主机一体化设计，最小抽气流速≤50ml/min</w:t>
      </w:r>
    </w:p>
    <w:p w14:paraId="2E729D11">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13.选配便携插件箱，可扩展</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4"/>
          <w:sz w:val="24"/>
          <w:szCs w:val="24"/>
          <w:highlight w:val="none"/>
        </w:rPr>
        <w:t>个参数插槽。</w:t>
      </w:r>
    </w:p>
    <w:p w14:paraId="5F7106AB">
      <w:pPr>
        <w:spacing w:before="289" w:line="411" w:lineRule="auto"/>
        <w:ind w:left="17" w:firstLine="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14.可选配外置</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3"/>
          <w:sz w:val="24"/>
          <w:szCs w:val="24"/>
          <w:highlight w:val="none"/>
        </w:rPr>
        <w:t>2</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通道</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IBP</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有创血压监测模块，主机支持≥4</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通道</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IBP</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有创压力</w:t>
      </w:r>
      <w:r>
        <w:rPr>
          <w:rFonts w:hint="eastAsia" w:ascii="仿宋" w:hAnsi="仿宋" w:eastAsia="仿宋" w:cs="仿宋"/>
          <w:color w:val="auto"/>
          <w:spacing w:val="-13"/>
          <w:sz w:val="24"/>
          <w:szCs w:val="24"/>
          <w:highlight w:val="none"/>
        </w:rPr>
        <w:t>监测</w:t>
      </w:r>
    </w:p>
    <w:p w14:paraId="34B4F6B5">
      <w:pPr>
        <w:spacing w:before="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15.可选配外置主流、旁流、微流EtCO2</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z w:val="24"/>
          <w:szCs w:val="24"/>
          <w:highlight w:val="none"/>
        </w:rPr>
        <w:t>监测模块</w:t>
      </w:r>
    </w:p>
    <w:p w14:paraId="3A181E18">
      <w:pPr>
        <w:spacing w:before="286" w:line="411" w:lineRule="auto"/>
        <w:ind w:left="12" w:firstLine="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16.可选配外置</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2"/>
          <w:sz w:val="24"/>
          <w:szCs w:val="24"/>
          <w:highlight w:val="none"/>
        </w:rPr>
        <w:t>PiCCO</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技术监测功能模块或</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2"/>
          <w:sz w:val="24"/>
          <w:szCs w:val="24"/>
          <w:highlight w:val="none"/>
        </w:rPr>
        <w:t>PiCCO</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技术单机产品，非漂浮导管热</w:t>
      </w:r>
      <w:r>
        <w:rPr>
          <w:rFonts w:hint="eastAsia" w:ascii="仿宋" w:hAnsi="仿宋" w:eastAsia="仿宋" w:cs="仿宋"/>
          <w:color w:val="auto"/>
          <w:spacing w:val="-4"/>
          <w:sz w:val="24"/>
          <w:szCs w:val="24"/>
          <w:highlight w:val="none"/>
        </w:rPr>
        <w:t>稀释法或无创阻抗法，可监测胸腔内血容量(ITBV)、血管外肺水(EVLW)，肺毛细</w:t>
      </w:r>
      <w:r>
        <w:rPr>
          <w:rFonts w:hint="eastAsia" w:ascii="仿宋" w:hAnsi="仿宋" w:eastAsia="仿宋" w:cs="仿宋"/>
          <w:color w:val="auto"/>
          <w:spacing w:val="-2"/>
          <w:sz w:val="24"/>
          <w:szCs w:val="24"/>
          <w:highlight w:val="none"/>
        </w:rPr>
        <w:t>血管通透性指数(PVPI)等参数。</w:t>
      </w:r>
    </w:p>
    <w:p w14:paraId="4D5110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17.</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3"/>
          <w:sz w:val="24"/>
          <w:szCs w:val="24"/>
          <w:highlight w:val="none"/>
        </w:rPr>
        <w:t>≥19</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英寸外接显示屏，将模块数据传输显示，进行大屏幕监护。</w:t>
      </w:r>
    </w:p>
    <w:p w14:paraId="7B103ED4">
      <w:pPr>
        <w:spacing w:before="91" w:line="411" w:lineRule="auto"/>
        <w:ind w:left="9" w:firstLine="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18.选配支持提供麻醉平衡软件工具，数字化指标显示病人镇静、镇痛、肌松三</w:t>
      </w:r>
      <w:r>
        <w:rPr>
          <w:rFonts w:hint="eastAsia" w:ascii="仿宋" w:hAnsi="仿宋" w:eastAsia="仿宋" w:cs="仿宋"/>
          <w:color w:val="auto"/>
          <w:spacing w:val="-4"/>
          <w:sz w:val="24"/>
          <w:szCs w:val="24"/>
          <w:highlight w:val="none"/>
        </w:rPr>
        <w:t>方面麻醉状态，</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4"/>
          <w:sz w:val="24"/>
          <w:szCs w:val="24"/>
          <w:highlight w:val="none"/>
        </w:rPr>
        <w:t>自动提示病人三低状态，并</w:t>
      </w:r>
      <w:r>
        <w:rPr>
          <w:rFonts w:hint="eastAsia" w:ascii="仿宋" w:hAnsi="仿宋" w:eastAsia="仿宋" w:cs="仿宋"/>
          <w:color w:val="auto"/>
          <w:spacing w:val="-5"/>
          <w:sz w:val="24"/>
          <w:szCs w:val="24"/>
          <w:highlight w:val="none"/>
        </w:rPr>
        <w:t>予以计时，图形化显示病人脑状态，</w:t>
      </w:r>
      <w:r>
        <w:rPr>
          <w:rFonts w:hint="eastAsia" w:ascii="仿宋" w:hAnsi="仿宋" w:eastAsia="仿宋" w:cs="仿宋"/>
          <w:color w:val="auto"/>
          <w:spacing w:val="2"/>
          <w:sz w:val="24"/>
          <w:szCs w:val="24"/>
          <w:highlight w:val="none"/>
        </w:rPr>
        <w:t>可进行</w:t>
      </w:r>
      <w:r>
        <w:rPr>
          <w:rFonts w:hint="eastAsia" w:ascii="仿宋" w:hAnsi="仿宋" w:eastAsia="仿宋" w:cs="仿宋"/>
          <w:color w:val="auto"/>
          <w:sz w:val="24"/>
          <w:szCs w:val="24"/>
          <w:highlight w:val="none"/>
        </w:rPr>
        <w:t>Aldrete</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复苏评分。</w:t>
      </w:r>
    </w:p>
    <w:p w14:paraId="5C11BE56">
      <w:pPr>
        <w:spacing w:line="219"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19.转运监护仪支持插入床旁监护仪插槽作为参数模块使用，即插即用。</w:t>
      </w:r>
    </w:p>
    <w:p w14:paraId="01AA09D2">
      <w:pPr>
        <w:spacing w:before="29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20.具有多导心电监护算法，同步分析≥4</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2"/>
          <w:sz w:val="24"/>
          <w:szCs w:val="24"/>
          <w:highlight w:val="none"/>
        </w:rPr>
        <w:t>通道心电波形。</w:t>
      </w:r>
    </w:p>
    <w:p w14:paraId="5CD45B63">
      <w:pPr>
        <w:spacing w:before="286" w:line="217"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21.心率测量范围：成人</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2"/>
          <w:sz w:val="24"/>
          <w:szCs w:val="24"/>
          <w:highlight w:val="none"/>
        </w:rPr>
        <w:t>15-300bpm，小儿/新生儿</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15-350bpm。</w:t>
      </w:r>
    </w:p>
    <w:p w14:paraId="63ED8CE9">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22.波速提供 50mm/s，25mm/s、12.5mm/s、6.25mm/s 可选。</w:t>
      </w:r>
    </w:p>
    <w:p w14:paraId="172D9538">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23.滤波模式提供诊断模式（0.05-150Hz），监护模式（0.5-40Hz），ST 模式（0.05-40Hz），手术模式（1-20Hz）。</w:t>
      </w:r>
    </w:p>
    <w:p w14:paraId="2195DD96">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24.支持房颤及室上性心律失常分析功能，如：室上性心动过速，SVCs/min 等，标配支持≥25 种实时心律失常分析</w:t>
      </w:r>
    </w:p>
    <w:p w14:paraId="75D1C9D9">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25.提供 ST 段分析，提供显示和存储 ST 值和每个 ST 的模板。</w:t>
      </w:r>
    </w:p>
    <w:p w14:paraId="0E73A9B2">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26.具有 QT/QTc 测量功能，提供 QT，QTc 和 ΔQTc 参数值。</w:t>
      </w:r>
    </w:p>
    <w:p w14:paraId="6949A222">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27.可显示弱灌注指数（PI）。</w:t>
      </w:r>
    </w:p>
    <w:p w14:paraId="3F47FF0D">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28.提供双通道体温测量，提供两通道体温测量差值显示。</w:t>
      </w:r>
    </w:p>
    <w:p w14:paraId="51E6BFCA">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29.提供手动、 自动间隔、连续、序列四种无创血压测量模式。</w:t>
      </w:r>
    </w:p>
    <w:p w14:paraId="15500637">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30.IBP 测量范围：-50 –360mmHg，支持实时 PPV 测量。</w:t>
      </w:r>
    </w:p>
    <w:p w14:paraId="272F525F">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31. ≥800 条事件回顾。每条报警事件能够存储≥32 秒三道相关波形，以及报警触发时所有测量参数值。</w:t>
      </w:r>
    </w:p>
    <w:p w14:paraId="395B7A83">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32. ≥800 条 NIBP 测量结果回顾。</w:t>
      </w:r>
    </w:p>
    <w:p w14:paraId="35CF8D57">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33. ≥40 小时全息波形回顾。</w:t>
      </w:r>
    </w:p>
    <w:p w14:paraId="6376A649">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34. ≥100 小时趋势数据回顾。</w:t>
      </w:r>
    </w:p>
    <w:p w14:paraId="680F10D7">
      <w:pPr>
        <w:spacing w:before="296"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35.使用年限≥10 年。</w:t>
      </w:r>
    </w:p>
    <w:p w14:paraId="5042C78B">
      <w:pPr>
        <w:spacing w:before="296" w:line="223" w:lineRule="auto"/>
        <w:ind w:left="6"/>
        <w:rPr>
          <w:rFonts w:hint="eastAsia" w:ascii="仿宋" w:hAnsi="仿宋" w:eastAsia="仿宋" w:cs="仿宋"/>
          <w:color w:val="auto"/>
          <w:spacing w:val="-3"/>
          <w:sz w:val="24"/>
          <w:szCs w:val="24"/>
          <w:highlight w:val="none"/>
        </w:rPr>
      </w:pPr>
    </w:p>
    <w:p w14:paraId="68822081">
      <w:pPr>
        <w:spacing w:before="91" w:line="223" w:lineRule="auto"/>
        <w:ind w:left="3633"/>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7.</w:t>
      </w:r>
      <w:r>
        <w:rPr>
          <w:rFonts w:hint="eastAsia" w:ascii="仿宋" w:hAnsi="仿宋" w:eastAsia="仿宋" w:cs="仿宋"/>
          <w:b/>
          <w:bCs/>
          <w:color w:val="auto"/>
          <w:spacing w:val="-3"/>
          <w:sz w:val="24"/>
          <w:szCs w:val="24"/>
          <w:highlight w:val="none"/>
        </w:rPr>
        <w:t>呼吸机技术参数</w:t>
      </w:r>
    </w:p>
    <w:p w14:paraId="2770117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1．适用人群：儿童及成人患者。</w:t>
      </w:r>
    </w:p>
    <w:p w14:paraId="71D07CA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2．通气方式：无创正压通气和高流量氧疗。</w:t>
      </w:r>
    </w:p>
    <w:p w14:paraId="1D541F4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3．通气模式：七种通气模式可选，CPAP、S、T、S/T、VAT、PC、HFNC。</w:t>
      </w:r>
    </w:p>
    <w:p w14:paraId="50F375E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4.触发和切换   ：具备自动和手动触发、切换两种模式。①自动模式可识别并自动漏气补偿和自动漏气基线调整，基于患者气道阻力及顺应性的改变，自动调节触发和切换算法。②手动模式， ≥5 档可调。</w:t>
      </w:r>
    </w:p>
    <w:p w14:paraId="2E70997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5．自动漏气补偿，最大漏气补偿 150L/min ±10%。</w:t>
      </w:r>
    </w:p>
    <w:p w14:paraId="56D15C0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6．屏幕≥18.5 英寸触摸屏，中文操作界面，可显示压力、流量、容积、呼末二氧化碳波形，可同屏显示波形、监测参数。</w:t>
      </w:r>
    </w:p>
    <w:p w14:paraId="2745E7C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7.分体式湿化器。包括无创模式、有创模式。</w:t>
      </w:r>
    </w:p>
    <w:p w14:paraId="2ACEFBF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8.氧浓度：氧浓度 21-100%可调，步长 1%。</w:t>
      </w:r>
    </w:p>
    <w:p w14:paraId="56E129B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9.高流量氧疗：支持 10-80L/min 流量调节，步长 1L/min</w:t>
      </w:r>
    </w:p>
    <w:p w14:paraId="379B776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10.具有触发窗锁定功能。S 模式与 S/T 模式下，关闭，0.3-1.5s</w:t>
      </w:r>
    </w:p>
    <w:p w14:paraId="71C9902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11.具有智能待机功能，通气开始和停止自动识别</w:t>
      </w:r>
    </w:p>
    <w:p w14:paraId="018A207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12</w:t>
      </w:r>
      <w:r>
        <w:rPr>
          <w:rFonts w:hint="eastAsia" w:ascii="仿宋" w:hAnsi="仿宋" w:eastAsia="仿宋" w:cs="仿宋"/>
          <w:color w:val="auto"/>
          <w:spacing w:val="-4"/>
          <w:sz w:val="24"/>
          <w:szCs w:val="24"/>
          <w:highlight w:val="none"/>
        </w:rPr>
        <w:t>.吸气正压：2-40cmH2O</w:t>
      </w:r>
    </w:p>
    <w:p w14:paraId="5697D47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13</w:t>
      </w:r>
      <w:r>
        <w:rPr>
          <w:rFonts w:hint="eastAsia" w:ascii="仿宋" w:hAnsi="仿宋" w:eastAsia="仿宋" w:cs="仿宋"/>
          <w:color w:val="auto"/>
          <w:spacing w:val="-4"/>
          <w:sz w:val="24"/>
          <w:szCs w:val="24"/>
          <w:highlight w:val="none"/>
        </w:rPr>
        <w:t>.呼气正压：2-25cmH2O</w:t>
      </w:r>
    </w:p>
    <w:p w14:paraId="03B9B28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14</w:t>
      </w:r>
      <w:r>
        <w:rPr>
          <w:rFonts w:hint="eastAsia" w:ascii="仿宋" w:hAnsi="仿宋" w:eastAsia="仿宋" w:cs="仿宋"/>
          <w:color w:val="auto"/>
          <w:spacing w:val="-4"/>
          <w:sz w:val="24"/>
          <w:szCs w:val="24"/>
          <w:highlight w:val="none"/>
        </w:rPr>
        <w:t>.爬坡时间：0-60min</w:t>
      </w:r>
    </w:p>
    <w:p w14:paraId="53D461F5">
      <w:pPr>
        <w:spacing w:before="286" w:line="222" w:lineRule="auto"/>
        <w:ind w:left="21"/>
        <w:rPr>
          <w:rFonts w:hint="eastAsia" w:ascii="仿宋" w:hAnsi="仿宋" w:eastAsia="仿宋" w:cs="仿宋"/>
          <w:color w:val="auto"/>
          <w:spacing w:val="-4"/>
          <w:sz w:val="24"/>
          <w:szCs w:val="24"/>
          <w:highlight w:val="none"/>
        </w:rPr>
      </w:pPr>
      <w:r>
        <w:rPr>
          <w:rFonts w:hint="default" w:ascii="仿宋" w:hAnsi="仿宋" w:eastAsia="仿宋" w:cs="仿宋"/>
          <w:color w:val="auto"/>
          <w:spacing w:val="-4"/>
          <w:sz w:val="24"/>
          <w:szCs w:val="24"/>
          <w:highlight w:val="none"/>
          <w:lang w:val="en-US"/>
        </w:rPr>
        <w:t>15.潮气量：20-2000m1</w:t>
      </w:r>
    </w:p>
    <w:p w14:paraId="50FA599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16</w:t>
      </w:r>
      <w:r>
        <w:rPr>
          <w:rFonts w:hint="eastAsia" w:ascii="仿宋" w:hAnsi="仿宋" w:eastAsia="仿宋" w:cs="仿宋"/>
          <w:color w:val="auto"/>
          <w:spacing w:val="-4"/>
          <w:sz w:val="24"/>
          <w:szCs w:val="24"/>
          <w:highlight w:val="none"/>
        </w:rPr>
        <w:t>.吸气时间：0.2-4.0s</w:t>
      </w:r>
    </w:p>
    <w:p w14:paraId="72D571F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17</w:t>
      </w:r>
      <w:r>
        <w:rPr>
          <w:rFonts w:hint="eastAsia" w:ascii="仿宋" w:hAnsi="仿宋" w:eastAsia="仿宋" w:cs="仿宋"/>
          <w:color w:val="auto"/>
          <w:spacing w:val="-4"/>
          <w:sz w:val="24"/>
          <w:szCs w:val="24"/>
          <w:highlight w:val="none"/>
        </w:rPr>
        <w:t>.升压时间：100ms-500ms</w:t>
      </w:r>
    </w:p>
    <w:p w14:paraId="7ABC3A7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18</w:t>
      </w:r>
      <w:r>
        <w:rPr>
          <w:rFonts w:hint="eastAsia" w:ascii="仿宋" w:hAnsi="仿宋" w:eastAsia="仿宋" w:cs="仿宋"/>
          <w:color w:val="auto"/>
          <w:spacing w:val="-4"/>
          <w:sz w:val="24"/>
          <w:szCs w:val="24"/>
          <w:highlight w:val="none"/>
        </w:rPr>
        <w:t>.呼吸频率：1-60BPM</w:t>
      </w:r>
    </w:p>
    <w:p w14:paraId="29656AF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19</w:t>
      </w:r>
      <w:r>
        <w:rPr>
          <w:rFonts w:hint="eastAsia" w:ascii="仿宋" w:hAnsi="仿宋" w:eastAsia="仿宋" w:cs="仿宋"/>
          <w:color w:val="auto"/>
          <w:spacing w:val="-4"/>
          <w:sz w:val="24"/>
          <w:szCs w:val="24"/>
          <w:highlight w:val="none"/>
        </w:rPr>
        <w:t>.舒适度：S 模式下，0-3 档（0 为关闭）</w:t>
      </w:r>
    </w:p>
    <w:p w14:paraId="6B363E6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20</w:t>
      </w:r>
      <w:r>
        <w:rPr>
          <w:rFonts w:hint="eastAsia" w:ascii="仿宋" w:hAnsi="仿宋" w:eastAsia="仿宋" w:cs="仿宋"/>
          <w:color w:val="auto"/>
          <w:spacing w:val="-4"/>
          <w:sz w:val="24"/>
          <w:szCs w:val="24"/>
          <w:highlight w:val="none"/>
        </w:rPr>
        <w:t>.最大流量： ≥300L/min</w:t>
      </w:r>
    </w:p>
    <w:p w14:paraId="6A52769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21</w:t>
      </w:r>
      <w:r>
        <w:rPr>
          <w:rFonts w:hint="eastAsia" w:ascii="仿宋" w:hAnsi="仿宋" w:eastAsia="仿宋" w:cs="仿宋"/>
          <w:color w:val="auto"/>
          <w:spacing w:val="-4"/>
          <w:sz w:val="24"/>
          <w:szCs w:val="24"/>
          <w:highlight w:val="none"/>
        </w:rPr>
        <w:t>.接氧方式：具有高压氧接 口（压力范围 300kPa-600kPa）、低压氧接 口（氧流量范围不超过 15L/min），且支持界面端选择</w:t>
      </w:r>
    </w:p>
    <w:p w14:paraId="4F2F77C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22</w:t>
      </w:r>
      <w:r>
        <w:rPr>
          <w:rFonts w:hint="eastAsia" w:ascii="仿宋" w:hAnsi="仿宋" w:eastAsia="仿宋" w:cs="仿宋"/>
          <w:color w:val="auto"/>
          <w:spacing w:val="-4"/>
          <w:sz w:val="24"/>
          <w:szCs w:val="24"/>
          <w:highlight w:val="none"/>
        </w:rPr>
        <w:t>.监测参数：压力值、呼吸频率、自主触发百分比、呼末二氧化碳、脉率监测、分钟通气量、漏气量、潮气量、氧浓度、呼吸比</w:t>
      </w:r>
    </w:p>
    <w:p w14:paraId="20FBD57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23</w:t>
      </w:r>
      <w:r>
        <w:rPr>
          <w:rFonts w:hint="eastAsia" w:ascii="仿宋" w:hAnsi="仿宋" w:eastAsia="仿宋" w:cs="仿宋"/>
          <w:color w:val="auto"/>
          <w:spacing w:val="-4"/>
          <w:sz w:val="24"/>
          <w:szCs w:val="24"/>
          <w:highlight w:val="none"/>
        </w:rPr>
        <w:t>.氧浓度监测：标配氧电池监测，可在监测界面端监测呼吸机治疗时的氧浓度</w:t>
      </w:r>
    </w:p>
    <w:p w14:paraId="417E6F8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24</w:t>
      </w:r>
      <w:r>
        <w:rPr>
          <w:rFonts w:hint="eastAsia" w:ascii="仿宋" w:hAnsi="仿宋" w:eastAsia="仿宋" w:cs="仿宋"/>
          <w:color w:val="auto"/>
          <w:spacing w:val="-4"/>
          <w:sz w:val="24"/>
          <w:szCs w:val="24"/>
          <w:highlight w:val="none"/>
        </w:rPr>
        <w:t>.报警参数：呼吸暂停/窒息报警、患者/管路连接断开报警、低分钟通气量、低潮气量、高潮气量、呼吸频率过高、呼吸频率过低、吸气压力过高、吸气压力过低、ETCO2 过高、ETCO2 故障、电池电量不足等</w:t>
      </w:r>
    </w:p>
    <w:p w14:paraId="16AF109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25</w:t>
      </w:r>
      <w:r>
        <w:rPr>
          <w:rFonts w:hint="eastAsia" w:ascii="仿宋" w:hAnsi="仿宋" w:eastAsia="仿宋" w:cs="仿宋"/>
          <w:color w:val="auto"/>
          <w:spacing w:val="-4"/>
          <w:sz w:val="24"/>
          <w:szCs w:val="24"/>
          <w:highlight w:val="none"/>
        </w:rPr>
        <w:t>.电池：保证正常工作≥4 小时</w:t>
      </w:r>
    </w:p>
    <w:p w14:paraId="6A3BBAF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26</w:t>
      </w:r>
      <w:r>
        <w:rPr>
          <w:rFonts w:hint="eastAsia" w:ascii="仿宋" w:hAnsi="仿宋" w:eastAsia="仿宋" w:cs="仿宋"/>
          <w:color w:val="auto"/>
          <w:spacing w:val="-4"/>
          <w:sz w:val="24"/>
          <w:szCs w:val="24"/>
          <w:highlight w:val="none"/>
        </w:rPr>
        <w:t>.历史事件查看： ≥7 天</w:t>
      </w:r>
    </w:p>
    <w:p w14:paraId="7C4483A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27</w:t>
      </w:r>
      <w:r>
        <w:rPr>
          <w:rFonts w:hint="eastAsia" w:ascii="仿宋" w:hAnsi="仿宋" w:eastAsia="仿宋" w:cs="仿宋"/>
          <w:color w:val="auto"/>
          <w:spacing w:val="-4"/>
          <w:sz w:val="24"/>
          <w:szCs w:val="24"/>
          <w:highlight w:val="none"/>
        </w:rPr>
        <w:t>.具有开机自检功能。</w:t>
      </w:r>
    </w:p>
    <w:p w14:paraId="49CD339E">
      <w:pPr>
        <w:spacing w:before="91" w:line="223" w:lineRule="auto"/>
        <w:ind w:left="3359"/>
        <w:outlineLvl w:val="0"/>
        <w:rPr>
          <w:rFonts w:hint="eastAsia" w:ascii="仿宋" w:hAnsi="仿宋" w:eastAsia="仿宋" w:cs="仿宋"/>
          <w:b/>
          <w:bCs/>
          <w:color w:val="auto"/>
          <w:spacing w:val="-4"/>
          <w:sz w:val="24"/>
          <w:szCs w:val="24"/>
          <w:highlight w:val="none"/>
          <w:lang w:val="en-US" w:eastAsia="zh-CN"/>
        </w:rPr>
      </w:pPr>
    </w:p>
    <w:p w14:paraId="5650BD1A">
      <w:pPr>
        <w:spacing w:before="91" w:line="223" w:lineRule="auto"/>
        <w:ind w:left="3359"/>
        <w:outlineLvl w:val="0"/>
        <w:rPr>
          <w:rFonts w:hint="eastAsia" w:ascii="仿宋" w:hAnsi="仿宋" w:eastAsia="仿宋" w:cs="仿宋"/>
          <w:color w:val="auto"/>
          <w:sz w:val="24"/>
          <w:szCs w:val="24"/>
          <w:highlight w:val="none"/>
        </w:rPr>
      </w:pPr>
      <w:bookmarkStart w:id="529" w:name="_Toc18406"/>
      <w:bookmarkStart w:id="530" w:name="_Toc7842"/>
      <w:bookmarkStart w:id="531" w:name="_Toc17734"/>
      <w:r>
        <w:rPr>
          <w:rFonts w:hint="eastAsia" w:ascii="仿宋" w:hAnsi="仿宋" w:eastAsia="仿宋" w:cs="仿宋"/>
          <w:b/>
          <w:bCs/>
          <w:color w:val="auto"/>
          <w:spacing w:val="-4"/>
          <w:sz w:val="24"/>
          <w:szCs w:val="24"/>
          <w:highlight w:val="none"/>
          <w:lang w:val="en-US" w:eastAsia="zh-CN"/>
        </w:rPr>
        <w:t>8.</w:t>
      </w:r>
      <w:r>
        <w:rPr>
          <w:rFonts w:hint="eastAsia" w:ascii="仿宋" w:hAnsi="仿宋" w:eastAsia="仿宋" w:cs="仿宋"/>
          <w:b/>
          <w:bCs/>
          <w:color w:val="auto"/>
          <w:spacing w:val="-4"/>
          <w:sz w:val="24"/>
          <w:szCs w:val="24"/>
          <w:highlight w:val="none"/>
        </w:rPr>
        <w:t>心电监护仪技术参数</w:t>
      </w:r>
      <w:bookmarkEnd w:id="529"/>
      <w:bookmarkEnd w:id="530"/>
      <w:bookmarkEnd w:id="531"/>
    </w:p>
    <w:p w14:paraId="27B3929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1.模块化监护仪，主机集成内置≥2 槽位插件槽，可选配升级 IBP，CO2 和 AG 任意参数模块的即插即用。</w:t>
      </w:r>
    </w:p>
    <w:p w14:paraId="1D40339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2.监护仪主机每个槽位均具备插件模块红外通讯接 口以及金属硬件通讯接 口。</w:t>
      </w:r>
    </w:p>
    <w:p w14:paraId="28267F8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 ≥12 英寸彩色液晶屏及电容触摸屏，分辨率高达≥1280*800 像素，≥10 通道波形显示。</w:t>
      </w:r>
    </w:p>
    <w:p w14:paraId="5AE6D45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4.显示屏采用宽视角技术，支持≥170 °可视范围。</w:t>
      </w:r>
    </w:p>
    <w:p w14:paraId="0D16B19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5.主机具备后报警灯或360 °报警灯。</w:t>
      </w:r>
    </w:p>
    <w:p w14:paraId="18B99C7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6.内置锂电池，插槽式设计，无需螺丝刀工具支持快速拆卸和安装。配置2 块高容量锂电池，可持续工作时间≥8 小时。</w:t>
      </w:r>
    </w:p>
    <w:p w14:paraId="5930817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7.ECG,TEMP,IBP,SpO2,NIBP 监测参数抗电击程度为防除颤 CF 型。</w:t>
      </w:r>
    </w:p>
    <w:p w14:paraId="32C1FE3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8.使用年限≥10 年。</w:t>
      </w:r>
    </w:p>
    <w:p w14:paraId="70DADDC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9.USB 接口支持连接鼠标、键盘、条码扫描枪和遥控器等设备。</w:t>
      </w:r>
    </w:p>
    <w:p w14:paraId="59310B7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10.监护仪清洁消毒维护支持的消毒剂≥35 种，在厂家手册中清晰列举消毒剂的种类。</w:t>
      </w:r>
    </w:p>
    <w:p w14:paraId="04AAE9C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12</w:t>
      </w:r>
      <w:r>
        <w:rPr>
          <w:rFonts w:hint="eastAsia" w:ascii="仿宋" w:hAnsi="仿宋" w:eastAsia="仿宋" w:cs="仿宋"/>
          <w:color w:val="auto"/>
          <w:spacing w:val="-4"/>
          <w:sz w:val="24"/>
          <w:szCs w:val="24"/>
          <w:highlight w:val="none"/>
        </w:rPr>
        <w:t>.配置3/5 导心电，呼吸，无创血压，血氧饱和度，脉搏和双通道体温参数监测，以上参数适用于成人、小儿、新生儿患者。</w:t>
      </w:r>
    </w:p>
    <w:p w14:paraId="53D0CFB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3</w:t>
      </w:r>
      <w:r>
        <w:rPr>
          <w:rFonts w:hint="eastAsia" w:ascii="仿宋" w:hAnsi="仿宋" w:eastAsia="仿宋" w:cs="仿宋"/>
          <w:color w:val="auto"/>
          <w:spacing w:val="-4"/>
          <w:sz w:val="24"/>
          <w:szCs w:val="24"/>
          <w:highlight w:val="none"/>
        </w:rPr>
        <w:t>.心电监护支持心率，ST 段测量，心律失常分析，QT/QTc 连续实时测量和对应报警功能。</w:t>
      </w:r>
    </w:p>
    <w:p w14:paraId="216ACA6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4</w:t>
      </w:r>
      <w:r>
        <w:rPr>
          <w:rFonts w:hint="eastAsia" w:ascii="仿宋" w:hAnsi="仿宋" w:eastAsia="仿宋" w:cs="仿宋"/>
          <w:color w:val="auto"/>
          <w:spacing w:val="-4"/>
          <w:sz w:val="24"/>
          <w:szCs w:val="24"/>
          <w:highlight w:val="none"/>
        </w:rPr>
        <w:t>.心电算法通过 AHA/MIT-BIH 数据库验证。</w:t>
      </w:r>
    </w:p>
    <w:p w14:paraId="2C588A0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5</w:t>
      </w:r>
      <w:r>
        <w:rPr>
          <w:rFonts w:hint="eastAsia" w:ascii="仿宋" w:hAnsi="仿宋" w:eastAsia="仿宋" w:cs="仿宋"/>
          <w:color w:val="auto"/>
          <w:spacing w:val="-4"/>
          <w:sz w:val="24"/>
          <w:szCs w:val="24"/>
          <w:highlight w:val="none"/>
        </w:rPr>
        <w:t>.提供窗口支持心脏下壁，侧壁和前壁对应多个 ST 片段的同屏实时显示，提供参考片段和实时片段的对比查看。</w:t>
      </w:r>
    </w:p>
    <w:p w14:paraId="6C690A0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6</w:t>
      </w:r>
      <w:r>
        <w:rPr>
          <w:rFonts w:hint="eastAsia" w:ascii="仿宋" w:hAnsi="仿宋" w:eastAsia="仿宋" w:cs="仿宋"/>
          <w:color w:val="auto"/>
          <w:spacing w:val="-4"/>
          <w:sz w:val="24"/>
          <w:szCs w:val="24"/>
          <w:highlight w:val="none"/>
        </w:rPr>
        <w:t>.支持室上性心动过速和SVCs/min 等室上性心律失常分析</w:t>
      </w:r>
    </w:p>
    <w:p w14:paraId="209284B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7</w:t>
      </w:r>
      <w:r>
        <w:rPr>
          <w:rFonts w:hint="eastAsia" w:ascii="仿宋" w:hAnsi="仿宋" w:eastAsia="仿宋" w:cs="仿宋"/>
          <w:color w:val="auto"/>
          <w:spacing w:val="-4"/>
          <w:sz w:val="24"/>
          <w:szCs w:val="24"/>
          <w:highlight w:val="none"/>
        </w:rPr>
        <w:t>.QT 和 QTc 实时监测参数测量范围：200～800ms</w:t>
      </w:r>
    </w:p>
    <w:p w14:paraId="46C194F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
          <w:sz w:val="24"/>
          <w:szCs w:val="24"/>
          <w:highlight w:val="none"/>
          <w:lang w:val="en-US" w:eastAsia="zh-CN"/>
        </w:rPr>
        <w:t>8</w:t>
      </w:r>
      <w:r>
        <w:rPr>
          <w:rFonts w:hint="eastAsia" w:ascii="仿宋" w:hAnsi="仿宋" w:eastAsia="仿宋" w:cs="仿宋"/>
          <w:color w:val="auto"/>
          <w:spacing w:val="-4"/>
          <w:sz w:val="24"/>
          <w:szCs w:val="24"/>
          <w:highlight w:val="none"/>
        </w:rPr>
        <w:t>.心电支持≥3 个分析导联实时动态同步分析，并非多个导联波形同屏显示及12 导联静息分析。</w:t>
      </w:r>
    </w:p>
    <w:p w14:paraId="728058E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19</w:t>
      </w:r>
      <w:r>
        <w:rPr>
          <w:rFonts w:hint="eastAsia" w:ascii="仿宋" w:hAnsi="仿宋" w:eastAsia="仿宋" w:cs="仿宋"/>
          <w:color w:val="auto"/>
          <w:spacing w:val="-4"/>
          <w:sz w:val="24"/>
          <w:szCs w:val="24"/>
          <w:highlight w:val="none"/>
        </w:rPr>
        <w:t>.支持提供过去 24 小时心电概览报告查看与打印，包括心率统计结果，心律失常统计结果，ST 统计和 QT/QTc 统计结果。</w:t>
      </w:r>
    </w:p>
    <w:p w14:paraId="48F163F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20</w:t>
      </w:r>
      <w:r>
        <w:rPr>
          <w:rFonts w:hint="eastAsia" w:ascii="仿宋" w:hAnsi="仿宋" w:eastAsia="仿宋" w:cs="仿宋"/>
          <w:color w:val="auto"/>
          <w:spacing w:val="-4"/>
          <w:sz w:val="24"/>
          <w:szCs w:val="24"/>
          <w:highlight w:val="none"/>
        </w:rPr>
        <w:t>.提供呼吸测量，适用于成人、小儿和新生儿。呼吸测量范围：1-200rpm</w:t>
      </w:r>
    </w:p>
    <w:p w14:paraId="5B9EE34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w:t>
      </w:r>
      <w:r>
        <w:rPr>
          <w:rFonts w:hint="eastAsia" w:ascii="仿宋" w:hAnsi="仿宋" w:eastAsia="仿宋" w:cs="仿宋"/>
          <w:color w:val="auto"/>
          <w:spacing w:val="-4"/>
          <w:sz w:val="24"/>
          <w:szCs w:val="24"/>
          <w:highlight w:val="none"/>
          <w:lang w:val="en-US" w:eastAsia="zh-CN"/>
        </w:rPr>
        <w:t>1</w:t>
      </w:r>
      <w:r>
        <w:rPr>
          <w:rFonts w:hint="eastAsia" w:ascii="仿宋" w:hAnsi="仿宋" w:eastAsia="仿宋" w:cs="仿宋"/>
          <w:color w:val="auto"/>
          <w:spacing w:val="-4"/>
          <w:sz w:val="24"/>
          <w:szCs w:val="24"/>
          <w:highlight w:val="none"/>
        </w:rPr>
        <w:t>.提供 SpO2,PR 和PI 参数的实时监测，适用于成人，小儿和新生儿。SpO2 的PR 测量范围：20-300</w:t>
      </w:r>
    </w:p>
    <w:p w14:paraId="07822F7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22</w:t>
      </w:r>
      <w:r>
        <w:rPr>
          <w:rFonts w:hint="eastAsia" w:ascii="仿宋" w:hAnsi="仿宋" w:eastAsia="仿宋" w:cs="仿宋"/>
          <w:color w:val="auto"/>
          <w:spacing w:val="-4"/>
          <w:sz w:val="24"/>
          <w:szCs w:val="24"/>
          <w:highlight w:val="none"/>
        </w:rPr>
        <w:t>.支持指套式血氧探头，防水等级≥IPX7，支持液体浸泡消毒和清洁。</w:t>
      </w:r>
    </w:p>
    <w:p w14:paraId="7EE1B7B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23</w:t>
      </w:r>
      <w:r>
        <w:rPr>
          <w:rFonts w:hint="eastAsia" w:ascii="仿宋" w:hAnsi="仿宋" w:eastAsia="仿宋" w:cs="仿宋"/>
          <w:color w:val="auto"/>
          <w:spacing w:val="-4"/>
          <w:sz w:val="24"/>
          <w:szCs w:val="24"/>
          <w:highlight w:val="none"/>
        </w:rPr>
        <w:t>.配置无创血压测量，适用于成人，小儿和新生儿。无创血压成人测量范围：收缩压 25~290mmH</w:t>
      </w:r>
    </w:p>
    <w:p w14:paraId="125F671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24</w:t>
      </w:r>
      <w:r>
        <w:rPr>
          <w:rFonts w:hint="eastAsia" w:ascii="仿宋" w:hAnsi="仿宋" w:eastAsia="仿宋" w:cs="仿宋"/>
          <w:color w:val="auto"/>
          <w:spacing w:val="-4"/>
          <w:sz w:val="24"/>
          <w:szCs w:val="24"/>
          <w:highlight w:val="none"/>
        </w:rPr>
        <w:t>.提供手动、自动、连续、序列和整点5 种测量模式，并提供 24 小时动态血压统计结果。</w:t>
      </w:r>
    </w:p>
    <w:p w14:paraId="01BBEEF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25</w:t>
      </w:r>
      <w:r>
        <w:rPr>
          <w:rFonts w:hint="eastAsia" w:ascii="仿宋" w:hAnsi="仿宋" w:eastAsia="仿宋" w:cs="仿宋"/>
          <w:color w:val="auto"/>
          <w:spacing w:val="-4"/>
          <w:sz w:val="24"/>
          <w:szCs w:val="24"/>
          <w:highlight w:val="none"/>
        </w:rPr>
        <w:t>.提供双通道体温和温差参数的监测,并可根据需要更改体温通道标名。</w:t>
      </w:r>
    </w:p>
    <w:p w14:paraId="3DC0AF9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26</w:t>
      </w:r>
      <w:r>
        <w:rPr>
          <w:rFonts w:hint="eastAsia" w:ascii="仿宋" w:hAnsi="仿宋" w:eastAsia="仿宋" w:cs="仿宋"/>
          <w:color w:val="auto"/>
          <w:spacing w:val="-4"/>
          <w:sz w:val="24"/>
          <w:szCs w:val="24"/>
          <w:highlight w:val="none"/>
        </w:rPr>
        <w:t>.可支持≥4 通道有创压监测，动脉压监测时支持同步监测 PPV，适用于成人，小儿和新生儿。</w:t>
      </w:r>
    </w:p>
    <w:p w14:paraId="405E5C1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27</w:t>
      </w:r>
      <w:r>
        <w:rPr>
          <w:rFonts w:hint="eastAsia" w:ascii="仿宋" w:hAnsi="仿宋" w:eastAsia="仿宋" w:cs="仿宋"/>
          <w:color w:val="auto"/>
          <w:spacing w:val="-4"/>
          <w:sz w:val="24"/>
          <w:szCs w:val="24"/>
          <w:highlight w:val="none"/>
        </w:rPr>
        <w:t>.支持主流、旁流监测模块，旁流EtCO2 监测模块支持顺磁氧监测技术进行氧气监测，水槽易用快速更换</w:t>
      </w:r>
    </w:p>
    <w:p w14:paraId="3C31904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28</w:t>
      </w:r>
      <w:r>
        <w:rPr>
          <w:rFonts w:hint="eastAsia" w:ascii="仿宋" w:hAnsi="仿宋" w:eastAsia="仿宋" w:cs="仿宋"/>
          <w:color w:val="auto"/>
          <w:spacing w:val="-4"/>
          <w:sz w:val="24"/>
          <w:szCs w:val="24"/>
          <w:highlight w:val="none"/>
        </w:rPr>
        <w:t>.支持升级与红外耳温计的配对使用。</w:t>
      </w:r>
    </w:p>
    <w:p w14:paraId="0FC21CC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29</w:t>
      </w:r>
      <w:r>
        <w:rPr>
          <w:rFonts w:hint="eastAsia" w:ascii="仿宋" w:hAnsi="仿宋" w:eastAsia="仿宋" w:cs="仿宋"/>
          <w:color w:val="auto"/>
          <w:spacing w:val="-4"/>
          <w:sz w:val="24"/>
          <w:szCs w:val="24"/>
          <w:highlight w:val="none"/>
        </w:rPr>
        <w:t>.提供目标监测界面，能够显示 ECG,SpO2,IBP,CO2 等多种参数测量值和波形；目标监测界面至少包括目标参数区、参数列表区、目标参数统计区、目标参数趋势区等， 目标参数统计区与目标参数趋势区相互联动。</w:t>
      </w:r>
    </w:p>
    <w:p w14:paraId="2817585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30</w:t>
      </w:r>
      <w:r>
        <w:rPr>
          <w:rFonts w:hint="eastAsia" w:ascii="仿宋" w:hAnsi="仿宋" w:eastAsia="仿宋" w:cs="仿宋"/>
          <w:color w:val="auto"/>
          <w:spacing w:val="-4"/>
          <w:sz w:val="24"/>
          <w:szCs w:val="24"/>
          <w:highlight w:val="none"/>
        </w:rPr>
        <w:t>.支持选配患者下床移动监护功能，提供医用级穿戴传感器，可监测心电、呼吸、无创血压、血氧饱和度、脉搏参数，穿戴传感器支持健康参数监测，可监测患者睡眠时间、运动时间，支持患者 4 种状态的识别，包括：睡眠，休息，运动和跌倒，监测数据通过无线发送至监护仪。</w:t>
      </w:r>
    </w:p>
    <w:p w14:paraId="53F702A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31</w:t>
      </w:r>
      <w:r>
        <w:rPr>
          <w:rFonts w:hint="eastAsia" w:ascii="仿宋" w:hAnsi="仿宋" w:eastAsia="仿宋" w:cs="仿宋"/>
          <w:color w:val="auto"/>
          <w:spacing w:val="-4"/>
          <w:sz w:val="24"/>
          <w:szCs w:val="24"/>
          <w:highlight w:val="none"/>
        </w:rPr>
        <w:t>.穿戴模块采用防水抗摔设计，防水等级≥IPX2，支持 1.5 米跌落不损坏。</w:t>
      </w:r>
    </w:p>
    <w:p w14:paraId="31E97D81">
      <w:pPr>
        <w:spacing w:before="287" w:line="222" w:lineRule="auto"/>
        <w:ind w:left="20"/>
        <w:rPr>
          <w:rFonts w:hint="eastAsia" w:ascii="仿宋" w:hAnsi="仿宋" w:eastAsia="仿宋" w:cs="仿宋"/>
          <w:color w:val="auto"/>
          <w:sz w:val="24"/>
          <w:szCs w:val="24"/>
          <w:highlight w:val="none"/>
        </w:rPr>
      </w:pPr>
      <w:r>
        <w:rPr>
          <w:rFonts w:hint="eastAsia" w:ascii="仿宋" w:hAnsi="仿宋" w:eastAsia="仿宋" w:cs="仿宋"/>
          <w:b/>
          <w:bCs/>
          <w:color w:val="auto"/>
          <w:spacing w:val="-10"/>
          <w:sz w:val="24"/>
          <w:szCs w:val="24"/>
          <w:highlight w:val="none"/>
        </w:rPr>
        <w:t>系统功能</w:t>
      </w:r>
    </w:p>
    <w:p w14:paraId="2C241E3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32</w:t>
      </w:r>
      <w:r>
        <w:rPr>
          <w:rFonts w:hint="eastAsia" w:ascii="仿宋" w:hAnsi="仿宋" w:eastAsia="仿宋" w:cs="仿宋"/>
          <w:color w:val="auto"/>
          <w:spacing w:val="-4"/>
          <w:sz w:val="24"/>
          <w:szCs w:val="24"/>
          <w:highlight w:val="none"/>
        </w:rPr>
        <w:t>.支持所有监测参数报警限一键自动设置功能。</w:t>
      </w:r>
    </w:p>
    <w:p w14:paraId="3D105BA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33</w:t>
      </w:r>
      <w:r>
        <w:rPr>
          <w:rFonts w:hint="eastAsia" w:ascii="仿宋" w:hAnsi="仿宋" w:eastAsia="仿宋" w:cs="仿宋"/>
          <w:color w:val="auto"/>
          <w:spacing w:val="-4"/>
          <w:sz w:val="24"/>
          <w:szCs w:val="24"/>
          <w:highlight w:val="none"/>
        </w:rPr>
        <w:t>.具有图形化技术报警指示功能。</w:t>
      </w:r>
    </w:p>
    <w:p w14:paraId="4F79C45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34</w:t>
      </w:r>
      <w:r>
        <w:rPr>
          <w:rFonts w:hint="eastAsia" w:ascii="仿宋" w:hAnsi="仿宋" w:eastAsia="仿宋" w:cs="仿宋"/>
          <w:color w:val="auto"/>
          <w:spacing w:val="-4"/>
          <w:sz w:val="24"/>
          <w:szCs w:val="24"/>
          <w:highlight w:val="none"/>
        </w:rPr>
        <w:t>.支持≥1000 条事件回顾。每条报警事件能够存储≥32 秒相关波形，以及报警触发时所有测量参数值。</w:t>
      </w:r>
    </w:p>
    <w:p w14:paraId="51F203A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4"/>
          <w:sz w:val="24"/>
          <w:szCs w:val="24"/>
          <w:highlight w:val="none"/>
          <w:lang w:val="en-US" w:eastAsia="zh-CN"/>
        </w:rPr>
        <w:t>5</w:t>
      </w:r>
      <w:r>
        <w:rPr>
          <w:rFonts w:hint="eastAsia" w:ascii="仿宋" w:hAnsi="仿宋" w:eastAsia="仿宋" w:cs="仿宋"/>
          <w:color w:val="auto"/>
          <w:spacing w:val="-4"/>
          <w:sz w:val="24"/>
          <w:szCs w:val="24"/>
          <w:highlight w:val="none"/>
        </w:rPr>
        <w:t>.支持≥1000 组 NIBP 测量结果的存储与回顾。支持≥3000 组 NIBP 测量。</w:t>
      </w:r>
    </w:p>
    <w:p w14:paraId="0C8CBB6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4"/>
          <w:sz w:val="24"/>
          <w:szCs w:val="24"/>
          <w:highlight w:val="none"/>
          <w:lang w:val="en-US" w:eastAsia="zh-CN"/>
        </w:rPr>
        <w:t>6</w:t>
      </w:r>
      <w:r>
        <w:rPr>
          <w:rFonts w:hint="eastAsia" w:ascii="仿宋" w:hAnsi="仿宋" w:eastAsia="仿宋" w:cs="仿宋"/>
          <w:color w:val="auto"/>
          <w:spacing w:val="-4"/>
          <w:sz w:val="24"/>
          <w:szCs w:val="24"/>
          <w:highlight w:val="none"/>
        </w:rPr>
        <w:t>.支持≥120 小时（分辨率 1 分钟）ST 模板存储与回顾。</w:t>
      </w:r>
    </w:p>
    <w:p w14:paraId="106148E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4"/>
          <w:sz w:val="24"/>
          <w:szCs w:val="24"/>
          <w:highlight w:val="none"/>
          <w:lang w:val="en-US" w:eastAsia="zh-CN"/>
        </w:rPr>
        <w:t>7</w:t>
      </w:r>
      <w:r>
        <w:rPr>
          <w:rFonts w:hint="eastAsia" w:ascii="仿宋" w:hAnsi="仿宋" w:eastAsia="仿宋" w:cs="仿宋"/>
          <w:color w:val="auto"/>
          <w:spacing w:val="-4"/>
          <w:sz w:val="24"/>
          <w:szCs w:val="24"/>
          <w:highlight w:val="none"/>
        </w:rPr>
        <w:t>.具有报警升级功能。</w:t>
      </w:r>
    </w:p>
    <w:p w14:paraId="7800411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4"/>
          <w:sz w:val="24"/>
          <w:szCs w:val="24"/>
          <w:highlight w:val="none"/>
          <w:lang w:val="en-US" w:eastAsia="zh-CN"/>
        </w:rPr>
        <w:t>8</w:t>
      </w:r>
      <w:r>
        <w:rPr>
          <w:rFonts w:hint="eastAsia" w:ascii="仿宋" w:hAnsi="仿宋" w:eastAsia="仿宋" w:cs="仿宋"/>
          <w:color w:val="auto"/>
          <w:spacing w:val="-4"/>
          <w:sz w:val="24"/>
          <w:szCs w:val="24"/>
          <w:highlight w:val="none"/>
        </w:rPr>
        <w:t>.具有特殊报警音。</w:t>
      </w:r>
    </w:p>
    <w:p w14:paraId="77FCA97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39</w:t>
      </w:r>
      <w:r>
        <w:rPr>
          <w:rFonts w:hint="eastAsia" w:ascii="仿宋" w:hAnsi="仿宋" w:eastAsia="仿宋" w:cs="仿宋"/>
          <w:color w:val="auto"/>
          <w:spacing w:val="-4"/>
          <w:sz w:val="24"/>
          <w:szCs w:val="24"/>
          <w:highlight w:val="none"/>
        </w:rPr>
        <w:t>.支持根据病人的参数趋势变化，可自动推送 HR/PR、SpO2、RR 等参数的报警限建议。</w:t>
      </w:r>
    </w:p>
    <w:p w14:paraId="30E4009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40</w:t>
      </w:r>
      <w:r>
        <w:rPr>
          <w:rFonts w:hint="eastAsia" w:ascii="仿宋" w:hAnsi="仿宋" w:eastAsia="仿宋" w:cs="仿宋"/>
          <w:color w:val="auto"/>
          <w:spacing w:val="-4"/>
          <w:sz w:val="24"/>
          <w:szCs w:val="24"/>
          <w:highlight w:val="none"/>
        </w:rPr>
        <w:t>.具备参数组合报警功能（并非早期预警评分EWS），可对患者同时多个参数变化给出统一报警提示，提供≥10 个预设组合报警，并允许自定义≥10 个组合报警。</w:t>
      </w:r>
    </w:p>
    <w:p w14:paraId="018A0D6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1</w:t>
      </w:r>
      <w:r>
        <w:rPr>
          <w:rFonts w:hint="eastAsia" w:ascii="仿宋" w:hAnsi="仿宋" w:eastAsia="仿宋" w:cs="仿宋"/>
          <w:color w:val="auto"/>
          <w:spacing w:val="-4"/>
          <w:sz w:val="24"/>
          <w:szCs w:val="24"/>
          <w:highlight w:val="none"/>
        </w:rPr>
        <w:t>.支持RJ45 接口进行有线网络通信，和除颤监护仪一起联网通信到中心监护系统。</w:t>
      </w:r>
    </w:p>
    <w:p w14:paraId="6573E10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2</w:t>
      </w:r>
      <w:r>
        <w:rPr>
          <w:rFonts w:hint="eastAsia" w:ascii="仿宋" w:hAnsi="仿宋" w:eastAsia="仿宋" w:cs="仿宋"/>
          <w:color w:val="auto"/>
          <w:spacing w:val="-4"/>
          <w:sz w:val="24"/>
          <w:szCs w:val="24"/>
          <w:highlight w:val="none"/>
        </w:rPr>
        <w:t>.配置临床评分系统，包括 MEWS（改良早期预警评分）、NEWS（英国早期预警评分系统）、NEWS2（英国早期预警评分系统 2），可支持定时自动 EWS 评分功能，支持动态刷新 EWS 和 EWS 报警。</w:t>
      </w:r>
    </w:p>
    <w:p w14:paraId="29E3484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3</w:t>
      </w:r>
      <w:r>
        <w:rPr>
          <w:rFonts w:hint="eastAsia" w:ascii="仿宋" w:hAnsi="仿宋" w:eastAsia="仿宋" w:cs="仿宋"/>
          <w:color w:val="auto"/>
          <w:spacing w:val="-4"/>
          <w:sz w:val="24"/>
          <w:szCs w:val="24"/>
          <w:highlight w:val="none"/>
        </w:rPr>
        <w:t>.界面区提供设置≥4 个计时器，每个计时器支持独立设置和计时功能，计时方向包括正计时和倒计时两种选择。</w:t>
      </w:r>
    </w:p>
    <w:p w14:paraId="23E7119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4</w:t>
      </w:r>
      <w:r>
        <w:rPr>
          <w:rFonts w:hint="eastAsia" w:ascii="仿宋" w:hAnsi="仿宋" w:eastAsia="仿宋" w:cs="仿宋"/>
          <w:color w:val="auto"/>
          <w:spacing w:val="-4"/>
          <w:sz w:val="24"/>
          <w:szCs w:val="24"/>
          <w:highlight w:val="none"/>
        </w:rPr>
        <w:t>.支持格拉斯哥昏迷评分（GCS）功能</w:t>
      </w:r>
    </w:p>
    <w:p w14:paraId="34BC8B1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5</w:t>
      </w:r>
      <w:r>
        <w:rPr>
          <w:rFonts w:hint="eastAsia" w:ascii="仿宋" w:hAnsi="仿宋" w:eastAsia="仿宋" w:cs="仿宋"/>
          <w:color w:val="auto"/>
          <w:spacing w:val="-4"/>
          <w:sz w:val="24"/>
          <w:szCs w:val="24"/>
          <w:highlight w:val="none"/>
        </w:rPr>
        <w:t>.动态趋势界面可支持统计 1-24 小时心律失常报警、参数超限报警信息，并对超限报警区间的波形进行高亮显示。</w:t>
      </w:r>
    </w:p>
    <w:p w14:paraId="0033D1C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6</w:t>
      </w:r>
      <w:r>
        <w:rPr>
          <w:rFonts w:hint="eastAsia" w:ascii="仿宋" w:hAnsi="仿宋" w:eastAsia="仿宋" w:cs="仿宋"/>
          <w:color w:val="auto"/>
          <w:spacing w:val="-4"/>
          <w:sz w:val="24"/>
          <w:szCs w:val="24"/>
          <w:highlight w:val="none"/>
        </w:rPr>
        <w:t>.支持带 ABD 事件的呼吸氧合界面。</w:t>
      </w:r>
    </w:p>
    <w:p w14:paraId="774ECD0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7</w:t>
      </w:r>
      <w:r>
        <w:rPr>
          <w:rFonts w:hint="eastAsia" w:ascii="仿宋" w:hAnsi="仿宋" w:eastAsia="仿宋" w:cs="仿宋"/>
          <w:color w:val="auto"/>
          <w:spacing w:val="-4"/>
          <w:sz w:val="24"/>
          <w:szCs w:val="24"/>
          <w:highlight w:val="none"/>
        </w:rPr>
        <w:t>.支持选配房颤概览功能，可显示当前病人持续≥30 秒的房颤事件的统计信息和生命体征参数趋势。</w:t>
      </w:r>
    </w:p>
    <w:p w14:paraId="6D98974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8</w:t>
      </w:r>
      <w:r>
        <w:rPr>
          <w:rFonts w:hint="eastAsia" w:ascii="仿宋" w:hAnsi="仿宋" w:eastAsia="仿宋" w:cs="仿宋"/>
          <w:color w:val="auto"/>
          <w:spacing w:val="-4"/>
          <w:sz w:val="24"/>
          <w:szCs w:val="24"/>
          <w:highlight w:val="none"/>
        </w:rPr>
        <w:t>.提供屏幕截图功能，将屏幕截图通过 USB 接口导出到 U 盘。</w:t>
      </w:r>
    </w:p>
    <w:p w14:paraId="267BCC8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49</w:t>
      </w:r>
      <w:r>
        <w:rPr>
          <w:rFonts w:hint="eastAsia" w:ascii="仿宋" w:hAnsi="仿宋" w:eastAsia="仿宋" w:cs="仿宋"/>
          <w:color w:val="auto"/>
          <w:spacing w:val="-4"/>
          <w:sz w:val="24"/>
          <w:szCs w:val="24"/>
          <w:highlight w:val="none"/>
        </w:rPr>
        <w:t>.标配 2.4G/5G 无线 WiFi。</w:t>
      </w:r>
    </w:p>
    <w:p w14:paraId="536358C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w:t>
      </w:r>
      <w:r>
        <w:rPr>
          <w:rFonts w:hint="eastAsia" w:ascii="仿宋" w:hAnsi="仿宋" w:eastAsia="仿宋" w:cs="仿宋"/>
          <w:color w:val="auto"/>
          <w:spacing w:val="-4"/>
          <w:sz w:val="24"/>
          <w:szCs w:val="24"/>
          <w:highlight w:val="none"/>
          <w:lang w:val="en-US" w:eastAsia="zh-CN"/>
        </w:rPr>
        <w:t>0</w:t>
      </w:r>
      <w:r>
        <w:rPr>
          <w:rFonts w:hint="eastAsia" w:ascii="仿宋" w:hAnsi="仿宋" w:eastAsia="仿宋" w:cs="仿宋"/>
          <w:color w:val="auto"/>
          <w:spacing w:val="-4"/>
          <w:sz w:val="24"/>
          <w:szCs w:val="24"/>
          <w:highlight w:val="none"/>
        </w:rPr>
        <w:t>.支持他床观察，可同时监视≥12 他床的报警信息。</w:t>
      </w:r>
    </w:p>
    <w:p w14:paraId="7880ADC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w:t>
      </w:r>
      <w:r>
        <w:rPr>
          <w:rFonts w:hint="eastAsia" w:ascii="仿宋" w:hAnsi="仿宋" w:eastAsia="仿宋" w:cs="仿宋"/>
          <w:color w:val="auto"/>
          <w:spacing w:val="-4"/>
          <w:sz w:val="24"/>
          <w:szCs w:val="24"/>
          <w:highlight w:val="none"/>
          <w:lang w:val="en-US" w:eastAsia="zh-CN"/>
        </w:rPr>
        <w:t>1</w:t>
      </w:r>
      <w:r>
        <w:rPr>
          <w:rFonts w:hint="eastAsia" w:ascii="仿宋" w:hAnsi="仿宋" w:eastAsia="仿宋" w:cs="仿宋"/>
          <w:color w:val="auto"/>
          <w:spacing w:val="-4"/>
          <w:sz w:val="24"/>
          <w:szCs w:val="24"/>
          <w:highlight w:val="none"/>
        </w:rPr>
        <w:t>.配置一套中央工作站，包括但不限于主机、显示器、无线卡、操作系统等。</w:t>
      </w:r>
    </w:p>
    <w:p w14:paraId="75A7EA2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w:t>
      </w:r>
      <w:r>
        <w:rPr>
          <w:rFonts w:hint="eastAsia" w:ascii="仿宋" w:hAnsi="仿宋" w:eastAsia="仿宋" w:cs="仿宋"/>
          <w:color w:val="auto"/>
          <w:spacing w:val="-4"/>
          <w:sz w:val="24"/>
          <w:szCs w:val="24"/>
          <w:highlight w:val="none"/>
          <w:lang w:val="en-US" w:eastAsia="zh-CN"/>
        </w:rPr>
        <w:t>2</w:t>
      </w:r>
      <w:r>
        <w:rPr>
          <w:rFonts w:hint="eastAsia" w:ascii="仿宋" w:hAnsi="仿宋" w:eastAsia="仿宋" w:cs="仿宋"/>
          <w:color w:val="auto"/>
          <w:spacing w:val="-4"/>
          <w:sz w:val="24"/>
          <w:szCs w:val="24"/>
          <w:highlight w:val="none"/>
        </w:rPr>
        <w:t>.配置同品牌 5 导心电导联线 1 套、血压袖套 1 套，指脉氧 1 套。</w:t>
      </w:r>
    </w:p>
    <w:p w14:paraId="783561AE">
      <w:pPr>
        <w:spacing w:before="286" w:line="222" w:lineRule="auto"/>
        <w:ind w:left="21"/>
        <w:rPr>
          <w:rFonts w:hint="eastAsia" w:ascii="仿宋" w:hAnsi="仿宋" w:eastAsia="仿宋" w:cs="仿宋"/>
          <w:color w:val="auto"/>
          <w:spacing w:val="-4"/>
          <w:sz w:val="24"/>
          <w:szCs w:val="24"/>
          <w:highlight w:val="none"/>
        </w:rPr>
      </w:pPr>
    </w:p>
    <w:p w14:paraId="49A9A01C">
      <w:pPr>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br w:type="page"/>
      </w:r>
    </w:p>
    <w:p w14:paraId="60024DE4">
      <w:pPr>
        <w:spacing w:before="91" w:line="224" w:lineRule="auto"/>
        <w:ind w:left="3215"/>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9.</w:t>
      </w:r>
      <w:r>
        <w:rPr>
          <w:rFonts w:hint="eastAsia" w:ascii="仿宋" w:hAnsi="仿宋" w:eastAsia="仿宋" w:cs="仿宋"/>
          <w:b/>
          <w:bCs/>
          <w:color w:val="auto"/>
          <w:spacing w:val="-3"/>
          <w:sz w:val="24"/>
          <w:szCs w:val="24"/>
          <w:highlight w:val="none"/>
        </w:rPr>
        <w:t>临时起搏器参数</w:t>
      </w:r>
    </w:p>
    <w:p w14:paraId="05102938">
      <w:pPr>
        <w:pStyle w:val="11"/>
        <w:spacing w:line="311" w:lineRule="auto"/>
        <w:rPr>
          <w:rFonts w:hint="eastAsia" w:ascii="仿宋" w:hAnsi="仿宋" w:eastAsia="仿宋" w:cs="仿宋"/>
          <w:color w:val="auto"/>
          <w:sz w:val="24"/>
          <w:szCs w:val="24"/>
          <w:highlight w:val="none"/>
        </w:rPr>
      </w:pPr>
    </w:p>
    <w:p w14:paraId="4D15EE85">
      <w:pPr>
        <w:spacing w:before="91"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（1）起搏模式A00,AAI,V00,VVI,RAP（快速心房起搏），紧急起搏</w:t>
      </w:r>
    </w:p>
    <w:p w14:paraId="288AB2C4">
      <w:pPr>
        <w:spacing w:before="284" w:line="226"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（2）电压1-10V</w:t>
      </w:r>
    </w:p>
    <w:p w14:paraId="17E3050C">
      <w:pPr>
        <w:spacing w:before="280"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（3）感知灵敏度1--20mV</w:t>
      </w:r>
    </w:p>
    <w:p w14:paraId="0D3E7B51">
      <w:pPr>
        <w:spacing w:before="284" w:line="217"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（4）起搏频率 40-180ppm</w:t>
      </w:r>
    </w:p>
    <w:p w14:paraId="215AB79C">
      <w:pPr>
        <w:spacing w:before="297" w:line="411" w:lineRule="auto"/>
        <w:ind w:left="8" w:right="13" w:hanging="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（5）RAP（快速心房起搏功能）起搏频率40-1000ppm，脉冲幅度1-10V，脉冲宽度：1.5ms</w:t>
      </w:r>
    </w:p>
    <w:p w14:paraId="70C534B5">
      <w:pPr>
        <w:spacing w:before="1" w:line="216"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（6）一键紧急起搏模式 脉冲宽度1.5ms/脉冲幅度10V/感知灵敏度 2.0mv/70ppm</w:t>
      </w:r>
    </w:p>
    <w:p w14:paraId="5FF3A32E">
      <w:pPr>
        <w:spacing w:before="295"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（7）不应期 250ms/150ms</w:t>
      </w:r>
    </w:p>
    <w:p w14:paraId="07265E54">
      <w:pPr>
        <w:spacing w:before="284"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（8）具备频率奔放保护</w:t>
      </w:r>
    </w:p>
    <w:p w14:paraId="2CB20BB8">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（9）具备噪声监测，可自动切换至</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2"/>
          <w:sz w:val="24"/>
          <w:szCs w:val="24"/>
          <w:highlight w:val="none"/>
        </w:rPr>
        <w:t>A00/V00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模式</w:t>
      </w:r>
    </w:p>
    <w:p w14:paraId="21A6F399">
      <w:pPr>
        <w:spacing w:before="287"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（10）报警(可视化加声音)：高／低阻抗、心率报警 (≥150ppm）、电池</w:t>
      </w:r>
      <w:r>
        <w:rPr>
          <w:rFonts w:hint="eastAsia" w:ascii="仿宋" w:hAnsi="仿宋" w:eastAsia="仿宋" w:cs="仿宋"/>
          <w:color w:val="auto"/>
          <w:spacing w:val="-6"/>
          <w:sz w:val="24"/>
          <w:szCs w:val="24"/>
          <w:highlight w:val="none"/>
        </w:rPr>
        <w:t>和后备电源噪声、</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6"/>
          <w:sz w:val="24"/>
          <w:szCs w:val="24"/>
          <w:highlight w:val="none"/>
        </w:rPr>
        <w:t>自检或系统错误</w:t>
      </w:r>
    </w:p>
    <w:p w14:paraId="3E3D1B49">
      <w:pPr>
        <w:spacing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3"/>
          <w:sz w:val="24"/>
          <w:szCs w:val="24"/>
          <w:highlight w:val="none"/>
        </w:rPr>
        <w:t>≥2</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个接头，适用接头直径范围：0.9-2.1mm</w:t>
      </w:r>
    </w:p>
    <w:p w14:paraId="68FACF47">
      <w:pPr>
        <w:spacing w:before="285" w:line="229"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（12）电池类型：2节1.5V碱性电池</w:t>
      </w:r>
    </w:p>
    <w:p w14:paraId="3C178D6F">
      <w:pPr>
        <w:spacing w:before="277"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（13）电池使用时间≥14天</w:t>
      </w:r>
    </w:p>
    <w:p w14:paraId="72E3C1D6">
      <w:pPr>
        <w:spacing w:before="286" w:line="224" w:lineRule="auto"/>
        <w:outlineLvl w:val="0"/>
        <w:rPr>
          <w:rFonts w:hint="eastAsia" w:ascii="仿宋" w:hAnsi="仿宋" w:eastAsia="仿宋" w:cs="仿宋"/>
          <w:color w:val="auto"/>
          <w:sz w:val="24"/>
          <w:szCs w:val="24"/>
          <w:highlight w:val="none"/>
        </w:rPr>
      </w:pPr>
      <w:bookmarkStart w:id="532" w:name="_Toc27220"/>
      <w:bookmarkStart w:id="533" w:name="_Toc6276"/>
      <w:bookmarkStart w:id="534" w:name="_Toc2661"/>
      <w:r>
        <w:rPr>
          <w:rFonts w:hint="eastAsia" w:ascii="仿宋" w:hAnsi="仿宋" w:eastAsia="仿宋" w:cs="仿宋"/>
          <w:color w:val="auto"/>
          <w:spacing w:val="-2"/>
          <w:sz w:val="24"/>
          <w:szCs w:val="24"/>
          <w:highlight w:val="none"/>
        </w:rPr>
        <w:t>（14）取出电池后的运行不少于60秒h</w:t>
      </w:r>
      <w:bookmarkEnd w:id="532"/>
      <w:bookmarkEnd w:id="533"/>
      <w:bookmarkEnd w:id="534"/>
    </w:p>
    <w:p w14:paraId="3041C93F">
      <w:pP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br w:type="page"/>
      </w:r>
    </w:p>
    <w:p w14:paraId="66722196">
      <w:pPr>
        <w:spacing w:before="91" w:line="224" w:lineRule="auto"/>
        <w:ind w:left="3087"/>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10.</w:t>
      </w:r>
      <w:r>
        <w:rPr>
          <w:rFonts w:hint="eastAsia" w:ascii="仿宋" w:hAnsi="仿宋" w:eastAsia="仿宋" w:cs="仿宋"/>
          <w:b/>
          <w:bCs/>
          <w:color w:val="auto"/>
          <w:spacing w:val="-3"/>
          <w:sz w:val="24"/>
          <w:szCs w:val="24"/>
          <w:highlight w:val="none"/>
        </w:rPr>
        <w:t>六通道注射泵参数</w:t>
      </w:r>
    </w:p>
    <w:p w14:paraId="5D0474F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1.模块化设计，可插入输液信息采集系统组合使用，输液信息采集系统仅需通过 1 个接口实现对系统内输注泵的供电和通讯</w:t>
      </w:r>
    </w:p>
    <w:p w14:paraId="5D034B3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2.输液信息采集系统以每2 个通道为基本单位增减，可组合成4/6/8 等通道</w:t>
      </w:r>
    </w:p>
    <w:p w14:paraId="39A3370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3.注射精度≤±1.8%</w:t>
      </w:r>
    </w:p>
    <w:p w14:paraId="1BA425D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4.注射速度范围：0.01-2300ml/h,且最小速度和步进均为 0.01ml/h</w:t>
      </w:r>
    </w:p>
    <w:p w14:paraId="5E9DAAB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5.快推速度范围：0.01-2300ml/h,且最小速度和步进均为 0.01ml/h</w:t>
      </w:r>
    </w:p>
    <w:p w14:paraId="6C19C8D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6.可自动统计四种累计量：24h 累计量、最近累计量、自定义时间段累计量、定时间隔累计量</w:t>
      </w:r>
    </w:p>
    <w:p w14:paraId="0493486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7.支持注射器规格：2ml、3ml、5ml、10ml、20ml、30ml、50/60ml；</w:t>
      </w:r>
    </w:p>
    <w:p w14:paraId="204FD57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8.注射泵支持自动加载功能，注射泵推拉盒可自动定位并固定注射器尾夹，无需手动操作</w:t>
      </w:r>
    </w:p>
    <w:p w14:paraId="20C4CC0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9.具备输液停止键硬按键，独立设计</w:t>
      </w:r>
    </w:p>
    <w:p w14:paraId="2C9C218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10.8 种注射模式：速度模式、时间模式、体重模式、梯度模式、序列模式、剂量时间模式、间断给药模式、TIVA 模式；具备联机功能</w:t>
      </w:r>
    </w:p>
    <w:p w14:paraId="79D81DD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11.支持镇痛药、化疗药、胰岛素输注</w:t>
      </w:r>
    </w:p>
    <w:p w14:paraId="20159BD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12.可选TCI 模式，TCI 模式支持三种药物：丙泊酚，瑞芬太尼，苏芬太尼；可选 PCA 模式，PCA 模式支持病人自控镇痛</w:t>
      </w:r>
    </w:p>
    <w:p w14:paraId="6C9317E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13.彩色显示屏≥3.5 英寸，电容触摸屏</w:t>
      </w:r>
    </w:p>
    <w:p w14:paraId="0B284EC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14.主机自带多功能接 口（非 USB 接 口）</w:t>
      </w:r>
    </w:p>
    <w:p w14:paraId="6D0D892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15.支持药物库，可储存≥5000 种药物信息；</w:t>
      </w:r>
    </w:p>
    <w:p w14:paraId="255D211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16.阻塞压力报警档位≥15 档，最低档位可设置 50mmHg</w:t>
      </w:r>
    </w:p>
    <w:p w14:paraId="1A0830B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17.具备阻塞后自动重启输液功能，短暂性阻塞触发报警后，泵检测到阻塞压力缓解时，无需人为干预，泵自动重新启动输液</w:t>
      </w:r>
    </w:p>
    <w:p w14:paraId="016A747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18.具有历史记录功能，可存储≥3500 条的历史记录</w:t>
      </w:r>
    </w:p>
    <w:p w14:paraId="1EB0F51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19.可接入同品牌中央站，实现输注泵和同品牌监护仪、呼吸机信息同屏查看。</w:t>
      </w:r>
    </w:p>
    <w:p w14:paraId="5B06FE2C">
      <w:pPr>
        <w:spacing w:before="286" w:line="222" w:lineRule="auto"/>
        <w:ind w:left="21"/>
        <w:rPr>
          <w:rFonts w:hint="eastAsia" w:ascii="仿宋" w:hAnsi="仿宋" w:eastAsia="仿宋" w:cs="仿宋"/>
          <w:color w:val="auto"/>
          <w:spacing w:val="-4"/>
          <w:sz w:val="24"/>
          <w:szCs w:val="24"/>
          <w:highlight w:val="none"/>
        </w:rPr>
      </w:pPr>
    </w:p>
    <w:p w14:paraId="4FAE2BBE">
      <w:pPr>
        <w:spacing w:before="0" w:line="240" w:lineRule="auto"/>
        <w:ind w:firstLine="0" w:firstLineChars="0"/>
        <w:jc w:val="left"/>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br w:type="page"/>
      </w:r>
    </w:p>
    <w:p w14:paraId="6A289FEE">
      <w:pPr>
        <w:spacing w:before="91" w:line="224" w:lineRule="auto"/>
        <w:ind w:firstLine="2819" w:firstLineChars="1200"/>
        <w:jc w:val="both"/>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11.高端医用超声诊断仪</w:t>
      </w:r>
    </w:p>
    <w:p w14:paraId="1ABEEB1D">
      <w:pPr>
        <w:spacing w:before="91" w:line="224" w:lineRule="auto"/>
        <w:ind w:firstLine="1645" w:firstLineChars="700"/>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11.1超高端心血管彩色多普勒超声诊断仪参数</w:t>
      </w:r>
    </w:p>
    <w:p w14:paraId="5FBB3E26">
      <w:pPr>
        <w:spacing w:before="286" w:line="222" w:lineRule="auto"/>
        <w:ind w:left="21"/>
        <w:rPr>
          <w:rFonts w:hint="eastAsia" w:ascii="仿宋" w:hAnsi="仿宋" w:eastAsia="仿宋" w:cs="仿宋"/>
          <w:b/>
          <w:bCs/>
          <w:color w:val="auto"/>
          <w:spacing w:val="-4"/>
          <w:sz w:val="24"/>
          <w:szCs w:val="24"/>
          <w:highlight w:val="none"/>
        </w:rPr>
      </w:pPr>
      <w:r>
        <w:rPr>
          <w:rFonts w:hint="eastAsia" w:ascii="仿宋" w:hAnsi="仿宋" w:eastAsia="仿宋" w:cs="仿宋"/>
          <w:b/>
          <w:bCs/>
          <w:color w:val="auto"/>
          <w:spacing w:val="-4"/>
          <w:sz w:val="24"/>
          <w:szCs w:val="24"/>
          <w:highlight w:val="none"/>
        </w:rPr>
        <w:t>一、设备用途及说明</w:t>
      </w:r>
    </w:p>
    <w:p w14:paraId="16EE6D8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主要用于成人心脏、小儿心脏、胎儿心脏的超声诊断及科研工作，覆盖全身超声检查需要，并支持经胸及经食管超声心动图成像，以超声临床诊断应用和相关科研为主。</w:t>
      </w:r>
    </w:p>
    <w:p w14:paraId="5E2C8C40">
      <w:pPr>
        <w:spacing w:before="286" w:line="222" w:lineRule="auto"/>
        <w:ind w:left="21"/>
        <w:rPr>
          <w:rFonts w:hint="eastAsia" w:ascii="仿宋" w:hAnsi="仿宋" w:eastAsia="仿宋" w:cs="仿宋"/>
          <w:b/>
          <w:bCs/>
          <w:color w:val="auto"/>
          <w:spacing w:val="-4"/>
          <w:sz w:val="24"/>
          <w:szCs w:val="24"/>
          <w:highlight w:val="none"/>
        </w:rPr>
      </w:pPr>
      <w:r>
        <w:rPr>
          <w:rFonts w:hint="eastAsia" w:ascii="仿宋" w:hAnsi="仿宋" w:eastAsia="仿宋" w:cs="仿宋"/>
          <w:b/>
          <w:bCs/>
          <w:color w:val="auto"/>
          <w:spacing w:val="-4"/>
          <w:sz w:val="24"/>
          <w:szCs w:val="24"/>
          <w:highlight w:val="none"/>
        </w:rPr>
        <w:t>二、系统配置及技术要求</w:t>
      </w:r>
    </w:p>
    <w:p w14:paraId="5E6CA42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1.主机系统</w:t>
      </w:r>
    </w:p>
    <w:p w14:paraId="4674DEB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1.1 显示器：高分辨率 OLED 显示器≥22 英寸，具备全屏高清放大功能，主屏幕与触摸屏实时同步显示扫描图像</w:t>
      </w:r>
    </w:p>
    <w:p w14:paraId="733317B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1.2 操作面板具备≥10 英寸彩色液晶触摸屏，操作平台可灵活调节。</w:t>
      </w:r>
    </w:p>
    <w:p w14:paraId="38A5F63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1.3 谐波成像技术；实时空间复合成像；斑点噪声抑制；复合滤波技术；扫描区域动态连续聚焦。</w:t>
      </w:r>
    </w:p>
    <w:p w14:paraId="435D976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1.4 探头接 口： ≥4 个，微型非针式，支持 TEE，所有探头全激活并可互换通用</w:t>
      </w:r>
    </w:p>
    <w:p w14:paraId="68761A0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"5.1.5.7"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1.5</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频率：最高频率≥22MHz</w:t>
      </w:r>
    </w:p>
    <w:p w14:paraId="5CC4CB6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1.6 探头：宽频带多点变频探头，频率在屏幕上可视可调，相控阵、凸阵，线阵、经食道探头等。</w:t>
      </w:r>
    </w:p>
    <w:p w14:paraId="25CBD51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"5.1.5.1"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1.6.1</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成人经胸相控阵探头：单晶体频率范围 1.0~5.0MHz</w:t>
      </w:r>
    </w:p>
    <w:p w14:paraId="73C06EF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"5.1.5.2"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1.6.2</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小儿经胸相控阵探头：频率范围 3.0~8.0MHz</w:t>
      </w:r>
    </w:p>
    <w:p w14:paraId="5FF8CAC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"5.1.5.4"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1.6.3</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血管线阵探头：频率范围 3.0~10.0MHz。</w:t>
      </w:r>
    </w:p>
    <w:p w14:paraId="016A12E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1.6.4 宽频凸阵探头：频率范围 4.0~10.0MHz</w:t>
      </w:r>
    </w:p>
    <w:p w14:paraId="50166B1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"5.1.5.4"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1.6.5</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腹部凸阵探头：单晶体频率范围 1.0-5.0MHz。</w:t>
      </w:r>
    </w:p>
    <w:p w14:paraId="68CAB63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"5.1.5.7"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1.7</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可支持相控阵探头扇扫角度： ≥120 °</w:t>
      </w:r>
    </w:p>
    <w:p w14:paraId="103D9F9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1.8 支持中文操作界面</w:t>
      </w:r>
    </w:p>
    <w:p w14:paraId="614C2FC0">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2.成像单元</w:t>
      </w:r>
    </w:p>
    <w:p w14:paraId="69B3799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2.1M 型成像：常规 M 型，解剖 M 型。</w:t>
      </w:r>
    </w:p>
    <w:p w14:paraId="31CC4C8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2.2 二维灰阶成像：</w:t>
      </w:r>
    </w:p>
    <w:p w14:paraId="3BD847F2">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"5.2.2.1"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2.2.1</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组织谐波成像：多种方式组织谐波成像技术</w:t>
      </w:r>
    </w:p>
    <w:p w14:paraId="4D0B785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"5.2.2.2"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2.2.2</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一键自动优化技术</w:t>
      </w:r>
    </w:p>
    <w:p w14:paraId="5D4D94B1">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"5.2.2.3"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2.2.3</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宽景成像及梯形扩展成像。</w:t>
      </w:r>
    </w:p>
    <w:p w14:paraId="47A0AA1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"5.2.2.5"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2.2.4</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增益调节：TGC 增益补偿≥8 段，LGC 侧向增益补偿≥8 段，可支持相控阵、经食道探头，且可视可调 B/M 可独立调节增益调节</w:t>
      </w:r>
    </w:p>
    <w:p w14:paraId="1E639B9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"5.2.2.5"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2.2.5</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具有高级心肌增强功能</w:t>
      </w:r>
    </w:p>
    <w:p w14:paraId="148FD2EC">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2.3 彩色多普勒成像成像：</w:t>
      </w:r>
    </w:p>
    <w:p w14:paraId="37236E0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"5.2.3.1"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2.3.1</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彩色多普勒：具备速度方差模式、能量图模式、二维彩色模式等多种模式。</w:t>
      </w:r>
    </w:p>
    <w:p w14:paraId="4B564343">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"5.2.3.2"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2.3.2</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具备彩色多普勒频率显示，并可独立调节；具备彩色帧频独立调节功能；二维和彩色同步双幅实时显示。</w:t>
      </w:r>
    </w:p>
    <w:p w14:paraId="473C3CBA">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2.3.3</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彩色多普勒帧频:全视野, ≥18cm 深,帧频≥15 帧/秒</w:t>
      </w:r>
    </w:p>
    <w:p w14:paraId="1A3BB9A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2.3.4</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组织多普勒帧频：全视野, ≥18cm 深,帧频≥70 帧/秒。</w:t>
      </w:r>
    </w:p>
    <w:p w14:paraId="5D783A3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"5.2.3.4"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2.3.5</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彩色增强显示：组织多普勒成像；方向性能量图</w:t>
      </w:r>
    </w:p>
    <w:p w14:paraId="7708203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"5.2.3.4"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2.3.6</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微细血流技术，可显示微细血管及超低速血流信号。</w:t>
      </w:r>
    </w:p>
    <w:p w14:paraId="7E8D2CB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"5.2.3.6"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2.3.7</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具有冠脉血流技术</w:t>
      </w:r>
    </w:p>
    <w:p w14:paraId="32C13A1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2.4 频谱多普勒成像：</w:t>
      </w:r>
    </w:p>
    <w:p w14:paraId="3B968F95">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"5.2.4.1"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2.4.1</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方式：脉冲波多普勒（PW）、连续波多普勒（CW）、高脉冲重复频率（HPRF）</w:t>
      </w:r>
    </w:p>
    <w:p w14:paraId="5370025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"5.2.4.2"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2.4.2</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最大测量速度：PW：血流速度≥7.5m/s；CW：血流速度≥25m/s。</w:t>
      </w:r>
    </w:p>
    <w:p w14:paraId="64E3BD8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2.4.3</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最低测量速度：≤1mm/s（非噪声信号）。</w:t>
      </w:r>
    </w:p>
    <w:p w14:paraId="4BA3D7D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"5.2.4.4"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2.4.4</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取样宽度多级可调，可调范围 0.5mm-20mm</w:t>
      </w:r>
    </w:p>
    <w:p w14:paraId="59F1445E">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"5.2.4.5"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2.4.5</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频谱自动测量及多普勒优化功能。</w:t>
      </w:r>
    </w:p>
    <w:p w14:paraId="301FE84D">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"5.2.4.6"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2.4.6</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实时三同步功能，支持凸阵、线阵、相控阵探头。</w:t>
      </w:r>
    </w:p>
    <w:p w14:paraId="4892D6C6">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"5.2.4.7"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2.4.7</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超声功率输出调节：B/M、PWD、CWD、输出功率可调。</w:t>
      </w:r>
    </w:p>
    <w:p w14:paraId="1FD08938">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2.5 组织多普勒成像：</w:t>
      </w:r>
    </w:p>
    <w:p w14:paraId="6E2968A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"5.2.5.1"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2.5.1</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具备组织速度成像、组织追踪成像、组织应变及应变率成像。</w:t>
      </w:r>
    </w:p>
    <w:p w14:paraId="35E75AD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"5.2.5.3"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2.5.2</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支持配备组织多普勒的定量分析。</w:t>
      </w:r>
    </w:p>
    <w:p w14:paraId="6E9B0B9B">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2.6 超声造影成像</w:t>
      </w:r>
    </w:p>
    <w:p w14:paraId="5F11D527">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2.6.1 支持心腔及心肌造影成像</w:t>
      </w:r>
    </w:p>
    <w:p w14:paraId="1628CF69">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2.6.2 支持负荷超声成像下的心肌灌注造影</w:t>
      </w:r>
    </w:p>
    <w:p w14:paraId="55FDD62F">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"5.2.6.3"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2.6.3</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支持凸阵，线阵，相控阵探头。</w:t>
      </w:r>
    </w:p>
    <w:p w14:paraId="5086EC6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fldChar w:fldCharType="begin"/>
      </w:r>
      <w:r>
        <w:rPr>
          <w:rFonts w:hint="eastAsia" w:ascii="仿宋" w:hAnsi="仿宋" w:eastAsia="仿宋" w:cs="仿宋"/>
          <w:color w:val="auto"/>
          <w:spacing w:val="-4"/>
          <w:sz w:val="24"/>
          <w:szCs w:val="24"/>
          <w:highlight w:val="none"/>
        </w:rPr>
        <w:instrText xml:space="preserve"> HYPERLINK "5.2.6.5" </w:instrText>
      </w:r>
      <w:r>
        <w:rPr>
          <w:rFonts w:hint="eastAsia" w:ascii="仿宋" w:hAnsi="仿宋" w:eastAsia="仿宋" w:cs="仿宋"/>
          <w:color w:val="auto"/>
          <w:spacing w:val="-4"/>
          <w:sz w:val="24"/>
          <w:szCs w:val="24"/>
          <w:highlight w:val="none"/>
        </w:rPr>
        <w:fldChar w:fldCharType="separate"/>
      </w:r>
      <w:r>
        <w:rPr>
          <w:rFonts w:hint="eastAsia" w:ascii="仿宋" w:hAnsi="仿宋" w:eastAsia="仿宋" w:cs="仿宋"/>
          <w:color w:val="auto"/>
          <w:spacing w:val="-4"/>
          <w:sz w:val="24"/>
          <w:szCs w:val="24"/>
          <w:highlight w:val="none"/>
        </w:rPr>
        <w:t>2.6.4</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rPr>
        <w:t>具有在机造影定量分析软件，提供时间曲线分析及TIC 曲线拟合等参数。</w:t>
      </w:r>
    </w:p>
    <w:p w14:paraId="5B1F4454">
      <w:pPr>
        <w:spacing w:before="286" w:line="222"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2.7 负荷超声成像</w:t>
      </w:r>
    </w:p>
    <w:p w14:paraId="3EFDEED2">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2.8 支持在不依赖心电图条件下一键式自动获取左室整体和分段应变测</w:t>
      </w:r>
      <w:r>
        <w:rPr>
          <w:rFonts w:hint="eastAsia" w:ascii="仿宋" w:hAnsi="仿宋" w:eastAsia="仿宋" w:cs="仿宋"/>
          <w:color w:val="auto"/>
          <w:spacing w:val="-3"/>
          <w:sz w:val="24"/>
          <w:szCs w:val="24"/>
          <w:highlight w:val="none"/>
        </w:rPr>
        <w:t>量工具，左心室</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18</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节段靶心图显示，并支持所有相控阵探</w:t>
      </w:r>
      <w:r>
        <w:rPr>
          <w:rFonts w:hint="eastAsia" w:ascii="仿宋" w:hAnsi="仿宋" w:eastAsia="仿宋" w:cs="仿宋"/>
          <w:color w:val="auto"/>
          <w:spacing w:val="-4"/>
          <w:sz w:val="24"/>
          <w:szCs w:val="24"/>
          <w:highlight w:val="none"/>
        </w:rPr>
        <w:t>头采集的心脏图像。</w:t>
      </w:r>
    </w:p>
    <w:p w14:paraId="45F4E565">
      <w:pPr>
        <w:spacing w:before="289"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3.测量和分析</w:t>
      </w:r>
    </w:p>
    <w:p w14:paraId="1DFCDB4A">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3.1</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2"/>
          <w:sz w:val="24"/>
          <w:szCs w:val="24"/>
          <w:highlight w:val="none"/>
        </w:rPr>
        <w:t>一般测量：直径、面积、体积、狭窄率、压差等。</w:t>
      </w:r>
    </w:p>
    <w:p w14:paraId="421AFDBD">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3.2</w:t>
      </w:r>
      <w:r>
        <w:rPr>
          <w:rFonts w:hint="eastAsia" w:ascii="仿宋" w:hAnsi="仿宋" w:eastAsia="仿宋" w:cs="仿宋"/>
          <w:color w:val="auto"/>
          <w:spacing w:val="-22"/>
          <w:sz w:val="24"/>
          <w:szCs w:val="24"/>
          <w:highlight w:val="none"/>
        </w:rPr>
        <w:t xml:space="preserve"> </w:t>
      </w:r>
      <w:r>
        <w:rPr>
          <w:rFonts w:hint="eastAsia" w:ascii="仿宋" w:hAnsi="仿宋" w:eastAsia="仿宋" w:cs="仿宋"/>
          <w:color w:val="auto"/>
          <w:spacing w:val="-4"/>
          <w:sz w:val="24"/>
          <w:szCs w:val="24"/>
          <w:highlight w:val="none"/>
        </w:rPr>
        <w:t>多普勒血流测量及分析软件包</w:t>
      </w:r>
    </w:p>
    <w:p w14:paraId="1D1404BE">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3.3 自动、实时多普勒频谱波形分析</w:t>
      </w:r>
    </w:p>
    <w:p w14:paraId="1F824F21">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妇、产科测量与分析</w:t>
      </w:r>
    </w:p>
    <w:p w14:paraId="5B17E7E6">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3.5</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4"/>
          <w:sz w:val="24"/>
          <w:szCs w:val="24"/>
          <w:highlight w:val="none"/>
        </w:rPr>
        <w:t>专业心脏功能测量</w:t>
      </w:r>
    </w:p>
    <w:p w14:paraId="07BF04EE">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3.6</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小儿髋关节测量及自动分型</w:t>
      </w:r>
    </w:p>
    <w:p w14:paraId="708EB04A">
      <w:pPr>
        <w:spacing w:before="287"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4.图像存储与（电影）回放重现单元</w:t>
      </w:r>
    </w:p>
    <w:p w14:paraId="4FE10C78">
      <w:pPr>
        <w:spacing w:before="290"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超声图像静态、动态存储，原始数据</w:t>
      </w:r>
      <w:r>
        <w:rPr>
          <w:rFonts w:hint="eastAsia" w:ascii="仿宋" w:hAnsi="仿宋" w:eastAsia="仿宋" w:cs="仿宋"/>
          <w:color w:val="auto"/>
          <w:spacing w:val="-2"/>
          <w:sz w:val="24"/>
          <w:szCs w:val="24"/>
          <w:highlight w:val="none"/>
        </w:rPr>
        <w:t>回放重现</w:t>
      </w:r>
    </w:p>
    <w:p w14:paraId="4E764589">
      <w:pPr>
        <w:spacing w:before="291" w:line="2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z w:val="24"/>
          <w:szCs w:val="24"/>
          <w:highlight w:val="none"/>
        </w:rPr>
        <w:t>动态图像、静态图像以AVI、JPEG</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z w:val="24"/>
          <w:szCs w:val="24"/>
          <w:highlight w:val="none"/>
        </w:rPr>
        <w:t>或</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z w:val="24"/>
          <w:szCs w:val="24"/>
          <w:highlight w:val="none"/>
        </w:rPr>
        <w:t>DICOM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z w:val="24"/>
          <w:szCs w:val="24"/>
          <w:highlight w:val="none"/>
        </w:rPr>
        <w:t>格式</w:t>
      </w:r>
      <w:r>
        <w:rPr>
          <w:rFonts w:hint="eastAsia" w:ascii="仿宋" w:hAnsi="仿宋" w:eastAsia="仿宋" w:cs="仿宋"/>
          <w:color w:val="auto"/>
          <w:spacing w:val="-1"/>
          <w:sz w:val="24"/>
          <w:szCs w:val="24"/>
          <w:highlight w:val="none"/>
        </w:rPr>
        <w:t>直接存储</w:t>
      </w:r>
    </w:p>
    <w:p w14:paraId="260925A1">
      <w:pPr>
        <w:spacing w:before="290" w:line="220" w:lineRule="auto"/>
        <w:ind w:right="49"/>
        <w:jc w:val="both"/>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4.3USB</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接口支持</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2"/>
          <w:sz w:val="24"/>
          <w:szCs w:val="24"/>
          <w:highlight w:val="none"/>
        </w:rPr>
        <w:t>U</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2"/>
          <w:sz w:val="24"/>
          <w:szCs w:val="24"/>
          <w:highlight w:val="none"/>
        </w:rPr>
        <w:t>盘或移动硬盘快速存储屏幕上的图像,USB</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3"/>
          <w:sz w:val="24"/>
          <w:szCs w:val="24"/>
          <w:highlight w:val="none"/>
        </w:rPr>
        <w:t>接口≥4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个</w:t>
      </w:r>
    </w:p>
    <w:p w14:paraId="3A297C51">
      <w:pPr>
        <w:spacing w:before="291"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5.输入/输出信号</w:t>
      </w:r>
    </w:p>
    <w:p w14:paraId="302560EA">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5.1 图像管理与记录装置</w:t>
      </w:r>
    </w:p>
    <w:p w14:paraId="1DC60AA1">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5.1.1 内置图像管理系统</w:t>
      </w:r>
    </w:p>
    <w:p w14:paraId="000E483A">
      <w:pPr>
        <w:spacing w:before="287"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5.1.2</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3"/>
          <w:sz w:val="24"/>
          <w:szCs w:val="24"/>
          <w:highlight w:val="none"/>
        </w:rPr>
        <w:t>硬盘存储≥1TB。</w:t>
      </w:r>
    </w:p>
    <w:p w14:paraId="640A5938">
      <w:pPr>
        <w:spacing w:before="290"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5.2</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连通性：</w:t>
      </w:r>
    </w:p>
    <w:p w14:paraId="774DAE7A">
      <w:pPr>
        <w:spacing w:before="290" w:line="22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5.2.1</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z w:val="24"/>
          <w:szCs w:val="24"/>
          <w:highlight w:val="none"/>
        </w:rPr>
        <w:t>医学数字图像和通信DICOM3.0</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z w:val="24"/>
          <w:szCs w:val="24"/>
          <w:highlight w:val="none"/>
        </w:rPr>
        <w:t>版接口部件。</w:t>
      </w:r>
    </w:p>
    <w:p w14:paraId="4257B5B8">
      <w:pPr>
        <w:spacing w:before="286" w:line="411"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5.2.2 内置超声图像存储与病案管理工作站</w:t>
      </w:r>
      <w:r>
        <w:rPr>
          <w:rFonts w:hint="eastAsia" w:ascii="仿宋" w:hAnsi="仿宋" w:eastAsia="仿宋" w:cs="仿宋"/>
          <w:color w:val="auto"/>
          <w:spacing w:val="-1"/>
          <w:sz w:val="24"/>
          <w:szCs w:val="24"/>
          <w:highlight w:val="none"/>
        </w:rPr>
        <w:t>，具备硬盘、DVD/CD、USB等多种存储方式，可将静态及动态图像存储为多种文件格式。</w:t>
      </w:r>
    </w:p>
    <w:p w14:paraId="402F9147">
      <w:pPr>
        <w:spacing w:before="2" w:line="222" w:lineRule="auto"/>
        <w:ind w:left="17"/>
        <w:rPr>
          <w:rFonts w:hint="eastAsia" w:ascii="仿宋" w:hAnsi="仿宋" w:eastAsia="仿宋" w:cs="仿宋"/>
          <w:color w:val="auto"/>
          <w:sz w:val="24"/>
          <w:szCs w:val="24"/>
          <w:highlight w:val="none"/>
        </w:rPr>
      </w:pPr>
      <w:r>
        <w:rPr>
          <w:rFonts w:hint="eastAsia" w:ascii="仿宋" w:hAnsi="仿宋" w:eastAsia="仿宋" w:cs="仿宋"/>
          <w:b/>
          <w:bCs/>
          <w:color w:val="auto"/>
          <w:spacing w:val="-7"/>
          <w:sz w:val="24"/>
          <w:szCs w:val="24"/>
          <w:highlight w:val="none"/>
        </w:rPr>
        <w:t>三、其他配置</w:t>
      </w:r>
    </w:p>
    <w:p w14:paraId="7125976D">
      <w:pPr>
        <w:spacing w:before="287" w:line="22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z w:val="24"/>
          <w:szCs w:val="24"/>
          <w:highlight w:val="none"/>
        </w:rPr>
        <w:t>超声工作台</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z w:val="24"/>
          <w:szCs w:val="24"/>
          <w:highlight w:val="none"/>
        </w:rPr>
        <w:t>1</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z w:val="24"/>
          <w:szCs w:val="24"/>
          <w:highlight w:val="none"/>
        </w:rPr>
        <w:t>套：CPU：I7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z w:val="24"/>
          <w:szCs w:val="24"/>
          <w:highlight w:val="none"/>
        </w:rPr>
        <w:t>及以上，内存≥32G，硬盘≥1T，显示器≥32</w:t>
      </w:r>
      <w:r>
        <w:rPr>
          <w:rFonts w:hint="eastAsia" w:ascii="仿宋" w:hAnsi="仿宋" w:eastAsia="仿宋" w:cs="仿宋"/>
          <w:color w:val="auto"/>
          <w:spacing w:val="-11"/>
          <w:sz w:val="24"/>
          <w:szCs w:val="24"/>
          <w:highlight w:val="none"/>
        </w:rPr>
        <w:t>吋，激光彩色打印机</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11"/>
          <w:sz w:val="24"/>
          <w:szCs w:val="24"/>
          <w:highlight w:val="none"/>
        </w:rPr>
        <w:t>1 台。</w:t>
      </w:r>
    </w:p>
    <w:p w14:paraId="76429905">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2≥3KVAUPS1</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5"/>
          <w:sz w:val="24"/>
          <w:szCs w:val="24"/>
          <w:highlight w:val="none"/>
        </w:rPr>
        <w:t>台。</w:t>
      </w:r>
    </w:p>
    <w:p w14:paraId="1A07687B">
      <w:pPr>
        <w:spacing w:before="287"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3</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8"/>
          <w:sz w:val="24"/>
          <w:szCs w:val="24"/>
          <w:highlight w:val="none"/>
        </w:rPr>
        <w:t>超声专用电动检查床</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8"/>
          <w:sz w:val="24"/>
          <w:szCs w:val="24"/>
          <w:highlight w:val="none"/>
        </w:rPr>
        <w:t>1</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8"/>
          <w:sz w:val="24"/>
          <w:szCs w:val="24"/>
          <w:highlight w:val="none"/>
        </w:rPr>
        <w:t>张、专用椅</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8"/>
          <w:sz w:val="24"/>
          <w:szCs w:val="24"/>
          <w:highlight w:val="none"/>
        </w:rPr>
        <w:t>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8"/>
          <w:sz w:val="24"/>
          <w:szCs w:val="24"/>
          <w:highlight w:val="none"/>
        </w:rPr>
        <w:t>个。</w:t>
      </w:r>
    </w:p>
    <w:p w14:paraId="6BEDE791">
      <w:pPr>
        <w:spacing w:line="221" w:lineRule="auto"/>
        <w:rPr>
          <w:rFonts w:hint="eastAsia" w:ascii="仿宋" w:hAnsi="仿宋" w:eastAsia="仿宋" w:cs="仿宋"/>
          <w:color w:val="auto"/>
          <w:sz w:val="24"/>
          <w:szCs w:val="24"/>
          <w:highlight w:val="none"/>
        </w:rPr>
        <w:sectPr>
          <w:pgSz w:w="11906" w:h="16839"/>
          <w:pgMar w:top="1253" w:right="1785" w:bottom="1253" w:left="1196" w:header="0" w:footer="454" w:gutter="0"/>
          <w:pgNumType w:fmt="decimal"/>
          <w:cols w:space="720" w:num="1"/>
        </w:sectPr>
      </w:pPr>
    </w:p>
    <w:p w14:paraId="175D56A4">
      <w:pPr>
        <w:spacing w:before="91" w:line="222" w:lineRule="auto"/>
        <w:ind w:left="2090"/>
        <w:outlineLvl w:val="0"/>
        <w:rPr>
          <w:rFonts w:hint="eastAsia" w:ascii="仿宋" w:hAnsi="仿宋" w:eastAsia="仿宋" w:cs="仿宋"/>
          <w:color w:val="auto"/>
          <w:sz w:val="24"/>
          <w:szCs w:val="24"/>
          <w:highlight w:val="none"/>
        </w:rPr>
      </w:pPr>
      <w:bookmarkStart w:id="535" w:name="_Toc13450"/>
      <w:bookmarkStart w:id="536" w:name="_Toc11341"/>
      <w:bookmarkStart w:id="537" w:name="_Toc25322"/>
      <w:r>
        <w:rPr>
          <w:rFonts w:hint="eastAsia" w:ascii="仿宋" w:hAnsi="仿宋" w:eastAsia="仿宋" w:cs="仿宋"/>
          <w:b/>
          <w:bCs/>
          <w:color w:val="auto"/>
          <w:spacing w:val="-3"/>
          <w:sz w:val="24"/>
          <w:szCs w:val="24"/>
          <w:highlight w:val="none"/>
          <w:lang w:val="en-US" w:eastAsia="zh-CN"/>
        </w:rPr>
        <w:t>11.2.</w:t>
      </w:r>
      <w:r>
        <w:rPr>
          <w:rFonts w:hint="eastAsia" w:ascii="仿宋" w:hAnsi="仿宋" w:eastAsia="仿宋" w:cs="仿宋"/>
          <w:b/>
          <w:bCs/>
          <w:color w:val="auto"/>
          <w:spacing w:val="-3"/>
          <w:sz w:val="24"/>
          <w:szCs w:val="24"/>
          <w:highlight w:val="none"/>
        </w:rPr>
        <w:t>全数字化高端彩色多普勒超声诊断仪参数</w:t>
      </w:r>
      <w:bookmarkEnd w:id="535"/>
      <w:bookmarkEnd w:id="536"/>
      <w:bookmarkEnd w:id="537"/>
    </w:p>
    <w:p w14:paraId="615561B6">
      <w:pPr>
        <w:spacing w:before="91" w:line="224" w:lineRule="auto"/>
        <w:ind w:left="9"/>
        <w:outlineLvl w:val="1"/>
        <w:rPr>
          <w:rFonts w:hint="eastAsia" w:ascii="仿宋" w:hAnsi="仿宋" w:eastAsia="仿宋" w:cs="仿宋"/>
          <w:color w:val="auto"/>
          <w:sz w:val="24"/>
          <w:szCs w:val="24"/>
          <w:highlight w:val="none"/>
        </w:rPr>
      </w:pPr>
      <w:bookmarkStart w:id="538" w:name="_Toc28872"/>
      <w:bookmarkStart w:id="539" w:name="_Toc7559"/>
      <w:bookmarkStart w:id="540" w:name="_Toc19335"/>
      <w:r>
        <w:rPr>
          <w:rFonts w:hint="eastAsia" w:ascii="仿宋" w:hAnsi="仿宋" w:eastAsia="仿宋" w:cs="仿宋"/>
          <w:b/>
          <w:bCs/>
          <w:color w:val="auto"/>
          <w:spacing w:val="-6"/>
          <w:sz w:val="24"/>
          <w:szCs w:val="24"/>
          <w:highlight w:val="none"/>
        </w:rPr>
        <w:t>一、设备用途：</w:t>
      </w:r>
      <w:bookmarkEnd w:id="538"/>
      <w:bookmarkEnd w:id="539"/>
      <w:bookmarkEnd w:id="540"/>
    </w:p>
    <w:p w14:paraId="1BF03F15">
      <w:pPr>
        <w:spacing w:before="91" w:line="412" w:lineRule="auto"/>
        <w:ind w:left="4"/>
        <w:jc w:val="both"/>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腹部、小器官、泌尿、心脏、血管、微创介入、妇产科、肌骨、外周神经、TCD、</w:t>
      </w:r>
      <w:r>
        <w:rPr>
          <w:rFonts w:hint="eastAsia" w:ascii="仿宋" w:hAnsi="仿宋" w:eastAsia="仿宋" w:cs="仿宋"/>
          <w:color w:val="auto"/>
          <w:spacing w:val="-5"/>
          <w:sz w:val="24"/>
          <w:szCs w:val="24"/>
          <w:highlight w:val="none"/>
        </w:rPr>
        <w:t>新生儿、儿科等各科系病例诊断、疑难病例会诊和科研教学等极具价值的顶级超</w:t>
      </w:r>
      <w:r>
        <w:rPr>
          <w:rFonts w:hint="eastAsia" w:ascii="仿宋" w:hAnsi="仿宋" w:eastAsia="仿宋" w:cs="仿宋"/>
          <w:color w:val="auto"/>
          <w:spacing w:val="-1"/>
          <w:sz w:val="24"/>
          <w:szCs w:val="24"/>
          <w:highlight w:val="none"/>
        </w:rPr>
        <w:t>声系统，投标设备必须为各厂家最新注册的最高端的超声设备。</w:t>
      </w:r>
    </w:p>
    <w:p w14:paraId="2E35D099">
      <w:pPr>
        <w:spacing w:before="277" w:line="223" w:lineRule="auto"/>
        <w:ind w:left="14"/>
        <w:outlineLvl w:val="1"/>
        <w:rPr>
          <w:rFonts w:hint="eastAsia" w:ascii="仿宋" w:hAnsi="仿宋" w:eastAsia="仿宋" w:cs="仿宋"/>
          <w:color w:val="auto"/>
          <w:sz w:val="24"/>
          <w:szCs w:val="24"/>
          <w:highlight w:val="none"/>
        </w:rPr>
      </w:pPr>
      <w:bookmarkStart w:id="541" w:name="_Toc15386"/>
      <w:bookmarkStart w:id="542" w:name="_Toc23448"/>
      <w:bookmarkStart w:id="543" w:name="_Toc30162"/>
      <w:r>
        <w:rPr>
          <w:rFonts w:hint="eastAsia" w:ascii="仿宋" w:hAnsi="仿宋" w:eastAsia="仿宋" w:cs="仿宋"/>
          <w:b/>
          <w:bCs/>
          <w:color w:val="auto"/>
          <w:spacing w:val="-5"/>
          <w:sz w:val="24"/>
          <w:szCs w:val="24"/>
          <w:highlight w:val="none"/>
        </w:rPr>
        <w:t>二、主要规格及系统概述：</w:t>
      </w:r>
      <w:bookmarkEnd w:id="541"/>
      <w:bookmarkEnd w:id="542"/>
      <w:bookmarkEnd w:id="543"/>
    </w:p>
    <w:p w14:paraId="4E565BC2">
      <w:pPr>
        <w:spacing w:before="92" w:line="222"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1.彩色超声多普勒诊断仪</w:t>
      </w:r>
    </w:p>
    <w:p w14:paraId="36820843">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z w:val="24"/>
          <w:szCs w:val="24"/>
          <w:highlight w:val="none"/>
        </w:rPr>
        <w:t>所提供机型为2023</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z w:val="24"/>
          <w:szCs w:val="24"/>
          <w:highlight w:val="none"/>
        </w:rPr>
        <w:t>年以后首次注册机型（以注册证</w:t>
      </w:r>
      <w:r>
        <w:rPr>
          <w:rFonts w:hint="eastAsia" w:ascii="仿宋" w:hAnsi="仿宋" w:eastAsia="仿宋" w:cs="仿宋"/>
          <w:color w:val="auto"/>
          <w:spacing w:val="-1"/>
          <w:sz w:val="24"/>
          <w:szCs w:val="24"/>
          <w:highlight w:val="none"/>
        </w:rPr>
        <w:t>为准）。</w:t>
      </w:r>
    </w:p>
    <w:p w14:paraId="18ED9415">
      <w:pPr>
        <w:spacing w:before="285" w:line="411" w:lineRule="auto"/>
        <w:ind w:right="93"/>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1.2</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7"/>
          <w:sz w:val="24"/>
          <w:szCs w:val="24"/>
          <w:highlight w:val="none"/>
        </w:rPr>
        <w:t>显示器要求：≥23</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7"/>
          <w:sz w:val="24"/>
          <w:szCs w:val="24"/>
          <w:highlight w:val="none"/>
        </w:rPr>
        <w:t>英寸</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7"/>
          <w:sz w:val="24"/>
          <w:szCs w:val="24"/>
          <w:highlight w:val="none"/>
        </w:rPr>
        <w:t>LCD</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7"/>
          <w:sz w:val="24"/>
          <w:szCs w:val="24"/>
          <w:highlight w:val="none"/>
        </w:rPr>
        <w:t>显示器，显示器可以上下、前后、</w:t>
      </w:r>
      <w:r>
        <w:rPr>
          <w:rFonts w:hint="eastAsia" w:ascii="仿宋" w:hAnsi="仿宋" w:eastAsia="仿宋" w:cs="仿宋"/>
          <w:color w:val="auto"/>
          <w:spacing w:val="-8"/>
          <w:sz w:val="24"/>
          <w:szCs w:val="24"/>
          <w:highlight w:val="none"/>
        </w:rPr>
        <w:t>左右自</w:t>
      </w:r>
      <w:r>
        <w:rPr>
          <w:rFonts w:hint="eastAsia" w:ascii="仿宋" w:hAnsi="仿宋" w:eastAsia="仿宋" w:cs="仿宋"/>
          <w:color w:val="auto"/>
          <w:spacing w:val="-2"/>
          <w:sz w:val="24"/>
          <w:szCs w:val="24"/>
          <w:highlight w:val="none"/>
        </w:rPr>
        <w:t>由活动、仰俯，具备≥1,920x1,080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2"/>
          <w:sz w:val="24"/>
          <w:szCs w:val="24"/>
          <w:highlight w:val="none"/>
        </w:rPr>
        <w:t>分辨率，旋转角度≥+/-3</w:t>
      </w:r>
      <w:r>
        <w:rPr>
          <w:rFonts w:hint="eastAsia" w:ascii="仿宋" w:hAnsi="仿宋" w:eastAsia="仿宋" w:cs="仿宋"/>
          <w:color w:val="auto"/>
          <w:spacing w:val="-3"/>
          <w:sz w:val="24"/>
          <w:szCs w:val="24"/>
          <w:highlight w:val="none"/>
        </w:rPr>
        <w:t>60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3"/>
          <w:sz w:val="24"/>
          <w:szCs w:val="24"/>
          <w:highlight w:val="none"/>
        </w:rPr>
        <w:t>°</w:t>
      </w:r>
    </w:p>
    <w:p w14:paraId="08EF04A3">
      <w:pPr>
        <w:spacing w:before="5" w:line="411" w:lineRule="auto"/>
        <w:ind w:right="93"/>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1.3</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6"/>
          <w:sz w:val="24"/>
          <w:szCs w:val="24"/>
          <w:highlight w:val="none"/>
        </w:rPr>
        <w:t>具备≥13</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6"/>
          <w:sz w:val="24"/>
          <w:szCs w:val="24"/>
          <w:highlight w:val="none"/>
        </w:rPr>
        <w:t>英寸彩色</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6"/>
          <w:sz w:val="24"/>
          <w:szCs w:val="24"/>
          <w:highlight w:val="none"/>
        </w:rPr>
        <w:t>LED</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6"/>
          <w:sz w:val="24"/>
          <w:szCs w:val="24"/>
          <w:highlight w:val="none"/>
        </w:rPr>
        <w:t>触摸控制屏,显示分辨率≥1,920x1,080，可与</w:t>
      </w:r>
      <w:r>
        <w:rPr>
          <w:rFonts w:hint="eastAsia" w:ascii="仿宋" w:hAnsi="仿宋" w:eastAsia="仿宋" w:cs="仿宋"/>
          <w:color w:val="auto"/>
          <w:spacing w:val="-1"/>
          <w:sz w:val="24"/>
          <w:szCs w:val="24"/>
          <w:highlight w:val="none"/>
        </w:rPr>
        <w:t>监视器同步显示图像。触摸屏幕操作菜单可自主编辑,并可滑动翻页。触摸屏可</w:t>
      </w:r>
      <w:r>
        <w:rPr>
          <w:rFonts w:hint="eastAsia" w:ascii="仿宋" w:hAnsi="仿宋" w:eastAsia="仿宋" w:cs="仿宋"/>
          <w:color w:val="auto"/>
          <w:spacing w:val="-3"/>
          <w:sz w:val="24"/>
          <w:szCs w:val="24"/>
          <w:highlight w:val="none"/>
        </w:rPr>
        <w:t>做独立感应式位置调整，角度≥30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3"/>
          <w:sz w:val="24"/>
          <w:szCs w:val="24"/>
          <w:highlight w:val="none"/>
        </w:rPr>
        <w:t>°。</w:t>
      </w:r>
    </w:p>
    <w:p w14:paraId="2196A7E3">
      <w:pPr>
        <w:spacing w:line="2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z w:val="24"/>
          <w:szCs w:val="24"/>
          <w:highlight w:val="none"/>
        </w:rPr>
        <w:t>数字化TGC≥10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z w:val="24"/>
          <w:szCs w:val="24"/>
          <w:highlight w:val="none"/>
        </w:rPr>
        <w:t>段，分布于触摸屏，且可随不同预设保存</w:t>
      </w:r>
    </w:p>
    <w:p w14:paraId="4EBC3897">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 操作面板要求具备电动调节高度、前后、左右位置及旋转</w:t>
      </w:r>
    </w:p>
    <w:p w14:paraId="74ACF2E7">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 主机成像通道数≥42,000,000</w:t>
      </w:r>
    </w:p>
    <w:p w14:paraId="3281A4A9">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1.7 系统最大动态范围≥360dB</w:t>
      </w:r>
    </w:p>
    <w:p w14:paraId="3224579C">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1.8 系统最大扫查深度≥45cm</w:t>
      </w:r>
    </w:p>
    <w:p w14:paraId="36CB8292">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 成像及分析单元：</w:t>
      </w:r>
    </w:p>
    <w:p w14:paraId="737CD827">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2.1 具备二维灰阶成像及分析单元</w:t>
      </w:r>
    </w:p>
    <w:p w14:paraId="33A6BDEB">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 具备 M 型显示及分析单元</w:t>
      </w:r>
    </w:p>
    <w:p w14:paraId="6A44808E">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 具备彩色多普勒显示及分析单元</w:t>
      </w:r>
    </w:p>
    <w:p w14:paraId="49E48794">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2.4 具备能量多普勒显示及分析单元</w:t>
      </w:r>
    </w:p>
    <w:p w14:paraId="60618259">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2.5 具备脉冲多普勒显示及分析单元</w:t>
      </w:r>
    </w:p>
    <w:p w14:paraId="24AB136D">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2.6 具备连续多普勒显示及分析单元</w:t>
      </w:r>
    </w:p>
    <w:p w14:paraId="22DE27AA">
      <w:pPr>
        <w:spacing w:before="287"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2.7 具备组织多普勒显示及分析单元</w:t>
      </w:r>
    </w:p>
    <w:p w14:paraId="2C8A177E">
      <w:pPr>
        <w:spacing w:before="28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2.8</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具备方向性彩色多普勒能量图成像单元</w:t>
      </w:r>
    </w:p>
    <w:p w14:paraId="17E3C31D">
      <w:pPr>
        <w:spacing w:before="289"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3.先进的成像及定量技术</w:t>
      </w:r>
    </w:p>
    <w:p w14:paraId="317F8FBC">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4"/>
          <w:sz w:val="24"/>
          <w:szCs w:val="24"/>
          <w:highlight w:val="none"/>
        </w:rPr>
        <w:t>具备谐波成像技术</w:t>
      </w:r>
    </w:p>
    <w:p w14:paraId="1288F0CA">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具备智能图像增强技术，可智能识别因强回声结构产生的声影区，并动态补偿以减少声影对后方组织结构造成图像显示不清及声晕伪影等影响，这种宽动态范围成像，将低频图像、高频图像融合，提高声影区图像显示能力及分辨率。</w:t>
      </w:r>
    </w:p>
    <w:p w14:paraId="7E25FFE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具备高清成像技术</w:t>
      </w:r>
    </w:p>
    <w:p w14:paraId="01D21FB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 具备自适应彩色血流技术</w:t>
      </w:r>
    </w:p>
    <w:p w14:paraId="6FE7952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具备斑点噪声抑制技术</w:t>
      </w:r>
    </w:p>
    <w:p w14:paraId="6774209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具备专业智能滤波技术</w:t>
      </w:r>
    </w:p>
    <w:p w14:paraId="0BEE344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具备空间复合成像，可实现曲别针实验，多级可调，≥12 级，并应用于 2D/彩色血流模式下</w:t>
      </w:r>
    </w:p>
    <w:p w14:paraId="264B3D8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 具备组织偏差校正技术：用户可选择声束在不同组织内的传播速度</w:t>
      </w:r>
    </w:p>
    <w:p w14:paraId="5DD9E40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 具备双幅实时动态显示功能，同屏显示二维及彩色血流的实时图像，</w:t>
      </w:r>
    </w:p>
    <w:p w14:paraId="1EFC4A3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3.10 具备多模态图像一键优化功能</w:t>
      </w:r>
    </w:p>
    <w:p w14:paraId="5DE4BB5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 具备图标指示功能，可任意选择剪贴板中存储的影像，进行回放、调节、测量、分析和诊断</w:t>
      </w:r>
    </w:p>
    <w:p w14:paraId="2F6D55B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 具备宽景成像技术</w:t>
      </w:r>
    </w:p>
    <w:p w14:paraId="4D267B1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①支持成角扫查</w:t>
      </w:r>
    </w:p>
    <w:p w14:paraId="2E9D483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②可任意选取节段图像同屏对比分析或独立分析</w:t>
      </w:r>
    </w:p>
    <w:p w14:paraId="2A6DBB12">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③可进行任意旋转、放大及测量</w:t>
      </w:r>
    </w:p>
    <w:p w14:paraId="0B0611B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 具备低速血流成像技术</w:t>
      </w:r>
    </w:p>
    <w:p w14:paraId="16CEAE7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 具备增强造影成像技术</w:t>
      </w:r>
    </w:p>
    <w:p w14:paraId="1DAC714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3.14.1 具备低机械指数及高机械指数造影成像功能。</w:t>
      </w:r>
    </w:p>
    <w:p w14:paraId="415989F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3.14.2 具备 Flash 爆破成像</w:t>
      </w:r>
    </w:p>
    <w:p w14:paraId="0A55188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3.14.3 要求为多脉冲非对称脉冲波调制技术</w:t>
      </w:r>
    </w:p>
    <w:p w14:paraId="0AB6D2D3">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3.14.4 具备双幅造影图像及基波图像同屏对比，双福图像可独立调节成像参数，具备双造影计时器。</w:t>
      </w:r>
    </w:p>
    <w:p w14:paraId="214E00E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3.14.5 具备血管造影脉络图技术可一键描记造影剂按时间相的灌注轨迹，可多次成像</w:t>
      </w:r>
    </w:p>
    <w:p w14:paraId="3DCD59F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3.14.6 每段动态图像在机最大记录时间≥10min，支持高频小器官、腹部、腔内等应用</w:t>
      </w:r>
    </w:p>
    <w:p w14:paraId="34465B9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3.14.7 造影成像可与智能融合技术结合使用，结合 CT/MR/US 等多模态影像数据，支持介入导航</w:t>
      </w:r>
    </w:p>
    <w:p w14:paraId="133E5EC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3.14.8 具备在机TIC 曲线分析，支持≥12 个参数分析</w:t>
      </w:r>
    </w:p>
    <w:p w14:paraId="2342F712">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3.14.9 支持凸阵、线阵、腔内及容积探头的造影</w:t>
      </w:r>
    </w:p>
    <w:p w14:paraId="1EC38C0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3.15 中文文本输入</w:t>
      </w:r>
    </w:p>
    <w:p w14:paraId="2514551A">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3.16 具备胎儿生长参数智能自动检测功能：在图像上智能识别并自动测量胎儿双顶径、头围、腹围、股骨、肱骨、头臀长、NT 等生长参数。</w:t>
      </w:r>
    </w:p>
    <w:p w14:paraId="1C9111C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3.17 具备弹性成像单元，可进行弹性定量，且具备甲状腺专用、乳腺专用及肌骨专用的弹性成像和定量工具</w:t>
      </w:r>
    </w:p>
    <w:p w14:paraId="28B41DE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3.17.1 具备乳腺弹性成像：具备单取样和双取样两种模式。</w:t>
      </w:r>
    </w:p>
    <w:p w14:paraId="59690B6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3.17.2 具备甲状腺弹性成像：可对甲状腺内感兴趣区内组织弹性的均匀度进行量化分析，并获得甲状腺弹性对比指数：ECI值</w:t>
      </w:r>
    </w:p>
    <w:p w14:paraId="7880E36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4.测量和分析部分</w:t>
      </w:r>
    </w:p>
    <w:p w14:paraId="602825C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配备一般测量：距离、周长、面积、体积、角度、百分比、曲线长度及不规则面积等</w:t>
      </w:r>
    </w:p>
    <w:p w14:paraId="17E9570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 具备测量放大技术</w:t>
      </w:r>
    </w:p>
    <w:p w14:paraId="44A8048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配备腹部测量与分析</w:t>
      </w:r>
    </w:p>
    <w:p w14:paraId="24E14FF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配备产科测量与分析，具有胎儿体重孕龄评估，生长曲线显示</w:t>
      </w:r>
    </w:p>
    <w:p w14:paraId="06E7FE4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配备妇科测量与分析</w:t>
      </w:r>
    </w:p>
    <w:p w14:paraId="744464E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 配备颈动脉测量与分析</w:t>
      </w:r>
    </w:p>
    <w:p w14:paraId="3970CA5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 配备心脏测量与分析</w:t>
      </w:r>
    </w:p>
    <w:p w14:paraId="230E990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 配备泌尿科测量与分析</w:t>
      </w:r>
    </w:p>
    <w:p w14:paraId="268105B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 配备胎儿心脏测量与分析</w:t>
      </w:r>
    </w:p>
    <w:p w14:paraId="4BC37CA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 配备上下肢动脉、上下肢静脉测量与分析</w:t>
      </w:r>
    </w:p>
    <w:p w14:paraId="7976168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4.10 配备小儿髋关节测量</w:t>
      </w:r>
    </w:p>
    <w:p w14:paraId="56B63EF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5.探头规格</w:t>
      </w:r>
    </w:p>
    <w:p w14:paraId="7888176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频率：所有探头均为超宽频变频电子探头，支持频带发射与接收</w:t>
      </w:r>
    </w:p>
    <w:p w14:paraId="6D8B20D3">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支持 3D 成像：</w:t>
      </w:r>
    </w:p>
    <w:p w14:paraId="092CE18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探头规格:</w:t>
      </w:r>
    </w:p>
    <w:p w14:paraId="7DC4B33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 超宽频带变频探头，频段或频率数字双重显示模式，探头在二维模式下中心频率最大可选择≥3 种；多普勒频率可最大选择≥2 种；中心频率的变频频段在屏幕上可视可调，具备单晶体探头技术</w:t>
      </w:r>
    </w:p>
    <w:p w14:paraId="661D768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 高频线阵探头：3-16MHz，基波成像的中心频率个数≥3 个，谐波成像的中心频率个数≥3 个，可视可调</w:t>
      </w:r>
    </w:p>
    <w:p w14:paraId="6FF3B02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5.3.3 配备单晶体凸阵探头：1-7MHz，支持超声造影及定量分析等功能</w:t>
      </w:r>
    </w:p>
    <w:p w14:paraId="4AD9D950">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5.3.4 配备单晶体线阵探头：2-14MHz，支持超声造影，弹性成像等功能</w:t>
      </w:r>
    </w:p>
    <w:p w14:paraId="60ABE9F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5.3.5 配备单晶体相控阵探头：1-5MHz，基波成像的中心频率个数≥3个，谐波成像的中心频率个数≥3 个，可视可调</w:t>
      </w:r>
    </w:p>
    <w:p w14:paraId="2B91576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5.3.6 配备腔内探头：频率范围 2-11MHz</w:t>
      </w:r>
    </w:p>
    <w:p w14:paraId="7E530223">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 探头接 口：探头接 口 ≥5 个，同时激活探头接 口 ≥4 个，均为无针式探头接 口，具备防尘盖板，探头接口大小一致，2D 及 3D 探头接口通用</w:t>
      </w:r>
    </w:p>
    <w:p w14:paraId="057D2E4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6.输入/输出信号：</w:t>
      </w:r>
    </w:p>
    <w:p w14:paraId="7253E91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输入：S-VHS、VHS、USB2.0、DICOM、外部音频</w:t>
      </w:r>
    </w:p>
    <w:p w14:paraId="3143758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输出：DVI、S-VHS、VHS、VGA、音频输出、USB2.0、DICOM3.0、DICOMSR</w:t>
      </w:r>
    </w:p>
    <w:p w14:paraId="027BC83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 主机内置一体化 USB 接 口 ≥5 个</w:t>
      </w:r>
    </w:p>
    <w:p w14:paraId="2807EE32">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7.二维成像主要参数</w:t>
      </w:r>
    </w:p>
    <w:p w14:paraId="30F8013A">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扫描速率：相控阵探头，全视野，18cm 深度时，帧速度≥65 帧/秒</w:t>
      </w:r>
    </w:p>
    <w:p w14:paraId="44684D3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扫描线：每帧线密度≥1024 超声线</w:t>
      </w:r>
    </w:p>
    <w:p w14:paraId="2858A9E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声束聚焦：发射≥8 段，接收自动连续聚焦</w:t>
      </w:r>
    </w:p>
    <w:p w14:paraId="0C0E7FFD">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接收方式：接收通道≥42,000,000，多路信号并行处理</w:t>
      </w:r>
    </w:p>
    <w:p w14:paraId="750122E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数字技术：接收数字式声束形成器，连续动态聚焦，可变孔径及动态变迹</w:t>
      </w:r>
    </w:p>
    <w:p w14:paraId="1D6A142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线阵探头梯形成像技术，支持所有成像模式</w:t>
      </w:r>
    </w:p>
    <w:p w14:paraId="3F2B10A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 回放重现：2D 灰阶图像回放≥12700 帧</w:t>
      </w:r>
    </w:p>
    <w:p w14:paraId="5B6FE9C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 预设条件：针对不同的检查脏器，预置最佳化图像的检查条件</w:t>
      </w:r>
    </w:p>
    <w:p w14:paraId="3B391BA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 增益调节：B、B/M、C、D 可独立调节</w:t>
      </w:r>
    </w:p>
    <w:p w14:paraId="0450282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7.10 数码TGC≥10 段增益补偿调节</w:t>
      </w:r>
    </w:p>
    <w:p w14:paraId="11F0FC4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 最大扫查深度≥45cm，最小显示深度≤1cm</w:t>
      </w:r>
    </w:p>
    <w:p w14:paraId="282017D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8.频谱多普勒</w:t>
      </w:r>
    </w:p>
    <w:p w14:paraId="3B945C8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 方式：脉冲波多普勒（PW）、高脉冲重复频率（HPRF）、连续波多普勒（CW）</w:t>
      </w:r>
    </w:p>
    <w:p w14:paraId="7DAD121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 最大测量速度：（基线为零,量程范围最大，无角度纠正时）PW：血流速度≥9m/s；CW：血流速度≥17m/s</w:t>
      </w:r>
    </w:p>
    <w:p w14:paraId="78EE7CB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 最低测量速度：≤1mm/s</w:t>
      </w:r>
    </w:p>
    <w:p w14:paraId="40B29ED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 显示方式：B/D、B/C/D</w:t>
      </w:r>
    </w:p>
    <w:p w14:paraId="6255CB1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 多普勒电影回放： ≥8192 线</w:t>
      </w:r>
    </w:p>
    <w:p w14:paraId="39A6115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 零位移动： ≥8 级</w:t>
      </w:r>
    </w:p>
    <w:p w14:paraId="658EB4A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 取样宽度及位置范围：多级可调，最小取样宽度 0.5mm，最大 20mm</w:t>
      </w:r>
    </w:p>
    <w:p w14:paraId="00F1A3B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 实时多普勒频谱自动包络并完成频谱测量计算</w:t>
      </w:r>
    </w:p>
    <w:p w14:paraId="19917B1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8.9 实时三同步功能</w:t>
      </w:r>
    </w:p>
    <w:p w14:paraId="3952553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9.彩色多普勒</w:t>
      </w:r>
    </w:p>
    <w:p w14:paraId="07567F3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 彩色优化技术</w:t>
      </w:r>
    </w:p>
    <w:p w14:paraId="687C0E0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 显示方式：速度方差显示、能量显示、速度显示、方差显示</w:t>
      </w:r>
    </w:p>
    <w:p w14:paraId="15DB743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 显示控制：零位移动、黑/白与彩色比较、彩色对比</w:t>
      </w:r>
    </w:p>
    <w:p w14:paraId="5591CCC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 显示位置调整：线阵扫描感兴趣的图像范围：-20 °~+20 °</w:t>
      </w:r>
    </w:p>
    <w:p w14:paraId="45C16D8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 彩色标尺显示：基线居中时，标尺显示最低血流测量速度≤0.8cm/s</w:t>
      </w:r>
    </w:p>
    <w:p w14:paraId="5BA6256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10.具有扫查标准化流程</w:t>
      </w:r>
    </w:p>
    <w:p w14:paraId="5C173AA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11.超声图像及病案管理系统：</w:t>
      </w:r>
    </w:p>
    <w:p w14:paraId="416F2FE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数字化一体化 SSD 固态硬盘容量≥500GB，非外接，可永久存储动、静态图像，屏幕可显示硬盘容量数据信息</w:t>
      </w:r>
    </w:p>
    <w:p w14:paraId="70AD363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动态图像、静态图像以PC 通用格式直接存储</w:t>
      </w:r>
    </w:p>
    <w:p w14:paraId="0A21123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具有图像存储与（电影）回放重现单元</w:t>
      </w:r>
    </w:p>
    <w:p w14:paraId="77B7CA5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 可批量、选择性输出图像</w:t>
      </w:r>
    </w:p>
    <w:p w14:paraId="42CB7B8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 实时检查与存储/刻录并行处理</w:t>
      </w:r>
    </w:p>
    <w:p w14:paraId="6542D05E">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在检查的同时进行同步 DVD 或者 U 盘记录，可以在您不中断扫查、保持检查连续性的同时，进行大容量、快速的 DVD 刻录。并且可对刻录范围进行自由选择</w:t>
      </w:r>
    </w:p>
    <w:p w14:paraId="00150412">
      <w:pPr>
        <w:spacing w:before="1" w:line="222" w:lineRule="auto"/>
        <w:ind w:left="15"/>
        <w:rPr>
          <w:rFonts w:hint="eastAsia" w:ascii="仿宋" w:hAnsi="仿宋" w:eastAsia="仿宋" w:cs="仿宋"/>
          <w:color w:val="auto"/>
          <w:sz w:val="24"/>
          <w:szCs w:val="24"/>
          <w:highlight w:val="none"/>
        </w:rPr>
      </w:pPr>
      <w:r>
        <w:rPr>
          <w:rFonts w:hint="eastAsia" w:ascii="仿宋" w:hAnsi="仿宋" w:eastAsia="仿宋" w:cs="仿宋"/>
          <w:b/>
          <w:bCs/>
          <w:color w:val="auto"/>
          <w:spacing w:val="-7"/>
          <w:sz w:val="24"/>
          <w:szCs w:val="24"/>
          <w:highlight w:val="none"/>
        </w:rPr>
        <w:t>三、其他配置</w:t>
      </w:r>
    </w:p>
    <w:p w14:paraId="7C06AE94">
      <w:pPr>
        <w:spacing w:before="288" w:line="411" w:lineRule="auto"/>
        <w:ind w:right="2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z w:val="24"/>
          <w:szCs w:val="24"/>
          <w:highlight w:val="none"/>
        </w:rPr>
        <w:t>超声工作台</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z w:val="24"/>
          <w:szCs w:val="24"/>
          <w:highlight w:val="none"/>
        </w:rPr>
        <w:t>1</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z w:val="24"/>
          <w:szCs w:val="24"/>
          <w:highlight w:val="none"/>
        </w:rPr>
        <w:t>套：CPU：I7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z w:val="24"/>
          <w:szCs w:val="24"/>
          <w:highlight w:val="none"/>
        </w:rPr>
        <w:t>及以上，内存≥32G，硬盘≥1T，显示器≥32</w:t>
      </w:r>
      <w:r>
        <w:rPr>
          <w:rFonts w:hint="eastAsia" w:ascii="仿宋" w:hAnsi="仿宋" w:eastAsia="仿宋" w:cs="仿宋"/>
          <w:color w:val="auto"/>
          <w:spacing w:val="-11"/>
          <w:sz w:val="24"/>
          <w:szCs w:val="24"/>
          <w:highlight w:val="none"/>
        </w:rPr>
        <w:t>吋，激光彩色打印机</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11"/>
          <w:sz w:val="24"/>
          <w:szCs w:val="24"/>
          <w:highlight w:val="none"/>
        </w:rPr>
        <w:t>1 台。</w:t>
      </w:r>
    </w:p>
    <w:p w14:paraId="1F263D13">
      <w:pPr>
        <w:spacing w:before="1"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2≥3KVAUPS1</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5"/>
          <w:sz w:val="24"/>
          <w:szCs w:val="24"/>
          <w:highlight w:val="none"/>
        </w:rPr>
        <w:t>台。</w:t>
      </w:r>
    </w:p>
    <w:p w14:paraId="62B7106B">
      <w:pPr>
        <w:spacing w:before="286" w:line="222"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3</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8"/>
          <w:sz w:val="24"/>
          <w:szCs w:val="24"/>
          <w:highlight w:val="none"/>
        </w:rPr>
        <w:t>超声专用电动检查床</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8"/>
          <w:sz w:val="24"/>
          <w:szCs w:val="24"/>
          <w:highlight w:val="none"/>
        </w:rPr>
        <w:t>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8"/>
          <w:sz w:val="24"/>
          <w:szCs w:val="24"/>
          <w:highlight w:val="none"/>
        </w:rPr>
        <w:t>张、专用椅</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8"/>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8"/>
          <w:sz w:val="24"/>
          <w:szCs w:val="24"/>
          <w:highlight w:val="none"/>
        </w:rPr>
        <w:t>个。</w:t>
      </w:r>
    </w:p>
    <w:p w14:paraId="6FFEE7CF">
      <w:pPr>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br w:type="page"/>
      </w:r>
    </w:p>
    <w:p w14:paraId="6DB1793C">
      <w:pPr>
        <w:spacing w:before="91" w:line="223" w:lineRule="auto"/>
        <w:ind w:left="3238"/>
        <w:outlineLvl w:val="0"/>
        <w:rPr>
          <w:rFonts w:hint="eastAsia" w:ascii="仿宋" w:hAnsi="仿宋" w:eastAsia="仿宋" w:cs="仿宋"/>
          <w:color w:val="auto"/>
          <w:sz w:val="24"/>
          <w:szCs w:val="24"/>
          <w:highlight w:val="none"/>
        </w:rPr>
      </w:pPr>
      <w:bookmarkStart w:id="544" w:name="_Toc25007"/>
      <w:bookmarkStart w:id="545" w:name="_Toc19096"/>
      <w:bookmarkStart w:id="546" w:name="_Toc4609"/>
      <w:r>
        <w:rPr>
          <w:rFonts w:hint="eastAsia" w:ascii="仿宋" w:hAnsi="仿宋" w:eastAsia="仿宋" w:cs="仿宋"/>
          <w:b/>
          <w:bCs/>
          <w:color w:val="auto"/>
          <w:spacing w:val="-5"/>
          <w:sz w:val="24"/>
          <w:szCs w:val="24"/>
          <w:highlight w:val="none"/>
          <w:lang w:val="en-US" w:eastAsia="zh-CN"/>
        </w:rPr>
        <w:t>12.</w:t>
      </w:r>
      <w:r>
        <w:rPr>
          <w:rFonts w:hint="eastAsia" w:ascii="仿宋" w:hAnsi="仿宋" w:eastAsia="仿宋" w:cs="仿宋"/>
          <w:b/>
          <w:bCs/>
          <w:color w:val="auto"/>
          <w:spacing w:val="-5"/>
          <w:sz w:val="24"/>
          <w:szCs w:val="24"/>
          <w:highlight w:val="none"/>
        </w:rPr>
        <w:t>视频眼震图仪技术参数</w:t>
      </w:r>
      <w:bookmarkEnd w:id="544"/>
      <w:bookmarkEnd w:id="545"/>
      <w:bookmarkEnd w:id="546"/>
    </w:p>
    <w:p w14:paraId="40440A26">
      <w:pPr>
        <w:spacing w:before="91" w:line="222" w:lineRule="auto"/>
        <w:ind w:left="1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一、功能要求：</w:t>
      </w:r>
    </w:p>
    <w:p w14:paraId="1C895B76">
      <w:pPr>
        <w:spacing w:before="286" w:line="411" w:lineRule="auto"/>
        <w:ind w:firstLine="27"/>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校准试验，</w:t>
      </w:r>
      <w:r>
        <w:rPr>
          <w:rFonts w:hint="eastAsia" w:ascii="仿宋" w:hAnsi="仿宋" w:eastAsia="仿宋" w:cs="仿宋"/>
          <w:color w:val="auto"/>
          <w:spacing w:val="-83"/>
          <w:sz w:val="24"/>
          <w:szCs w:val="24"/>
          <w:highlight w:val="none"/>
        </w:rPr>
        <w:t xml:space="preserve"> </w:t>
      </w:r>
      <w:r>
        <w:rPr>
          <w:rFonts w:hint="eastAsia" w:ascii="仿宋" w:hAnsi="仿宋" w:eastAsia="仿宋" w:cs="仿宋"/>
          <w:color w:val="auto"/>
          <w:spacing w:val="-5"/>
          <w:sz w:val="24"/>
          <w:szCs w:val="24"/>
          <w:highlight w:val="none"/>
        </w:rPr>
        <w:t>自发性眼震，凝视试验，静态位置试验，动态位置试验，冷热试</w:t>
      </w:r>
      <w:r>
        <w:rPr>
          <w:rFonts w:hint="eastAsia" w:ascii="仿宋" w:hAnsi="仿宋" w:eastAsia="仿宋" w:cs="仿宋"/>
          <w:color w:val="auto"/>
          <w:spacing w:val="-4"/>
          <w:sz w:val="24"/>
          <w:szCs w:val="24"/>
          <w:highlight w:val="none"/>
        </w:rPr>
        <w:t>验（含自发性眼震）、扫视试验（水平、垂直方向）、平稳跟踪试验</w:t>
      </w:r>
      <w:r>
        <w:rPr>
          <w:rFonts w:hint="eastAsia" w:ascii="仿宋" w:hAnsi="仿宋" w:eastAsia="仿宋" w:cs="仿宋"/>
          <w:color w:val="auto"/>
          <w:spacing w:val="-5"/>
          <w:sz w:val="24"/>
          <w:szCs w:val="24"/>
          <w:highlight w:val="none"/>
        </w:rPr>
        <w:t>（水平、垂直方向）、OPK</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5"/>
          <w:sz w:val="24"/>
          <w:szCs w:val="24"/>
          <w:highlight w:val="none"/>
        </w:rPr>
        <w:t>视动试验（水平、垂直方向，三种诱发视靶，刺激方式≥1</w:t>
      </w:r>
      <w:r>
        <w:rPr>
          <w:rFonts w:hint="eastAsia" w:ascii="仿宋" w:hAnsi="仿宋" w:eastAsia="仿宋" w:cs="仿宋"/>
          <w:color w:val="auto"/>
          <w:spacing w:val="-6"/>
          <w:sz w:val="24"/>
          <w:szCs w:val="24"/>
          <w:highlight w:val="none"/>
        </w:rPr>
        <w:t>5</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6"/>
          <w:sz w:val="24"/>
          <w:szCs w:val="24"/>
          <w:highlight w:val="none"/>
        </w:rPr>
        <w:t>种</w:t>
      </w:r>
      <w:r>
        <w:rPr>
          <w:rFonts w:hint="eastAsia" w:ascii="仿宋" w:hAnsi="仿宋" w:eastAsia="仿宋" w:cs="仿宋"/>
          <w:color w:val="auto"/>
          <w:spacing w:val="-70"/>
          <w:w w:val="89"/>
          <w:sz w:val="24"/>
          <w:szCs w:val="24"/>
          <w:highlight w:val="none"/>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3"/>
          <w:sz w:val="24"/>
          <w:szCs w:val="24"/>
          <w:highlight w:val="none"/>
        </w:rPr>
        <w:t>BPPV</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耳石复位指导功能，摇头试验，快速轴位滚转试验，</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3"/>
          <w:sz w:val="24"/>
          <w:szCs w:val="24"/>
          <w:highlight w:val="none"/>
        </w:rPr>
        <w:t>自定义试验；</w:t>
      </w:r>
    </w:p>
    <w:p w14:paraId="6E1764F1">
      <w:pPr>
        <w:spacing w:before="3" w:line="411" w:lineRule="auto"/>
        <w:ind w:right="80"/>
        <w:rPr>
          <w:rFonts w:hint="eastAsia"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rPr>
        <w:t>1.2</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16"/>
          <w:sz w:val="24"/>
          <w:szCs w:val="24"/>
          <w:highlight w:val="none"/>
        </w:rPr>
        <w:t>甩头试验模块：HIMP</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16"/>
          <w:sz w:val="24"/>
          <w:szCs w:val="24"/>
          <w:highlight w:val="none"/>
        </w:rPr>
        <w:t>甩头、SHIMP</w:t>
      </w:r>
      <w:r>
        <w:rPr>
          <w:rFonts w:hint="eastAsia" w:ascii="仿宋" w:hAnsi="仿宋" w:eastAsia="仿宋" w:cs="仿宋"/>
          <w:color w:val="auto"/>
          <w:spacing w:val="-69"/>
          <w:sz w:val="24"/>
          <w:szCs w:val="24"/>
          <w:highlight w:val="none"/>
        </w:rPr>
        <w:t xml:space="preserve"> </w:t>
      </w:r>
      <w:r>
        <w:rPr>
          <w:rFonts w:hint="eastAsia" w:ascii="仿宋" w:hAnsi="仿宋" w:eastAsia="仿宋" w:cs="仿宋"/>
          <w:color w:val="auto"/>
          <w:spacing w:val="-16"/>
          <w:sz w:val="24"/>
          <w:szCs w:val="24"/>
          <w:highlight w:val="none"/>
        </w:rPr>
        <w:t>甩头抑制、VVOR</w:t>
      </w:r>
      <w:r>
        <w:rPr>
          <w:rFonts w:hint="eastAsia" w:ascii="仿宋" w:hAnsi="仿宋" w:eastAsia="仿宋" w:cs="仿宋"/>
          <w:color w:val="auto"/>
          <w:spacing w:val="-79"/>
          <w:sz w:val="24"/>
          <w:szCs w:val="24"/>
          <w:highlight w:val="none"/>
        </w:rPr>
        <w:t xml:space="preserve"> </w:t>
      </w:r>
      <w:r>
        <w:rPr>
          <w:rFonts w:hint="eastAsia" w:ascii="仿宋" w:hAnsi="仿宋" w:eastAsia="仿宋" w:cs="仿宋"/>
          <w:color w:val="auto"/>
          <w:spacing w:val="-16"/>
          <w:sz w:val="24"/>
          <w:szCs w:val="24"/>
          <w:highlight w:val="none"/>
        </w:rPr>
        <w:t>(前庭眼反射)、VVORS(前</w:t>
      </w:r>
      <w:r>
        <w:rPr>
          <w:rFonts w:hint="eastAsia" w:ascii="仿宋" w:hAnsi="仿宋" w:eastAsia="仿宋" w:cs="仿宋"/>
          <w:color w:val="auto"/>
          <w:spacing w:val="-4"/>
          <w:sz w:val="24"/>
          <w:szCs w:val="24"/>
          <w:highlight w:val="none"/>
        </w:rPr>
        <w:t>庭眼反射抑制)、眼偏斜实验（SD）、</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4"/>
          <w:sz w:val="24"/>
          <w:szCs w:val="24"/>
          <w:highlight w:val="none"/>
        </w:rPr>
        <w:t>自定义试验模块；</w:t>
      </w:r>
    </w:p>
    <w:p w14:paraId="61C4715F">
      <w:pPr>
        <w:spacing w:before="1" w:line="222" w:lineRule="auto"/>
        <w:ind w:left="2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三、技术参数要求：</w:t>
      </w:r>
    </w:p>
    <w:p w14:paraId="1714E22A">
      <w:pPr>
        <w:spacing w:before="287" w:line="222" w:lineRule="auto"/>
        <w:ind w:left="27"/>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1、主机眼罩：</w:t>
      </w:r>
    </w:p>
    <w:p w14:paraId="4DC52A2D">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1.1</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10"/>
          <w:sz w:val="24"/>
          <w:szCs w:val="24"/>
          <w:highlight w:val="none"/>
        </w:rPr>
        <w:t>图像通道数：</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10"/>
          <w:sz w:val="24"/>
          <w:szCs w:val="24"/>
          <w:highlight w:val="none"/>
        </w:rPr>
        <w:t>≥6</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10"/>
          <w:sz w:val="24"/>
          <w:szCs w:val="24"/>
          <w:highlight w:val="none"/>
        </w:rPr>
        <w:t>个</w:t>
      </w:r>
    </w:p>
    <w:p w14:paraId="64EDE534">
      <w:pPr>
        <w:spacing w:before="287" w:line="219"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z w:val="24"/>
          <w:szCs w:val="24"/>
          <w:highlight w:val="none"/>
        </w:rPr>
        <w:t>标配3D</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z w:val="24"/>
          <w:szCs w:val="24"/>
          <w:highlight w:val="none"/>
        </w:rPr>
        <w:t>眼震，描记并分析水平、垂直、旋</w:t>
      </w:r>
      <w:r>
        <w:rPr>
          <w:rFonts w:hint="eastAsia" w:ascii="仿宋" w:hAnsi="仿宋" w:eastAsia="仿宋" w:cs="仿宋"/>
          <w:color w:val="auto"/>
          <w:spacing w:val="-1"/>
          <w:sz w:val="24"/>
          <w:szCs w:val="24"/>
          <w:highlight w:val="none"/>
        </w:rPr>
        <w:t>转眼震曲线</w:t>
      </w:r>
    </w:p>
    <w:p w14:paraId="6F92524A">
      <w:pPr>
        <w:spacing w:before="292"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1.3 图像分辨率:</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≥1920x1440</w:t>
      </w:r>
    </w:p>
    <w:p w14:paraId="044F635A">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1.4</w:t>
      </w:r>
      <w:r>
        <w:rPr>
          <w:rFonts w:hint="eastAsia" w:ascii="仿宋" w:hAnsi="仿宋" w:eastAsia="仿宋" w:cs="仿宋"/>
          <w:color w:val="auto"/>
          <w:spacing w:val="-15"/>
          <w:sz w:val="24"/>
          <w:szCs w:val="24"/>
          <w:highlight w:val="none"/>
        </w:rPr>
        <w:t xml:space="preserve"> </w:t>
      </w:r>
      <w:r>
        <w:rPr>
          <w:rFonts w:hint="eastAsia" w:ascii="仿宋" w:hAnsi="仿宋" w:eastAsia="仿宋" w:cs="仿宋"/>
          <w:color w:val="auto"/>
          <w:spacing w:val="-3"/>
          <w:sz w:val="24"/>
          <w:szCs w:val="24"/>
          <w:highlight w:val="none"/>
        </w:rPr>
        <w:t>图像采集装置摄像头红外波长：800nm～1000nm</w:t>
      </w:r>
    </w:p>
    <w:p w14:paraId="7C4AC805">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w:t>
      </w:r>
      <w:r>
        <w:rPr>
          <w:rFonts w:hint="eastAsia" w:ascii="仿宋" w:hAnsi="仿宋" w:eastAsia="仿宋" w:cs="仿宋"/>
          <w:color w:val="auto"/>
          <w:spacing w:val="-14"/>
          <w:sz w:val="24"/>
          <w:szCs w:val="24"/>
          <w:highlight w:val="none"/>
        </w:rPr>
        <w:t xml:space="preserve"> </w:t>
      </w:r>
      <w:r>
        <w:rPr>
          <w:rFonts w:hint="eastAsia" w:ascii="仿宋" w:hAnsi="仿宋" w:eastAsia="仿宋" w:cs="仿宋"/>
          <w:color w:val="auto"/>
          <w:spacing w:val="-3"/>
          <w:sz w:val="24"/>
          <w:szCs w:val="24"/>
          <w:highlight w:val="none"/>
        </w:rPr>
        <w:t>图像采集装置摄像头红外峰值波长：960nm±10nm</w:t>
      </w:r>
    </w:p>
    <w:p w14:paraId="5BD7EFA4">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1.6 图像信息传输方式：HDMI</w:t>
      </w:r>
    </w:p>
    <w:p w14:paraId="6B170026">
      <w:pPr>
        <w:spacing w:before="287"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1.7</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7"/>
          <w:sz w:val="24"/>
          <w:szCs w:val="24"/>
          <w:highlight w:val="none"/>
        </w:rPr>
        <w:t>采样率：</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7"/>
          <w:sz w:val="24"/>
          <w:szCs w:val="24"/>
          <w:highlight w:val="none"/>
        </w:rPr>
        <w:t>≥120Hz</w:t>
      </w:r>
    </w:p>
    <w:p w14:paraId="777A913B">
      <w:pPr>
        <w:spacing w:before="29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1.8</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pacing w:val="-9"/>
          <w:sz w:val="24"/>
          <w:szCs w:val="24"/>
          <w:highlight w:val="none"/>
        </w:rPr>
        <w:t>帧率</w:t>
      </w:r>
      <w:r>
        <w:rPr>
          <w:rFonts w:hint="eastAsia" w:ascii="仿宋" w:hAnsi="仿宋" w:eastAsia="仿宋" w:cs="仿宋"/>
          <w:color w:val="auto"/>
          <w:spacing w:val="-83"/>
          <w:sz w:val="24"/>
          <w:szCs w:val="24"/>
          <w:highlight w:val="none"/>
        </w:rPr>
        <w:t xml:space="preserve"> </w:t>
      </w:r>
      <w:r>
        <w:rPr>
          <w:rFonts w:hint="eastAsia" w:ascii="仿宋" w:hAnsi="仿宋" w:eastAsia="仿宋" w:cs="仿宋"/>
          <w:color w:val="auto"/>
          <w:spacing w:val="-9"/>
          <w:sz w:val="24"/>
          <w:szCs w:val="24"/>
          <w:highlight w:val="none"/>
        </w:rPr>
        <w:t>(F/S)：</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9"/>
          <w:sz w:val="24"/>
          <w:szCs w:val="24"/>
          <w:highlight w:val="none"/>
        </w:rPr>
        <w:t>≥440FPS</w:t>
      </w:r>
    </w:p>
    <w:p w14:paraId="6BD2093A">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1.9</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9"/>
          <w:sz w:val="24"/>
          <w:szCs w:val="24"/>
          <w:highlight w:val="none"/>
        </w:rPr>
        <w:t>瞳孔定标：</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9"/>
          <w:sz w:val="24"/>
          <w:szCs w:val="24"/>
          <w:highlight w:val="none"/>
        </w:rPr>
        <w:t>自动追踪瞳孔位置</w:t>
      </w:r>
    </w:p>
    <w:p w14:paraId="46C4842A">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使用年限≥7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5"/>
          <w:sz w:val="24"/>
          <w:szCs w:val="24"/>
          <w:highlight w:val="none"/>
        </w:rPr>
        <w:t>年</w:t>
      </w:r>
    </w:p>
    <w:p w14:paraId="6001A7A3">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1.11</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7"/>
          <w:sz w:val="24"/>
          <w:szCs w:val="24"/>
          <w:highlight w:val="none"/>
        </w:rPr>
        <w:t>水平眼动识别准确度：识别误差：</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≤±1.2</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7"/>
          <w:sz w:val="24"/>
          <w:szCs w:val="24"/>
          <w:highlight w:val="none"/>
        </w:rPr>
        <w:t>-30</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7"/>
          <w:sz w:val="24"/>
          <w:szCs w:val="24"/>
          <w:highlight w:val="none"/>
        </w:rPr>
        <w:t>°（左）</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≤眼动范围≤+30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°（右）</w:t>
      </w:r>
    </w:p>
    <w:p w14:paraId="02CC0152">
      <w:pPr>
        <w:spacing w:before="285" w:line="411" w:lineRule="auto"/>
        <w:ind w:right="24"/>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1.12</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7"/>
          <w:sz w:val="24"/>
          <w:szCs w:val="24"/>
          <w:highlight w:val="none"/>
        </w:rPr>
        <w:t>垂直眼动识别准确度：识别误差：</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≤±1.2</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7"/>
          <w:sz w:val="24"/>
          <w:szCs w:val="24"/>
          <w:highlight w:val="none"/>
        </w:rPr>
        <w:t>-30</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7"/>
          <w:sz w:val="24"/>
          <w:szCs w:val="24"/>
          <w:highlight w:val="none"/>
        </w:rPr>
        <w:t>°（下）</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≤眼动范围≤+30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°（上）</w:t>
      </w:r>
    </w:p>
    <w:p w14:paraId="256F8D06">
      <w:pPr>
        <w:spacing w:before="1"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1.13</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5"/>
          <w:sz w:val="24"/>
          <w:szCs w:val="24"/>
          <w:highlight w:val="none"/>
        </w:rPr>
        <w:t>头动记录：9</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轴陀螺仪感应器</w:t>
      </w:r>
    </w:p>
    <w:p w14:paraId="3BDA85E8">
      <w:pPr>
        <w:spacing w:before="290" w:line="411" w:lineRule="auto"/>
        <w:ind w:right="24"/>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1.14</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11"/>
          <w:sz w:val="24"/>
          <w:szCs w:val="24"/>
          <w:highlight w:val="none"/>
        </w:rPr>
        <w:t>头动速度准确度：头动速度识别准确度误差≤±3</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1"/>
          <w:sz w:val="24"/>
          <w:szCs w:val="24"/>
          <w:highlight w:val="none"/>
        </w:rPr>
        <w:t>°/s，速度范围(</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11"/>
          <w:sz w:val="24"/>
          <w:szCs w:val="24"/>
          <w:highlight w:val="none"/>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7"/>
          <w:sz w:val="24"/>
          <w:szCs w:val="24"/>
          <w:highlight w:val="none"/>
        </w:rPr>
        <w:t>250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°/s）</w:t>
      </w:r>
    </w:p>
    <w:p w14:paraId="2251A904">
      <w:pPr>
        <w:spacing w:before="1" w:line="411" w:lineRule="auto"/>
        <w:ind w:right="2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z w:val="24"/>
          <w:szCs w:val="24"/>
          <w:highlight w:val="none"/>
        </w:rPr>
        <w:t xml:space="preserve">眼动刺激信号准确度：频率准确度误差≤±3%，速度准确度误差≤ </w:t>
      </w:r>
      <w:r>
        <w:rPr>
          <w:rFonts w:hint="eastAsia" w:ascii="仿宋" w:hAnsi="仿宋" w:eastAsia="仿宋" w:cs="仿宋"/>
          <w:color w:val="auto"/>
          <w:spacing w:val="-15"/>
          <w:sz w:val="24"/>
          <w:szCs w:val="24"/>
          <w:highlight w:val="none"/>
        </w:rPr>
        <w:t>±6%</w:t>
      </w:r>
    </w:p>
    <w:p w14:paraId="0834AC51">
      <w:pPr>
        <w:spacing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1.16 固视抑制功能：具备固视抑制灯</w:t>
      </w:r>
    </w:p>
    <w:p w14:paraId="635081CB">
      <w:pPr>
        <w:spacing w:before="286"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2、眼震参数：</w:t>
      </w:r>
    </w:p>
    <w:p w14:paraId="64D4A22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基本要求： 自主研发诊断软件，视频图像清晰，可观察水平、垂直、旋转眼震，包含视频储存回放功能。</w:t>
      </w:r>
    </w:p>
    <w:p w14:paraId="4A7DD96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四位一体同步显示：眼动视频、体位视频、眼震曲线、头位反馈，四位一体同步显示，指导耳石复位操作（实时反馈头位的位置），进行耳石复位的精准化医疗；可自动分析慢相角速度，且播放速度可调。</w:t>
      </w:r>
    </w:p>
    <w:p w14:paraId="4E811DE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凝视：水平方向±30 ° , 可调，垂直方向±30 ° , 可调</w:t>
      </w:r>
    </w:p>
    <w:p w14:paraId="4F661E8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扫视：视靶随机显示，记录时间0-300 秒可调</w:t>
      </w:r>
    </w:p>
    <w:p w14:paraId="1F815AF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 平稳跟踪：视靶 0.1-3Hz 可调，记录时间 0-300 秒可调</w:t>
      </w:r>
    </w:p>
    <w:p w14:paraId="02879A3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 视动 OPK：视靶速度 0-100 度/秒可调，记录时间 0-300 秒可调，三种诱发视靶，刺激方式≥15 种</w:t>
      </w:r>
    </w:p>
    <w:p w14:paraId="206A5FE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 冷热实验：灌注期、观察期、凝视抑制期记录时间0-300 秒可调</w:t>
      </w:r>
    </w:p>
    <w:p w14:paraId="2B08529A">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 位置试验和 BPPV 手法复位功能：记录时间0-600 秒可调</w:t>
      </w:r>
    </w:p>
    <w:p w14:paraId="40369944">
      <w:pPr>
        <w:spacing w:before="287" w:line="22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z w:val="24"/>
          <w:szCs w:val="24"/>
          <w:highlight w:val="none"/>
        </w:rPr>
        <w:t>2.9 快速轴位滚转试验：可记录水平、垂直、扭转向眼震分析眼震强度，并实时反</w:t>
      </w:r>
      <w:r>
        <w:rPr>
          <w:rFonts w:hint="eastAsia" w:ascii="仿宋" w:hAnsi="仿宋" w:eastAsia="仿宋" w:cs="仿宋"/>
          <w:color w:val="auto"/>
          <w:spacing w:val="-5"/>
          <w:sz w:val="24"/>
          <w:szCs w:val="24"/>
          <w:highlight w:val="none"/>
        </w:rPr>
        <w:t>馈头位、记录体位视频，试验记录时间0-600 秒可调。</w:t>
      </w:r>
    </w:p>
    <w:p w14:paraId="58E6047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2.10 眼震精确度≤0.1 °</w:t>
      </w:r>
    </w:p>
    <w:p w14:paraId="5A8910F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3、软件要求：</w:t>
      </w:r>
    </w:p>
    <w:p w14:paraId="0B3B314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中文数据库管理系统具有内置问诊表：包含总结、眩晕及平衡失调、听力下降、耳鸣、步态失调、头痛、既往史、家族史、个人史和过往诊断治疗史等。</w:t>
      </w:r>
    </w:p>
    <w:p w14:paraId="1BB6772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诊断报告：单独打印每个实验的分析数据图以及医生的初诊结果，可以展示中心医院专家会诊后的病例报告。</w:t>
      </w:r>
    </w:p>
    <w:p w14:paraId="6E8E9A7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体位视频：同步体位视频采集。</w:t>
      </w:r>
    </w:p>
    <w:p w14:paraId="49A9DD9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 负责连接医院的HIS 等系统。</w:t>
      </w:r>
    </w:p>
    <w:p w14:paraId="38CB380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4、甩头实验</w:t>
      </w:r>
    </w:p>
    <w:p w14:paraId="56638FD7">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图像分辨率: ≥1080P</w:t>
      </w:r>
    </w:p>
    <w:p w14:paraId="6FEDF95F">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双眼眼罩设计，可以完成左眼、右眼及双眼同时的检查</w:t>
      </w:r>
    </w:p>
    <w:p w14:paraId="50FA3412">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标配3D 眼震，描记并分析水平、垂直、旋转眼震曲线</w:t>
      </w:r>
    </w:p>
    <w:p w14:paraId="17E7ED0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标配试验模块：HIMP 甩头、SHIMP 甩头抑制、位置试验（包含静态位置和动态位置实验）、VVOR (前庭眼反射)、VVORS(前庭眼反射抑制)、眼偏斜实验（SD）、 自定义试验模块</w:t>
      </w:r>
    </w:p>
    <w:p w14:paraId="6029534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 眼偏斜试验：可对左眼、右眼和双眼进行试验，记录时间0-600 秒可调。</w:t>
      </w:r>
    </w:p>
    <w:p w14:paraId="0B68D05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 眼罩：双眼眼罩设计、专为亚洲人脸型设计；</w:t>
      </w:r>
    </w:p>
    <w:p w14:paraId="3625FC1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 图像分辨率：眼动模式≥1920*1080、甩头模式≥320*240</w:t>
      </w:r>
    </w:p>
    <w:p w14:paraId="37D564B1">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 帧率：甩头试验 250 帧/秒；</w:t>
      </w:r>
    </w:p>
    <w:p w14:paraId="377DE524">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 电源：USB 供电，接 口：USB3.0 连接</w:t>
      </w:r>
    </w:p>
    <w:p w14:paraId="52222259">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4.10 体位视频：同步体位视频采集</w:t>
      </w:r>
    </w:p>
    <w:p w14:paraId="58AF5BE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5.冷热试验技术要求：</w:t>
      </w:r>
    </w:p>
    <w:p w14:paraId="7E026F55">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温度范围：12~50℃</w:t>
      </w:r>
    </w:p>
    <w:p w14:paraId="1C52C44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冷刺激：12~37℃</w:t>
      </w:r>
    </w:p>
    <w:p w14:paraId="281701A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热刺激：37~50℃</w:t>
      </w:r>
    </w:p>
    <w:p w14:paraId="11BBBD2C">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6、工作站系统要求：</w:t>
      </w:r>
    </w:p>
    <w:p w14:paraId="7368D4C8">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计算机：台式电脑，CPUi510 代以上，显示屏≥27 吋，内存≥8G，固态硬盘≥512G</w:t>
      </w:r>
    </w:p>
    <w:p w14:paraId="5C59861B">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打印机：彩色喷墨联供打印机</w:t>
      </w:r>
    </w:p>
    <w:p w14:paraId="669A8D36">
      <w:pPr>
        <w:spacing w:before="287"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 全视野 LED 视靶≥50 吋</w:t>
      </w:r>
    </w:p>
    <w:p w14:paraId="0CE3A2D6">
      <w:pPr>
        <w:spacing w:before="284" w:line="223" w:lineRule="auto"/>
        <w:ind w:left="39"/>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四、设备配置要求</w:t>
      </w:r>
    </w:p>
    <w:p w14:paraId="5CAE8181">
      <w:pPr>
        <w:spacing w:before="286" w:line="223" w:lineRule="auto"/>
        <w:ind w:left="3153"/>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视频眼震图仪标准配置要求</w:t>
      </w:r>
    </w:p>
    <w:p w14:paraId="4CFDEA59">
      <w:pPr>
        <w:spacing w:line="113" w:lineRule="exact"/>
        <w:rPr>
          <w:rFonts w:hint="eastAsia" w:ascii="仿宋" w:hAnsi="仿宋" w:eastAsia="仿宋" w:cs="仿宋"/>
          <w:color w:val="auto"/>
          <w:sz w:val="24"/>
          <w:szCs w:val="24"/>
          <w:highlight w:val="none"/>
        </w:rPr>
      </w:pPr>
    </w:p>
    <w:tbl>
      <w:tblPr>
        <w:tblStyle w:val="189"/>
        <w:tblW w:w="9358" w:type="dxa"/>
        <w:tblInd w:w="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59"/>
        <w:gridCol w:w="5628"/>
        <w:gridCol w:w="2071"/>
      </w:tblGrid>
      <w:tr w14:paraId="0BB4B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659" w:type="dxa"/>
            <w:vAlign w:val="top"/>
          </w:tcPr>
          <w:p w14:paraId="27D702EC">
            <w:pPr>
              <w:pStyle w:val="188"/>
              <w:spacing w:before="176" w:line="223" w:lineRule="auto"/>
              <w:ind w:left="572"/>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序号</w:t>
            </w:r>
          </w:p>
        </w:tc>
        <w:tc>
          <w:tcPr>
            <w:tcW w:w="5628" w:type="dxa"/>
            <w:vAlign w:val="top"/>
          </w:tcPr>
          <w:p w14:paraId="429BF832">
            <w:pPr>
              <w:pStyle w:val="188"/>
              <w:spacing w:before="176" w:line="222" w:lineRule="auto"/>
              <w:ind w:left="257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名称</w:t>
            </w:r>
          </w:p>
        </w:tc>
        <w:tc>
          <w:tcPr>
            <w:tcW w:w="2071" w:type="dxa"/>
            <w:vAlign w:val="top"/>
          </w:tcPr>
          <w:p w14:paraId="7D987BCB">
            <w:pPr>
              <w:pStyle w:val="188"/>
              <w:spacing w:before="176" w:line="224" w:lineRule="auto"/>
              <w:ind w:left="77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数量</w:t>
            </w:r>
          </w:p>
        </w:tc>
      </w:tr>
      <w:tr w14:paraId="59551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7254F2E1">
            <w:pPr>
              <w:pStyle w:val="188"/>
              <w:spacing w:before="172" w:line="369" w:lineRule="exact"/>
              <w:ind w:left="79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5628" w:type="dxa"/>
            <w:vAlign w:val="top"/>
          </w:tcPr>
          <w:p w14:paraId="3C3FAD13">
            <w:pPr>
              <w:pStyle w:val="188"/>
              <w:spacing w:before="173" w:line="222" w:lineRule="auto"/>
              <w:ind w:left="2303"/>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主机眼罩</w:t>
            </w:r>
          </w:p>
        </w:tc>
        <w:tc>
          <w:tcPr>
            <w:tcW w:w="2071" w:type="dxa"/>
            <w:vAlign w:val="top"/>
          </w:tcPr>
          <w:p w14:paraId="40EA887B">
            <w:pPr>
              <w:pStyle w:val="188"/>
              <w:spacing w:before="171" w:line="222"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台</w:t>
            </w:r>
          </w:p>
        </w:tc>
      </w:tr>
      <w:tr w14:paraId="0874C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7F4B01B7">
            <w:pPr>
              <w:pStyle w:val="188"/>
              <w:spacing w:before="173" w:line="369" w:lineRule="exact"/>
              <w:ind w:left="77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5628" w:type="dxa"/>
            <w:vAlign w:val="top"/>
          </w:tcPr>
          <w:p w14:paraId="54352704">
            <w:pPr>
              <w:pStyle w:val="188"/>
              <w:spacing w:before="172" w:line="221" w:lineRule="auto"/>
              <w:ind w:left="2297"/>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脚踏开关</w:t>
            </w:r>
          </w:p>
        </w:tc>
        <w:tc>
          <w:tcPr>
            <w:tcW w:w="2071" w:type="dxa"/>
            <w:vAlign w:val="top"/>
          </w:tcPr>
          <w:p w14:paraId="73CC094C">
            <w:pPr>
              <w:pStyle w:val="188"/>
              <w:spacing w:before="172"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71DF0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51E098D0">
            <w:pPr>
              <w:pStyle w:val="188"/>
              <w:spacing w:before="173" w:line="242" w:lineRule="auto"/>
              <w:ind w:left="7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w:t>
            </w:r>
          </w:p>
        </w:tc>
        <w:tc>
          <w:tcPr>
            <w:tcW w:w="5628" w:type="dxa"/>
            <w:vAlign w:val="top"/>
          </w:tcPr>
          <w:p w14:paraId="1FF1544D">
            <w:pPr>
              <w:pStyle w:val="188"/>
              <w:spacing w:before="174" w:line="222" w:lineRule="auto"/>
              <w:ind w:left="2434"/>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摄像头</w:t>
            </w:r>
          </w:p>
        </w:tc>
        <w:tc>
          <w:tcPr>
            <w:tcW w:w="2071" w:type="dxa"/>
            <w:vAlign w:val="top"/>
          </w:tcPr>
          <w:p w14:paraId="1A3033B5">
            <w:pPr>
              <w:pStyle w:val="188"/>
              <w:spacing w:before="173" w:line="227"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套</w:t>
            </w:r>
          </w:p>
        </w:tc>
      </w:tr>
      <w:tr w14:paraId="7FDF1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44D3FE57">
            <w:pPr>
              <w:pStyle w:val="188"/>
              <w:spacing w:before="174" w:line="369" w:lineRule="exact"/>
              <w:ind w:left="773"/>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w:t>
            </w:r>
          </w:p>
        </w:tc>
        <w:tc>
          <w:tcPr>
            <w:tcW w:w="5628" w:type="dxa"/>
            <w:vAlign w:val="top"/>
          </w:tcPr>
          <w:p w14:paraId="6905FB75">
            <w:pPr>
              <w:pStyle w:val="188"/>
              <w:spacing w:before="174" w:line="223" w:lineRule="auto"/>
              <w:ind w:left="1594"/>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数据库管理系统 U 盘</w:t>
            </w:r>
          </w:p>
        </w:tc>
        <w:tc>
          <w:tcPr>
            <w:tcW w:w="2071" w:type="dxa"/>
            <w:vAlign w:val="top"/>
          </w:tcPr>
          <w:p w14:paraId="5A3D8BD0">
            <w:pPr>
              <w:pStyle w:val="188"/>
              <w:spacing w:before="173" w:line="227"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套</w:t>
            </w:r>
          </w:p>
        </w:tc>
      </w:tr>
      <w:tr w14:paraId="485AB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018EF1AE">
            <w:pPr>
              <w:pStyle w:val="188"/>
              <w:spacing w:before="177" w:line="242" w:lineRule="auto"/>
              <w:ind w:left="78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5628" w:type="dxa"/>
            <w:vAlign w:val="top"/>
          </w:tcPr>
          <w:p w14:paraId="3A05249B">
            <w:pPr>
              <w:pStyle w:val="188"/>
              <w:spacing w:before="176" w:line="224" w:lineRule="auto"/>
              <w:ind w:left="230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落地支架</w:t>
            </w:r>
          </w:p>
        </w:tc>
        <w:tc>
          <w:tcPr>
            <w:tcW w:w="2071" w:type="dxa"/>
            <w:vAlign w:val="top"/>
          </w:tcPr>
          <w:p w14:paraId="094B5975">
            <w:pPr>
              <w:pStyle w:val="188"/>
              <w:spacing w:before="176"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55BF6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4078075C">
            <w:pPr>
              <w:pStyle w:val="188"/>
              <w:spacing w:before="176" w:line="242" w:lineRule="auto"/>
              <w:ind w:left="777"/>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w:t>
            </w:r>
          </w:p>
        </w:tc>
        <w:tc>
          <w:tcPr>
            <w:tcW w:w="5628" w:type="dxa"/>
            <w:vAlign w:val="top"/>
          </w:tcPr>
          <w:p w14:paraId="3890223E">
            <w:pPr>
              <w:pStyle w:val="188"/>
              <w:spacing w:before="176" w:line="224" w:lineRule="auto"/>
              <w:ind w:left="243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冷热气</w:t>
            </w:r>
          </w:p>
        </w:tc>
        <w:tc>
          <w:tcPr>
            <w:tcW w:w="2071" w:type="dxa"/>
            <w:vAlign w:val="top"/>
          </w:tcPr>
          <w:p w14:paraId="39173E84">
            <w:pPr>
              <w:pStyle w:val="188"/>
              <w:spacing w:before="176" w:line="227"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套</w:t>
            </w:r>
          </w:p>
        </w:tc>
      </w:tr>
      <w:tr w14:paraId="4FD6C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659" w:type="dxa"/>
            <w:vAlign w:val="top"/>
          </w:tcPr>
          <w:p w14:paraId="3823D55F">
            <w:pPr>
              <w:pStyle w:val="188"/>
              <w:spacing w:before="176" w:line="242" w:lineRule="auto"/>
              <w:ind w:left="781"/>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w:t>
            </w:r>
          </w:p>
        </w:tc>
        <w:tc>
          <w:tcPr>
            <w:tcW w:w="5628" w:type="dxa"/>
            <w:vAlign w:val="top"/>
          </w:tcPr>
          <w:p w14:paraId="1F455A43">
            <w:pPr>
              <w:pStyle w:val="188"/>
              <w:spacing w:before="176" w:line="224" w:lineRule="auto"/>
              <w:ind w:left="201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冷热气数据线</w:t>
            </w:r>
          </w:p>
        </w:tc>
        <w:tc>
          <w:tcPr>
            <w:tcW w:w="2071" w:type="dxa"/>
            <w:vAlign w:val="top"/>
          </w:tcPr>
          <w:p w14:paraId="15DA0D8F">
            <w:pPr>
              <w:pStyle w:val="188"/>
              <w:spacing w:before="175" w:line="222"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根</w:t>
            </w:r>
          </w:p>
        </w:tc>
      </w:tr>
      <w:tr w14:paraId="79648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659" w:type="dxa"/>
            <w:vAlign w:val="top"/>
          </w:tcPr>
          <w:p w14:paraId="34B7F26A">
            <w:pPr>
              <w:pStyle w:val="188"/>
              <w:spacing w:before="176" w:line="242" w:lineRule="auto"/>
              <w:ind w:left="77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w:t>
            </w:r>
          </w:p>
        </w:tc>
        <w:tc>
          <w:tcPr>
            <w:tcW w:w="5628" w:type="dxa"/>
            <w:vAlign w:val="top"/>
          </w:tcPr>
          <w:p w14:paraId="00065864">
            <w:pPr>
              <w:pStyle w:val="188"/>
              <w:spacing w:before="225" w:line="181" w:lineRule="auto"/>
              <w:ind w:left="241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USBHUB</w:t>
            </w:r>
          </w:p>
        </w:tc>
        <w:tc>
          <w:tcPr>
            <w:tcW w:w="2071" w:type="dxa"/>
            <w:vAlign w:val="top"/>
          </w:tcPr>
          <w:p w14:paraId="677623A9">
            <w:pPr>
              <w:pStyle w:val="188"/>
              <w:spacing w:before="176"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7151B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4AA22C62">
            <w:pPr>
              <w:pStyle w:val="188"/>
              <w:spacing w:before="172" w:line="242" w:lineRule="auto"/>
              <w:ind w:left="77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5628" w:type="dxa"/>
            <w:vAlign w:val="top"/>
          </w:tcPr>
          <w:p w14:paraId="03B7B390">
            <w:pPr>
              <w:pStyle w:val="188"/>
              <w:spacing w:before="172" w:line="225" w:lineRule="auto"/>
              <w:ind w:left="2383"/>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HDMI 线</w:t>
            </w:r>
          </w:p>
        </w:tc>
        <w:tc>
          <w:tcPr>
            <w:tcW w:w="2071" w:type="dxa"/>
            <w:vAlign w:val="top"/>
          </w:tcPr>
          <w:p w14:paraId="046F4E84">
            <w:pPr>
              <w:pStyle w:val="188"/>
              <w:spacing w:before="171" w:line="222"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根</w:t>
            </w:r>
          </w:p>
        </w:tc>
      </w:tr>
      <w:tr w14:paraId="05468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071752B3">
            <w:pPr>
              <w:pStyle w:val="188"/>
              <w:spacing w:before="171"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5628" w:type="dxa"/>
            <w:vAlign w:val="top"/>
          </w:tcPr>
          <w:p w14:paraId="6E3ED97B">
            <w:pPr>
              <w:pStyle w:val="188"/>
              <w:spacing w:before="171" w:line="222" w:lineRule="auto"/>
              <w:ind w:left="2322"/>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台式电脑</w:t>
            </w:r>
          </w:p>
        </w:tc>
        <w:tc>
          <w:tcPr>
            <w:tcW w:w="2071" w:type="dxa"/>
            <w:vAlign w:val="top"/>
          </w:tcPr>
          <w:p w14:paraId="61FDF18A">
            <w:pPr>
              <w:pStyle w:val="188"/>
              <w:spacing w:before="171" w:line="227"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套</w:t>
            </w:r>
          </w:p>
        </w:tc>
      </w:tr>
      <w:tr w14:paraId="744E1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4347B627">
            <w:pPr>
              <w:pStyle w:val="188"/>
              <w:spacing w:before="172" w:line="369" w:lineRule="exact"/>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5628" w:type="dxa"/>
            <w:vAlign w:val="top"/>
          </w:tcPr>
          <w:p w14:paraId="61D9DBA2">
            <w:pPr>
              <w:pStyle w:val="188"/>
              <w:spacing w:before="173" w:line="222" w:lineRule="auto"/>
              <w:ind w:left="187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彩色喷墨打印机</w:t>
            </w:r>
          </w:p>
        </w:tc>
        <w:tc>
          <w:tcPr>
            <w:tcW w:w="2071" w:type="dxa"/>
            <w:vAlign w:val="top"/>
          </w:tcPr>
          <w:p w14:paraId="1B6635BA">
            <w:pPr>
              <w:pStyle w:val="188"/>
              <w:spacing w:before="172"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0A2C3A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51A6435C">
            <w:pPr>
              <w:pStyle w:val="188"/>
              <w:spacing w:before="172" w:line="369" w:lineRule="exact"/>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w:t>
            </w:r>
          </w:p>
        </w:tc>
        <w:tc>
          <w:tcPr>
            <w:tcW w:w="5628" w:type="dxa"/>
            <w:vAlign w:val="top"/>
          </w:tcPr>
          <w:p w14:paraId="5460A310">
            <w:pPr>
              <w:pStyle w:val="188"/>
              <w:spacing w:before="171" w:line="224" w:lineRule="auto"/>
              <w:ind w:left="134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视靶（LED 全视野视靶）</w:t>
            </w:r>
          </w:p>
        </w:tc>
        <w:tc>
          <w:tcPr>
            <w:tcW w:w="2071" w:type="dxa"/>
            <w:vAlign w:val="top"/>
          </w:tcPr>
          <w:p w14:paraId="35753E91">
            <w:pPr>
              <w:pStyle w:val="188"/>
              <w:spacing w:before="171"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40C90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0E80FFFB">
            <w:pPr>
              <w:pStyle w:val="188"/>
              <w:spacing w:before="175"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13</w:t>
            </w:r>
          </w:p>
        </w:tc>
        <w:tc>
          <w:tcPr>
            <w:tcW w:w="5628" w:type="dxa"/>
            <w:vAlign w:val="top"/>
          </w:tcPr>
          <w:p w14:paraId="01E51C5F">
            <w:pPr>
              <w:pStyle w:val="188"/>
              <w:spacing w:before="175" w:line="221" w:lineRule="auto"/>
              <w:ind w:left="2035"/>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U 盘操作视频</w:t>
            </w:r>
          </w:p>
        </w:tc>
        <w:tc>
          <w:tcPr>
            <w:tcW w:w="2071" w:type="dxa"/>
            <w:vAlign w:val="top"/>
          </w:tcPr>
          <w:p w14:paraId="78543E40">
            <w:pPr>
              <w:pStyle w:val="188"/>
              <w:spacing w:before="174"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5BD72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492ABFBA">
            <w:pPr>
              <w:pStyle w:val="188"/>
              <w:spacing w:before="175" w:line="368" w:lineRule="exact"/>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5628" w:type="dxa"/>
            <w:vAlign w:val="top"/>
          </w:tcPr>
          <w:p w14:paraId="595B0E43">
            <w:pPr>
              <w:pStyle w:val="188"/>
              <w:spacing w:before="175" w:line="224" w:lineRule="auto"/>
              <w:ind w:left="243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说明书</w:t>
            </w:r>
          </w:p>
        </w:tc>
        <w:tc>
          <w:tcPr>
            <w:tcW w:w="2071" w:type="dxa"/>
            <w:vAlign w:val="top"/>
          </w:tcPr>
          <w:p w14:paraId="058E337E">
            <w:pPr>
              <w:pStyle w:val="188"/>
              <w:spacing w:before="175" w:line="223"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本</w:t>
            </w:r>
          </w:p>
        </w:tc>
      </w:tr>
      <w:tr w14:paraId="044E2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0F29241E">
            <w:pPr>
              <w:pStyle w:val="188"/>
              <w:spacing w:before="174" w:line="369" w:lineRule="exact"/>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w:t>
            </w:r>
          </w:p>
        </w:tc>
        <w:tc>
          <w:tcPr>
            <w:tcW w:w="5628" w:type="dxa"/>
            <w:vAlign w:val="top"/>
          </w:tcPr>
          <w:p w14:paraId="22821317">
            <w:pPr>
              <w:pStyle w:val="188"/>
              <w:spacing w:before="174" w:line="223" w:lineRule="auto"/>
              <w:ind w:left="2443"/>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合格证</w:t>
            </w:r>
          </w:p>
        </w:tc>
        <w:tc>
          <w:tcPr>
            <w:tcW w:w="2071" w:type="dxa"/>
            <w:vAlign w:val="top"/>
          </w:tcPr>
          <w:p w14:paraId="04093598">
            <w:pPr>
              <w:pStyle w:val="188"/>
              <w:spacing w:before="174" w:line="223"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份</w:t>
            </w:r>
          </w:p>
        </w:tc>
      </w:tr>
      <w:tr w14:paraId="5EE5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02A9A858">
            <w:pPr>
              <w:pStyle w:val="188"/>
              <w:spacing w:before="174"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15</w:t>
            </w:r>
          </w:p>
        </w:tc>
        <w:tc>
          <w:tcPr>
            <w:tcW w:w="5628" w:type="dxa"/>
            <w:vAlign w:val="top"/>
          </w:tcPr>
          <w:p w14:paraId="13E2830B">
            <w:pPr>
              <w:pStyle w:val="188"/>
              <w:spacing w:before="175" w:line="223" w:lineRule="auto"/>
              <w:ind w:left="232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鼠标键盘</w:t>
            </w:r>
          </w:p>
        </w:tc>
        <w:tc>
          <w:tcPr>
            <w:tcW w:w="2071" w:type="dxa"/>
            <w:vAlign w:val="top"/>
          </w:tcPr>
          <w:p w14:paraId="7C466932">
            <w:pPr>
              <w:pStyle w:val="188"/>
              <w:spacing w:before="174" w:line="227"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套</w:t>
            </w:r>
          </w:p>
        </w:tc>
      </w:tr>
      <w:tr w14:paraId="7DB19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24E52B53">
            <w:pPr>
              <w:pStyle w:val="188"/>
              <w:spacing w:before="174"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16</w:t>
            </w:r>
          </w:p>
        </w:tc>
        <w:tc>
          <w:tcPr>
            <w:tcW w:w="5628" w:type="dxa"/>
            <w:vAlign w:val="top"/>
          </w:tcPr>
          <w:p w14:paraId="64032642">
            <w:pPr>
              <w:pStyle w:val="188"/>
              <w:spacing w:before="175" w:line="222" w:lineRule="auto"/>
              <w:ind w:left="230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眼罩面垫</w:t>
            </w:r>
          </w:p>
        </w:tc>
        <w:tc>
          <w:tcPr>
            <w:tcW w:w="2071" w:type="dxa"/>
            <w:vAlign w:val="top"/>
          </w:tcPr>
          <w:p w14:paraId="5F68C448">
            <w:pPr>
              <w:pStyle w:val="188"/>
              <w:spacing w:before="174" w:line="227" w:lineRule="auto"/>
              <w:ind w:left="81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 套</w:t>
            </w:r>
          </w:p>
        </w:tc>
      </w:tr>
      <w:tr w14:paraId="1EF8C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1659" w:type="dxa"/>
            <w:vAlign w:val="top"/>
          </w:tcPr>
          <w:p w14:paraId="7803CE51">
            <w:pPr>
              <w:pStyle w:val="188"/>
              <w:spacing w:before="174"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17</w:t>
            </w:r>
          </w:p>
        </w:tc>
        <w:tc>
          <w:tcPr>
            <w:tcW w:w="5628" w:type="dxa"/>
            <w:vAlign w:val="top"/>
          </w:tcPr>
          <w:p w14:paraId="1C34E6EA">
            <w:pPr>
              <w:pStyle w:val="188"/>
              <w:spacing w:before="174" w:line="223" w:lineRule="auto"/>
              <w:ind w:left="2292"/>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30 °斜枕</w:t>
            </w:r>
          </w:p>
        </w:tc>
        <w:tc>
          <w:tcPr>
            <w:tcW w:w="2071" w:type="dxa"/>
            <w:vAlign w:val="top"/>
          </w:tcPr>
          <w:p w14:paraId="0863A21F">
            <w:pPr>
              <w:pStyle w:val="188"/>
              <w:spacing w:before="173" w:line="224"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个</w:t>
            </w:r>
          </w:p>
        </w:tc>
      </w:tr>
      <w:tr w14:paraId="37AA6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659" w:type="dxa"/>
            <w:vAlign w:val="top"/>
          </w:tcPr>
          <w:p w14:paraId="351F5D22">
            <w:pPr>
              <w:pStyle w:val="188"/>
              <w:spacing w:before="177"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18</w:t>
            </w:r>
          </w:p>
        </w:tc>
        <w:tc>
          <w:tcPr>
            <w:tcW w:w="5628" w:type="dxa"/>
            <w:vAlign w:val="top"/>
          </w:tcPr>
          <w:p w14:paraId="126BF9A7">
            <w:pPr>
              <w:pStyle w:val="188"/>
              <w:spacing w:before="176" w:line="222" w:lineRule="auto"/>
              <w:ind w:left="201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前庭功能书籍</w:t>
            </w:r>
          </w:p>
        </w:tc>
        <w:tc>
          <w:tcPr>
            <w:tcW w:w="2071" w:type="dxa"/>
            <w:vAlign w:val="top"/>
          </w:tcPr>
          <w:p w14:paraId="5A0BE55F">
            <w:pPr>
              <w:pStyle w:val="188"/>
              <w:spacing w:before="177" w:line="223"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本</w:t>
            </w:r>
          </w:p>
        </w:tc>
      </w:tr>
      <w:tr w14:paraId="7668C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659" w:type="dxa"/>
            <w:vAlign w:val="top"/>
          </w:tcPr>
          <w:p w14:paraId="46FF585D">
            <w:pPr>
              <w:pStyle w:val="188"/>
              <w:spacing w:before="176" w:line="242" w:lineRule="auto"/>
              <w:ind w:left="726"/>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19</w:t>
            </w:r>
          </w:p>
        </w:tc>
        <w:tc>
          <w:tcPr>
            <w:tcW w:w="5628" w:type="dxa"/>
            <w:vAlign w:val="top"/>
          </w:tcPr>
          <w:p w14:paraId="790D3FF5">
            <w:pPr>
              <w:pStyle w:val="188"/>
              <w:spacing w:before="176" w:line="223" w:lineRule="auto"/>
              <w:ind w:left="187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冷热气枪头软管</w:t>
            </w:r>
          </w:p>
        </w:tc>
        <w:tc>
          <w:tcPr>
            <w:tcW w:w="2071" w:type="dxa"/>
            <w:vAlign w:val="top"/>
          </w:tcPr>
          <w:p w14:paraId="74F8FEE2">
            <w:pPr>
              <w:pStyle w:val="188"/>
              <w:spacing w:before="177" w:line="232" w:lineRule="auto"/>
              <w:ind w:left="828"/>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 包</w:t>
            </w:r>
          </w:p>
        </w:tc>
      </w:tr>
    </w:tbl>
    <w:p w14:paraId="63D46F3E">
      <w:pPr>
        <w:rPr>
          <w:rFonts w:hint="eastAsia" w:ascii="仿宋" w:hAnsi="仿宋" w:eastAsia="仿宋" w:cs="仿宋"/>
          <w:color w:val="auto"/>
          <w:sz w:val="24"/>
          <w:szCs w:val="24"/>
          <w:highlight w:val="none"/>
        </w:rPr>
        <w:sectPr>
          <w:pgSz w:w="11906" w:h="16839"/>
          <w:pgMar w:top="1253" w:right="1065" w:bottom="1310" w:left="1192" w:header="0" w:footer="567" w:gutter="0"/>
          <w:pgNumType w:fmt="decimal"/>
          <w:cols w:space="720" w:num="1"/>
        </w:sectPr>
      </w:pPr>
    </w:p>
    <w:p w14:paraId="23971BBC">
      <w:pPr>
        <w:spacing w:before="91" w:line="222" w:lineRule="auto"/>
        <w:ind w:firstLine="3002" w:firstLineChars="1300"/>
        <w:outlineLvl w:val="0"/>
        <w:rPr>
          <w:rFonts w:hint="eastAsia" w:ascii="仿宋" w:hAnsi="仿宋" w:eastAsia="仿宋" w:cs="仿宋"/>
          <w:b/>
          <w:bCs/>
          <w:color w:val="auto"/>
          <w:spacing w:val="-5"/>
          <w:sz w:val="24"/>
          <w:szCs w:val="24"/>
          <w:highlight w:val="none"/>
        </w:rPr>
      </w:pPr>
      <w:bookmarkStart w:id="547" w:name="_Toc12803"/>
      <w:bookmarkStart w:id="548" w:name="_Toc9905"/>
      <w:bookmarkStart w:id="549" w:name="_Toc817"/>
      <w:r>
        <w:rPr>
          <w:rFonts w:hint="eastAsia" w:ascii="仿宋" w:hAnsi="仿宋" w:eastAsia="仿宋" w:cs="仿宋"/>
          <w:b/>
          <w:bCs/>
          <w:color w:val="auto"/>
          <w:spacing w:val="-5"/>
          <w:sz w:val="24"/>
          <w:szCs w:val="24"/>
          <w:highlight w:val="none"/>
          <w:lang w:val="en-US" w:eastAsia="zh-CN"/>
        </w:rPr>
        <w:t>13.</w:t>
      </w:r>
      <w:r>
        <w:rPr>
          <w:rFonts w:hint="eastAsia" w:ascii="仿宋" w:hAnsi="仿宋" w:eastAsia="仿宋" w:cs="仿宋"/>
          <w:b/>
          <w:bCs/>
          <w:color w:val="auto"/>
          <w:spacing w:val="-5"/>
          <w:sz w:val="24"/>
          <w:szCs w:val="24"/>
          <w:highlight w:val="none"/>
        </w:rPr>
        <w:t>(生物、荧光)显微镜技术参数</w:t>
      </w:r>
      <w:bookmarkEnd w:id="547"/>
      <w:bookmarkEnd w:id="548"/>
      <w:bookmarkEnd w:id="549"/>
    </w:p>
    <w:p w14:paraId="182F3601">
      <w:pPr>
        <w:spacing w:before="91" w:line="222" w:lineRule="auto"/>
        <w:ind w:left="3305"/>
        <w:outlineLvl w:val="0"/>
        <w:rPr>
          <w:rFonts w:hint="eastAsia" w:ascii="仿宋" w:hAnsi="仿宋" w:eastAsia="仿宋" w:cs="仿宋"/>
          <w:color w:val="auto"/>
          <w:sz w:val="24"/>
          <w:szCs w:val="24"/>
          <w:highlight w:val="none"/>
        </w:rPr>
      </w:pPr>
      <w:bookmarkStart w:id="550" w:name="_Toc25946"/>
      <w:bookmarkStart w:id="551" w:name="_Toc17161"/>
      <w:bookmarkStart w:id="552" w:name="_Toc20735"/>
      <w:r>
        <w:rPr>
          <w:rFonts w:hint="eastAsia" w:ascii="仿宋" w:hAnsi="仿宋" w:eastAsia="仿宋" w:cs="仿宋"/>
          <w:b/>
          <w:bCs/>
          <w:color w:val="auto"/>
          <w:spacing w:val="-5"/>
          <w:sz w:val="24"/>
          <w:szCs w:val="24"/>
          <w:highlight w:val="none"/>
          <w:lang w:val="en-US" w:eastAsia="zh-CN"/>
        </w:rPr>
        <w:t>13</w:t>
      </w:r>
      <w:r>
        <w:rPr>
          <w:rFonts w:hint="eastAsia" w:ascii="仿宋" w:hAnsi="仿宋" w:eastAsia="仿宋" w:cs="仿宋"/>
          <w:b/>
          <w:bCs/>
          <w:color w:val="auto"/>
          <w:spacing w:val="-5"/>
          <w:sz w:val="24"/>
          <w:szCs w:val="24"/>
          <w:highlight w:val="none"/>
        </w:rPr>
        <w:t>.1生物显微镜技术参数</w:t>
      </w:r>
      <w:bookmarkEnd w:id="550"/>
      <w:bookmarkEnd w:id="551"/>
      <w:bookmarkEnd w:id="552"/>
    </w:p>
    <w:p w14:paraId="46D3D6C9">
      <w:pPr>
        <w:pStyle w:val="11"/>
        <w:spacing w:line="315" w:lineRule="auto"/>
        <w:rPr>
          <w:rFonts w:hint="eastAsia" w:ascii="仿宋" w:hAnsi="仿宋" w:eastAsia="仿宋" w:cs="仿宋"/>
          <w:color w:val="auto"/>
          <w:sz w:val="24"/>
          <w:szCs w:val="24"/>
          <w:highlight w:val="none"/>
        </w:rPr>
      </w:pPr>
    </w:p>
    <w:p w14:paraId="06149D12">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1、光学系统：无限远光学系统齐焦距离为国标45</w:t>
      </w:r>
      <w:r>
        <w:rPr>
          <w:rFonts w:hint="eastAsia" w:ascii="仿宋" w:hAnsi="仿宋" w:eastAsia="仿宋" w:cs="仿宋"/>
          <w:color w:val="auto"/>
          <w:sz w:val="24"/>
          <w:szCs w:val="24"/>
          <w:highlight w:val="none"/>
        </w:rPr>
        <w:t>mm</w:t>
      </w:r>
      <w:r>
        <w:rPr>
          <w:rFonts w:hint="eastAsia" w:ascii="仿宋" w:hAnsi="仿宋" w:eastAsia="仿宋" w:cs="仿宋"/>
          <w:color w:val="auto"/>
          <w:spacing w:val="1"/>
          <w:sz w:val="24"/>
          <w:szCs w:val="24"/>
          <w:highlight w:val="none"/>
        </w:rPr>
        <w:t>。</w:t>
      </w:r>
    </w:p>
    <w:p w14:paraId="48199062">
      <w:pPr>
        <w:spacing w:before="287" w:line="411" w:lineRule="auto"/>
        <w:ind w:left="19" w:hanging="15"/>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2、观察筒：三目观察筒，±5</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11"/>
          <w:sz w:val="24"/>
          <w:szCs w:val="24"/>
          <w:highlight w:val="none"/>
        </w:rPr>
        <w:t>屈光度。铰链组可</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11"/>
          <w:sz w:val="24"/>
          <w:szCs w:val="24"/>
          <w:highlight w:val="none"/>
        </w:rPr>
        <w:t>360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1"/>
          <w:sz w:val="24"/>
          <w:szCs w:val="24"/>
          <w:highlight w:val="none"/>
        </w:rPr>
        <w:t>°旋转，用</w:t>
      </w:r>
      <w:r>
        <w:rPr>
          <w:rFonts w:hint="eastAsia" w:ascii="仿宋" w:hAnsi="仿宋" w:eastAsia="仿宋" w:cs="仿宋"/>
          <w:color w:val="auto"/>
          <w:spacing w:val="-12"/>
          <w:sz w:val="24"/>
          <w:szCs w:val="24"/>
          <w:highlight w:val="none"/>
        </w:rPr>
        <w:t>于改变眼点高度，</w:t>
      </w:r>
      <w:r>
        <w:rPr>
          <w:rFonts w:hint="eastAsia" w:ascii="仿宋" w:hAnsi="仿宋" w:eastAsia="仿宋" w:cs="仿宋"/>
          <w:color w:val="auto"/>
          <w:spacing w:val="-3"/>
          <w:sz w:val="24"/>
          <w:szCs w:val="24"/>
          <w:highlight w:val="none"/>
        </w:rPr>
        <w:t>眼点调节范围</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375mm-430mm</w:t>
      </w:r>
    </w:p>
    <w:p w14:paraId="02BDB8DB">
      <w:pPr>
        <w:spacing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3、</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6"/>
          <w:sz w:val="24"/>
          <w:szCs w:val="24"/>
          <w:highlight w:val="none"/>
        </w:rPr>
        <w:t>目镜：1.0X</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6"/>
          <w:sz w:val="24"/>
          <w:szCs w:val="24"/>
          <w:highlight w:val="none"/>
        </w:rPr>
        <w:t>平场目镜，PL10×</w:t>
      </w:r>
      <w:r>
        <w:rPr>
          <w:rFonts w:hint="eastAsia" w:ascii="仿宋" w:hAnsi="仿宋" w:eastAsia="仿宋" w:cs="仿宋"/>
          <w:color w:val="auto"/>
          <w:spacing w:val="-105"/>
          <w:sz w:val="24"/>
          <w:szCs w:val="24"/>
          <w:highlight w:val="none"/>
        </w:rPr>
        <w:t xml:space="preserve"> </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76"/>
          <w:sz w:val="24"/>
          <w:szCs w:val="24"/>
          <w:highlight w:val="none"/>
        </w:rPr>
        <w:t xml:space="preserve"> </w:t>
      </w:r>
      <w:r>
        <w:rPr>
          <w:rFonts w:hint="eastAsia" w:ascii="仿宋" w:hAnsi="仿宋" w:eastAsia="仿宋" w:cs="仿宋"/>
          <w:color w:val="auto"/>
          <w:spacing w:val="-6"/>
          <w:sz w:val="24"/>
          <w:szCs w:val="24"/>
          <w:highlight w:val="none"/>
        </w:rPr>
        <w:t>视度补偿±5D，视场数≥22mm。</w:t>
      </w:r>
    </w:p>
    <w:p w14:paraId="1D47BBD6">
      <w:pPr>
        <w:spacing w:before="285" w:line="411" w:lineRule="auto"/>
        <w:ind w:left="61" w:right="126" w:hanging="6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4、物镜转换器：内倾式≥5</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z w:val="24"/>
          <w:szCs w:val="24"/>
          <w:highlight w:val="none"/>
        </w:rPr>
        <w:t>孔物镜编码转换、能够记忆每个物</w:t>
      </w:r>
      <w:r>
        <w:rPr>
          <w:rFonts w:hint="eastAsia" w:ascii="仿宋" w:hAnsi="仿宋" w:eastAsia="仿宋" w:cs="仿宋"/>
          <w:color w:val="auto"/>
          <w:spacing w:val="-1"/>
          <w:sz w:val="24"/>
          <w:szCs w:val="24"/>
          <w:highlight w:val="none"/>
        </w:rPr>
        <w:t>镜的照明亮度、</w:t>
      </w:r>
      <w:r>
        <w:rPr>
          <w:rFonts w:hint="eastAsia" w:ascii="仿宋" w:hAnsi="仿宋" w:eastAsia="仿宋" w:cs="仿宋"/>
          <w:color w:val="auto"/>
          <w:spacing w:val="-2"/>
          <w:sz w:val="24"/>
          <w:szCs w:val="24"/>
          <w:highlight w:val="none"/>
        </w:rPr>
        <w:t>自动切换，物镜切换时，亮度自动调整。转换器稳定性≤</w:t>
      </w:r>
      <w:r>
        <w:rPr>
          <w:rFonts w:hint="eastAsia" w:ascii="仿宋" w:hAnsi="仿宋" w:eastAsia="仿宋" w:cs="仿宋"/>
          <w:color w:val="auto"/>
          <w:spacing w:val="-3"/>
          <w:sz w:val="24"/>
          <w:szCs w:val="24"/>
          <w:highlight w:val="none"/>
        </w:rPr>
        <w:t>0.004mm。</w:t>
      </w:r>
    </w:p>
    <w:p w14:paraId="7A54B0B6">
      <w:pPr>
        <w:spacing w:before="2" w:line="411" w:lineRule="auto"/>
        <w:ind w:left="13" w:right="80" w:hanging="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5、调焦机构：粗微调同轴，载物台上下行程</w:t>
      </w:r>
      <w:r>
        <w:rPr>
          <w:rFonts w:hint="eastAsia" w:ascii="仿宋" w:hAnsi="仿宋" w:eastAsia="仿宋" w:cs="仿宋"/>
          <w:color w:val="auto"/>
          <w:spacing w:val="-1"/>
          <w:sz w:val="24"/>
          <w:szCs w:val="24"/>
          <w:highlight w:val="none"/>
        </w:rPr>
        <w:t>≥30mm，带随机可调式平台上限位</w:t>
      </w:r>
      <w:r>
        <w:rPr>
          <w:rFonts w:hint="eastAsia" w:ascii="仿宋" w:hAnsi="仿宋" w:eastAsia="仿宋" w:cs="仿宋"/>
          <w:color w:val="auto"/>
          <w:spacing w:val="2"/>
          <w:sz w:val="24"/>
          <w:szCs w:val="24"/>
          <w:highlight w:val="none"/>
        </w:rPr>
        <w:t>装置，全金属齿轮齿条调焦机构，微调精度</w:t>
      </w:r>
      <w:r>
        <w:rPr>
          <w:rFonts w:hint="eastAsia" w:ascii="仿宋" w:hAnsi="仿宋" w:eastAsia="仿宋" w:cs="仿宋"/>
          <w:color w:val="auto"/>
          <w:spacing w:val="1"/>
          <w:sz w:val="24"/>
          <w:szCs w:val="24"/>
          <w:highlight w:val="none"/>
        </w:rPr>
        <w:t>0.002</w:t>
      </w:r>
      <w:r>
        <w:rPr>
          <w:rFonts w:hint="eastAsia" w:ascii="仿宋" w:hAnsi="仿宋" w:eastAsia="仿宋" w:cs="仿宋"/>
          <w:color w:val="auto"/>
          <w:sz w:val="24"/>
          <w:szCs w:val="24"/>
          <w:highlight w:val="none"/>
        </w:rPr>
        <w:t>mm</w:t>
      </w:r>
      <w:r>
        <w:rPr>
          <w:rFonts w:hint="eastAsia" w:ascii="仿宋" w:hAnsi="仿宋" w:eastAsia="仿宋" w:cs="仿宋"/>
          <w:color w:val="auto"/>
          <w:spacing w:val="1"/>
          <w:sz w:val="24"/>
          <w:szCs w:val="24"/>
          <w:highlight w:val="none"/>
        </w:rPr>
        <w:t>。</w:t>
      </w:r>
    </w:p>
    <w:p w14:paraId="685A8756">
      <w:pPr>
        <w:spacing w:before="2" w:line="411" w:lineRule="auto"/>
        <w:ind w:left="10" w:right="80" w:hanging="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6、聚光镜：N.A.</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1"/>
          <w:sz w:val="24"/>
          <w:szCs w:val="24"/>
          <w:highlight w:val="none"/>
        </w:rPr>
        <w:t>≥1.25，齿轮齿条升降，带可</w:t>
      </w:r>
      <w:r>
        <w:rPr>
          <w:rFonts w:hint="eastAsia" w:ascii="仿宋" w:hAnsi="仿宋" w:eastAsia="仿宋" w:cs="仿宋"/>
          <w:color w:val="auto"/>
          <w:spacing w:val="-2"/>
          <w:sz w:val="24"/>
          <w:szCs w:val="24"/>
          <w:highlight w:val="none"/>
        </w:rPr>
        <w:t>变孔径光栏，带暗场、相衬附件</w:t>
      </w:r>
      <w:r>
        <w:rPr>
          <w:rFonts w:hint="eastAsia" w:ascii="仿宋" w:hAnsi="仿宋" w:eastAsia="仿宋" w:cs="仿宋"/>
          <w:color w:val="auto"/>
          <w:spacing w:val="-6"/>
          <w:sz w:val="24"/>
          <w:szCs w:val="24"/>
          <w:highlight w:val="none"/>
        </w:rPr>
        <w:t>接口。</w:t>
      </w:r>
    </w:p>
    <w:p w14:paraId="4854136C">
      <w:pPr>
        <w:spacing w:before="2" w:line="411" w:lineRule="auto"/>
        <w:ind w:left="22" w:right="80" w:hanging="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7、载物台：载物台面积≥210X170mm，移动范围</w:t>
      </w:r>
      <w:r>
        <w:rPr>
          <w:rFonts w:hint="eastAsia" w:ascii="仿宋" w:hAnsi="仿宋" w:eastAsia="仿宋" w:cs="仿宋"/>
          <w:color w:val="auto"/>
          <w:spacing w:val="-1"/>
          <w:sz w:val="24"/>
          <w:szCs w:val="24"/>
          <w:highlight w:val="none"/>
        </w:rPr>
        <w:t>≥78mmX50mm，片夹可同时夹持</w:t>
      </w:r>
      <w:r>
        <w:rPr>
          <w:rFonts w:hint="eastAsia" w:ascii="仿宋" w:hAnsi="仿宋" w:eastAsia="仿宋" w:cs="仿宋"/>
          <w:color w:val="auto"/>
          <w:spacing w:val="1"/>
          <w:sz w:val="24"/>
          <w:szCs w:val="24"/>
          <w:highlight w:val="none"/>
        </w:rPr>
        <w:t>两块切片。载物台侧向受5N</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1"/>
          <w:sz w:val="24"/>
          <w:szCs w:val="24"/>
          <w:highlight w:val="none"/>
        </w:rPr>
        <w:t>水平方向作用力的</w:t>
      </w:r>
      <w:r>
        <w:rPr>
          <w:rFonts w:hint="eastAsia" w:ascii="仿宋" w:hAnsi="仿宋" w:eastAsia="仿宋" w:cs="仿宋"/>
          <w:color w:val="auto"/>
          <w:sz w:val="24"/>
          <w:szCs w:val="24"/>
          <w:highlight w:val="none"/>
        </w:rPr>
        <w:t>最大位移≤0.01mm，载物台侧向</w:t>
      </w:r>
      <w:r>
        <w:rPr>
          <w:rFonts w:hint="eastAsia" w:ascii="仿宋" w:hAnsi="仿宋" w:eastAsia="仿宋" w:cs="仿宋"/>
          <w:color w:val="auto"/>
          <w:spacing w:val="-3"/>
          <w:sz w:val="24"/>
          <w:szCs w:val="24"/>
          <w:highlight w:val="none"/>
        </w:rPr>
        <w:t>受</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5N</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水平方向作用力的不重复性≤0.002mm。</w:t>
      </w:r>
    </w:p>
    <w:p w14:paraId="5B6C9613">
      <w:pPr>
        <w:spacing w:before="3" w:line="411" w:lineRule="auto"/>
        <w:ind w:firstLine="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8、物镜：无限远平场半复消色差荧光物镜</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8"/>
          <w:sz w:val="24"/>
          <w:szCs w:val="24"/>
          <w:highlight w:val="none"/>
        </w:rPr>
        <w:t>10X：N.A.</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8"/>
          <w:sz w:val="24"/>
          <w:szCs w:val="24"/>
          <w:highlight w:val="none"/>
        </w:rPr>
        <w:t>≥0.30，20X：</w:t>
      </w:r>
      <w:r>
        <w:rPr>
          <w:rFonts w:hint="eastAsia" w:ascii="仿宋" w:hAnsi="仿宋" w:eastAsia="仿宋" w:cs="仿宋"/>
          <w:color w:val="auto"/>
          <w:spacing w:val="-9"/>
          <w:sz w:val="24"/>
          <w:szCs w:val="24"/>
          <w:highlight w:val="none"/>
        </w:rPr>
        <w:t>N.A.</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9"/>
          <w:sz w:val="24"/>
          <w:szCs w:val="24"/>
          <w:highlight w:val="none"/>
        </w:rPr>
        <w:t>≥0.50，</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4"/>
          <w:sz w:val="24"/>
          <w:szCs w:val="24"/>
          <w:highlight w:val="none"/>
        </w:rPr>
        <w:t>40X：N.A.</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4"/>
          <w:sz w:val="24"/>
          <w:szCs w:val="24"/>
          <w:highlight w:val="none"/>
        </w:rPr>
        <w:t>≥0.75；物镜清晰圆直径：4</w:t>
      </w:r>
      <w:r>
        <w:rPr>
          <w:rFonts w:hint="eastAsia" w:ascii="仿宋" w:hAnsi="仿宋" w:eastAsia="仿宋" w:cs="仿宋"/>
          <w:color w:val="auto"/>
          <w:spacing w:val="-5"/>
          <w:sz w:val="24"/>
          <w:szCs w:val="24"/>
          <w:highlight w:val="none"/>
        </w:rPr>
        <w:t>X</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物镜≥18.6mm、10X</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物镜≥18.5mm、20X</w:t>
      </w:r>
      <w:r>
        <w:rPr>
          <w:rFonts w:hint="eastAsia" w:ascii="仿宋" w:hAnsi="仿宋" w:eastAsia="仿宋" w:cs="仿宋"/>
          <w:color w:val="auto"/>
          <w:sz w:val="24"/>
          <w:szCs w:val="24"/>
          <w:highlight w:val="none"/>
        </w:rPr>
        <w:t>物镜≥18.6mm、40X</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z w:val="24"/>
          <w:szCs w:val="24"/>
          <w:highlight w:val="none"/>
        </w:rPr>
        <w:t>物镜≥18.8mm、100X</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z w:val="24"/>
          <w:szCs w:val="24"/>
          <w:highlight w:val="none"/>
        </w:rPr>
        <w:t>物镜≥18.9mm</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z w:val="24"/>
          <w:szCs w:val="24"/>
          <w:highlight w:val="none"/>
        </w:rPr>
        <w:t>物镜放大率准</w:t>
      </w:r>
      <w:r>
        <w:rPr>
          <w:rFonts w:hint="eastAsia" w:ascii="仿宋" w:hAnsi="仿宋" w:eastAsia="仿宋" w:cs="仿宋"/>
          <w:color w:val="auto"/>
          <w:spacing w:val="-1"/>
          <w:sz w:val="24"/>
          <w:szCs w:val="24"/>
          <w:highlight w:val="none"/>
        </w:rPr>
        <w:t>确度误差≤±0.65%。</w:t>
      </w:r>
    </w:p>
    <w:p w14:paraId="014054C2">
      <w:pPr>
        <w:spacing w:before="1"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9、照明系统及荧光装置；</w:t>
      </w:r>
    </w:p>
    <w:p w14:paraId="5E5954AC">
      <w:pPr>
        <w:spacing w:before="286"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10、照明系统：LED</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3"/>
          <w:sz w:val="24"/>
          <w:szCs w:val="24"/>
          <w:highlight w:val="none"/>
        </w:rPr>
        <w:t>光源，带电源指示灯。</w:t>
      </w:r>
    </w:p>
    <w:p w14:paraId="0AF4D790">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11、落射</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z w:val="24"/>
          <w:szCs w:val="24"/>
          <w:highlight w:val="none"/>
        </w:rPr>
        <w:t>LED</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z w:val="24"/>
          <w:szCs w:val="24"/>
          <w:highlight w:val="none"/>
        </w:rPr>
        <w:t>荧光装置：470nmLED</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z w:val="24"/>
          <w:szCs w:val="24"/>
          <w:highlight w:val="none"/>
        </w:rPr>
        <w:t>模块组，</w:t>
      </w:r>
      <w:r>
        <w:rPr>
          <w:rFonts w:hint="eastAsia" w:ascii="仿宋" w:hAnsi="仿宋" w:eastAsia="仿宋" w:cs="仿宋"/>
          <w:color w:val="auto"/>
          <w:spacing w:val="-1"/>
          <w:sz w:val="24"/>
          <w:szCs w:val="24"/>
          <w:highlight w:val="none"/>
        </w:rPr>
        <w:t>光源亮度连续可调，明场观察与荧</w:t>
      </w:r>
    </w:p>
    <w:p w14:paraId="793A9404">
      <w:pPr>
        <w:spacing w:before="91"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光观察采用一键式切换。</w:t>
      </w:r>
    </w:p>
    <w:p w14:paraId="46AC42F6">
      <w:pPr>
        <w:spacing w:before="286" w:line="222"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12、具备</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4"/>
          <w:sz w:val="24"/>
          <w:szCs w:val="24"/>
          <w:highlight w:val="none"/>
        </w:rPr>
        <w:t>ECO</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智能感应装置。</w:t>
      </w:r>
    </w:p>
    <w:p w14:paraId="31773128">
      <w:pPr>
        <w:spacing w:before="286" w:line="221"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14、机身带手柄；机身带收纳仓。</w:t>
      </w:r>
    </w:p>
    <w:p w14:paraId="5ADDA569">
      <w:pPr>
        <w:spacing w:before="288" w:line="412" w:lineRule="auto"/>
        <w:ind w:firstLine="1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15、</w:t>
      </w:r>
      <w:r>
        <w:rPr>
          <w:rFonts w:hint="eastAsia" w:ascii="仿宋" w:hAnsi="仿宋" w:eastAsia="仿宋" w:cs="仿宋"/>
          <w:color w:val="auto"/>
          <w:sz w:val="24"/>
          <w:szCs w:val="24"/>
          <w:highlight w:val="none"/>
        </w:rPr>
        <w:t>所采用零部件</w:t>
      </w:r>
      <w:r>
        <w:rPr>
          <w:rFonts w:hint="eastAsia" w:ascii="仿宋" w:hAnsi="仿宋" w:eastAsia="仿宋" w:cs="仿宋"/>
          <w:color w:val="auto"/>
          <w:spacing w:val="-1"/>
          <w:sz w:val="24"/>
          <w:szCs w:val="24"/>
          <w:highlight w:val="none"/>
        </w:rPr>
        <w:t>和生产过程，需对有害物质过程管理进行严</w:t>
      </w:r>
      <w:r>
        <w:rPr>
          <w:rFonts w:hint="eastAsia" w:ascii="仿宋" w:hAnsi="仿宋" w:eastAsia="仿宋" w:cs="仿宋"/>
          <w:color w:val="auto"/>
          <w:spacing w:val="-5"/>
          <w:sz w:val="24"/>
          <w:szCs w:val="24"/>
          <w:highlight w:val="none"/>
        </w:rPr>
        <w:t>格控制，符合中华人民共和国《电器电子产品有害物质限制使用管理办法》（令</w:t>
      </w:r>
      <w:r>
        <w:rPr>
          <w:rFonts w:hint="eastAsia" w:ascii="仿宋" w:hAnsi="仿宋" w:eastAsia="仿宋" w:cs="仿宋"/>
          <w:color w:val="auto"/>
          <w:spacing w:val="-6"/>
          <w:sz w:val="24"/>
          <w:szCs w:val="24"/>
          <w:highlight w:val="none"/>
        </w:rPr>
        <w:t>第</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6"/>
          <w:sz w:val="24"/>
          <w:szCs w:val="24"/>
          <w:highlight w:val="none"/>
        </w:rPr>
        <w:t>32</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6"/>
          <w:sz w:val="24"/>
          <w:szCs w:val="24"/>
          <w:highlight w:val="none"/>
        </w:rPr>
        <w:t>号）的要求。</w:t>
      </w:r>
    </w:p>
    <w:p w14:paraId="2BA6760B">
      <w:pPr>
        <w:pStyle w:val="11"/>
        <w:spacing w:line="247" w:lineRule="auto"/>
        <w:rPr>
          <w:rFonts w:hint="eastAsia" w:ascii="仿宋" w:hAnsi="仿宋" w:eastAsia="仿宋" w:cs="仿宋"/>
          <w:color w:val="auto"/>
          <w:sz w:val="24"/>
          <w:szCs w:val="24"/>
          <w:highlight w:val="none"/>
        </w:rPr>
      </w:pPr>
    </w:p>
    <w:p w14:paraId="5C61B812">
      <w:pPr>
        <w:spacing w:before="91" w:line="224" w:lineRule="auto"/>
        <w:ind w:left="3305"/>
        <w:outlineLvl w:val="0"/>
        <w:rPr>
          <w:rFonts w:hint="eastAsia" w:ascii="仿宋" w:hAnsi="仿宋" w:eastAsia="仿宋" w:cs="仿宋"/>
          <w:color w:val="auto"/>
          <w:sz w:val="24"/>
          <w:szCs w:val="24"/>
          <w:highlight w:val="none"/>
        </w:rPr>
      </w:pPr>
      <w:bookmarkStart w:id="553" w:name="_Toc8438"/>
      <w:bookmarkStart w:id="554" w:name="_Toc6220"/>
      <w:bookmarkStart w:id="555" w:name="_Toc12932"/>
      <w:r>
        <w:rPr>
          <w:rFonts w:hint="eastAsia" w:ascii="仿宋" w:hAnsi="仿宋" w:eastAsia="仿宋" w:cs="仿宋"/>
          <w:b/>
          <w:bCs/>
          <w:color w:val="auto"/>
          <w:spacing w:val="-5"/>
          <w:sz w:val="24"/>
          <w:szCs w:val="24"/>
          <w:highlight w:val="none"/>
          <w:lang w:val="en-US" w:eastAsia="zh-CN"/>
        </w:rPr>
        <w:t>13</w:t>
      </w:r>
      <w:r>
        <w:rPr>
          <w:rFonts w:hint="eastAsia" w:ascii="仿宋" w:hAnsi="仿宋" w:eastAsia="仿宋" w:cs="仿宋"/>
          <w:b/>
          <w:bCs/>
          <w:color w:val="auto"/>
          <w:spacing w:val="-5"/>
          <w:sz w:val="24"/>
          <w:szCs w:val="24"/>
          <w:highlight w:val="none"/>
        </w:rPr>
        <w:t>.2普通光学显微镜参数</w:t>
      </w:r>
      <w:bookmarkEnd w:id="553"/>
      <w:bookmarkEnd w:id="554"/>
      <w:bookmarkEnd w:id="555"/>
    </w:p>
    <w:p w14:paraId="19CF42CE">
      <w:pPr>
        <w:pStyle w:val="11"/>
        <w:spacing w:line="311" w:lineRule="auto"/>
        <w:rPr>
          <w:rFonts w:hint="eastAsia" w:ascii="仿宋" w:hAnsi="仿宋" w:eastAsia="仿宋" w:cs="仿宋"/>
          <w:color w:val="auto"/>
          <w:sz w:val="24"/>
          <w:szCs w:val="24"/>
          <w:highlight w:val="none"/>
        </w:rPr>
      </w:pPr>
    </w:p>
    <w:p w14:paraId="45B1C287">
      <w:pPr>
        <w:spacing w:before="91" w:line="223" w:lineRule="auto"/>
        <w:ind w:left="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用途：可观察普通染色的切片观察。</w:t>
      </w:r>
    </w:p>
    <w:p w14:paraId="37A443CD">
      <w:pPr>
        <w:spacing w:before="285"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1.主要技术指标</w:t>
      </w:r>
    </w:p>
    <w:p w14:paraId="02FBCFD0">
      <w:pPr>
        <w:spacing w:before="28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1.1</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8"/>
          <w:sz w:val="24"/>
          <w:szCs w:val="24"/>
          <w:highlight w:val="none"/>
        </w:rPr>
        <w:t>生物显微镜</w:t>
      </w:r>
    </w:p>
    <w:p w14:paraId="185378D2">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1.1.1</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光学系统：无限远光学矫正系统，齐焦距离</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3"/>
          <w:sz w:val="24"/>
          <w:szCs w:val="24"/>
          <w:highlight w:val="none"/>
        </w:rPr>
        <w:t>45mm；</w:t>
      </w:r>
    </w:p>
    <w:p w14:paraId="5C440991">
      <w:pPr>
        <w:spacing w:before="286"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1.1.2</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4"/>
          <w:sz w:val="24"/>
          <w:szCs w:val="24"/>
          <w:highlight w:val="none"/>
        </w:rPr>
        <w:t>放大倍率：40-1000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4"/>
          <w:sz w:val="24"/>
          <w:szCs w:val="24"/>
          <w:highlight w:val="none"/>
        </w:rPr>
        <w:t>倍；</w:t>
      </w:r>
    </w:p>
    <w:p w14:paraId="3115DE68">
      <w:pPr>
        <w:spacing w:before="28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1.1.3</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载物台：钢丝传动，无齿条结构；</w:t>
      </w:r>
    </w:p>
    <w:p w14:paraId="37DA0D46">
      <w:pPr>
        <w:spacing w:before="289" w:line="411" w:lineRule="auto"/>
        <w:ind w:right="8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1.1.4</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调焦机构：载物台垂直运动由滚柱（齿条—小齿</w:t>
      </w:r>
      <w:r>
        <w:rPr>
          <w:rFonts w:hint="eastAsia" w:ascii="仿宋" w:hAnsi="仿宋" w:eastAsia="仿宋" w:cs="仿宋"/>
          <w:color w:val="auto"/>
          <w:spacing w:val="-4"/>
          <w:sz w:val="24"/>
          <w:szCs w:val="24"/>
          <w:highlight w:val="none"/>
        </w:rPr>
        <w:t>轮）机构导向，</w:t>
      </w:r>
      <w:r>
        <w:rPr>
          <w:rFonts w:hint="eastAsia" w:ascii="仿宋" w:hAnsi="仿宋" w:eastAsia="仿宋" w:cs="仿宋"/>
          <w:color w:val="auto"/>
          <w:spacing w:val="-1"/>
          <w:sz w:val="24"/>
          <w:szCs w:val="24"/>
          <w:highlight w:val="none"/>
        </w:rPr>
        <w:t>采用粗微同轴旋钮，具备粗调限位挡块和张力调整环；</w:t>
      </w:r>
    </w:p>
    <w:p w14:paraId="64729DD9">
      <w:pPr>
        <w:spacing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1.1.5</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2"/>
          <w:sz w:val="24"/>
          <w:szCs w:val="24"/>
          <w:highlight w:val="none"/>
        </w:rPr>
        <w:t>聚光镜：带有孔径聚光镜，带有蓝色滤</w:t>
      </w:r>
      <w:r>
        <w:rPr>
          <w:rFonts w:hint="eastAsia" w:ascii="仿宋" w:hAnsi="仿宋" w:eastAsia="仿宋" w:cs="仿宋"/>
          <w:color w:val="auto"/>
          <w:spacing w:val="-3"/>
          <w:sz w:val="24"/>
          <w:szCs w:val="24"/>
          <w:highlight w:val="none"/>
        </w:rPr>
        <w:t>色片；</w:t>
      </w:r>
    </w:p>
    <w:p w14:paraId="699EFA57">
      <w:pPr>
        <w:spacing w:before="289"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1.1.6</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5"/>
          <w:sz w:val="24"/>
          <w:szCs w:val="24"/>
          <w:highlight w:val="none"/>
        </w:rPr>
        <w:t>照明系统：内置</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5"/>
          <w:sz w:val="24"/>
          <w:szCs w:val="24"/>
          <w:highlight w:val="none"/>
        </w:rPr>
        <w:t>LED</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5"/>
          <w:sz w:val="24"/>
          <w:szCs w:val="24"/>
          <w:highlight w:val="none"/>
        </w:rPr>
        <w:t>光源，</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≥6000</w:t>
      </w:r>
      <w:r>
        <w:rPr>
          <w:rFonts w:hint="eastAsia" w:ascii="仿宋" w:hAnsi="仿宋" w:eastAsia="仿宋" w:cs="仿宋"/>
          <w:color w:val="auto"/>
          <w:spacing w:val="-6"/>
          <w:sz w:val="24"/>
          <w:szCs w:val="24"/>
          <w:highlight w:val="none"/>
        </w:rPr>
        <w:t>0</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6"/>
          <w:sz w:val="24"/>
          <w:szCs w:val="24"/>
          <w:highlight w:val="none"/>
        </w:rPr>
        <w:t>小时；</w:t>
      </w:r>
    </w:p>
    <w:p w14:paraId="297DF4D1">
      <w:pPr>
        <w:spacing w:before="286"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1.1.7</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观察筒：视场数≥20，铰链式；</w:t>
      </w:r>
    </w:p>
    <w:p w14:paraId="679FE9F4">
      <w:pPr>
        <w:spacing w:before="285"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1.1.8 目镜：10X，带眼罩，视场数</w:t>
      </w:r>
      <w:r>
        <w:rPr>
          <w:rFonts w:hint="eastAsia" w:ascii="仿宋" w:hAnsi="仿宋" w:eastAsia="仿宋" w:cs="仿宋"/>
          <w:color w:val="auto"/>
          <w:spacing w:val="-5"/>
          <w:sz w:val="24"/>
          <w:szCs w:val="24"/>
          <w:highlight w:val="none"/>
        </w:rPr>
        <w:t>≥20；</w:t>
      </w:r>
    </w:p>
    <w:p w14:paraId="6BD051DC">
      <w:pPr>
        <w:spacing w:before="29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1.1.9</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物镜转盘：与显微镜机身固定的</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孔物镜转盘；</w:t>
      </w:r>
    </w:p>
    <w:p w14:paraId="4463A8C3">
      <w:pPr>
        <w:spacing w:before="293"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1.1.10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7"/>
          <w:sz w:val="24"/>
          <w:szCs w:val="24"/>
          <w:highlight w:val="none"/>
        </w:rPr>
        <w:t>物镜：平场消色差物镜</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7"/>
          <w:sz w:val="24"/>
          <w:szCs w:val="24"/>
          <w:highlight w:val="none"/>
        </w:rPr>
        <w:t>4X（N.A.</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7"/>
          <w:sz w:val="24"/>
          <w:szCs w:val="24"/>
          <w:highlight w:val="none"/>
        </w:rPr>
        <w:t>≥0.1）、10X（N.</w:t>
      </w:r>
      <w:r>
        <w:rPr>
          <w:rFonts w:hint="eastAsia" w:ascii="仿宋" w:hAnsi="仿宋" w:eastAsia="仿宋" w:cs="仿宋"/>
          <w:color w:val="auto"/>
          <w:spacing w:val="-8"/>
          <w:sz w:val="24"/>
          <w:szCs w:val="24"/>
          <w:highlight w:val="none"/>
        </w:rPr>
        <w:t>A.</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8"/>
          <w:sz w:val="24"/>
          <w:szCs w:val="24"/>
          <w:highlight w:val="none"/>
        </w:rPr>
        <w:t>≥0.25）、</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3"/>
          <w:sz w:val="24"/>
          <w:szCs w:val="24"/>
          <w:highlight w:val="none"/>
        </w:rPr>
        <w:t>40X（N.A.</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3"/>
          <w:sz w:val="24"/>
          <w:szCs w:val="24"/>
          <w:highlight w:val="none"/>
        </w:rPr>
        <w:t>≥0.65）、100X（N.A.</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3"/>
          <w:sz w:val="24"/>
          <w:szCs w:val="24"/>
          <w:highlight w:val="none"/>
        </w:rPr>
        <w:t>≥1.25</w:t>
      </w:r>
      <w:r>
        <w:rPr>
          <w:rFonts w:hint="eastAsia" w:ascii="仿宋" w:hAnsi="仿宋" w:eastAsia="仿宋" w:cs="仿宋"/>
          <w:color w:val="auto"/>
          <w:spacing w:val="-1"/>
          <w:sz w:val="24"/>
          <w:szCs w:val="24"/>
          <w:highlight w:val="none"/>
        </w:rPr>
        <w:t>）；</w:t>
      </w:r>
    </w:p>
    <w:p w14:paraId="7A7D7A12">
      <w:pPr>
        <w:spacing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1.1.11</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5"/>
          <w:sz w:val="24"/>
          <w:szCs w:val="24"/>
          <w:highlight w:val="none"/>
        </w:rPr>
        <w:t>在观察筒、</w:t>
      </w:r>
      <w:r>
        <w:rPr>
          <w:rFonts w:hint="eastAsia" w:ascii="仿宋" w:hAnsi="仿宋" w:eastAsia="仿宋" w:cs="仿宋"/>
          <w:color w:val="auto"/>
          <w:spacing w:val="-74"/>
          <w:sz w:val="24"/>
          <w:szCs w:val="24"/>
          <w:highlight w:val="none"/>
        </w:rPr>
        <w:t xml:space="preserve"> </w:t>
      </w:r>
      <w:r>
        <w:rPr>
          <w:rFonts w:hint="eastAsia" w:ascii="仿宋" w:hAnsi="仿宋" w:eastAsia="仿宋" w:cs="仿宋"/>
          <w:color w:val="auto"/>
          <w:spacing w:val="-5"/>
          <w:sz w:val="24"/>
          <w:szCs w:val="24"/>
          <w:highlight w:val="none"/>
        </w:rPr>
        <w:t>目镜、物镜都做防霉处</w:t>
      </w:r>
      <w:r>
        <w:rPr>
          <w:rFonts w:hint="eastAsia" w:ascii="仿宋" w:hAnsi="仿宋" w:eastAsia="仿宋" w:cs="仿宋"/>
          <w:color w:val="auto"/>
          <w:spacing w:val="-6"/>
          <w:sz w:val="24"/>
          <w:szCs w:val="24"/>
          <w:highlight w:val="none"/>
        </w:rPr>
        <w:t>理。</w:t>
      </w:r>
    </w:p>
    <w:p w14:paraId="20BA2BA8">
      <w:pPr>
        <w:pStyle w:val="11"/>
        <w:spacing w:line="247" w:lineRule="auto"/>
        <w:rPr>
          <w:rFonts w:hint="eastAsia" w:ascii="仿宋" w:hAnsi="仿宋" w:eastAsia="仿宋" w:cs="仿宋"/>
          <w:color w:val="auto"/>
          <w:sz w:val="24"/>
          <w:szCs w:val="24"/>
          <w:highlight w:val="none"/>
        </w:rPr>
      </w:pPr>
    </w:p>
    <w:p w14:paraId="3F0A6E4E">
      <w:pPr>
        <w:spacing w:before="91" w:line="222" w:lineRule="auto"/>
        <w:ind w:left="3159"/>
        <w:outlineLvl w:val="0"/>
        <w:rPr>
          <w:rFonts w:hint="eastAsia" w:ascii="仿宋" w:hAnsi="仿宋" w:eastAsia="仿宋" w:cs="仿宋"/>
          <w:color w:val="auto"/>
          <w:sz w:val="24"/>
          <w:szCs w:val="24"/>
          <w:highlight w:val="none"/>
        </w:rPr>
      </w:pPr>
      <w:bookmarkStart w:id="556" w:name="_Toc9488"/>
      <w:bookmarkStart w:id="557" w:name="_Toc22791"/>
      <w:bookmarkStart w:id="558" w:name="_Toc27775"/>
      <w:r>
        <w:rPr>
          <w:rFonts w:hint="eastAsia" w:ascii="仿宋" w:hAnsi="仿宋" w:eastAsia="仿宋" w:cs="仿宋"/>
          <w:b/>
          <w:bCs/>
          <w:color w:val="auto"/>
          <w:spacing w:val="-5"/>
          <w:sz w:val="24"/>
          <w:szCs w:val="24"/>
          <w:highlight w:val="none"/>
          <w:lang w:val="en-US" w:eastAsia="zh-CN"/>
        </w:rPr>
        <w:t>13</w:t>
      </w:r>
      <w:r>
        <w:rPr>
          <w:rFonts w:hint="eastAsia" w:ascii="仿宋" w:hAnsi="仿宋" w:eastAsia="仿宋" w:cs="仿宋"/>
          <w:b/>
          <w:bCs/>
          <w:color w:val="auto"/>
          <w:spacing w:val="-5"/>
          <w:sz w:val="24"/>
          <w:szCs w:val="24"/>
          <w:highlight w:val="none"/>
        </w:rPr>
        <w:t>.3生物显微成像系统参数</w:t>
      </w:r>
      <w:bookmarkEnd w:id="556"/>
      <w:bookmarkEnd w:id="557"/>
      <w:bookmarkEnd w:id="558"/>
    </w:p>
    <w:p w14:paraId="7FD22485">
      <w:pPr>
        <w:pStyle w:val="11"/>
        <w:spacing w:line="314" w:lineRule="auto"/>
        <w:rPr>
          <w:rFonts w:hint="eastAsia" w:ascii="仿宋" w:hAnsi="仿宋" w:eastAsia="仿宋" w:cs="仿宋"/>
          <w:color w:val="auto"/>
          <w:sz w:val="24"/>
          <w:szCs w:val="24"/>
          <w:highlight w:val="none"/>
        </w:rPr>
      </w:pPr>
    </w:p>
    <w:p w14:paraId="39067C43">
      <w:pPr>
        <w:spacing w:before="91"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1、用途：用于普通染色切片观察，开展临床、科研常规显微检验工作。</w:t>
      </w:r>
    </w:p>
    <w:p w14:paraId="15FD672F">
      <w:pPr>
        <w:spacing w:before="289"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2、技术指标要求：</w:t>
      </w:r>
    </w:p>
    <w:p w14:paraId="7EBC86C3">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2.1.光学系统：无限远校正光学系统，齐焦距离≤50mm</w:t>
      </w:r>
    </w:p>
    <w:p w14:paraId="2C30A660">
      <w:pPr>
        <w:spacing w:before="288" w:line="411" w:lineRule="auto"/>
        <w:ind w:left="8" w:right="9" w:hanging="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2.2.调焦：载物台垂直运动方式距离≥25mm，带聚焦粗调上限停止位置，粗调旋</w:t>
      </w:r>
      <w:r>
        <w:rPr>
          <w:rFonts w:hint="eastAsia" w:ascii="仿宋" w:hAnsi="仿宋" w:eastAsia="仿宋" w:cs="仿宋"/>
          <w:color w:val="auto"/>
          <w:spacing w:val="2"/>
          <w:sz w:val="24"/>
          <w:szCs w:val="24"/>
          <w:highlight w:val="none"/>
        </w:rPr>
        <w:t>钮扭矩可调，最小微调刻度单位≤1微米</w:t>
      </w:r>
    </w:p>
    <w:p w14:paraId="1CDD67CF">
      <w:pPr>
        <w:spacing w:before="1" w:line="411" w:lineRule="auto"/>
        <w:ind w:left="54" w:right="7" w:hanging="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2.3.观察镜筒：宽视野三目镜筒，倾角≥30</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z w:val="24"/>
          <w:szCs w:val="24"/>
          <w:highlight w:val="none"/>
        </w:rPr>
        <w:t>°具备三</w:t>
      </w:r>
      <w:r>
        <w:rPr>
          <w:rFonts w:hint="eastAsia" w:ascii="仿宋" w:hAnsi="仿宋" w:eastAsia="仿宋" w:cs="仿宋"/>
          <w:color w:val="auto"/>
          <w:spacing w:val="-1"/>
          <w:sz w:val="24"/>
          <w:szCs w:val="24"/>
          <w:highlight w:val="none"/>
        </w:rPr>
        <w:t>级光路选择①目镜</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1"/>
          <w:sz w:val="24"/>
          <w:szCs w:val="24"/>
          <w:highlight w:val="none"/>
        </w:rPr>
        <w:t>100%②</w:t>
      </w:r>
      <w:r>
        <w:rPr>
          <w:rFonts w:hint="eastAsia" w:ascii="仿宋" w:hAnsi="仿宋" w:eastAsia="仿宋" w:cs="仿宋"/>
          <w:color w:val="auto"/>
          <w:spacing w:val="-5"/>
          <w:sz w:val="24"/>
          <w:szCs w:val="24"/>
          <w:highlight w:val="none"/>
        </w:rPr>
        <w:t>目镜</w:t>
      </w:r>
      <w:r>
        <w:rPr>
          <w:rFonts w:hint="eastAsia" w:ascii="仿宋" w:hAnsi="仿宋" w:eastAsia="仿宋" w:cs="仿宋"/>
          <w:color w:val="auto"/>
          <w:spacing w:val="-30"/>
          <w:sz w:val="24"/>
          <w:szCs w:val="24"/>
          <w:highlight w:val="none"/>
        </w:rPr>
        <w:t xml:space="preserve"> </w:t>
      </w:r>
      <w:r>
        <w:rPr>
          <w:rFonts w:hint="eastAsia" w:ascii="仿宋" w:hAnsi="仿宋" w:eastAsia="仿宋" w:cs="仿宋"/>
          <w:color w:val="auto"/>
          <w:spacing w:val="-5"/>
          <w:sz w:val="24"/>
          <w:szCs w:val="24"/>
          <w:highlight w:val="none"/>
        </w:rPr>
        <w:t>100%,照相机</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5"/>
          <w:sz w:val="24"/>
          <w:szCs w:val="24"/>
          <w:highlight w:val="none"/>
        </w:rPr>
        <w:t>80%③照相机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5"/>
          <w:sz w:val="24"/>
          <w:szCs w:val="24"/>
          <w:highlight w:val="none"/>
        </w:rPr>
        <w:t>100%，视野≥25mm；</w:t>
      </w:r>
    </w:p>
    <w:p w14:paraId="5AB5423B">
      <w:pPr>
        <w:spacing w:before="1" w:line="411" w:lineRule="auto"/>
        <w:ind w:left="6" w:right="7" w:hanging="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2.4.照明装置：内置透射光柯勒照明器，LED</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1"/>
          <w:sz w:val="24"/>
          <w:szCs w:val="24"/>
          <w:highlight w:val="none"/>
        </w:rPr>
        <w:t>光源</w:t>
      </w:r>
      <w:r>
        <w:rPr>
          <w:rFonts w:hint="eastAsia" w:ascii="仿宋" w:hAnsi="仿宋" w:eastAsia="仿宋" w:cs="仿宋"/>
          <w:color w:val="auto"/>
          <w:spacing w:val="-2"/>
          <w:sz w:val="24"/>
          <w:szCs w:val="24"/>
          <w:highlight w:val="none"/>
        </w:rPr>
        <w:t>寿命≥50000</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2"/>
          <w:sz w:val="24"/>
          <w:szCs w:val="24"/>
          <w:highlight w:val="none"/>
        </w:rPr>
        <w:t>小时，具备光强</w:t>
      </w:r>
      <w:r>
        <w:rPr>
          <w:rFonts w:hint="eastAsia" w:ascii="仿宋" w:hAnsi="仿宋" w:eastAsia="仿宋" w:cs="仿宋"/>
          <w:color w:val="auto"/>
          <w:spacing w:val="-4"/>
          <w:sz w:val="24"/>
          <w:szCs w:val="24"/>
          <w:highlight w:val="none"/>
        </w:rPr>
        <w:t>预设开关。</w:t>
      </w:r>
    </w:p>
    <w:p w14:paraId="3827D88B">
      <w:pPr>
        <w:spacing w:before="1"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2.5.物镜：平场消色差物镜</w:t>
      </w:r>
    </w:p>
    <w:p w14:paraId="2F15B880">
      <w:pPr>
        <w:spacing w:before="288" w:line="227" w:lineRule="auto"/>
        <w:ind w:left="835"/>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4X（N.A.</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4"/>
          <w:sz w:val="24"/>
          <w:szCs w:val="24"/>
          <w:highlight w:val="none"/>
        </w:rPr>
        <w:t>≥0.1，W.D.</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4"/>
          <w:sz w:val="24"/>
          <w:szCs w:val="24"/>
          <w:highlight w:val="none"/>
        </w:rPr>
        <w:t>≥18.4）</w:t>
      </w:r>
    </w:p>
    <w:p w14:paraId="5A79A018">
      <w:pPr>
        <w:spacing w:before="280" w:line="227" w:lineRule="auto"/>
        <w:ind w:left="857"/>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10X（N.A.</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5"/>
          <w:sz w:val="24"/>
          <w:szCs w:val="24"/>
          <w:highlight w:val="none"/>
        </w:rPr>
        <w:t>≥0.25，W.D.</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5"/>
          <w:sz w:val="24"/>
          <w:szCs w:val="24"/>
          <w:highlight w:val="none"/>
        </w:rPr>
        <w:t>≥10.5）</w:t>
      </w:r>
    </w:p>
    <w:p w14:paraId="3A5F67C6">
      <w:pPr>
        <w:spacing w:before="281" w:line="411" w:lineRule="auto"/>
        <w:ind w:left="835" w:right="4087" w:firstLine="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20X（N.A.</w:t>
      </w:r>
      <w:r>
        <w:rPr>
          <w:rFonts w:hint="eastAsia" w:ascii="仿宋" w:hAnsi="仿宋" w:eastAsia="仿宋" w:cs="仿宋"/>
          <w:color w:val="auto"/>
          <w:spacing w:val="-98"/>
          <w:sz w:val="24"/>
          <w:szCs w:val="24"/>
          <w:highlight w:val="none"/>
        </w:rPr>
        <w:t xml:space="preserve"> </w:t>
      </w:r>
      <w:r>
        <w:rPr>
          <w:rFonts w:hint="eastAsia" w:ascii="仿宋" w:hAnsi="仿宋" w:eastAsia="仿宋" w:cs="仿宋"/>
          <w:color w:val="auto"/>
          <w:spacing w:val="-4"/>
          <w:sz w:val="24"/>
          <w:szCs w:val="24"/>
          <w:highlight w:val="none"/>
        </w:rPr>
        <w:t>≥0.40，W.D.</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≥1.2spring）</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4"/>
          <w:sz w:val="24"/>
          <w:szCs w:val="24"/>
          <w:highlight w:val="none"/>
        </w:rPr>
        <w:t>40X（N.A.</w:t>
      </w:r>
      <w:r>
        <w:rPr>
          <w:rFonts w:hint="eastAsia" w:ascii="仿宋" w:hAnsi="仿宋" w:eastAsia="仿宋" w:cs="仿宋"/>
          <w:color w:val="auto"/>
          <w:spacing w:val="-94"/>
          <w:sz w:val="24"/>
          <w:szCs w:val="24"/>
          <w:highlight w:val="none"/>
        </w:rPr>
        <w:t xml:space="preserve"> </w:t>
      </w:r>
      <w:r>
        <w:rPr>
          <w:rFonts w:hint="eastAsia" w:ascii="仿宋" w:hAnsi="仿宋" w:eastAsia="仿宋" w:cs="仿宋"/>
          <w:color w:val="auto"/>
          <w:spacing w:val="-4"/>
          <w:sz w:val="24"/>
          <w:szCs w:val="24"/>
          <w:highlight w:val="none"/>
        </w:rPr>
        <w:t>≥0.65，W.D.</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≥0.6spring）</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100X（N.A.1.25W.D0.13mm）</w:t>
      </w:r>
    </w:p>
    <w:p w14:paraId="08A12FBA">
      <w:pPr>
        <w:spacing w:before="1"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2.6.载物台：载物台旋转角度≥250</w:t>
      </w:r>
      <w:r>
        <w:rPr>
          <w:rFonts w:hint="eastAsia" w:ascii="仿宋" w:hAnsi="仿宋" w:eastAsia="仿宋" w:cs="仿宋"/>
          <w:color w:val="auto"/>
          <w:spacing w:val="-98"/>
          <w:sz w:val="24"/>
          <w:szCs w:val="24"/>
          <w:highlight w:val="none"/>
        </w:rPr>
        <w:t xml:space="preserve"> </w:t>
      </w:r>
      <w:r>
        <w:rPr>
          <w:rFonts w:hint="eastAsia" w:ascii="仿宋" w:hAnsi="仿宋" w:eastAsia="仿宋" w:cs="仿宋"/>
          <w:color w:val="auto"/>
          <w:spacing w:val="-1"/>
          <w:sz w:val="24"/>
          <w:szCs w:val="24"/>
          <w:highlight w:val="none"/>
        </w:rPr>
        <w:t>°</w:t>
      </w:r>
    </w:p>
    <w:p w14:paraId="7622EB51">
      <w:pPr>
        <w:spacing w:before="291" w:line="221"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2.7.</w:t>
      </w:r>
      <w:r>
        <w:rPr>
          <w:rFonts w:hint="eastAsia" w:ascii="仿宋" w:hAnsi="仿宋" w:eastAsia="仿宋" w:cs="仿宋"/>
          <w:color w:val="auto"/>
          <w:spacing w:val="-73"/>
          <w:sz w:val="24"/>
          <w:szCs w:val="24"/>
          <w:highlight w:val="none"/>
        </w:rPr>
        <w:t xml:space="preserve"> </w:t>
      </w:r>
      <w:r>
        <w:rPr>
          <w:rFonts w:hint="eastAsia" w:ascii="仿宋" w:hAnsi="仿宋" w:eastAsia="仿宋" w:cs="仿宋"/>
          <w:color w:val="auto"/>
          <w:spacing w:val="-4"/>
          <w:sz w:val="24"/>
          <w:szCs w:val="24"/>
          <w:highlight w:val="none"/>
        </w:rPr>
        <w:t>目镜：10X</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宽视野目镜，屈光度可调，可依据实验</w:t>
      </w:r>
      <w:r>
        <w:rPr>
          <w:rFonts w:hint="eastAsia" w:ascii="仿宋" w:hAnsi="仿宋" w:eastAsia="仿宋" w:cs="仿宋"/>
          <w:color w:val="auto"/>
          <w:spacing w:val="-5"/>
          <w:sz w:val="24"/>
          <w:szCs w:val="24"/>
          <w:highlight w:val="none"/>
        </w:rPr>
        <w:t>者视力随意调节清晰度；</w:t>
      </w:r>
    </w:p>
    <w:p w14:paraId="1FEA2241">
      <w:pPr>
        <w:spacing w:before="289"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2.8.物镜转换器：</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4"/>
          <w:sz w:val="24"/>
          <w:szCs w:val="24"/>
          <w:highlight w:val="none"/>
        </w:rPr>
        <w:t>≥5</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孔物镜转盘。</w:t>
      </w:r>
    </w:p>
    <w:p w14:paraId="0B38A0FD">
      <w:pPr>
        <w:spacing w:before="29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2.9.聚光镜：阿贝聚光镜，N.A.</w:t>
      </w:r>
      <w:r>
        <w:rPr>
          <w:rFonts w:hint="eastAsia" w:ascii="仿宋" w:hAnsi="仿宋" w:eastAsia="仿宋" w:cs="仿宋"/>
          <w:color w:val="auto"/>
          <w:spacing w:val="-92"/>
          <w:sz w:val="24"/>
          <w:szCs w:val="24"/>
          <w:highlight w:val="none"/>
        </w:rPr>
        <w:t xml:space="preserve"> </w:t>
      </w:r>
      <w:r>
        <w:rPr>
          <w:rFonts w:hint="eastAsia" w:ascii="仿宋" w:hAnsi="仿宋" w:eastAsia="仿宋" w:cs="仿宋"/>
          <w:color w:val="auto"/>
          <w:spacing w:val="-2"/>
          <w:sz w:val="24"/>
          <w:szCs w:val="24"/>
          <w:highlight w:val="none"/>
        </w:rPr>
        <w:t>≥1.1，视野数≥22mm</w:t>
      </w:r>
    </w:p>
    <w:p w14:paraId="08723A04">
      <w:pPr>
        <w:spacing w:before="288"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3、显微摄像系统：</w:t>
      </w:r>
    </w:p>
    <w:p w14:paraId="15025A02">
      <w:pPr>
        <w:spacing w:before="9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3.1、摄像系统像素：</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≥800</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万像素。</w:t>
      </w:r>
    </w:p>
    <w:p w14:paraId="5DBC39B4">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3.2、图像传感器：1/2.5"彩色</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CMOS</w:t>
      </w:r>
      <w:r>
        <w:rPr>
          <w:rFonts w:hint="eastAsia" w:ascii="仿宋" w:hAnsi="仿宋" w:eastAsia="仿宋" w:cs="仿宋"/>
          <w:color w:val="auto"/>
          <w:spacing w:val="-26"/>
          <w:sz w:val="24"/>
          <w:szCs w:val="24"/>
          <w:highlight w:val="none"/>
        </w:rPr>
        <w:t xml:space="preserve"> </w:t>
      </w:r>
      <w:r>
        <w:rPr>
          <w:rFonts w:hint="eastAsia" w:ascii="仿宋" w:hAnsi="仿宋" w:eastAsia="仿宋" w:cs="仿宋"/>
          <w:color w:val="auto"/>
          <w:spacing w:val="-3"/>
          <w:sz w:val="24"/>
          <w:szCs w:val="24"/>
          <w:highlight w:val="none"/>
        </w:rPr>
        <w:t>图像传感器。</w:t>
      </w:r>
    </w:p>
    <w:p w14:paraId="1FE099FF">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3.3、像素尺寸：1.62um   X1.62um</w:t>
      </w:r>
    </w:p>
    <w:p w14:paraId="2E29D39F">
      <w:pPr>
        <w:spacing w:before="287" w:line="222" w:lineRule="auto"/>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3.4、</w:t>
      </w:r>
      <w:r>
        <w:rPr>
          <w:rFonts w:hint="eastAsia" w:ascii="仿宋" w:hAnsi="仿宋" w:eastAsia="仿宋" w:cs="仿宋"/>
          <w:color w:val="auto"/>
          <w:spacing w:val="-69"/>
          <w:sz w:val="24"/>
          <w:szCs w:val="24"/>
          <w:highlight w:val="none"/>
        </w:rPr>
        <w:t xml:space="preserve"> </w:t>
      </w:r>
      <w:r>
        <w:rPr>
          <w:rFonts w:hint="eastAsia" w:ascii="仿宋" w:hAnsi="仿宋" w:eastAsia="仿宋" w:cs="仿宋"/>
          <w:color w:val="auto"/>
          <w:spacing w:val="-12"/>
          <w:sz w:val="24"/>
          <w:szCs w:val="24"/>
          <w:highlight w:val="none"/>
        </w:rPr>
        <w:t>白平衡：</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2"/>
          <w:sz w:val="24"/>
          <w:szCs w:val="24"/>
          <w:highlight w:val="none"/>
        </w:rPr>
        <w:t>自动/手动</w:t>
      </w:r>
    </w:p>
    <w:p w14:paraId="420E3DBA">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3.5、自动曝光控制：自动/手动，软件可锁定曝光参数，断电可保存参数</w:t>
      </w:r>
    </w:p>
    <w:p w14:paraId="7B8AECAC">
      <w:pPr>
        <w:spacing w:before="290"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3.6、供电电源：</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4"/>
          <w:sz w:val="24"/>
          <w:szCs w:val="24"/>
          <w:highlight w:val="none"/>
        </w:rPr>
        <w:t>≥USB2.0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供电。</w:t>
      </w:r>
    </w:p>
    <w:p w14:paraId="64E0DCEF">
      <w:pPr>
        <w:spacing w:before="284"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3.7、可编程控制：图像尺寸、亮度、增益、曝光时间。</w:t>
      </w:r>
    </w:p>
    <w:p w14:paraId="680779AA">
      <w:pPr>
        <w:spacing w:before="288" w:line="222"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3.8、显微软件：图像显示、图像处理、录像等。</w:t>
      </w:r>
    </w:p>
    <w:p w14:paraId="29BE6233">
      <w:pPr>
        <w:spacing w:before="288" w:line="222" w:lineRule="auto"/>
        <w:ind w:left="250"/>
        <w:rPr>
          <w:rFonts w:hint="eastAsia" w:ascii="仿宋" w:hAnsi="仿宋" w:eastAsia="仿宋" w:cs="仿宋"/>
          <w:color w:val="auto"/>
          <w:spacing w:val="-1"/>
          <w:sz w:val="24"/>
          <w:szCs w:val="24"/>
          <w:highlight w:val="none"/>
        </w:rPr>
      </w:pPr>
    </w:p>
    <w:p w14:paraId="51C8A07E">
      <w:pPr>
        <w:spacing w:before="91" w:line="224" w:lineRule="auto"/>
        <w:ind w:left="3305"/>
        <w:outlineLvl w:val="0"/>
        <w:rPr>
          <w:rFonts w:hint="eastAsia" w:ascii="仿宋" w:hAnsi="仿宋" w:eastAsia="仿宋" w:cs="仿宋"/>
          <w:b/>
          <w:bCs/>
          <w:color w:val="auto"/>
          <w:spacing w:val="-5"/>
          <w:sz w:val="24"/>
          <w:szCs w:val="24"/>
          <w:highlight w:val="none"/>
          <w:lang w:val="en-US" w:eastAsia="zh-CN"/>
        </w:rPr>
      </w:pPr>
      <w:bookmarkStart w:id="559" w:name="_Toc20741"/>
      <w:bookmarkStart w:id="560" w:name="_Toc30416"/>
      <w:bookmarkStart w:id="561" w:name="_Toc16559"/>
      <w:r>
        <w:rPr>
          <w:rFonts w:hint="eastAsia" w:ascii="仿宋" w:hAnsi="仿宋" w:eastAsia="仿宋" w:cs="仿宋"/>
          <w:b/>
          <w:bCs/>
          <w:color w:val="auto"/>
          <w:spacing w:val="-5"/>
          <w:sz w:val="24"/>
          <w:szCs w:val="24"/>
          <w:highlight w:val="none"/>
          <w:lang w:val="en-US" w:eastAsia="zh-CN"/>
        </w:rPr>
        <w:t>14.超声治疗仪</w:t>
      </w:r>
      <w:bookmarkEnd w:id="559"/>
      <w:bookmarkEnd w:id="560"/>
      <w:bookmarkEnd w:id="561"/>
    </w:p>
    <w:p w14:paraId="6A11CFB4">
      <w:pPr>
        <w:spacing w:before="9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1.波束类型：会聚型</w:t>
      </w:r>
    </w:p>
    <w:p w14:paraId="62D2F6E8">
      <w:pPr>
        <w:spacing w:before="289"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2.超声输出方式：脉冲式</w:t>
      </w:r>
    </w:p>
    <w:p w14:paraId="0FEFBD95">
      <w:pPr>
        <w:spacing w:before="285"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3.同时同时具备声工作频率：4MHz、6.5Mhz（允差±15%）</w:t>
      </w:r>
    </w:p>
    <w:p w14:paraId="72BF6DD1">
      <w:pPr>
        <w:spacing w:before="289"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4.焦平面距离：2.0mm、3.0mm、4.5mm</w:t>
      </w:r>
    </w:p>
    <w:p w14:paraId="57464EB9">
      <w:pPr>
        <w:spacing w:before="286"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5.输出声功率：</w:t>
      </w:r>
      <w:r>
        <w:rPr>
          <w:rFonts w:hint="eastAsia" w:ascii="仿宋" w:hAnsi="仿宋" w:eastAsia="仿宋" w:cs="仿宋"/>
          <w:color w:val="auto"/>
          <w:spacing w:val="-89"/>
          <w:sz w:val="24"/>
          <w:szCs w:val="24"/>
          <w:highlight w:val="none"/>
        </w:rPr>
        <w:t xml:space="preserve"> </w:t>
      </w:r>
      <w:r>
        <w:rPr>
          <w:rFonts w:hint="eastAsia" w:ascii="仿宋" w:hAnsi="仿宋" w:eastAsia="仿宋" w:cs="仿宋"/>
          <w:color w:val="auto"/>
          <w:spacing w:val="-4"/>
          <w:sz w:val="24"/>
          <w:szCs w:val="24"/>
          <w:highlight w:val="none"/>
        </w:rPr>
        <w:t>≥8W，可分档调节</w:t>
      </w:r>
    </w:p>
    <w:p w14:paraId="6A9CFA9A">
      <w:pPr>
        <w:spacing w:before="288" w:line="411" w:lineRule="auto"/>
        <w:ind w:left="10" w:hanging="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6.输出声功率的时间稳定性：设备连续工作约0.5</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小时内，额定输出声功率的变化应≤±20%</w:t>
      </w:r>
    </w:p>
    <w:p w14:paraId="472FA8C4">
      <w:pPr>
        <w:spacing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7.具备定时器功能，在预定时间到达后停止治疗头超声输出并给出指示信息</w:t>
      </w:r>
    </w:p>
    <w:p w14:paraId="5DBE7CFC">
      <w:pPr>
        <w:spacing w:before="290"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8.输出指示：功率指示值与实际值偏差≤±20%</w:t>
      </w:r>
    </w:p>
    <w:p w14:paraId="3D93ECEB">
      <w:pPr>
        <w:pStyle w:val="11"/>
        <w:spacing w:before="285"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9.侧壁不需要的超声辐射：</w:t>
      </w:r>
      <w:r>
        <w:rPr>
          <w:rFonts w:hint="eastAsia" w:ascii="仿宋" w:hAnsi="仿宋" w:eastAsia="仿宋" w:cs="仿宋"/>
          <w:color w:val="auto"/>
          <w:spacing w:val="-106"/>
          <w:sz w:val="24"/>
          <w:szCs w:val="24"/>
          <w:highlight w:val="none"/>
        </w:rPr>
        <w:t xml:space="preserve"> </w:t>
      </w:r>
      <w:r>
        <w:rPr>
          <w:rFonts w:hint="eastAsia" w:ascii="仿宋" w:hAnsi="仿宋" w:eastAsia="仿宋" w:cs="仿宋"/>
          <w:color w:val="auto"/>
          <w:spacing w:val="-2"/>
          <w:sz w:val="24"/>
          <w:szCs w:val="24"/>
          <w:highlight w:val="none"/>
        </w:rPr>
        <w:t>≤100mW/cm2</w:t>
      </w:r>
    </w:p>
    <w:p w14:paraId="5E46DA64">
      <w:pPr>
        <w:spacing w:before="288"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10.治疗头超温：≤41℃</w:t>
      </w:r>
    </w:p>
    <w:p w14:paraId="2D09D0A9">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11.噪声：≤65dB</w:t>
      </w:r>
      <w:r>
        <w:rPr>
          <w:rFonts w:hint="eastAsia" w:ascii="仿宋" w:hAnsi="仿宋" w:eastAsia="仿宋" w:cs="仿宋"/>
          <w:color w:val="auto"/>
          <w:spacing w:val="-74"/>
          <w:sz w:val="24"/>
          <w:szCs w:val="24"/>
          <w:highlight w:val="none"/>
        </w:rPr>
        <w:t xml:space="preserve"> </w:t>
      </w:r>
      <w:r>
        <w:rPr>
          <w:rFonts w:hint="eastAsia" w:ascii="仿宋" w:hAnsi="仿宋" w:eastAsia="仿宋" w:cs="仿宋"/>
          <w:color w:val="auto"/>
          <w:spacing w:val="-7"/>
          <w:sz w:val="24"/>
          <w:szCs w:val="24"/>
          <w:highlight w:val="none"/>
        </w:rPr>
        <w:t>(A)</w:t>
      </w:r>
    </w:p>
    <w:p w14:paraId="74597264">
      <w:pPr>
        <w:spacing w:before="285"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12.脚踏开关防进液的防护程度：IPX8</w:t>
      </w:r>
    </w:p>
    <w:p w14:paraId="3B2225BA">
      <w:pPr>
        <w:spacing w:before="289"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13.治疗手柄治疗头可作用深度：2.0mm、3.0mm、4.5mm</w:t>
      </w:r>
    </w:p>
    <w:p w14:paraId="6DA22E88">
      <w:pPr>
        <w:spacing w:before="289"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14.治疗手柄具备自动检测功能，手柄停止运动立即停止输出超声能量</w:t>
      </w:r>
    </w:p>
    <w:p w14:paraId="72A0E222">
      <w:pPr>
        <w:spacing w:before="288"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15.治疗头发数：单个超声刀治疗头≥4</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3"/>
          <w:sz w:val="24"/>
          <w:szCs w:val="24"/>
          <w:highlight w:val="none"/>
        </w:rPr>
        <w:t>万发</w:t>
      </w:r>
    </w:p>
    <w:p w14:paraId="4637C2E8">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16.治疗头发数：单个治疗头为≥45</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pacing w:val="-3"/>
          <w:sz w:val="24"/>
          <w:szCs w:val="24"/>
          <w:highlight w:val="none"/>
        </w:rPr>
        <w:t>万发</w:t>
      </w:r>
    </w:p>
    <w:p w14:paraId="0E84F360">
      <w:pPr>
        <w:spacing w:before="288"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17.支持设置开机密码</w:t>
      </w:r>
    </w:p>
    <w:p w14:paraId="61C1F647">
      <w:pPr>
        <w:spacing w:before="286"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18.系统支持创建和管理患者档案，可记录并查看历史治疗信息</w:t>
      </w:r>
    </w:p>
    <w:p w14:paraId="0EAC2EEF">
      <w:pPr>
        <w:pStyle w:val="11"/>
        <w:spacing w:before="285" w:line="222" w:lineRule="auto"/>
        <w:ind w:left="2"/>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19.治疗界面可调节参数包括输出功率、治疗点间隔、治疗线长度、治疗时间等</w:t>
      </w:r>
    </w:p>
    <w:p w14:paraId="1CE99AC0">
      <w:pPr>
        <w:pStyle w:val="11"/>
        <w:spacing w:before="285" w:line="222" w:lineRule="auto"/>
        <w:ind w:left="2"/>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20.主机最多可同时连接并识别≥3 把治疗手柄</w:t>
      </w:r>
    </w:p>
    <w:p w14:paraId="62BD1C7B">
      <w:pPr>
        <w:pStyle w:val="11"/>
        <w:spacing w:before="285" w:line="222" w:lineRule="auto"/>
        <w:ind w:left="2"/>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21.手柄治疗模式模式： ≥4 种</w:t>
      </w:r>
    </w:p>
    <w:p w14:paraId="52194EB3">
      <w:pPr>
        <w:pStyle w:val="11"/>
        <w:spacing w:before="285" w:line="222" w:lineRule="auto"/>
        <w:ind w:left="2"/>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22.手柄治疗频率： ≥30Hz</w:t>
      </w:r>
    </w:p>
    <w:p w14:paraId="4ACE5BAB">
      <w:pPr>
        <w:pStyle w:val="11"/>
        <w:spacing w:before="285" w:line="222" w:lineRule="auto"/>
        <w:ind w:left="2"/>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23.手柄支持单发治疗模式</w:t>
      </w:r>
    </w:p>
    <w:p w14:paraId="54C3DAA2">
      <w:pPr>
        <w:spacing w:before="288"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24.主机与移动台车为分体式设计</w:t>
      </w:r>
    </w:p>
    <w:p w14:paraId="1D071684">
      <w:pPr>
        <w:spacing w:before="290"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25.主机配备≥15</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英寸彩色触摸显示屏</w:t>
      </w:r>
    </w:p>
    <w:p w14:paraId="6F97EEBB">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26.使用年限：</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5"/>
          <w:sz w:val="24"/>
          <w:szCs w:val="24"/>
          <w:highlight w:val="none"/>
        </w:rPr>
        <w:t>≥10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年</w:t>
      </w:r>
    </w:p>
    <w:p w14:paraId="55BF6EE3">
      <w:pPr>
        <w:spacing w:before="286" w:line="223" w:lineRule="auto"/>
        <w:ind w:left="4598"/>
        <w:rPr>
          <w:rFonts w:hint="eastAsia" w:ascii="仿宋" w:hAnsi="仿宋" w:eastAsia="仿宋" w:cs="仿宋"/>
          <w:color w:val="auto"/>
          <w:sz w:val="24"/>
          <w:szCs w:val="24"/>
          <w:highlight w:val="none"/>
        </w:rPr>
      </w:pPr>
      <w:r>
        <w:rPr>
          <w:rFonts w:hint="eastAsia" w:ascii="仿宋" w:hAnsi="仿宋" w:eastAsia="仿宋" w:cs="仿宋"/>
          <w:b/>
          <w:bCs/>
          <w:color w:val="auto"/>
          <w:spacing w:val="-8"/>
          <w:sz w:val="24"/>
          <w:szCs w:val="24"/>
          <w:highlight w:val="none"/>
        </w:rPr>
        <w:t>配置要求</w:t>
      </w:r>
    </w:p>
    <w:p w14:paraId="16EB4F28">
      <w:pPr>
        <w:spacing w:line="113" w:lineRule="exact"/>
        <w:rPr>
          <w:rFonts w:hint="eastAsia" w:ascii="仿宋" w:hAnsi="仿宋" w:eastAsia="仿宋" w:cs="仿宋"/>
          <w:color w:val="auto"/>
          <w:sz w:val="24"/>
          <w:szCs w:val="24"/>
          <w:highlight w:val="none"/>
        </w:rPr>
      </w:pPr>
    </w:p>
    <w:tbl>
      <w:tblPr>
        <w:tblStyle w:val="189"/>
        <w:tblW w:w="493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12"/>
        <w:gridCol w:w="6666"/>
        <w:gridCol w:w="1545"/>
      </w:tblGrid>
      <w:tr w14:paraId="6DB20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trPr>
        <w:tc>
          <w:tcPr>
            <w:tcW w:w="689" w:type="pct"/>
            <w:vAlign w:val="center"/>
          </w:tcPr>
          <w:p w14:paraId="29023147">
            <w:pPr>
              <w:pStyle w:val="188"/>
              <w:spacing w:before="177" w:line="223" w:lineRule="auto"/>
              <w:ind w:left="22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序号</w:t>
            </w:r>
          </w:p>
        </w:tc>
        <w:tc>
          <w:tcPr>
            <w:tcW w:w="3499" w:type="pct"/>
            <w:vAlign w:val="center"/>
          </w:tcPr>
          <w:p w14:paraId="2319D536">
            <w:pPr>
              <w:pStyle w:val="188"/>
              <w:spacing w:before="176" w:line="222" w:lineRule="auto"/>
              <w:ind w:left="1921"/>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部件名称</w:t>
            </w:r>
          </w:p>
        </w:tc>
        <w:tc>
          <w:tcPr>
            <w:tcW w:w="811" w:type="pct"/>
            <w:vAlign w:val="center"/>
          </w:tcPr>
          <w:p w14:paraId="621F1011">
            <w:pPr>
              <w:pStyle w:val="188"/>
              <w:spacing w:before="176" w:line="224" w:lineRule="auto"/>
              <w:ind w:left="305"/>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数量</w:t>
            </w:r>
          </w:p>
        </w:tc>
      </w:tr>
      <w:tr w14:paraId="612D3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689" w:type="pct"/>
            <w:vAlign w:val="center"/>
          </w:tcPr>
          <w:p w14:paraId="4CF4B17C">
            <w:pPr>
              <w:pStyle w:val="188"/>
              <w:spacing w:before="172" w:line="369" w:lineRule="exact"/>
              <w:ind w:left="446"/>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c>
          <w:tcPr>
            <w:tcW w:w="3499" w:type="pct"/>
            <w:vAlign w:val="center"/>
          </w:tcPr>
          <w:p w14:paraId="07681622">
            <w:pPr>
              <w:pStyle w:val="188"/>
              <w:spacing w:before="172" w:line="223" w:lineRule="auto"/>
              <w:ind w:left="2211"/>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主机</w:t>
            </w:r>
          </w:p>
        </w:tc>
        <w:tc>
          <w:tcPr>
            <w:tcW w:w="811" w:type="pct"/>
            <w:vAlign w:val="center"/>
          </w:tcPr>
          <w:p w14:paraId="38789293">
            <w:pPr>
              <w:pStyle w:val="188"/>
              <w:spacing w:before="171" w:line="222"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台</w:t>
            </w:r>
          </w:p>
        </w:tc>
      </w:tr>
      <w:tr w14:paraId="5FFED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689" w:type="pct"/>
            <w:vAlign w:val="center"/>
          </w:tcPr>
          <w:p w14:paraId="6389ABC8">
            <w:pPr>
              <w:pStyle w:val="188"/>
              <w:spacing w:before="173" w:line="368" w:lineRule="exact"/>
              <w:ind w:left="42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2</w:t>
            </w:r>
          </w:p>
        </w:tc>
        <w:tc>
          <w:tcPr>
            <w:tcW w:w="3499" w:type="pct"/>
            <w:vAlign w:val="center"/>
          </w:tcPr>
          <w:p w14:paraId="3B6CA2D4">
            <w:pPr>
              <w:pStyle w:val="188"/>
              <w:spacing w:before="173" w:line="220" w:lineRule="auto"/>
              <w:ind w:left="222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台车</w:t>
            </w:r>
          </w:p>
        </w:tc>
        <w:tc>
          <w:tcPr>
            <w:tcW w:w="811" w:type="pct"/>
            <w:vAlign w:val="center"/>
          </w:tcPr>
          <w:p w14:paraId="0EC0BDA6">
            <w:pPr>
              <w:pStyle w:val="188"/>
              <w:spacing w:before="172" w:line="222"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台</w:t>
            </w:r>
          </w:p>
        </w:tc>
      </w:tr>
      <w:tr w14:paraId="07C3F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689" w:type="pct"/>
            <w:vAlign w:val="center"/>
          </w:tcPr>
          <w:p w14:paraId="19956CB0">
            <w:pPr>
              <w:pStyle w:val="188"/>
              <w:spacing w:before="173" w:line="242" w:lineRule="auto"/>
              <w:ind w:left="43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3</w:t>
            </w:r>
          </w:p>
        </w:tc>
        <w:tc>
          <w:tcPr>
            <w:tcW w:w="3499" w:type="pct"/>
            <w:vAlign w:val="center"/>
          </w:tcPr>
          <w:p w14:paraId="79295F37">
            <w:pPr>
              <w:pStyle w:val="188"/>
              <w:spacing w:before="172" w:line="222" w:lineRule="auto"/>
              <w:ind w:left="1647"/>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单点手柄支架</w:t>
            </w:r>
          </w:p>
        </w:tc>
        <w:tc>
          <w:tcPr>
            <w:tcW w:w="811" w:type="pct"/>
            <w:vAlign w:val="center"/>
          </w:tcPr>
          <w:p w14:paraId="74B75F77">
            <w:pPr>
              <w:pStyle w:val="188"/>
              <w:spacing w:before="173" w:line="224"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个</w:t>
            </w:r>
          </w:p>
        </w:tc>
      </w:tr>
      <w:tr w14:paraId="46042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689" w:type="pct"/>
            <w:vAlign w:val="center"/>
          </w:tcPr>
          <w:p w14:paraId="0E8331DB">
            <w:pPr>
              <w:pStyle w:val="188"/>
              <w:spacing w:before="176" w:line="369" w:lineRule="exact"/>
              <w:ind w:left="42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4</w:t>
            </w:r>
          </w:p>
        </w:tc>
        <w:tc>
          <w:tcPr>
            <w:tcW w:w="3499" w:type="pct"/>
            <w:vAlign w:val="center"/>
          </w:tcPr>
          <w:p w14:paraId="52596287">
            <w:pPr>
              <w:pStyle w:val="188"/>
              <w:spacing w:before="177" w:line="222" w:lineRule="auto"/>
              <w:ind w:left="165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线式手柄支架</w:t>
            </w:r>
          </w:p>
        </w:tc>
        <w:tc>
          <w:tcPr>
            <w:tcW w:w="811" w:type="pct"/>
            <w:vAlign w:val="center"/>
          </w:tcPr>
          <w:p w14:paraId="56514528">
            <w:pPr>
              <w:pStyle w:val="188"/>
              <w:spacing w:before="176" w:line="224"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个</w:t>
            </w:r>
          </w:p>
        </w:tc>
      </w:tr>
      <w:tr w14:paraId="4A82F3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689" w:type="pct"/>
            <w:vAlign w:val="center"/>
          </w:tcPr>
          <w:p w14:paraId="56F7DD10">
            <w:pPr>
              <w:pStyle w:val="188"/>
              <w:spacing w:before="176" w:line="242" w:lineRule="auto"/>
              <w:ind w:left="43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5</w:t>
            </w:r>
          </w:p>
        </w:tc>
        <w:tc>
          <w:tcPr>
            <w:tcW w:w="3499" w:type="pct"/>
            <w:vAlign w:val="center"/>
          </w:tcPr>
          <w:p w14:paraId="29C0D0B8">
            <w:pPr>
              <w:pStyle w:val="188"/>
              <w:spacing w:before="176" w:line="221" w:lineRule="auto"/>
              <w:ind w:left="164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脚踏开关组件</w:t>
            </w:r>
          </w:p>
        </w:tc>
        <w:tc>
          <w:tcPr>
            <w:tcW w:w="811" w:type="pct"/>
            <w:vAlign w:val="center"/>
          </w:tcPr>
          <w:p w14:paraId="216D7B29">
            <w:pPr>
              <w:pStyle w:val="188"/>
              <w:spacing w:before="176" w:line="227"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套</w:t>
            </w:r>
          </w:p>
        </w:tc>
      </w:tr>
      <w:tr w14:paraId="245B7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689" w:type="pct"/>
            <w:vAlign w:val="center"/>
          </w:tcPr>
          <w:p w14:paraId="0AE140D7">
            <w:pPr>
              <w:pStyle w:val="188"/>
              <w:spacing w:before="176" w:line="242" w:lineRule="auto"/>
              <w:ind w:left="427"/>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6</w:t>
            </w:r>
          </w:p>
        </w:tc>
        <w:tc>
          <w:tcPr>
            <w:tcW w:w="3499" w:type="pct"/>
            <w:vAlign w:val="center"/>
          </w:tcPr>
          <w:p w14:paraId="2D71DE29">
            <w:pPr>
              <w:pStyle w:val="188"/>
              <w:spacing w:before="177" w:line="222" w:lineRule="auto"/>
              <w:ind w:left="1503" w:firstLine="476" w:firstLineChars="20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治疗手柄</w:t>
            </w:r>
          </w:p>
        </w:tc>
        <w:tc>
          <w:tcPr>
            <w:tcW w:w="811" w:type="pct"/>
            <w:vAlign w:val="center"/>
          </w:tcPr>
          <w:p w14:paraId="3113EE2F">
            <w:pPr>
              <w:pStyle w:val="188"/>
              <w:spacing w:before="176" w:line="224"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个</w:t>
            </w:r>
          </w:p>
        </w:tc>
      </w:tr>
      <w:tr w14:paraId="504C0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689" w:type="pct"/>
            <w:vAlign w:val="center"/>
          </w:tcPr>
          <w:p w14:paraId="7521E900">
            <w:pPr>
              <w:pStyle w:val="188"/>
              <w:spacing w:before="176" w:line="242" w:lineRule="auto"/>
              <w:ind w:left="431"/>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7</w:t>
            </w:r>
          </w:p>
        </w:tc>
        <w:tc>
          <w:tcPr>
            <w:tcW w:w="3499" w:type="pct"/>
            <w:vAlign w:val="center"/>
          </w:tcPr>
          <w:p w14:paraId="315FADA2">
            <w:pPr>
              <w:pStyle w:val="188"/>
              <w:spacing w:before="176" w:line="222" w:lineRule="auto"/>
              <w:ind w:left="1503"/>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超声刀治疗手柄</w:t>
            </w:r>
          </w:p>
        </w:tc>
        <w:tc>
          <w:tcPr>
            <w:tcW w:w="811" w:type="pct"/>
            <w:vAlign w:val="center"/>
          </w:tcPr>
          <w:p w14:paraId="359C3645">
            <w:pPr>
              <w:pStyle w:val="188"/>
              <w:spacing w:before="175" w:line="224"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个</w:t>
            </w:r>
          </w:p>
        </w:tc>
      </w:tr>
      <w:tr w14:paraId="09BB3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689" w:type="pct"/>
            <w:vAlign w:val="center"/>
          </w:tcPr>
          <w:p w14:paraId="1146919C">
            <w:pPr>
              <w:pStyle w:val="188"/>
              <w:spacing w:before="175" w:line="242" w:lineRule="auto"/>
              <w:ind w:left="426"/>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8</w:t>
            </w:r>
          </w:p>
        </w:tc>
        <w:tc>
          <w:tcPr>
            <w:tcW w:w="3499" w:type="pct"/>
            <w:vAlign w:val="center"/>
          </w:tcPr>
          <w:p w14:paraId="46C2198A">
            <w:pPr>
              <w:pStyle w:val="188"/>
              <w:spacing w:before="176" w:line="225" w:lineRule="auto"/>
              <w:ind w:left="209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电源线</w:t>
            </w:r>
          </w:p>
        </w:tc>
        <w:tc>
          <w:tcPr>
            <w:tcW w:w="811" w:type="pct"/>
            <w:vAlign w:val="center"/>
          </w:tcPr>
          <w:p w14:paraId="3E12293F">
            <w:pPr>
              <w:pStyle w:val="188"/>
              <w:spacing w:before="175" w:line="222" w:lineRule="auto"/>
              <w:ind w:left="35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根</w:t>
            </w:r>
          </w:p>
        </w:tc>
      </w:tr>
    </w:tbl>
    <w:p w14:paraId="3FFE1C1F">
      <w:pPr>
        <w:rPr>
          <w:rFonts w:hint="eastAsia" w:ascii="仿宋" w:hAnsi="仿宋" w:eastAsia="仿宋" w:cs="仿宋"/>
          <w:color w:val="auto"/>
          <w:sz w:val="24"/>
          <w:szCs w:val="24"/>
          <w:highlight w:val="none"/>
        </w:rPr>
      </w:pPr>
    </w:p>
    <w:p w14:paraId="0880AD80">
      <w:pPr>
        <w:spacing w:before="91" w:line="223" w:lineRule="auto"/>
        <w:ind w:left="2951" w:firstLine="466" w:firstLineChars="200"/>
        <w:rPr>
          <w:rFonts w:hint="eastAsia" w:ascii="仿宋" w:hAnsi="仿宋" w:eastAsia="仿宋" w:cs="仿宋"/>
          <w:b/>
          <w:bCs/>
          <w:color w:val="auto"/>
          <w:spacing w:val="-4"/>
          <w:sz w:val="24"/>
          <w:szCs w:val="24"/>
          <w:highlight w:val="none"/>
          <w:lang w:val="en-US" w:eastAsia="zh-CN"/>
        </w:rPr>
      </w:pPr>
    </w:p>
    <w:p w14:paraId="7F73792D">
      <w:pPr>
        <w:spacing w:before="91" w:line="223" w:lineRule="auto"/>
        <w:ind w:left="2951" w:firstLine="466"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lang w:val="en-US" w:eastAsia="zh-CN"/>
        </w:rPr>
        <w:t>15.</w:t>
      </w:r>
      <w:r>
        <w:rPr>
          <w:rFonts w:hint="eastAsia" w:ascii="仿宋" w:hAnsi="仿宋" w:eastAsia="仿宋" w:cs="仿宋"/>
          <w:b/>
          <w:bCs/>
          <w:color w:val="auto"/>
          <w:spacing w:val="-4"/>
          <w:sz w:val="24"/>
          <w:szCs w:val="24"/>
          <w:highlight w:val="none"/>
        </w:rPr>
        <w:t>超声疼痛治疗仪参数</w:t>
      </w:r>
    </w:p>
    <w:p w14:paraId="648D2C2C">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1.立式便携全数字超声治疗仪，适用于软组织挫伤的辅助</w:t>
      </w:r>
      <w:r>
        <w:rPr>
          <w:rFonts w:hint="eastAsia" w:ascii="仿宋" w:hAnsi="仿宋" w:eastAsia="仿宋" w:cs="仿宋"/>
          <w:color w:val="auto"/>
          <w:spacing w:val="-2"/>
          <w:sz w:val="24"/>
          <w:szCs w:val="24"/>
          <w:highlight w:val="none"/>
        </w:rPr>
        <w:t>治疗。</w:t>
      </w:r>
    </w:p>
    <w:p w14:paraId="000DABB2">
      <w:pPr>
        <w:spacing w:before="289" w:line="411" w:lineRule="auto"/>
        <w:ind w:left="25" w:right="95" w:hanging="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2.电源适应范围：AC110V～240V，50/60Hz。开关电源，适用于</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5"/>
          <w:sz w:val="24"/>
          <w:szCs w:val="24"/>
          <w:highlight w:val="none"/>
        </w:rPr>
        <w:t>110V-</w:t>
      </w:r>
      <w:r>
        <w:rPr>
          <w:rFonts w:hint="eastAsia" w:ascii="仿宋" w:hAnsi="仿宋" w:eastAsia="仿宋" w:cs="仿宋"/>
          <w:color w:val="auto"/>
          <w:spacing w:val="-6"/>
          <w:sz w:val="24"/>
          <w:szCs w:val="24"/>
          <w:highlight w:val="none"/>
        </w:rPr>
        <w:t>240V</w:t>
      </w:r>
      <w:r>
        <w:rPr>
          <w:rFonts w:hint="eastAsia" w:ascii="仿宋" w:hAnsi="仿宋" w:eastAsia="仿宋" w:cs="仿宋"/>
          <w:color w:val="auto"/>
          <w:spacing w:val="-5"/>
          <w:sz w:val="24"/>
          <w:szCs w:val="24"/>
          <w:highlight w:val="none"/>
        </w:rPr>
        <w:t>的宽电压范围。</w:t>
      </w:r>
    </w:p>
    <w:p w14:paraId="622C06CA">
      <w:pPr>
        <w:spacing w:before="1" w:line="220"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3.功耗：</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3"/>
          <w:sz w:val="24"/>
          <w:szCs w:val="24"/>
          <w:highlight w:val="none"/>
        </w:rPr>
        <w:t>≥200VA，连续工作时间≥8</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小时,使用年限≥10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年。</w:t>
      </w:r>
    </w:p>
    <w:p w14:paraId="75A4A0DF">
      <w:pPr>
        <w:spacing w:before="28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4.彩色医用显示终端：尺寸≥7</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英寸，按键操作。</w:t>
      </w:r>
    </w:p>
    <w:p w14:paraId="1255B10F">
      <w:pPr>
        <w:spacing w:before="289" w:line="411" w:lineRule="auto"/>
        <w:ind w:left="13" w:right="93" w:hanging="7"/>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5.主机探头插</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7"/>
          <w:sz w:val="24"/>
          <w:szCs w:val="24"/>
          <w:highlight w:val="none"/>
        </w:rPr>
        <w:t>口：≥2</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7"/>
          <w:sz w:val="24"/>
          <w:szCs w:val="24"/>
          <w:highlight w:val="none"/>
        </w:rPr>
        <w:t>个。探头支持任意连接每个插</w:t>
      </w:r>
      <w:r>
        <w:rPr>
          <w:rFonts w:hint="eastAsia" w:ascii="仿宋" w:hAnsi="仿宋" w:eastAsia="仿宋" w:cs="仿宋"/>
          <w:color w:val="auto"/>
          <w:spacing w:val="-74"/>
          <w:sz w:val="24"/>
          <w:szCs w:val="24"/>
          <w:highlight w:val="none"/>
        </w:rPr>
        <w:t xml:space="preserve"> </w:t>
      </w:r>
      <w:r>
        <w:rPr>
          <w:rFonts w:hint="eastAsia" w:ascii="仿宋" w:hAnsi="仿宋" w:eastAsia="仿宋" w:cs="仿宋"/>
          <w:color w:val="auto"/>
          <w:spacing w:val="-7"/>
          <w:sz w:val="24"/>
          <w:szCs w:val="24"/>
          <w:highlight w:val="none"/>
        </w:rPr>
        <w:t>口，主机自动识别探</w:t>
      </w:r>
      <w:r>
        <w:rPr>
          <w:rFonts w:hint="eastAsia" w:ascii="仿宋" w:hAnsi="仿宋" w:eastAsia="仿宋" w:cs="仿宋"/>
          <w:color w:val="auto"/>
          <w:spacing w:val="-3"/>
          <w:sz w:val="24"/>
          <w:szCs w:val="24"/>
          <w:highlight w:val="none"/>
        </w:rPr>
        <w:t>头，</w:t>
      </w:r>
      <w:r>
        <w:rPr>
          <w:rFonts w:hint="eastAsia" w:ascii="仿宋" w:hAnsi="仿宋" w:eastAsia="仿宋" w:cs="仿宋"/>
          <w:color w:val="auto"/>
          <w:spacing w:val="-86"/>
          <w:sz w:val="24"/>
          <w:szCs w:val="24"/>
          <w:highlight w:val="none"/>
        </w:rPr>
        <w:t xml:space="preserve"> </w:t>
      </w:r>
      <w:r>
        <w:rPr>
          <w:rFonts w:hint="eastAsia" w:ascii="仿宋" w:hAnsi="仿宋" w:eastAsia="仿宋" w:cs="仿宋"/>
          <w:color w:val="auto"/>
          <w:spacing w:val="-3"/>
          <w:sz w:val="24"/>
          <w:szCs w:val="24"/>
          <w:highlight w:val="none"/>
        </w:rPr>
        <w:t>≥两个探头可同时工作且每个通道参数可以独立调节。</w:t>
      </w:r>
    </w:p>
    <w:p w14:paraId="62D6DC73">
      <w:pPr>
        <w:pStyle w:val="11"/>
        <w:spacing w:before="1" w:line="411" w:lineRule="auto"/>
        <w:ind w:left="13" w:right="93" w:hanging="1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6.治疗探头工作模式：脉冲模式，波束不均匀系数：</w:t>
      </w:r>
      <w:r>
        <w:rPr>
          <w:rFonts w:hint="eastAsia" w:ascii="仿宋" w:hAnsi="仿宋" w:eastAsia="仿宋" w:cs="仿宋"/>
          <w:color w:val="auto"/>
          <w:spacing w:val="-106"/>
          <w:sz w:val="24"/>
          <w:szCs w:val="24"/>
          <w:highlight w:val="none"/>
        </w:rPr>
        <w:t xml:space="preserve"> </w:t>
      </w:r>
      <w:r>
        <w:rPr>
          <w:rFonts w:hint="eastAsia" w:ascii="仿宋" w:hAnsi="仿宋" w:eastAsia="仿宋" w:cs="仿宋"/>
          <w:color w:val="auto"/>
          <w:spacing w:val="-2"/>
          <w:sz w:val="24"/>
          <w:szCs w:val="24"/>
          <w:highlight w:val="none"/>
        </w:rPr>
        <w:t>≤7mW</w:t>
      </w:r>
      <w:r>
        <w:rPr>
          <w:rFonts w:hint="eastAsia" w:ascii="仿宋" w:hAnsi="仿宋" w:eastAsia="仿宋" w:cs="仿宋"/>
          <w:color w:val="auto"/>
          <w:spacing w:val="-3"/>
          <w:sz w:val="24"/>
          <w:szCs w:val="24"/>
          <w:highlight w:val="none"/>
        </w:rPr>
        <w:t>/cm2</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3"/>
          <w:sz w:val="24"/>
          <w:szCs w:val="24"/>
          <w:highlight w:val="none"/>
        </w:rPr>
        <w:t>，超声工</w:t>
      </w:r>
      <w:r>
        <w:rPr>
          <w:rFonts w:hint="eastAsia" w:ascii="仿宋" w:hAnsi="仿宋" w:eastAsia="仿宋" w:cs="仿宋"/>
          <w:color w:val="auto"/>
          <w:spacing w:val="-2"/>
          <w:sz w:val="24"/>
          <w:szCs w:val="24"/>
          <w:highlight w:val="none"/>
        </w:rPr>
        <w:t>作频率：1.0MHz±10%</w:t>
      </w:r>
    </w:p>
    <w:p w14:paraId="264B9386">
      <w:pPr>
        <w:pStyle w:val="11"/>
        <w:spacing w:before="2" w:line="411" w:lineRule="auto"/>
        <w:ind w:left="11" w:right="93" w:hanging="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7.超声输出声强≤3.0W/cm2</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6"/>
          <w:sz w:val="24"/>
          <w:szCs w:val="24"/>
          <w:highlight w:val="none"/>
        </w:rPr>
        <w:t>,双路额定输出功率：≥15W，探</w:t>
      </w:r>
      <w:r>
        <w:rPr>
          <w:rFonts w:hint="eastAsia" w:ascii="仿宋" w:hAnsi="仿宋" w:eastAsia="仿宋" w:cs="仿宋"/>
          <w:color w:val="auto"/>
          <w:spacing w:val="-7"/>
          <w:sz w:val="24"/>
          <w:szCs w:val="24"/>
          <w:highlight w:val="none"/>
        </w:rPr>
        <w:t>头</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7"/>
          <w:sz w:val="24"/>
          <w:szCs w:val="24"/>
          <w:highlight w:val="none"/>
        </w:rPr>
        <w:t>1</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7"/>
          <w:sz w:val="24"/>
          <w:szCs w:val="24"/>
          <w:highlight w:val="none"/>
        </w:rPr>
        <w:t>：有效面</w:t>
      </w:r>
      <w:r>
        <w:rPr>
          <w:rFonts w:hint="eastAsia" w:ascii="仿宋" w:hAnsi="仿宋" w:eastAsia="仿宋" w:cs="仿宋"/>
          <w:color w:val="auto"/>
          <w:spacing w:val="-9"/>
          <w:sz w:val="24"/>
          <w:szCs w:val="24"/>
          <w:highlight w:val="none"/>
        </w:rPr>
        <w:t>积≥6cm2</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9"/>
          <w:sz w:val="24"/>
          <w:szCs w:val="24"/>
          <w:highlight w:val="none"/>
        </w:rPr>
        <w:t>，探头</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9"/>
          <w:sz w:val="24"/>
          <w:szCs w:val="24"/>
          <w:highlight w:val="none"/>
        </w:rPr>
        <w:t>2 ：有效面积≥8.5cm2</w:t>
      </w:r>
    </w:p>
    <w:p w14:paraId="5405E111">
      <w:pPr>
        <w:pStyle w:val="11"/>
        <w:spacing w:before="1" w:line="411" w:lineRule="auto"/>
        <w:ind w:left="14" w:right="16" w:hanging="1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8.波束类型：准直型,超声有效声强：0.1W/cm2～2.5W/cm2</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8"/>
          <w:sz w:val="24"/>
          <w:szCs w:val="24"/>
          <w:highlight w:val="none"/>
        </w:rPr>
        <w:t>，≥20</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8"/>
          <w:sz w:val="24"/>
          <w:szCs w:val="24"/>
          <w:highlight w:val="none"/>
        </w:rPr>
        <w:t>档</w:t>
      </w:r>
      <w:r>
        <w:rPr>
          <w:rFonts w:hint="eastAsia" w:ascii="仿宋" w:hAnsi="仿宋" w:eastAsia="仿宋" w:cs="仿宋"/>
          <w:color w:val="auto"/>
          <w:spacing w:val="-9"/>
          <w:sz w:val="24"/>
          <w:szCs w:val="24"/>
          <w:highlight w:val="none"/>
        </w:rPr>
        <w:t>可调；</w:t>
      </w:r>
      <w:r>
        <w:rPr>
          <w:rFonts w:hint="eastAsia" w:ascii="仿宋" w:hAnsi="仿宋" w:eastAsia="仿宋" w:cs="仿宋"/>
          <w:color w:val="auto"/>
          <w:spacing w:val="-5"/>
          <w:sz w:val="24"/>
          <w:szCs w:val="24"/>
          <w:highlight w:val="none"/>
        </w:rPr>
        <w:t>治疗时间：0</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5"/>
          <w:sz w:val="24"/>
          <w:szCs w:val="24"/>
          <w:highlight w:val="none"/>
        </w:rPr>
        <w:t>分钟～30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5"/>
          <w:sz w:val="24"/>
          <w:szCs w:val="24"/>
          <w:highlight w:val="none"/>
        </w:rPr>
        <w:t>分钟可调。</w:t>
      </w:r>
    </w:p>
    <w:p w14:paraId="5E27F8BE">
      <w:pPr>
        <w:spacing w:before="2"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9.显示功能要求：包括声强、时间、功率、工作状态指示；</w:t>
      </w:r>
    </w:p>
    <w:p w14:paraId="7BBB7802">
      <w:pPr>
        <w:spacing w:before="288" w:line="221"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10.治疗头功能</w:t>
      </w:r>
    </w:p>
    <w:p w14:paraId="478E7236">
      <w:pPr>
        <w:spacing w:before="288" w:line="221"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10.1 所有治疗头，防水等级≥IXP7。</w:t>
      </w:r>
    </w:p>
    <w:p w14:paraId="0C7E516E">
      <w:pPr>
        <w:spacing w:before="288" w:line="221"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10.2 探头具有温度感应功能：实时监测探头晶片温度、 自动调节输出功率、温度过高动调节超声输出或停止工作。</w:t>
      </w:r>
    </w:p>
    <w:p w14:paraId="0E4E233F">
      <w:pPr>
        <w:spacing w:before="288" w:line="221"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11.超声治疗教学软件：包括头、颈、肩、背、腰、臀、腿、膝、踝、肘、腕关节全身各处超声治疗手法的专家教学视频软件。</w:t>
      </w:r>
    </w:p>
    <w:p w14:paraId="1C5B8689">
      <w:pPr>
        <w:spacing w:before="288" w:line="221"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12.配置清单：主机 1 台；直手柄移动治疗探头2 个。</w:t>
      </w:r>
    </w:p>
    <w:p w14:paraId="4545F7E0">
      <w:pPr>
        <w:spacing w:before="0" w:line="240" w:lineRule="auto"/>
        <w:ind w:left="0"/>
        <w:rPr>
          <w:rFonts w:hint="eastAsia" w:ascii="仿宋" w:hAnsi="仿宋" w:eastAsia="仿宋" w:cs="仿宋"/>
          <w:color w:val="auto"/>
          <w:spacing w:val="-2"/>
          <w:sz w:val="24"/>
          <w:szCs w:val="24"/>
          <w:highlight w:val="none"/>
        </w:rPr>
      </w:pPr>
    </w:p>
    <w:p w14:paraId="4631B5D3">
      <w:pPr>
        <w:spacing w:before="0" w:line="240" w:lineRule="auto"/>
        <w:ind w:left="0"/>
        <w:rPr>
          <w:rFonts w:hint="eastAsia" w:ascii="仿宋" w:hAnsi="仿宋" w:eastAsia="仿宋" w:cs="仿宋"/>
          <w:color w:val="auto"/>
          <w:spacing w:val="-2"/>
          <w:sz w:val="24"/>
          <w:szCs w:val="24"/>
          <w:highlight w:val="none"/>
        </w:rPr>
      </w:pPr>
    </w:p>
    <w:p w14:paraId="7890D6DF">
      <w:pPr>
        <w:spacing w:before="0" w:line="240" w:lineRule="auto"/>
        <w:ind w:left="0"/>
        <w:rPr>
          <w:rFonts w:hint="eastAsia" w:ascii="仿宋" w:hAnsi="仿宋" w:eastAsia="仿宋" w:cs="仿宋"/>
          <w:color w:val="auto"/>
          <w:spacing w:val="-2"/>
          <w:sz w:val="24"/>
          <w:szCs w:val="24"/>
          <w:highlight w:val="none"/>
        </w:rPr>
      </w:pPr>
    </w:p>
    <w:p w14:paraId="14796692">
      <w:pPr>
        <w:spacing w:before="0" w:line="240" w:lineRule="auto"/>
        <w:ind w:left="0"/>
        <w:jc w:val="left"/>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lang w:val="en-US" w:eastAsia="zh-CN"/>
        </w:rPr>
        <w:t>16.</w:t>
      </w:r>
      <w:r>
        <w:rPr>
          <w:rFonts w:hint="eastAsia" w:ascii="仿宋" w:hAnsi="仿宋" w:eastAsia="仿宋" w:cs="仿宋"/>
          <w:b/>
          <w:bCs/>
          <w:color w:val="auto"/>
          <w:spacing w:val="-4"/>
          <w:sz w:val="24"/>
          <w:szCs w:val="24"/>
          <w:highlight w:val="none"/>
        </w:rPr>
        <w:t>血管内超声系统参数</w:t>
      </w:r>
    </w:p>
    <w:p w14:paraId="2E11AD66">
      <w:pPr>
        <w:pStyle w:val="11"/>
        <w:spacing w:line="312" w:lineRule="auto"/>
        <w:rPr>
          <w:rFonts w:hint="eastAsia" w:ascii="仿宋" w:hAnsi="仿宋" w:eastAsia="仿宋" w:cs="仿宋"/>
          <w:color w:val="auto"/>
          <w:sz w:val="24"/>
          <w:szCs w:val="24"/>
          <w:highlight w:val="none"/>
        </w:rPr>
      </w:pPr>
    </w:p>
    <w:p w14:paraId="269EB463">
      <w:pPr>
        <w:spacing w:before="91" w:line="222" w:lineRule="auto"/>
        <w:ind w:left="21"/>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一、主要参数</w:t>
      </w:r>
    </w:p>
    <w:p w14:paraId="2C31F387">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1、超声介入诊断设备，支持≥50MHz 机械旋转式超声导管，用于血管内超声诊断。</w:t>
      </w:r>
    </w:p>
    <w:p w14:paraId="29407101">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2、多模态血管内超声诊断仪，可兼顾 FFR 或基于腔内影像的功能学评估。</w:t>
      </w:r>
    </w:p>
    <w:p w14:paraId="17D3A82E">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3、具有自动化血管壁和血管管腔的测量功能， 自动检测其边界并用不同颜色标记</w:t>
      </w:r>
    </w:p>
    <w:p w14:paraId="7F6DE0D7">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4、可以回显播放采集到的影像，播放速度可调节；可反复播放当前位置前后一定帧数范围的图像，范围可在3～15 帧内调节</w:t>
      </w:r>
    </w:p>
    <w:p w14:paraId="5EB09A35">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5、具备图像测量功能，包括横截面可支持长度测量、角度测量、面积测量，并自动将横截面保存为书签；纵截面上可进行长度测量</w:t>
      </w:r>
    </w:p>
    <w:p w14:paraId="2EB490CD">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支架选择规划功能，针对病变及参考管腔，根据病变长度、直径狭窄率、最小管腔直径、参考管腔直径等参数提供推荐的支架选择，通过计算和浏览目标病变定量血流分数或血流储备分数，并为冠脉介入治疗的支架选择提供参考依据</w:t>
      </w:r>
    </w:p>
    <w:p w14:paraId="5BF35D11">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7、最大扫描帧频≥60fps</w:t>
      </w:r>
    </w:p>
    <w:p w14:paraId="7873D6F1">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8、具备基于人工智能技术的血管管腔自动识别与分割功能， 自动勾画冠状动脉血管管腔轮廓，可手动修正边界。</w:t>
      </w:r>
    </w:p>
    <w:p w14:paraId="7426B08D">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9、轴向分辨率≤50 μm</w:t>
      </w:r>
    </w:p>
    <w:p w14:paraId="3BECCAB0">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10、配备医用图像显示器：尺寸≥21 英寸，分辨率≥1920x1080P。</w:t>
      </w:r>
    </w:p>
    <w:p w14:paraId="3778789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11、配备热敏打印机</w:t>
      </w:r>
    </w:p>
    <w:p w14:paraId="0FBDDC39">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12、具备DICOM3.0 数据传输功能，具备多个USB3.0 接 口、千兆以太网接口、HDMI 接口等</w:t>
      </w:r>
    </w:p>
    <w:p w14:paraId="1BD06B4A">
      <w:pPr>
        <w:spacing w:before="91" w:line="222" w:lineRule="auto"/>
        <w:ind w:left="21"/>
        <w:rPr>
          <w:rFonts w:hint="eastAsia" w:ascii="仿宋" w:hAnsi="仿宋" w:eastAsia="仿宋" w:cs="仿宋"/>
          <w:color w:val="auto"/>
          <w:spacing w:val="-1"/>
          <w:sz w:val="24"/>
          <w:szCs w:val="24"/>
          <w:highlight w:val="none"/>
        </w:rPr>
        <w:sectPr>
          <w:pgSz w:w="11906" w:h="16839"/>
          <w:pgMar w:top="1253" w:right="1065" w:bottom="1253" w:left="1189" w:header="0" w:footer="0" w:gutter="0"/>
          <w:pgNumType w:fmt="decimal"/>
          <w:cols w:space="720" w:num="1"/>
        </w:sectPr>
      </w:pPr>
    </w:p>
    <w:p w14:paraId="58DD62A5">
      <w:pPr>
        <w:spacing w:before="91" w:line="224" w:lineRule="auto"/>
        <w:ind w:left="3159"/>
        <w:outlineLvl w:val="0"/>
        <w:rPr>
          <w:rFonts w:hint="eastAsia" w:ascii="仿宋" w:hAnsi="仿宋" w:eastAsia="仿宋" w:cs="仿宋"/>
          <w:color w:val="auto"/>
          <w:sz w:val="24"/>
          <w:szCs w:val="24"/>
          <w:highlight w:val="none"/>
        </w:rPr>
      </w:pPr>
      <w:bookmarkStart w:id="562" w:name="_Toc8640"/>
      <w:bookmarkStart w:id="563" w:name="_Toc89"/>
      <w:bookmarkStart w:id="564" w:name="_Toc10386"/>
      <w:r>
        <w:rPr>
          <w:rFonts w:hint="eastAsia" w:ascii="仿宋" w:hAnsi="仿宋" w:eastAsia="仿宋" w:cs="仿宋"/>
          <w:b/>
          <w:bCs/>
          <w:color w:val="auto"/>
          <w:spacing w:val="-3"/>
          <w:sz w:val="24"/>
          <w:szCs w:val="24"/>
          <w:highlight w:val="none"/>
          <w:lang w:val="en-US" w:eastAsia="zh-CN"/>
        </w:rPr>
        <w:t>17</w:t>
      </w:r>
      <w:r>
        <w:rPr>
          <w:rFonts w:hint="eastAsia" w:ascii="仿宋" w:hAnsi="仿宋" w:eastAsia="仿宋" w:cs="仿宋"/>
          <w:b/>
          <w:bCs/>
          <w:color w:val="auto"/>
          <w:spacing w:val="-3"/>
          <w:sz w:val="24"/>
          <w:szCs w:val="24"/>
          <w:highlight w:val="none"/>
        </w:rPr>
        <w:t>.B超心脏探头参数</w:t>
      </w:r>
      <w:bookmarkEnd w:id="562"/>
      <w:bookmarkEnd w:id="563"/>
      <w:bookmarkEnd w:id="564"/>
    </w:p>
    <w:p w14:paraId="261D545F">
      <w:pPr>
        <w:pStyle w:val="11"/>
        <w:spacing w:line="311" w:lineRule="auto"/>
        <w:rPr>
          <w:rFonts w:hint="eastAsia" w:ascii="仿宋" w:hAnsi="仿宋" w:eastAsia="仿宋" w:cs="仿宋"/>
          <w:color w:val="auto"/>
          <w:sz w:val="24"/>
          <w:szCs w:val="24"/>
          <w:highlight w:val="none"/>
        </w:rPr>
      </w:pPr>
    </w:p>
    <w:p w14:paraId="5B6C9F77">
      <w:pPr>
        <w:spacing w:before="91" w:line="223" w:lineRule="auto"/>
        <w:ind w:left="14"/>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rPr>
        <w:t>一、基本要求</w:t>
      </w:r>
    </w:p>
    <w:p w14:paraId="3C1FE333">
      <w:pPr>
        <w:spacing w:before="285" w:line="221" w:lineRule="auto"/>
        <w:ind w:left="8"/>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适配原主机，原主机型号：祥生</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1"/>
          <w:sz w:val="24"/>
          <w:szCs w:val="24"/>
          <w:highlight w:val="none"/>
        </w:rPr>
        <w:t>SonoBo</w:t>
      </w:r>
      <w:r>
        <w:rPr>
          <w:rFonts w:hint="eastAsia" w:ascii="仿宋" w:hAnsi="仿宋" w:eastAsia="仿宋" w:cs="仿宋"/>
          <w:color w:val="auto"/>
          <w:spacing w:val="-2"/>
          <w:sz w:val="24"/>
          <w:szCs w:val="24"/>
          <w:highlight w:val="none"/>
        </w:rPr>
        <w:t>ok5</w:t>
      </w:r>
    </w:p>
    <w:p w14:paraId="0A14F611">
      <w:pPr>
        <w:spacing w:before="289" w:line="223" w:lineRule="auto"/>
        <w:ind w:left="18"/>
        <w:rPr>
          <w:rFonts w:hint="eastAsia" w:ascii="仿宋" w:hAnsi="仿宋" w:eastAsia="仿宋" w:cs="仿宋"/>
          <w:color w:val="auto"/>
          <w:sz w:val="24"/>
          <w:szCs w:val="24"/>
          <w:highlight w:val="none"/>
        </w:rPr>
      </w:pPr>
      <w:r>
        <w:rPr>
          <w:rFonts w:hint="eastAsia" w:ascii="仿宋" w:hAnsi="仿宋" w:eastAsia="仿宋" w:cs="仿宋"/>
          <w:b/>
          <w:bCs/>
          <w:color w:val="auto"/>
          <w:spacing w:val="-7"/>
          <w:sz w:val="24"/>
          <w:szCs w:val="24"/>
          <w:highlight w:val="none"/>
        </w:rPr>
        <w:t>二、技术要求</w:t>
      </w:r>
    </w:p>
    <w:p w14:paraId="07010A4D">
      <w:pPr>
        <w:spacing w:before="285"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4"/>
          <w:sz w:val="24"/>
          <w:szCs w:val="24"/>
          <w:highlight w:val="none"/>
        </w:rPr>
        <w:t>频率：变频探头，工作频率范围</w:t>
      </w:r>
    </w:p>
    <w:p w14:paraId="3AEC2406">
      <w:pPr>
        <w:spacing w:before="289"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2"/>
          <w:sz w:val="24"/>
          <w:szCs w:val="24"/>
          <w:highlight w:val="none"/>
        </w:rPr>
        <w:t>探头基波频率+谐波频率≥8</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2"/>
          <w:sz w:val="24"/>
          <w:szCs w:val="24"/>
          <w:highlight w:val="none"/>
        </w:rPr>
        <w:t>种</w:t>
      </w:r>
    </w:p>
    <w:p w14:paraId="55B62F91">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3.相控阵探头：超声频率</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2"/>
          <w:sz w:val="24"/>
          <w:szCs w:val="24"/>
          <w:highlight w:val="none"/>
        </w:rPr>
        <w:t>1.5-4.0</w:t>
      </w:r>
      <w:r>
        <w:rPr>
          <w:rFonts w:hint="eastAsia" w:ascii="仿宋" w:hAnsi="仿宋" w:eastAsia="仿宋" w:cs="仿宋"/>
          <w:color w:val="auto"/>
          <w:spacing w:val="-3"/>
          <w:sz w:val="24"/>
          <w:szCs w:val="24"/>
          <w:highlight w:val="none"/>
        </w:rPr>
        <w:t>MHz</w:t>
      </w:r>
    </w:p>
    <w:p w14:paraId="13ECBBB3">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6"/>
          <w:sz w:val="24"/>
          <w:szCs w:val="24"/>
          <w:highlight w:val="none"/>
        </w:rPr>
        <w:t>使用模式</w:t>
      </w:r>
    </w:p>
    <w:p w14:paraId="1B3D786B">
      <w:pPr>
        <w:spacing w:before="285"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4.1</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线阵探头:B/C/D</w:t>
      </w:r>
    </w:p>
    <w:p w14:paraId="442A7EBC">
      <w:pPr>
        <w:spacing w:before="285" w:line="222" w:lineRule="auto"/>
        <w:rPr>
          <w:rFonts w:hint="eastAsia" w:ascii="仿宋" w:hAnsi="仿宋" w:eastAsia="仿宋" w:cs="仿宋"/>
          <w:color w:val="auto"/>
          <w:spacing w:val="-3"/>
          <w:sz w:val="24"/>
          <w:szCs w:val="24"/>
          <w:highlight w:val="none"/>
        </w:rPr>
      </w:pPr>
    </w:p>
    <w:p w14:paraId="1B7D583E">
      <w:pPr>
        <w:spacing w:before="91" w:line="222" w:lineRule="auto"/>
        <w:ind w:left="2525"/>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18.</w:t>
      </w:r>
      <w:r>
        <w:rPr>
          <w:rFonts w:hint="eastAsia" w:ascii="仿宋" w:hAnsi="仿宋" w:eastAsia="仿宋" w:cs="仿宋"/>
          <w:b/>
          <w:bCs/>
          <w:color w:val="auto"/>
          <w:spacing w:val="-3"/>
          <w:sz w:val="24"/>
          <w:szCs w:val="24"/>
          <w:highlight w:val="none"/>
        </w:rPr>
        <w:t>CT脑灌注智能分析系统参数</w:t>
      </w:r>
    </w:p>
    <w:p w14:paraId="29084F9E">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1.产品性能要求</w:t>
      </w:r>
    </w:p>
    <w:p w14:paraId="1E95A143">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具备第三类管理类别中华人民共和国医疗器械注册证。</w:t>
      </w:r>
    </w:p>
    <w:p w14:paraId="447D1E52">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 影像浏览及阅片</w:t>
      </w:r>
    </w:p>
    <w:p w14:paraId="3290F673">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2.1 具备左键长按拖拽可便捷播放影像序列方便快速查看影像概况。</w:t>
      </w:r>
    </w:p>
    <w:p w14:paraId="527B7A03">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2.2 具备头颅最大密度投影图（tMIP），自动生成头颅最大密度投影图，方便医生查看血管的情况。</w:t>
      </w:r>
    </w:p>
    <w:p w14:paraId="3EC029C5">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2.3 具备动静脉标准点，自动筛选灌注扫描范围中中动静脉最亮的点作为动静脉标准点开计算 TDC 曲线</w:t>
      </w:r>
    </w:p>
    <w:p w14:paraId="4A9E46DE">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2.4 具备动静脉自定义选点及中心线调整。</w:t>
      </w:r>
    </w:p>
    <w:p w14:paraId="685EEE51">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2.5 具备脑血流流量图（CBF）， 自动生成脑血流流量图，并可配置色值区间，辅助医生查看脑血流量改变区域。</w:t>
      </w:r>
    </w:p>
    <w:p w14:paraId="0A64EA8A">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2.6 具备脑血流容量图（CBV）， 自动生成脑血流容量图，并可配置色值区间，辅助医生查看脑血流量改变区域。</w:t>
      </w:r>
    </w:p>
    <w:p w14:paraId="5415EB15">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 病灶检出与分析</w:t>
      </w:r>
    </w:p>
    <w:p w14:paraId="5898CCF3">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3.1 具备自动生成多阈值的对比剂达峰时间对比图和体积。</w:t>
      </w:r>
    </w:p>
    <w:p w14:paraId="0ADE4E12">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3.2 具备自动生成多阈值的脑血容量对比图和体积。</w:t>
      </w:r>
    </w:p>
    <w:p w14:paraId="729D43E8">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3.3 具备参数图联动功能，多个参数图可进行同步联动。</w:t>
      </w:r>
    </w:p>
    <w:p w14:paraId="1F3AAD60">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3.4 具备通过对比双侧脑组织发现参数异常区域， 自动检出提示CBF、CBV、TTP、MTT、Tmax 参数图异常区域。</w:t>
      </w:r>
    </w:p>
    <w:p w14:paraId="04FFD52B">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3.5 具备计算低灌注区体积，自动输出全脑及各个脑区Tmax&gt;6s 的所有脑组织的体积</w:t>
      </w:r>
    </w:p>
    <w:p w14:paraId="5E479429">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3.6 具备计算核心梗死区及低灌注区不匹配比值，并支持个性化配置标准， 自动输出相应量化结果</w:t>
      </w:r>
    </w:p>
    <w:p w14:paraId="3BF5B992">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3.7 具备异常脑区手动修改，用户可根据需求删除异常区域脑区，系统将自动计算删除后的核心梗死区、低灌注区以及不匹配比值结果。</w:t>
      </w:r>
    </w:p>
    <w:p w14:paraId="12C833C3">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3.8 具备ROI 测量，用户可自定义勾画病灶区域，并自动输出脑区两侧 ROI 结果。</w:t>
      </w:r>
    </w:p>
    <w:p w14:paraId="670A27C2">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3.9 具备自动按脑区勾勒ROI 测量图形并输出测量结果，支持设置分区结果显隐状态。</w:t>
      </w:r>
    </w:p>
    <w:p w14:paraId="269D8DA5">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3.10 具备自动测量对比分析不同脑区及核团灌注参数值的功能。</w:t>
      </w:r>
    </w:p>
    <w:p w14:paraId="22788560">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 一键报告与打印</w:t>
      </w:r>
    </w:p>
    <w:p w14:paraId="6316A9C5">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4.1 具备结构化文本报告，根据诊断结果一键生成文本报告且支持编辑与复制；根据诊断结果一键生成表格报告且支持复制。</w:t>
      </w:r>
    </w:p>
    <w:p w14:paraId="43B7838A">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4.2 具备快捷推送，按规则选择目标影像，自动加入待推送影像序列，一键推送影像序列至目标 DICOM 节点</w:t>
      </w:r>
    </w:p>
    <w:p w14:paraId="1CB3851C">
      <w:pPr>
        <w:spacing w:before="285"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4.3 具备快捷打印，按规则选择目标影像，自动加入待打印影像序列；支持预设胶片预设布局、支持预设胶片元信息，支持配置打印胶片模板和自定义选择待打印影像，支持一键根据预设规则完成影像排版，一键完成胶片打印</w:t>
      </w:r>
    </w:p>
    <w:p w14:paraId="411379A8">
      <w:pPr>
        <w:spacing w:before="286"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4.4</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4"/>
          <w:sz w:val="24"/>
          <w:szCs w:val="24"/>
          <w:highlight w:val="none"/>
        </w:rPr>
        <w:t>生成智能报告，并有“报告解读</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4"/>
          <w:sz w:val="24"/>
          <w:szCs w:val="24"/>
          <w:highlight w:val="none"/>
        </w:rPr>
        <w:t>”功能</w:t>
      </w:r>
    </w:p>
    <w:p w14:paraId="01E25193">
      <w:pPr>
        <w:spacing w:before="289"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7"/>
          <w:sz w:val="24"/>
          <w:szCs w:val="24"/>
          <w:highlight w:val="none"/>
        </w:rPr>
        <w:t>硬件配置</w:t>
      </w:r>
    </w:p>
    <w:p w14:paraId="1D00CF2C">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5.1 专用塔式或机架式机箱：一套</w:t>
      </w:r>
    </w:p>
    <w:p w14:paraId="68E48B5B">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5.2CPU 芯片组≥2 组</w:t>
      </w:r>
    </w:p>
    <w:p w14:paraId="0ECD41E5">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5.3 内存≥64GB</w:t>
      </w:r>
    </w:p>
    <w:p w14:paraId="4D697448">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5.4 硬盘容量≥10T</w:t>
      </w:r>
    </w:p>
    <w:p w14:paraId="5B87509C">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5.5SSD 硬盘容量≥2T</w:t>
      </w:r>
    </w:p>
    <w:p w14:paraId="6F7AADE7">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5.6GPU 支持≥2 组</w:t>
      </w:r>
    </w:p>
    <w:p w14:paraId="3919BF07">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5.7 系统：SoftwareUbuntu16.04LTS64 位</w:t>
      </w:r>
    </w:p>
    <w:p w14:paraId="54690566">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5.8 显示器：一套</w:t>
      </w:r>
    </w:p>
    <w:p w14:paraId="16B81AA2">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5.9USB 鼠标键盘：一套</w:t>
      </w:r>
    </w:p>
    <w:p w14:paraId="5262F3EC">
      <w:pPr>
        <w:spacing w:before="285" w:line="221"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5.10 其他：千兆网线、螺丝刀、插排</w:t>
      </w:r>
    </w:p>
    <w:p w14:paraId="338EE3B2">
      <w:pPr>
        <w:spacing w:before="285" w:line="221" w:lineRule="auto"/>
        <w:ind w:left="21"/>
        <w:rPr>
          <w:rFonts w:hint="eastAsia" w:ascii="仿宋" w:hAnsi="仿宋" w:eastAsia="仿宋" w:cs="仿宋"/>
          <w:color w:val="auto"/>
          <w:spacing w:val="-4"/>
          <w:sz w:val="24"/>
          <w:szCs w:val="24"/>
          <w:highlight w:val="none"/>
          <w:lang w:val="en-US" w:eastAsia="zh-CN"/>
        </w:rPr>
      </w:pPr>
      <w:r>
        <w:rPr>
          <w:rFonts w:hint="eastAsia" w:ascii="仿宋" w:hAnsi="仿宋" w:eastAsia="仿宋" w:cs="仿宋"/>
          <w:color w:val="auto"/>
          <w:spacing w:val="-4"/>
          <w:sz w:val="24"/>
          <w:szCs w:val="24"/>
          <w:highlight w:val="none"/>
          <w:lang w:val="en-US" w:eastAsia="zh-CN"/>
        </w:rPr>
        <w:br w:type="page"/>
      </w:r>
    </w:p>
    <w:p w14:paraId="59508F0C">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合同包3</w:t>
      </w:r>
    </w:p>
    <w:p w14:paraId="454A3509">
      <w:pPr>
        <w:spacing w:before="91" w:line="224" w:lineRule="auto"/>
        <w:ind w:firstLine="2819" w:firstLineChars="1200"/>
        <w:outlineLvl w:val="0"/>
        <w:rPr>
          <w:rFonts w:hint="eastAsia" w:ascii="仿宋" w:hAnsi="仿宋" w:eastAsia="仿宋" w:cs="仿宋"/>
          <w:color w:val="auto"/>
          <w:sz w:val="24"/>
          <w:szCs w:val="24"/>
          <w:highlight w:val="none"/>
        </w:rPr>
      </w:pPr>
      <w:bookmarkStart w:id="565" w:name="_Toc31130"/>
      <w:bookmarkStart w:id="566" w:name="_Toc29332"/>
      <w:bookmarkStart w:id="567" w:name="_Toc17157"/>
      <w:r>
        <w:rPr>
          <w:rFonts w:hint="eastAsia" w:ascii="仿宋" w:hAnsi="仿宋" w:eastAsia="仿宋" w:cs="仿宋"/>
          <w:b/>
          <w:bCs/>
          <w:color w:val="auto"/>
          <w:spacing w:val="-3"/>
          <w:sz w:val="24"/>
          <w:szCs w:val="24"/>
          <w:highlight w:val="none"/>
          <w:lang w:val="en-US" w:eastAsia="zh-CN"/>
        </w:rPr>
        <w:t>1.</w:t>
      </w:r>
      <w:r>
        <w:rPr>
          <w:rFonts w:hint="eastAsia" w:ascii="仿宋" w:hAnsi="仿宋" w:eastAsia="仿宋" w:cs="仿宋"/>
          <w:b/>
          <w:bCs/>
          <w:color w:val="auto"/>
          <w:spacing w:val="-3"/>
          <w:sz w:val="24"/>
          <w:szCs w:val="24"/>
          <w:highlight w:val="none"/>
        </w:rPr>
        <w:t>腹腔镜系统参数</w:t>
      </w:r>
      <w:bookmarkEnd w:id="565"/>
      <w:bookmarkEnd w:id="566"/>
      <w:bookmarkEnd w:id="567"/>
    </w:p>
    <w:p w14:paraId="42E062AE">
      <w:pPr>
        <w:spacing w:before="91" w:line="222" w:lineRule="auto"/>
        <w:ind w:left="14"/>
        <w:outlineLvl w:val="1"/>
        <w:rPr>
          <w:rFonts w:hint="eastAsia" w:ascii="仿宋" w:hAnsi="仿宋" w:eastAsia="仿宋" w:cs="仿宋"/>
          <w:color w:val="auto"/>
          <w:sz w:val="24"/>
          <w:szCs w:val="24"/>
          <w:highlight w:val="none"/>
        </w:rPr>
      </w:pPr>
      <w:bookmarkStart w:id="568" w:name="_Toc1310"/>
      <w:bookmarkStart w:id="569" w:name="_Toc12615"/>
      <w:bookmarkStart w:id="570" w:name="_Toc3540"/>
      <w:r>
        <w:rPr>
          <w:rFonts w:hint="eastAsia" w:ascii="仿宋" w:hAnsi="仿宋" w:eastAsia="仿宋" w:cs="仿宋"/>
          <w:b/>
          <w:bCs/>
          <w:color w:val="auto"/>
          <w:spacing w:val="-5"/>
          <w:sz w:val="24"/>
          <w:szCs w:val="24"/>
          <w:highlight w:val="none"/>
        </w:rPr>
        <w:t>一、图像处理装置</w:t>
      </w:r>
      <w:bookmarkEnd w:id="568"/>
      <w:bookmarkEnd w:id="569"/>
      <w:bookmarkEnd w:id="570"/>
    </w:p>
    <w:p w14:paraId="7CF2DFD5">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1.信号输出格式至少包括：12G-SDI、3G-SDI、HD-SDI、SD-SDI；</w:t>
      </w:r>
    </w:p>
    <w:p w14:paraId="4F56B600">
      <w:pPr>
        <w:spacing w:before="287" w:line="220"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2.具有用户预设，可存储≥20</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个用户的功能模式预设；</w:t>
      </w:r>
    </w:p>
    <w:p w14:paraId="3E91BF44">
      <w:pPr>
        <w:spacing w:before="290"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3.具有</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6"/>
          <w:sz w:val="24"/>
          <w:szCs w:val="24"/>
          <w:highlight w:val="none"/>
        </w:rPr>
        <w:t>ACG 自动增益控制功能；</w:t>
      </w:r>
    </w:p>
    <w:p w14:paraId="58E57AE8">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4.具有电子放大功能至少包括：1-2</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1"/>
          <w:sz w:val="24"/>
          <w:szCs w:val="24"/>
          <w:highlight w:val="none"/>
        </w:rPr>
        <w:t>倍</w:t>
      </w:r>
      <w:r>
        <w:rPr>
          <w:rFonts w:hint="eastAsia" w:ascii="仿宋" w:hAnsi="仿宋" w:eastAsia="仿宋" w:cs="仿宋"/>
          <w:color w:val="auto"/>
          <w:spacing w:val="-2"/>
          <w:sz w:val="24"/>
          <w:szCs w:val="24"/>
          <w:highlight w:val="none"/>
        </w:rPr>
        <w:t>六级放大；</w:t>
      </w:r>
    </w:p>
    <w:p w14:paraId="665FFD22">
      <w:pPr>
        <w:spacing w:before="287" w:line="220"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5.具有轮廓强调功</w:t>
      </w:r>
    </w:p>
    <w:p w14:paraId="48ABC042">
      <w:pPr>
        <w:spacing w:before="291"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6.具有构造强调功能；</w:t>
      </w:r>
    </w:p>
    <w:p w14:paraId="7A581E58">
      <w:pPr>
        <w:spacing w:before="285" w:line="411" w:lineRule="auto"/>
        <w:ind w:left="8" w:hanging="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7.具备远红外系统，通用白光系统，同时是</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4"/>
          <w:sz w:val="24"/>
          <w:szCs w:val="24"/>
          <w:highlight w:val="none"/>
        </w:rPr>
        <w:t>2D/3D</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4"/>
          <w:sz w:val="24"/>
          <w:szCs w:val="24"/>
          <w:highlight w:val="none"/>
        </w:rPr>
        <w:t>通用平台，可搭载</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4"/>
          <w:sz w:val="24"/>
          <w:szCs w:val="24"/>
          <w:highlight w:val="none"/>
        </w:rPr>
        <w:t>3D 电子腹腔镜，可进行</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4"/>
          <w:sz w:val="24"/>
          <w:szCs w:val="24"/>
          <w:highlight w:val="none"/>
        </w:rPr>
        <w:t>3D</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观察，且</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4"/>
          <w:sz w:val="24"/>
          <w:szCs w:val="24"/>
          <w:highlight w:val="none"/>
        </w:rPr>
        <w:t>3D</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4"/>
          <w:sz w:val="24"/>
          <w:szCs w:val="24"/>
          <w:highlight w:val="none"/>
        </w:rPr>
        <w:t>视野方向可旋转；</w:t>
      </w:r>
    </w:p>
    <w:p w14:paraId="6E694745">
      <w:pPr>
        <w:spacing w:before="2"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8.可通过</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3"/>
          <w:sz w:val="24"/>
          <w:szCs w:val="24"/>
          <w:highlight w:val="none"/>
        </w:rPr>
        <w:t>USB</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进行功能拓展；</w:t>
      </w:r>
    </w:p>
    <w:p w14:paraId="743E4308">
      <w:pPr>
        <w:spacing w:before="288"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9.具有特殊光检查功能；</w:t>
      </w:r>
    </w:p>
    <w:p w14:paraId="53D47F1B">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10.LCD</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触摸屏；</w:t>
      </w:r>
    </w:p>
    <w:p w14:paraId="15A5963D">
      <w:pPr>
        <w:spacing w:before="287" w:line="411" w:lineRule="auto"/>
        <w:ind w:left="16" w:firstLine="5"/>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11.电子镜平台，兼容采用先端</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CCD</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技术的高清电子腹腔镜、电子胆道镜镜、四</w:t>
      </w:r>
      <w:r>
        <w:rPr>
          <w:rFonts w:hint="eastAsia" w:ascii="仿宋" w:hAnsi="仿宋" w:eastAsia="仿宋" w:cs="仿宋"/>
          <w:color w:val="auto"/>
          <w:spacing w:val="-5"/>
          <w:sz w:val="24"/>
          <w:szCs w:val="24"/>
          <w:highlight w:val="none"/>
        </w:rPr>
        <w:t>方向电子镜、3D 电子腹腔镜等电子镜；4K</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5"/>
          <w:sz w:val="24"/>
          <w:szCs w:val="24"/>
          <w:highlight w:val="none"/>
        </w:rPr>
        <w:t>摄像头</w:t>
      </w:r>
    </w:p>
    <w:p w14:paraId="0474A3D1">
      <w:pPr>
        <w:spacing w:before="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12.防触电保护类型，</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10"/>
          <w:sz w:val="24"/>
          <w:szCs w:val="24"/>
          <w:highlight w:val="none"/>
        </w:rPr>
        <w:t>Ⅰ类</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10"/>
          <w:sz w:val="24"/>
          <w:szCs w:val="24"/>
          <w:highlight w:val="none"/>
        </w:rPr>
        <w:t>CF</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10"/>
          <w:sz w:val="24"/>
          <w:szCs w:val="24"/>
          <w:highlight w:val="none"/>
        </w:rPr>
        <w:t>型；</w:t>
      </w:r>
    </w:p>
    <w:p w14:paraId="69C5C683">
      <w:pPr>
        <w:spacing w:before="288"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13．具有</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6"/>
          <w:sz w:val="24"/>
          <w:szCs w:val="24"/>
          <w:highlight w:val="none"/>
        </w:rPr>
        <w:t>4K</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升频功能；</w:t>
      </w:r>
    </w:p>
    <w:p w14:paraId="3610069E">
      <w:pPr>
        <w:spacing w:before="288"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14.具备</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4"/>
          <w:sz w:val="24"/>
          <w:szCs w:val="24"/>
          <w:highlight w:val="none"/>
        </w:rPr>
        <w:t>HDR</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4"/>
          <w:sz w:val="24"/>
          <w:szCs w:val="24"/>
          <w:highlight w:val="none"/>
        </w:rPr>
        <w:t>高动态范围功能；</w:t>
      </w:r>
    </w:p>
    <w:p w14:paraId="46242B58">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15.具有黄色增强观察模式；</w:t>
      </w:r>
    </w:p>
    <w:p w14:paraId="44241A4A">
      <w:pPr>
        <w:spacing w:before="285"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16.系统无需模块即可兼容同品牌不同型号的内窥镜</w:t>
      </w:r>
    </w:p>
    <w:p w14:paraId="70BF14C9">
      <w:pPr>
        <w:spacing w:before="91" w:line="223" w:lineRule="auto"/>
        <w:ind w:left="18"/>
        <w:outlineLvl w:val="1"/>
        <w:rPr>
          <w:rFonts w:hint="eastAsia" w:ascii="仿宋" w:hAnsi="仿宋" w:eastAsia="仿宋" w:cs="仿宋"/>
          <w:color w:val="auto"/>
          <w:sz w:val="24"/>
          <w:szCs w:val="24"/>
          <w:highlight w:val="none"/>
        </w:rPr>
      </w:pPr>
      <w:bookmarkStart w:id="571" w:name="_Toc5584"/>
      <w:bookmarkStart w:id="572" w:name="_Toc19183"/>
      <w:bookmarkStart w:id="573" w:name="_Toc20960"/>
      <w:r>
        <w:rPr>
          <w:rFonts w:hint="eastAsia" w:ascii="仿宋" w:hAnsi="仿宋" w:eastAsia="仿宋" w:cs="仿宋"/>
          <w:b/>
          <w:bCs/>
          <w:color w:val="auto"/>
          <w:spacing w:val="-8"/>
          <w:sz w:val="24"/>
          <w:szCs w:val="24"/>
          <w:highlight w:val="none"/>
        </w:rPr>
        <w:t>二、内窥镜</w:t>
      </w:r>
      <w:r>
        <w:rPr>
          <w:rFonts w:hint="eastAsia" w:ascii="仿宋" w:hAnsi="仿宋" w:eastAsia="仿宋" w:cs="仿宋"/>
          <w:color w:val="auto"/>
          <w:spacing w:val="-55"/>
          <w:sz w:val="24"/>
          <w:szCs w:val="24"/>
          <w:highlight w:val="none"/>
        </w:rPr>
        <w:t xml:space="preserve"> </w:t>
      </w:r>
      <w:r>
        <w:rPr>
          <w:rFonts w:hint="eastAsia" w:ascii="仿宋" w:hAnsi="仿宋" w:eastAsia="仿宋" w:cs="仿宋"/>
          <w:b/>
          <w:bCs/>
          <w:color w:val="auto"/>
          <w:spacing w:val="-8"/>
          <w:sz w:val="24"/>
          <w:szCs w:val="24"/>
          <w:highlight w:val="none"/>
        </w:rPr>
        <w:t>LED</w:t>
      </w:r>
      <w:r>
        <w:rPr>
          <w:rFonts w:hint="eastAsia" w:ascii="仿宋" w:hAnsi="仿宋" w:eastAsia="仿宋" w:cs="仿宋"/>
          <w:color w:val="auto"/>
          <w:spacing w:val="-48"/>
          <w:sz w:val="24"/>
          <w:szCs w:val="24"/>
          <w:highlight w:val="none"/>
        </w:rPr>
        <w:t xml:space="preserve"> </w:t>
      </w:r>
      <w:r>
        <w:rPr>
          <w:rFonts w:hint="eastAsia" w:ascii="仿宋" w:hAnsi="仿宋" w:eastAsia="仿宋" w:cs="仿宋"/>
          <w:b/>
          <w:bCs/>
          <w:color w:val="auto"/>
          <w:spacing w:val="-8"/>
          <w:sz w:val="24"/>
          <w:szCs w:val="24"/>
          <w:highlight w:val="none"/>
        </w:rPr>
        <w:t>冷光源</w:t>
      </w:r>
      <w:bookmarkEnd w:id="571"/>
      <w:bookmarkEnd w:id="572"/>
      <w:bookmarkEnd w:id="573"/>
    </w:p>
    <w:p w14:paraId="0A0B8F58">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1.LED</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6"/>
          <w:sz w:val="24"/>
          <w:szCs w:val="24"/>
          <w:highlight w:val="none"/>
        </w:rPr>
        <w:t>光源，具备≥5</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6"/>
          <w:sz w:val="24"/>
          <w:szCs w:val="24"/>
          <w:highlight w:val="none"/>
        </w:rPr>
        <w:t>个</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6"/>
          <w:sz w:val="24"/>
          <w:szCs w:val="24"/>
          <w:highlight w:val="none"/>
        </w:rPr>
        <w:t>LED</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6"/>
          <w:sz w:val="24"/>
          <w:szCs w:val="24"/>
          <w:highlight w:val="none"/>
        </w:rPr>
        <w:t>光源；</w:t>
      </w:r>
    </w:p>
    <w:p w14:paraId="333059CF">
      <w:pPr>
        <w:spacing w:before="286" w:line="411" w:lineRule="auto"/>
        <w:ind w:left="13" w:right="77" w:hanging="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2.具有的观察模式种类至少包括：白光模式、荧光白光</w:t>
      </w:r>
      <w:r>
        <w:rPr>
          <w:rFonts w:hint="eastAsia" w:ascii="仿宋" w:hAnsi="仿宋" w:eastAsia="仿宋" w:cs="仿宋"/>
          <w:color w:val="auto"/>
          <w:spacing w:val="-5"/>
          <w:sz w:val="24"/>
          <w:szCs w:val="24"/>
          <w:highlight w:val="none"/>
        </w:rPr>
        <w:t>、荧光品红、仅荧光、黄</w:t>
      </w:r>
      <w:r>
        <w:rPr>
          <w:rFonts w:hint="eastAsia" w:ascii="仿宋" w:hAnsi="仿宋" w:eastAsia="仿宋" w:cs="仿宋"/>
          <w:color w:val="auto"/>
          <w:spacing w:val="-3"/>
          <w:sz w:val="24"/>
          <w:szCs w:val="24"/>
          <w:highlight w:val="none"/>
        </w:rPr>
        <w:t>色增强、窄带成像模式；</w:t>
      </w:r>
    </w:p>
    <w:p w14:paraId="26404EDC">
      <w:pPr>
        <w:spacing w:line="223"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3.具有荧光模式至少包括：全彩荧光模式、绿紫双色荧光模式</w:t>
      </w:r>
      <w:r>
        <w:rPr>
          <w:rFonts w:hint="eastAsia" w:ascii="仿宋" w:hAnsi="仿宋" w:eastAsia="仿宋" w:cs="仿宋"/>
          <w:color w:val="auto"/>
          <w:spacing w:val="-3"/>
          <w:sz w:val="24"/>
          <w:szCs w:val="24"/>
          <w:highlight w:val="none"/>
        </w:rPr>
        <w:t>、黑白荧光模式；</w:t>
      </w:r>
    </w:p>
    <w:p w14:paraId="76DBE964">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4.具有荧光增益模式至少包括：荧光亮度低、</w:t>
      </w:r>
      <w:r>
        <w:rPr>
          <w:rFonts w:hint="eastAsia" w:ascii="仿宋" w:hAnsi="仿宋" w:eastAsia="仿宋" w:cs="仿宋"/>
          <w:color w:val="auto"/>
          <w:spacing w:val="-1"/>
          <w:sz w:val="24"/>
          <w:szCs w:val="24"/>
          <w:highlight w:val="none"/>
        </w:rPr>
        <w:t>荧光亮度中、荧光亮度高；</w:t>
      </w:r>
    </w:p>
    <w:p w14:paraId="7AC7809A">
      <w:pPr>
        <w:spacing w:before="286"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5.</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12"/>
          <w:sz w:val="24"/>
          <w:szCs w:val="24"/>
          <w:highlight w:val="none"/>
        </w:rPr>
        <w:t>自动调光：</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12"/>
          <w:sz w:val="24"/>
          <w:szCs w:val="24"/>
          <w:highlight w:val="none"/>
        </w:rPr>
        <w:t>自动亮度调节；</w:t>
      </w:r>
    </w:p>
    <w:p w14:paraId="01592D6C">
      <w:pPr>
        <w:spacing w:before="287"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6.</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12"/>
          <w:sz w:val="24"/>
          <w:szCs w:val="24"/>
          <w:highlight w:val="none"/>
        </w:rPr>
        <w:t>自动曝光：</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12"/>
          <w:sz w:val="24"/>
          <w:szCs w:val="24"/>
          <w:highlight w:val="none"/>
        </w:rPr>
        <w:t>档；</w:t>
      </w:r>
    </w:p>
    <w:p w14:paraId="63A51BC9">
      <w:pPr>
        <w:spacing w:before="286"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7.具备特殊光、荧光、强调黄色组织观察的功能；</w:t>
      </w:r>
    </w:p>
    <w:p w14:paraId="1D007573">
      <w:pPr>
        <w:spacing w:before="288"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8.与摄像主机为同一品牌。</w:t>
      </w:r>
    </w:p>
    <w:p w14:paraId="30FE7DB7">
      <w:pPr>
        <w:spacing w:before="91" w:line="224" w:lineRule="auto"/>
        <w:ind w:left="17"/>
        <w:outlineLvl w:val="1"/>
        <w:rPr>
          <w:rFonts w:hint="eastAsia" w:ascii="仿宋" w:hAnsi="仿宋" w:eastAsia="仿宋" w:cs="仿宋"/>
          <w:color w:val="auto"/>
          <w:sz w:val="24"/>
          <w:szCs w:val="24"/>
          <w:highlight w:val="none"/>
        </w:rPr>
      </w:pPr>
      <w:bookmarkStart w:id="574" w:name="_Toc17579"/>
      <w:bookmarkStart w:id="575" w:name="_Toc362"/>
      <w:bookmarkStart w:id="576" w:name="_Toc30970"/>
      <w:r>
        <w:rPr>
          <w:rFonts w:hint="eastAsia" w:ascii="仿宋" w:hAnsi="仿宋" w:eastAsia="仿宋" w:cs="仿宋"/>
          <w:b/>
          <w:bCs/>
          <w:color w:val="auto"/>
          <w:spacing w:val="-8"/>
          <w:sz w:val="24"/>
          <w:szCs w:val="24"/>
          <w:highlight w:val="none"/>
        </w:rPr>
        <w:t>三、监视器</w:t>
      </w:r>
      <w:bookmarkEnd w:id="574"/>
      <w:bookmarkEnd w:id="575"/>
      <w:bookmarkEnd w:id="576"/>
    </w:p>
    <w:p w14:paraId="3968DE73">
      <w:pPr>
        <w:spacing w:before="92"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1、分辨率：</w:t>
      </w:r>
      <w:r>
        <w:rPr>
          <w:rFonts w:hint="eastAsia" w:ascii="仿宋" w:hAnsi="仿宋" w:eastAsia="仿宋" w:cs="仿宋"/>
          <w:color w:val="auto"/>
          <w:spacing w:val="-91"/>
          <w:sz w:val="24"/>
          <w:szCs w:val="24"/>
          <w:highlight w:val="none"/>
        </w:rPr>
        <w:t xml:space="preserve"> </w:t>
      </w:r>
      <w:r>
        <w:rPr>
          <w:rFonts w:hint="eastAsia" w:ascii="仿宋" w:hAnsi="仿宋" w:eastAsia="仿宋" w:cs="仿宋"/>
          <w:color w:val="auto"/>
          <w:spacing w:val="-5"/>
          <w:sz w:val="24"/>
          <w:szCs w:val="24"/>
          <w:highlight w:val="none"/>
        </w:rPr>
        <w:t>≥3840*2160</w:t>
      </w:r>
    </w:p>
    <w:p w14:paraId="1CC3C45A">
      <w:pPr>
        <w:spacing w:before="285"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2、宽高比：</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5"/>
          <w:sz w:val="24"/>
          <w:szCs w:val="24"/>
          <w:highlight w:val="none"/>
        </w:rPr>
        <w:t>≥16:9</w:t>
      </w:r>
    </w:p>
    <w:p w14:paraId="2555329B">
      <w:pPr>
        <w:spacing w:before="285"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3、大小：</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7"/>
          <w:sz w:val="24"/>
          <w:szCs w:val="24"/>
          <w:highlight w:val="none"/>
        </w:rPr>
        <w:t>≥32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7"/>
          <w:sz w:val="24"/>
          <w:szCs w:val="24"/>
          <w:highlight w:val="none"/>
        </w:rPr>
        <w:t>寸</w:t>
      </w:r>
    </w:p>
    <w:p w14:paraId="54714CE0">
      <w:pPr>
        <w:spacing w:before="92" w:line="220" w:lineRule="auto"/>
        <w:ind w:left="42"/>
        <w:outlineLvl w:val="1"/>
        <w:rPr>
          <w:rFonts w:hint="eastAsia" w:ascii="仿宋" w:hAnsi="仿宋" w:eastAsia="仿宋" w:cs="仿宋"/>
          <w:color w:val="auto"/>
          <w:sz w:val="24"/>
          <w:szCs w:val="24"/>
          <w:highlight w:val="none"/>
        </w:rPr>
      </w:pPr>
      <w:bookmarkStart w:id="577" w:name="_Toc25905"/>
      <w:bookmarkStart w:id="578" w:name="_Toc18674"/>
      <w:bookmarkStart w:id="579" w:name="_Toc1146"/>
      <w:r>
        <w:rPr>
          <w:rFonts w:hint="eastAsia" w:ascii="仿宋" w:hAnsi="仿宋" w:eastAsia="仿宋" w:cs="仿宋"/>
          <w:b/>
          <w:bCs/>
          <w:color w:val="auto"/>
          <w:spacing w:val="-16"/>
          <w:sz w:val="24"/>
          <w:szCs w:val="24"/>
          <w:highlight w:val="none"/>
        </w:rPr>
        <w:t>四、台车</w:t>
      </w:r>
      <w:bookmarkEnd w:id="577"/>
      <w:bookmarkEnd w:id="578"/>
      <w:bookmarkEnd w:id="579"/>
    </w:p>
    <w:p w14:paraId="542C58A9">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1、外科专用</w:t>
      </w:r>
    </w:p>
    <w:p w14:paraId="57A9B6C3">
      <w:pPr>
        <w:spacing w:before="286"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2、支持放置监视器、主机、光源、电刀、气腹机</w:t>
      </w:r>
    </w:p>
    <w:p w14:paraId="7E795732">
      <w:pPr>
        <w:spacing w:before="91" w:line="224" w:lineRule="auto"/>
        <w:ind w:left="14"/>
        <w:outlineLvl w:val="1"/>
        <w:rPr>
          <w:rFonts w:hint="eastAsia" w:ascii="仿宋" w:hAnsi="仿宋" w:eastAsia="仿宋" w:cs="仿宋"/>
          <w:color w:val="auto"/>
          <w:sz w:val="24"/>
          <w:szCs w:val="24"/>
          <w:highlight w:val="none"/>
        </w:rPr>
      </w:pPr>
      <w:bookmarkStart w:id="580" w:name="_Toc27693"/>
      <w:bookmarkStart w:id="581" w:name="_Toc13613"/>
      <w:bookmarkStart w:id="582" w:name="_Toc19597"/>
      <w:r>
        <w:rPr>
          <w:rFonts w:hint="eastAsia" w:ascii="仿宋" w:hAnsi="仿宋" w:eastAsia="仿宋" w:cs="仿宋"/>
          <w:b/>
          <w:bCs/>
          <w:color w:val="auto"/>
          <w:spacing w:val="-11"/>
          <w:sz w:val="24"/>
          <w:szCs w:val="24"/>
          <w:highlight w:val="none"/>
        </w:rPr>
        <w:t>五、2D</w:t>
      </w:r>
      <w:r>
        <w:rPr>
          <w:rFonts w:hint="eastAsia" w:ascii="仿宋" w:hAnsi="仿宋" w:eastAsia="仿宋" w:cs="仿宋"/>
          <w:color w:val="auto"/>
          <w:spacing w:val="-16"/>
          <w:sz w:val="24"/>
          <w:szCs w:val="24"/>
          <w:highlight w:val="none"/>
        </w:rPr>
        <w:t xml:space="preserve"> </w:t>
      </w:r>
      <w:r>
        <w:rPr>
          <w:rFonts w:hint="eastAsia" w:ascii="仿宋" w:hAnsi="仿宋" w:eastAsia="仿宋" w:cs="仿宋"/>
          <w:b/>
          <w:bCs/>
          <w:color w:val="auto"/>
          <w:spacing w:val="-11"/>
          <w:sz w:val="24"/>
          <w:szCs w:val="24"/>
          <w:highlight w:val="none"/>
        </w:rPr>
        <w:t>电子腹腔镜</w:t>
      </w:r>
      <w:bookmarkEnd w:id="580"/>
      <w:bookmarkEnd w:id="581"/>
      <w:bookmarkEnd w:id="582"/>
    </w:p>
    <w:p w14:paraId="00ADDBD6">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1.采用高清先端</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6"/>
          <w:sz w:val="24"/>
          <w:szCs w:val="24"/>
          <w:highlight w:val="none"/>
        </w:rPr>
        <w:t>CCD</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技术，腹腔内成像，先端具有</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个</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6"/>
          <w:sz w:val="24"/>
          <w:szCs w:val="24"/>
          <w:highlight w:val="none"/>
        </w:rPr>
        <w:t>CCD，能产生出色的</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6"/>
          <w:sz w:val="24"/>
          <w:szCs w:val="24"/>
          <w:highlight w:val="none"/>
        </w:rPr>
        <w:t>H</w:t>
      </w:r>
      <w:r>
        <w:rPr>
          <w:rFonts w:hint="eastAsia" w:ascii="仿宋" w:hAnsi="仿宋" w:eastAsia="仿宋" w:cs="仿宋"/>
          <w:color w:val="auto"/>
          <w:spacing w:val="-7"/>
          <w:sz w:val="24"/>
          <w:szCs w:val="24"/>
          <w:highlight w:val="none"/>
        </w:rPr>
        <w:t>DTV</w:t>
      </w:r>
    </w:p>
    <w:p w14:paraId="7FE27C84">
      <w:pPr>
        <w:spacing w:before="91" w:line="222" w:lineRule="auto"/>
        <w:ind w:left="37"/>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图像；</w:t>
      </w:r>
    </w:p>
    <w:p w14:paraId="642A42EC">
      <w:pPr>
        <w:spacing w:before="286"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2.具备减震型硅片层保护技术：</w:t>
      </w:r>
    </w:p>
    <w:p w14:paraId="0E6BB23E">
      <w:pPr>
        <w:spacing w:before="288"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3.具有防雾功能、</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6"/>
          <w:sz w:val="24"/>
          <w:szCs w:val="24"/>
          <w:highlight w:val="none"/>
        </w:rPr>
        <w:t>自动调焦功能；</w:t>
      </w:r>
    </w:p>
    <w:p w14:paraId="7594496C">
      <w:pPr>
        <w:spacing w:before="288" w:line="411" w:lineRule="auto"/>
        <w:ind w:left="13" w:hanging="1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4.一体化设计</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10mm</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2"/>
          <w:sz w:val="24"/>
          <w:szCs w:val="24"/>
          <w:highlight w:val="none"/>
        </w:rPr>
        <w:t>高清电子腹腔镜：集摄像头、导光束、导光束于一体，体内</w:t>
      </w:r>
      <w:r>
        <w:rPr>
          <w:rFonts w:hint="eastAsia" w:ascii="仿宋" w:hAnsi="仿宋" w:eastAsia="仿宋" w:cs="仿宋"/>
          <w:color w:val="auto"/>
          <w:spacing w:val="-8"/>
          <w:sz w:val="24"/>
          <w:szCs w:val="24"/>
          <w:highlight w:val="none"/>
        </w:rPr>
        <w:t>成像；</w:t>
      </w:r>
    </w:p>
    <w:p w14:paraId="25BE4CA2">
      <w:pPr>
        <w:spacing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5.80</w:t>
      </w:r>
      <w:r>
        <w:rPr>
          <w:rFonts w:hint="eastAsia" w:ascii="仿宋" w:hAnsi="仿宋" w:eastAsia="仿宋" w:cs="仿宋"/>
          <w:color w:val="auto"/>
          <w:spacing w:val="-92"/>
          <w:sz w:val="24"/>
          <w:szCs w:val="24"/>
          <w:highlight w:val="none"/>
        </w:rPr>
        <w:t xml:space="preserve"> </w:t>
      </w:r>
      <w:r>
        <w:rPr>
          <w:rFonts w:hint="eastAsia" w:ascii="仿宋" w:hAnsi="仿宋" w:eastAsia="仿宋" w:cs="仿宋"/>
          <w:color w:val="auto"/>
          <w:spacing w:val="-4"/>
          <w:sz w:val="24"/>
          <w:szCs w:val="24"/>
          <w:highlight w:val="none"/>
        </w:rPr>
        <w:t>°非球面镜，图像无变形；</w:t>
      </w:r>
    </w:p>
    <w:p w14:paraId="2B964114">
      <w:pPr>
        <w:spacing w:before="287" w:line="219"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6.具备图像旋转功能；</w:t>
      </w:r>
    </w:p>
    <w:p w14:paraId="52319C8C">
      <w:pPr>
        <w:spacing w:before="291"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7.采用人体工程学设计；</w:t>
      </w:r>
    </w:p>
    <w:p w14:paraId="0F345C5F">
      <w:pPr>
        <w:spacing w:before="286"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8.操纵手柄具有≥3</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1"/>
          <w:sz w:val="24"/>
          <w:szCs w:val="24"/>
          <w:highlight w:val="none"/>
        </w:rPr>
        <w:t>个遥控键：遥控按键可根据用户使用习惯设定主要功能；</w:t>
      </w:r>
    </w:p>
    <w:p w14:paraId="097C2DEE">
      <w:pPr>
        <w:spacing w:before="287"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9.电子放大倍率至少包括：1.0x、1.2x、1.5x；</w:t>
      </w:r>
    </w:p>
    <w:p w14:paraId="1A6225AA">
      <w:pPr>
        <w:spacing w:before="286"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10.可高温高压灭菌。</w:t>
      </w:r>
    </w:p>
    <w:p w14:paraId="7158DC05">
      <w:pPr>
        <w:spacing w:before="284"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11.支持特殊光诊断功能。</w:t>
      </w:r>
    </w:p>
    <w:p w14:paraId="2B7D6B8C">
      <w:pPr>
        <w:spacing w:before="288"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12.与摄像主机为同一品牌。</w:t>
      </w:r>
    </w:p>
    <w:p w14:paraId="7D2BA067">
      <w:pPr>
        <w:spacing w:before="92" w:line="223" w:lineRule="auto"/>
        <w:ind w:left="12"/>
        <w:outlineLvl w:val="1"/>
        <w:rPr>
          <w:rFonts w:hint="eastAsia" w:ascii="仿宋" w:hAnsi="仿宋" w:eastAsia="仿宋" w:cs="仿宋"/>
          <w:color w:val="auto"/>
          <w:sz w:val="24"/>
          <w:szCs w:val="24"/>
          <w:highlight w:val="none"/>
        </w:rPr>
      </w:pPr>
      <w:bookmarkStart w:id="583" w:name="_Toc9412"/>
      <w:bookmarkStart w:id="584" w:name="_Toc2850"/>
      <w:bookmarkStart w:id="585" w:name="_Toc26780"/>
      <w:r>
        <w:rPr>
          <w:rFonts w:hint="eastAsia" w:ascii="仿宋" w:hAnsi="仿宋" w:eastAsia="仿宋" w:cs="仿宋"/>
          <w:b/>
          <w:bCs/>
          <w:color w:val="auto"/>
          <w:spacing w:val="-7"/>
          <w:sz w:val="24"/>
          <w:szCs w:val="24"/>
          <w:highlight w:val="none"/>
        </w:rPr>
        <w:t>六、气腹机</w:t>
      </w:r>
      <w:bookmarkEnd w:id="583"/>
      <w:bookmarkEnd w:id="584"/>
      <w:bookmarkEnd w:id="585"/>
    </w:p>
    <w:p w14:paraId="695B1A5C">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1、采用压力传输原件，三路压力测控</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4"/>
          <w:sz w:val="24"/>
          <w:szCs w:val="24"/>
          <w:highlight w:val="none"/>
        </w:rPr>
        <w:t>≥30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4"/>
          <w:sz w:val="24"/>
          <w:szCs w:val="24"/>
          <w:highlight w:val="none"/>
        </w:rPr>
        <w:t>升大流量；</w:t>
      </w:r>
    </w:p>
    <w:p w14:paraId="75687951">
      <w:pPr>
        <w:pStyle w:val="11"/>
        <w:spacing w:before="285"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2、采用半导体恒温加热原件加热，出气温度</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2"/>
          <w:sz w:val="24"/>
          <w:szCs w:val="24"/>
          <w:highlight w:val="none"/>
        </w:rPr>
        <w:t>37º</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2"/>
          <w:sz w:val="24"/>
          <w:szCs w:val="24"/>
          <w:highlight w:val="none"/>
        </w:rPr>
        <w:t>;</w:t>
      </w:r>
    </w:p>
    <w:p w14:paraId="1F90DF8A">
      <w:pPr>
        <w:spacing w:before="288" w:line="216"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3、出气压力可在</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3"/>
          <w:sz w:val="24"/>
          <w:szCs w:val="24"/>
          <w:highlight w:val="none"/>
        </w:rPr>
        <w:t>5-30mmhg</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之间任意调节；</w:t>
      </w:r>
    </w:p>
    <w:p w14:paraId="3C695856">
      <w:pPr>
        <w:spacing w:before="29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4、流量可调节。</w:t>
      </w:r>
    </w:p>
    <w:p w14:paraId="004C1523">
      <w:pPr>
        <w:spacing w:before="92" w:line="224" w:lineRule="auto"/>
        <w:ind w:left="15"/>
        <w:outlineLvl w:val="1"/>
        <w:rPr>
          <w:rFonts w:hint="eastAsia" w:ascii="仿宋" w:hAnsi="仿宋" w:eastAsia="仿宋" w:cs="仿宋"/>
          <w:color w:val="auto"/>
          <w:sz w:val="24"/>
          <w:szCs w:val="24"/>
          <w:highlight w:val="none"/>
        </w:rPr>
      </w:pPr>
      <w:bookmarkStart w:id="586" w:name="_Toc25642"/>
      <w:bookmarkStart w:id="587" w:name="_Toc17177"/>
      <w:bookmarkStart w:id="588" w:name="_Toc16668"/>
      <w:r>
        <w:rPr>
          <w:rFonts w:hint="eastAsia" w:ascii="仿宋" w:hAnsi="仿宋" w:eastAsia="仿宋" w:cs="仿宋"/>
          <w:b/>
          <w:bCs/>
          <w:color w:val="auto"/>
          <w:spacing w:val="-6"/>
          <w:sz w:val="24"/>
          <w:szCs w:val="24"/>
          <w:highlight w:val="none"/>
        </w:rPr>
        <w:t>七、高频电刀</w:t>
      </w:r>
      <w:bookmarkEnd w:id="586"/>
      <w:bookmarkEnd w:id="587"/>
      <w:bookmarkEnd w:id="588"/>
    </w:p>
    <w:p w14:paraId="2B1DC879">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1、最大输出功率≥300W；</w:t>
      </w:r>
    </w:p>
    <w:p w14:paraId="3AAAA193">
      <w:pPr>
        <w:spacing w:before="91" w:line="222" w:lineRule="auto"/>
        <w:ind w:left="5"/>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2、输出方式：单极、双极和生理盐水模式；</w:t>
      </w:r>
    </w:p>
    <w:p w14:paraId="73C20A6C">
      <w:pPr>
        <w:spacing w:before="287"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3、输出模式：</w:t>
      </w:r>
    </w:p>
    <w:p w14:paraId="41E354B9">
      <w:pPr>
        <w:spacing w:before="285" w:line="411" w:lineRule="auto"/>
        <w:ind w:left="23" w:right="122" w:hanging="7"/>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单极电切模式：3</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种（单切、混合、URO</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5"/>
          <w:sz w:val="24"/>
          <w:szCs w:val="24"/>
          <w:highlight w:val="none"/>
        </w:rPr>
        <w:t>凝固模式：3</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5"/>
          <w:sz w:val="24"/>
          <w:szCs w:val="24"/>
          <w:highlight w:val="none"/>
        </w:rPr>
        <w:t>种（凝固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5"/>
          <w:sz w:val="24"/>
          <w:szCs w:val="24"/>
          <w:highlight w:val="none"/>
        </w:rPr>
        <w:t>1、凝固</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5"/>
          <w:sz w:val="24"/>
          <w:szCs w:val="24"/>
          <w:highlight w:val="none"/>
        </w:rPr>
        <w:t>2、</w:t>
      </w:r>
      <w:r>
        <w:rPr>
          <w:rFonts w:hint="eastAsia" w:ascii="仿宋" w:hAnsi="仿宋" w:eastAsia="仿宋" w:cs="仿宋"/>
          <w:color w:val="auto"/>
          <w:spacing w:val="-15"/>
          <w:sz w:val="24"/>
          <w:szCs w:val="24"/>
          <w:highlight w:val="none"/>
        </w:rPr>
        <w:t>喷射</w:t>
      </w:r>
      <w:r>
        <w:rPr>
          <w:rFonts w:hint="eastAsia" w:ascii="仿宋" w:hAnsi="仿宋" w:eastAsia="仿宋" w:cs="仿宋"/>
          <w:color w:val="auto"/>
          <w:spacing w:val="-2"/>
          <w:sz w:val="24"/>
          <w:szCs w:val="24"/>
          <w:highlight w:val="none"/>
        </w:rPr>
        <w:t>）；</w:t>
      </w:r>
    </w:p>
    <w:p w14:paraId="5CBF5A40">
      <w:pPr>
        <w:spacing w:before="1" w:line="221" w:lineRule="auto"/>
        <w:ind w:left="1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双极电切模式：1</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5"/>
          <w:sz w:val="24"/>
          <w:szCs w:val="24"/>
          <w:highlight w:val="none"/>
        </w:rPr>
        <w:t>种（单切</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5"/>
          <w:sz w:val="24"/>
          <w:szCs w:val="24"/>
          <w:highlight w:val="none"/>
        </w:rPr>
        <w:t>凝固模式：3</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种（软</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5"/>
          <w:sz w:val="24"/>
          <w:szCs w:val="24"/>
          <w:highlight w:val="none"/>
        </w:rPr>
        <w:t>1、软</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5"/>
          <w:sz w:val="24"/>
          <w:szCs w:val="24"/>
          <w:highlight w:val="none"/>
        </w:rPr>
        <w:t>2、硬</w:t>
      </w:r>
      <w:r>
        <w:rPr>
          <w:rFonts w:hint="eastAsia" w:ascii="仿宋" w:hAnsi="仿宋" w:eastAsia="仿宋" w:cs="仿宋"/>
          <w:color w:val="auto"/>
          <w:spacing w:val="7"/>
          <w:sz w:val="24"/>
          <w:szCs w:val="24"/>
          <w:highlight w:val="none"/>
        </w:rPr>
        <w:t>）；</w:t>
      </w:r>
    </w:p>
    <w:p w14:paraId="7E679530">
      <w:pPr>
        <w:spacing w:before="287"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生理盐水电切模式：2</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4"/>
          <w:sz w:val="24"/>
          <w:szCs w:val="24"/>
          <w:highlight w:val="none"/>
        </w:rPr>
        <w:t>种（单切、混合</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4"/>
          <w:sz w:val="24"/>
          <w:szCs w:val="24"/>
          <w:highlight w:val="none"/>
        </w:rPr>
        <w:t>凝固模式：2</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种（凝固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5"/>
          <w:sz w:val="24"/>
          <w:szCs w:val="24"/>
          <w:highlight w:val="none"/>
        </w:rPr>
        <w:t>1、凝固</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5"/>
          <w:sz w:val="24"/>
          <w:szCs w:val="24"/>
          <w:highlight w:val="none"/>
        </w:rPr>
        <w:t>2</w:t>
      </w:r>
      <w:r>
        <w:rPr>
          <w:rFonts w:hint="eastAsia" w:ascii="仿宋" w:hAnsi="仿宋" w:eastAsia="仿宋" w:cs="仿宋"/>
          <w:color w:val="auto"/>
          <w:spacing w:val="-12"/>
          <w:sz w:val="24"/>
          <w:szCs w:val="24"/>
          <w:highlight w:val="none"/>
        </w:rPr>
        <w:t>）；</w:t>
      </w:r>
    </w:p>
    <w:p w14:paraId="38E6482B">
      <w:pPr>
        <w:spacing w:before="288" w:line="223" w:lineRule="auto"/>
        <w:ind w:left="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4、最大输出：</w:t>
      </w:r>
    </w:p>
    <w:p w14:paraId="18D7E790">
      <w:pPr>
        <w:spacing w:before="285" w:line="222" w:lineRule="auto"/>
        <w:ind w:left="16"/>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单极：</w:t>
      </w:r>
      <w:r>
        <w:rPr>
          <w:rFonts w:hint="eastAsia" w:ascii="仿宋" w:hAnsi="仿宋" w:eastAsia="仿宋" w:cs="仿宋"/>
          <w:color w:val="auto"/>
          <w:spacing w:val="-5"/>
          <w:sz w:val="24"/>
          <w:szCs w:val="24"/>
          <w:highlight w:val="none"/>
        </w:rPr>
        <w:t>单切：</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≥300W；混合：</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5"/>
          <w:sz w:val="24"/>
          <w:szCs w:val="24"/>
          <w:highlight w:val="none"/>
        </w:rPr>
        <w:t>≥250W；URO：</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≥30</w:t>
      </w:r>
      <w:r>
        <w:rPr>
          <w:rFonts w:hint="eastAsia" w:ascii="仿宋" w:hAnsi="仿宋" w:eastAsia="仿宋" w:cs="仿宋"/>
          <w:color w:val="auto"/>
          <w:spacing w:val="-6"/>
          <w:sz w:val="24"/>
          <w:szCs w:val="24"/>
          <w:highlight w:val="none"/>
        </w:rPr>
        <w:t>0W；凝固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≥120W；</w:t>
      </w:r>
    </w:p>
    <w:p w14:paraId="41A7DC53">
      <w:pPr>
        <w:spacing w:before="288" w:line="223" w:lineRule="auto"/>
        <w:ind w:left="8"/>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凝固</w:t>
      </w:r>
      <w:r>
        <w:rPr>
          <w:rFonts w:hint="eastAsia" w:ascii="仿宋" w:hAnsi="仿宋" w:eastAsia="仿宋" w:cs="仿宋"/>
          <w:b/>
          <w:bCs/>
          <w:color w:val="auto"/>
          <w:spacing w:val="-54"/>
          <w:sz w:val="24"/>
          <w:szCs w:val="24"/>
          <w:highlight w:val="none"/>
        </w:rPr>
        <w:t xml:space="preserve"> </w:t>
      </w:r>
      <w:r>
        <w:rPr>
          <w:rFonts w:hint="eastAsia" w:ascii="仿宋" w:hAnsi="仿宋" w:eastAsia="仿宋" w:cs="仿宋"/>
          <w:b/>
          <w:bCs/>
          <w:color w:val="auto"/>
          <w:spacing w:val="-6"/>
          <w:sz w:val="24"/>
          <w:szCs w:val="24"/>
          <w:highlight w:val="none"/>
        </w:rPr>
        <w:t>2：</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≥120W；喷射：</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≥120W；</w:t>
      </w:r>
    </w:p>
    <w:p w14:paraId="2A631945">
      <w:pPr>
        <w:spacing w:before="285" w:line="222" w:lineRule="auto"/>
        <w:jc w:val="both"/>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双极：</w:t>
      </w:r>
      <w:r>
        <w:rPr>
          <w:rFonts w:hint="eastAsia" w:ascii="仿宋" w:hAnsi="仿宋" w:eastAsia="仿宋" w:cs="仿宋"/>
          <w:color w:val="auto"/>
          <w:spacing w:val="-6"/>
          <w:sz w:val="24"/>
          <w:szCs w:val="24"/>
          <w:highlight w:val="none"/>
        </w:rPr>
        <w:t>单切：≥90W；软</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6"/>
          <w:sz w:val="24"/>
          <w:szCs w:val="24"/>
          <w:highlight w:val="none"/>
        </w:rPr>
        <w:t>1：≥90W；软</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6"/>
          <w:sz w:val="24"/>
          <w:szCs w:val="24"/>
          <w:highlight w:val="none"/>
        </w:rPr>
        <w:t>2：≥90W；硬  L1：≥80W；L2：≥120W；</w:t>
      </w:r>
    </w:p>
    <w:p w14:paraId="2F49995F">
      <w:pPr>
        <w:spacing w:before="288" w:line="223" w:lineRule="auto"/>
        <w:ind w:firstLine="229" w:firstLineChars="100"/>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L3：</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6"/>
          <w:sz w:val="24"/>
          <w:szCs w:val="24"/>
          <w:highlight w:val="none"/>
        </w:rPr>
        <w:t>≥160W；</w:t>
      </w:r>
    </w:p>
    <w:p w14:paraId="36F6AB87">
      <w:pPr>
        <w:spacing w:before="285" w:line="222" w:lineRule="auto"/>
        <w:ind w:left="27"/>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生理盐水：</w:t>
      </w:r>
      <w:r>
        <w:rPr>
          <w:rFonts w:hint="eastAsia" w:ascii="仿宋" w:hAnsi="仿宋" w:eastAsia="仿宋" w:cs="仿宋"/>
          <w:color w:val="auto"/>
          <w:spacing w:val="-6"/>
          <w:sz w:val="24"/>
          <w:szCs w:val="24"/>
          <w:highlight w:val="none"/>
        </w:rPr>
        <w:t>单切：</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6"/>
          <w:sz w:val="24"/>
          <w:szCs w:val="24"/>
          <w:highlight w:val="none"/>
        </w:rPr>
        <w:t>≥320W；混合：</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≥320W；凝固</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≥200W；凝固</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6"/>
          <w:sz w:val="24"/>
          <w:szCs w:val="24"/>
          <w:highlight w:val="none"/>
        </w:rPr>
        <w:t>≥80W；</w:t>
      </w:r>
    </w:p>
    <w:p w14:paraId="3FE84A61">
      <w:pPr>
        <w:spacing w:before="289"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5、与摄像主机为同一品牌。</w:t>
      </w:r>
    </w:p>
    <w:p w14:paraId="17184FFC">
      <w:pPr>
        <w:spacing w:before="91" w:line="223" w:lineRule="auto"/>
        <w:ind w:left="10"/>
        <w:outlineLvl w:val="1"/>
        <w:rPr>
          <w:rFonts w:hint="eastAsia" w:ascii="仿宋" w:hAnsi="仿宋" w:eastAsia="仿宋" w:cs="仿宋"/>
          <w:color w:val="auto"/>
          <w:sz w:val="24"/>
          <w:szCs w:val="24"/>
          <w:highlight w:val="none"/>
        </w:rPr>
      </w:pPr>
      <w:bookmarkStart w:id="589" w:name="_Toc21230"/>
      <w:bookmarkStart w:id="590" w:name="_Toc2819"/>
      <w:bookmarkStart w:id="591" w:name="_Toc15517"/>
      <w:r>
        <w:rPr>
          <w:rFonts w:hint="eastAsia" w:ascii="仿宋" w:hAnsi="仿宋" w:eastAsia="仿宋" w:cs="仿宋"/>
          <w:b/>
          <w:bCs/>
          <w:color w:val="auto"/>
          <w:spacing w:val="-6"/>
          <w:sz w:val="24"/>
          <w:szCs w:val="24"/>
          <w:highlight w:val="none"/>
        </w:rPr>
        <w:t>八、刻录机</w:t>
      </w:r>
      <w:bookmarkEnd w:id="589"/>
      <w:bookmarkEnd w:id="590"/>
      <w:bookmarkEnd w:id="591"/>
    </w:p>
    <w:p w14:paraId="16459A1E">
      <w:pPr>
        <w:spacing w:before="92" w:line="411" w:lineRule="auto"/>
        <w:ind w:left="15" w:right="135" w:firstLine="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1．适用于连接超高清内窥镜摄像系统、手术显微镜、医用摄像机等影像设备，</w:t>
      </w:r>
      <w:r>
        <w:rPr>
          <w:rFonts w:hint="eastAsia" w:ascii="仿宋" w:hAnsi="仿宋" w:eastAsia="仿宋" w:cs="仿宋"/>
          <w:color w:val="auto"/>
          <w:spacing w:val="-1"/>
          <w:sz w:val="24"/>
          <w:szCs w:val="24"/>
          <w:highlight w:val="none"/>
        </w:rPr>
        <w:t>存储管理高清手术视频、静态图像、手术信息、直播教学；</w:t>
      </w:r>
    </w:p>
    <w:p w14:paraId="17403936">
      <w:pPr>
        <w:spacing w:before="1"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4"/>
          <w:sz w:val="24"/>
          <w:szCs w:val="24"/>
          <w:highlight w:val="none"/>
        </w:rPr>
        <w:t>≥10.0</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4"/>
          <w:sz w:val="24"/>
          <w:szCs w:val="24"/>
          <w:highlight w:val="none"/>
        </w:rPr>
        <w:t>寸触摸屏，多点触摸和滑动界面；</w:t>
      </w:r>
    </w:p>
    <w:p w14:paraId="7C0D8CB4">
      <w:pPr>
        <w:spacing w:before="287" w:line="411" w:lineRule="auto"/>
        <w:ind w:left="20" w:right="77" w:hanging="1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4．具有USB3.0、USB2.0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接</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4"/>
          <w:sz w:val="24"/>
          <w:szCs w:val="24"/>
          <w:highlight w:val="none"/>
        </w:rPr>
        <w:t>口，支持内部硬盘和外部硬盘同时录制保存或</w:t>
      </w:r>
      <w:r>
        <w:rPr>
          <w:rFonts w:hint="eastAsia" w:ascii="仿宋" w:hAnsi="仿宋" w:eastAsia="仿宋" w:cs="仿宋"/>
          <w:color w:val="auto"/>
          <w:spacing w:val="-5"/>
          <w:sz w:val="24"/>
          <w:szCs w:val="24"/>
          <w:highlight w:val="none"/>
        </w:rPr>
        <w:t>者直接录到外部硬盘；</w:t>
      </w:r>
    </w:p>
    <w:p w14:paraId="17078777">
      <w:pPr>
        <w:spacing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5．支持在视频录像上直接叠加手术信息、医院</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2"/>
          <w:sz w:val="24"/>
          <w:szCs w:val="24"/>
          <w:highlight w:val="none"/>
        </w:rPr>
        <w:t>LOGO</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2"/>
          <w:sz w:val="24"/>
          <w:szCs w:val="24"/>
          <w:highlight w:val="none"/>
        </w:rPr>
        <w:t>等水印功能；</w:t>
      </w:r>
    </w:p>
    <w:p w14:paraId="7BDB3B5D">
      <w:pPr>
        <w:spacing w:before="92" w:line="222" w:lineRule="auto"/>
        <w:ind w:left="21"/>
        <w:outlineLvl w:val="1"/>
        <w:rPr>
          <w:rFonts w:hint="eastAsia" w:ascii="仿宋" w:hAnsi="仿宋" w:eastAsia="仿宋" w:cs="仿宋"/>
          <w:color w:val="auto"/>
          <w:sz w:val="24"/>
          <w:szCs w:val="24"/>
          <w:highlight w:val="none"/>
        </w:rPr>
      </w:pPr>
      <w:bookmarkStart w:id="592" w:name="_Toc32087"/>
      <w:bookmarkStart w:id="593" w:name="_Toc17162"/>
      <w:bookmarkStart w:id="594" w:name="_Toc27612"/>
      <w:r>
        <w:rPr>
          <w:rFonts w:hint="eastAsia" w:ascii="仿宋" w:hAnsi="仿宋" w:eastAsia="仿宋" w:cs="仿宋"/>
          <w:b/>
          <w:bCs/>
          <w:color w:val="auto"/>
          <w:spacing w:val="-8"/>
          <w:sz w:val="24"/>
          <w:szCs w:val="24"/>
          <w:highlight w:val="none"/>
        </w:rPr>
        <w:t>九、换能器</w:t>
      </w:r>
      <w:bookmarkEnd w:id="592"/>
      <w:bookmarkEnd w:id="593"/>
      <w:bookmarkEnd w:id="594"/>
    </w:p>
    <w:p w14:paraId="0EAF52E8">
      <w:pPr>
        <w:spacing w:before="91"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1、方头、圆头（二选一）</w:t>
      </w:r>
    </w:p>
    <w:p w14:paraId="7F618562">
      <w:pPr>
        <w:spacing w:before="284"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2、可与第七项高频电刀联合使用</w:t>
      </w:r>
    </w:p>
    <w:p w14:paraId="627B75AA">
      <w:pPr>
        <w:spacing w:before="91" w:line="223" w:lineRule="auto"/>
        <w:ind w:left="17"/>
        <w:outlineLvl w:val="1"/>
        <w:rPr>
          <w:rFonts w:hint="eastAsia" w:ascii="仿宋" w:hAnsi="仿宋" w:eastAsia="仿宋" w:cs="仿宋"/>
          <w:color w:val="auto"/>
          <w:sz w:val="24"/>
          <w:szCs w:val="24"/>
          <w:highlight w:val="none"/>
        </w:rPr>
      </w:pPr>
      <w:bookmarkStart w:id="595" w:name="_Toc3602"/>
      <w:bookmarkStart w:id="596" w:name="_Toc24875"/>
      <w:bookmarkStart w:id="597" w:name="_Toc9868"/>
      <w:r>
        <w:rPr>
          <w:rFonts w:hint="eastAsia" w:ascii="仿宋" w:hAnsi="仿宋" w:eastAsia="仿宋" w:cs="仿宋"/>
          <w:b/>
          <w:bCs/>
          <w:color w:val="auto"/>
          <w:spacing w:val="-8"/>
          <w:sz w:val="24"/>
          <w:szCs w:val="24"/>
          <w:highlight w:val="none"/>
        </w:rPr>
        <w:t>十、排烟器</w:t>
      </w:r>
      <w:bookmarkEnd w:id="595"/>
      <w:bookmarkEnd w:id="596"/>
      <w:bookmarkEnd w:id="597"/>
    </w:p>
    <w:p w14:paraId="30DE2A96">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1、用于实现主动排烟</w:t>
      </w:r>
    </w:p>
    <w:p w14:paraId="17FCB7B3">
      <w:pPr>
        <w:spacing w:before="285"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2、长度：</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6"/>
          <w:sz w:val="24"/>
          <w:szCs w:val="24"/>
          <w:highlight w:val="none"/>
        </w:rPr>
        <w:t>≥1.2M</w:t>
      </w:r>
    </w:p>
    <w:p w14:paraId="450FE5CF">
      <w:pPr>
        <w:spacing w:before="91" w:line="223" w:lineRule="auto"/>
        <w:ind w:left="17"/>
        <w:outlineLvl w:val="1"/>
        <w:rPr>
          <w:rFonts w:hint="eastAsia" w:ascii="仿宋" w:hAnsi="仿宋" w:eastAsia="仿宋" w:cs="仿宋"/>
          <w:color w:val="auto"/>
          <w:sz w:val="24"/>
          <w:szCs w:val="24"/>
          <w:highlight w:val="none"/>
        </w:rPr>
      </w:pPr>
      <w:bookmarkStart w:id="598" w:name="_Toc11343"/>
      <w:bookmarkStart w:id="599" w:name="_Toc1705"/>
      <w:bookmarkStart w:id="600" w:name="_Toc17528"/>
      <w:r>
        <w:rPr>
          <w:rFonts w:hint="eastAsia" w:ascii="仿宋" w:hAnsi="仿宋" w:eastAsia="仿宋" w:cs="仿宋"/>
          <w:b/>
          <w:bCs/>
          <w:color w:val="auto"/>
          <w:spacing w:val="-9"/>
          <w:sz w:val="24"/>
          <w:szCs w:val="24"/>
          <w:highlight w:val="none"/>
        </w:rPr>
        <w:t>十一、3D</w:t>
      </w:r>
      <w:r>
        <w:rPr>
          <w:rFonts w:hint="eastAsia" w:ascii="仿宋" w:hAnsi="仿宋" w:eastAsia="仿宋" w:cs="仿宋"/>
          <w:color w:val="auto"/>
          <w:spacing w:val="-42"/>
          <w:sz w:val="24"/>
          <w:szCs w:val="24"/>
          <w:highlight w:val="none"/>
        </w:rPr>
        <w:t xml:space="preserve"> </w:t>
      </w:r>
      <w:r>
        <w:rPr>
          <w:rFonts w:hint="eastAsia" w:ascii="仿宋" w:hAnsi="仿宋" w:eastAsia="仿宋" w:cs="仿宋"/>
          <w:b/>
          <w:bCs/>
          <w:color w:val="auto"/>
          <w:spacing w:val="-9"/>
          <w:sz w:val="24"/>
          <w:szCs w:val="24"/>
          <w:highlight w:val="none"/>
        </w:rPr>
        <w:t>激活套</w:t>
      </w:r>
      <w:bookmarkEnd w:id="598"/>
      <w:bookmarkEnd w:id="599"/>
      <w:bookmarkEnd w:id="600"/>
    </w:p>
    <w:p w14:paraId="5FCD4A8B">
      <w:pPr>
        <w:spacing w:before="92"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1、用于本套系统激活</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3D</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5"/>
          <w:sz w:val="24"/>
          <w:szCs w:val="24"/>
          <w:highlight w:val="none"/>
        </w:rPr>
        <w:t>功能</w:t>
      </w:r>
    </w:p>
    <w:p w14:paraId="05B620DB">
      <w:pPr>
        <w:spacing w:before="92" w:line="223" w:lineRule="auto"/>
        <w:ind w:left="17"/>
        <w:outlineLvl w:val="1"/>
        <w:rPr>
          <w:rFonts w:hint="eastAsia" w:ascii="仿宋" w:hAnsi="仿宋" w:eastAsia="仿宋" w:cs="仿宋"/>
          <w:color w:val="auto"/>
          <w:sz w:val="24"/>
          <w:szCs w:val="24"/>
          <w:highlight w:val="none"/>
        </w:rPr>
      </w:pPr>
      <w:bookmarkStart w:id="601" w:name="_Toc14713"/>
      <w:bookmarkStart w:id="602" w:name="_Toc2442"/>
      <w:bookmarkStart w:id="603" w:name="_Toc1639"/>
      <w:r>
        <w:rPr>
          <w:rFonts w:hint="eastAsia" w:ascii="仿宋" w:hAnsi="仿宋" w:eastAsia="仿宋" w:cs="仿宋"/>
          <w:b/>
          <w:bCs/>
          <w:color w:val="auto"/>
          <w:spacing w:val="-11"/>
          <w:sz w:val="24"/>
          <w:szCs w:val="24"/>
          <w:highlight w:val="none"/>
        </w:rPr>
        <w:t>十二、3D</w:t>
      </w:r>
      <w:r>
        <w:rPr>
          <w:rFonts w:hint="eastAsia" w:ascii="仿宋" w:hAnsi="仿宋" w:eastAsia="仿宋" w:cs="仿宋"/>
          <w:color w:val="auto"/>
          <w:spacing w:val="-11"/>
          <w:sz w:val="24"/>
          <w:szCs w:val="24"/>
          <w:highlight w:val="none"/>
        </w:rPr>
        <w:t xml:space="preserve"> </w:t>
      </w:r>
      <w:r>
        <w:rPr>
          <w:rFonts w:hint="eastAsia" w:ascii="仿宋" w:hAnsi="仿宋" w:eastAsia="仿宋" w:cs="仿宋"/>
          <w:b/>
          <w:bCs/>
          <w:color w:val="auto"/>
          <w:spacing w:val="-11"/>
          <w:sz w:val="24"/>
          <w:szCs w:val="24"/>
          <w:highlight w:val="none"/>
        </w:rPr>
        <w:t>电子腹腔镜</w:t>
      </w:r>
      <w:bookmarkEnd w:id="601"/>
      <w:bookmarkEnd w:id="602"/>
      <w:bookmarkEnd w:id="603"/>
    </w:p>
    <w:p w14:paraId="1A843D04">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1.一体化设计腹腔镜结构</w:t>
      </w:r>
    </w:p>
    <w:p w14:paraId="784110C1">
      <w:pPr>
        <w:spacing w:before="287"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2.3D</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3"/>
          <w:sz w:val="24"/>
          <w:szCs w:val="24"/>
          <w:highlight w:val="none"/>
        </w:rPr>
        <w:t>高清成像：</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3"/>
          <w:sz w:val="24"/>
          <w:szCs w:val="24"/>
          <w:highlight w:val="none"/>
        </w:rPr>
        <w:t>≥1080P，双眼、双</w:t>
      </w:r>
      <w:r>
        <w:rPr>
          <w:rFonts w:hint="eastAsia" w:ascii="仿宋" w:hAnsi="仿宋" w:eastAsia="仿宋" w:cs="仿宋"/>
          <w:color w:val="auto"/>
          <w:spacing w:val="-4"/>
          <w:sz w:val="24"/>
          <w:szCs w:val="24"/>
          <w:highlight w:val="none"/>
        </w:rPr>
        <w:t>镜头设计</w:t>
      </w:r>
    </w:p>
    <w:p w14:paraId="4124BA69">
      <w:pPr>
        <w:spacing w:before="286"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3.插入部外径≤10mm、工作长度≥300mm</w:t>
      </w:r>
    </w:p>
    <w:p w14:paraId="2EB92F3B">
      <w:pPr>
        <w:spacing w:before="289"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4.视野角：</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≥65</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5"/>
          <w:sz w:val="24"/>
          <w:szCs w:val="24"/>
          <w:highlight w:val="none"/>
        </w:rPr>
        <w:t>°</w:t>
      </w:r>
    </w:p>
    <w:p w14:paraId="6817841B">
      <w:pPr>
        <w:spacing w:before="285"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5.视向角：30</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2"/>
          <w:sz w:val="24"/>
          <w:szCs w:val="24"/>
          <w:highlight w:val="none"/>
        </w:rPr>
        <w:t>°</w:t>
      </w:r>
    </w:p>
    <w:p w14:paraId="6F66348C">
      <w:pPr>
        <w:spacing w:before="284" w:line="219"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6.视野方向旋转：手臂不动，可旋转镜体左右各</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1"/>
          <w:sz w:val="24"/>
          <w:szCs w:val="24"/>
          <w:highlight w:val="none"/>
        </w:rPr>
        <w:t>175</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
          <w:sz w:val="24"/>
          <w:szCs w:val="24"/>
          <w:highlight w:val="none"/>
        </w:rPr>
        <w:t>°旋</w:t>
      </w:r>
      <w:r>
        <w:rPr>
          <w:rFonts w:hint="eastAsia" w:ascii="仿宋" w:hAnsi="仿宋" w:eastAsia="仿宋" w:cs="仿宋"/>
          <w:color w:val="auto"/>
          <w:spacing w:val="-2"/>
          <w:sz w:val="24"/>
          <w:szCs w:val="24"/>
          <w:highlight w:val="none"/>
        </w:rPr>
        <w:t>转，且不丢失3D</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画面</w:t>
      </w:r>
    </w:p>
    <w:p w14:paraId="153C7755">
      <w:pPr>
        <w:spacing w:before="291"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7.对焦方式：电子对焦</w:t>
      </w:r>
    </w:p>
    <w:p w14:paraId="75C76748">
      <w:pPr>
        <w:spacing w:before="285"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8.遥控开关：操作部上带有≥3</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2"/>
          <w:sz w:val="24"/>
          <w:szCs w:val="24"/>
          <w:highlight w:val="none"/>
        </w:rPr>
        <w:t>个可设置遥控按钮</w:t>
      </w:r>
    </w:p>
    <w:p w14:paraId="00563E6C">
      <w:pPr>
        <w:spacing w:before="289" w:line="222"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9.观察模式：特殊光：410nm≤波长</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
          <w:sz w:val="24"/>
          <w:szCs w:val="24"/>
          <w:highlight w:val="none"/>
        </w:rPr>
        <w:t>1≤415nm，515nm≤波长</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1"/>
          <w:sz w:val="24"/>
          <w:szCs w:val="24"/>
          <w:highlight w:val="none"/>
        </w:rPr>
        <w:t>2≤545nm</w:t>
      </w:r>
      <w:r>
        <w:rPr>
          <w:rFonts w:hint="eastAsia" w:ascii="仿宋" w:hAnsi="仿宋" w:eastAsia="仿宋" w:cs="仿宋"/>
          <w:color w:val="auto"/>
          <w:spacing w:val="-2"/>
          <w:sz w:val="24"/>
          <w:szCs w:val="24"/>
          <w:highlight w:val="none"/>
        </w:rPr>
        <w:t>。及白光</w:t>
      </w:r>
    </w:p>
    <w:p w14:paraId="3F88A206">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10.灭菌方式：低温等离子、高温高压、环氧</w:t>
      </w:r>
      <w:r>
        <w:rPr>
          <w:rFonts w:hint="eastAsia" w:ascii="仿宋" w:hAnsi="仿宋" w:eastAsia="仿宋" w:cs="仿宋"/>
          <w:color w:val="auto"/>
          <w:spacing w:val="-2"/>
          <w:sz w:val="24"/>
          <w:szCs w:val="24"/>
          <w:highlight w:val="none"/>
        </w:rPr>
        <w:t>乙烷均支持</w:t>
      </w:r>
    </w:p>
    <w:p w14:paraId="1F8EDA14">
      <w:pPr>
        <w:spacing w:before="91" w:line="223" w:lineRule="auto"/>
        <w:ind w:left="2518"/>
        <w:rPr>
          <w:rFonts w:hint="eastAsia" w:ascii="仿宋" w:hAnsi="仿宋" w:eastAsia="仿宋" w:cs="仿宋"/>
          <w:b/>
          <w:bCs/>
          <w:color w:val="auto"/>
          <w:sz w:val="24"/>
          <w:szCs w:val="24"/>
          <w:highlight w:val="none"/>
        </w:rPr>
      </w:pPr>
      <w:r>
        <w:rPr>
          <w:rFonts w:hint="eastAsia" w:ascii="仿宋" w:hAnsi="仿宋" w:eastAsia="仿宋" w:cs="仿宋"/>
          <w:b/>
          <w:bCs/>
          <w:color w:val="auto"/>
          <w:spacing w:val="-6"/>
          <w:sz w:val="24"/>
          <w:szCs w:val="24"/>
          <w:highlight w:val="none"/>
        </w:rPr>
        <w:t>4K 电子腹腔镜系统配置要求</w:t>
      </w:r>
    </w:p>
    <w:p w14:paraId="6680045C">
      <w:pPr>
        <w:spacing w:line="113" w:lineRule="exact"/>
        <w:rPr>
          <w:rFonts w:hint="eastAsia" w:ascii="仿宋" w:hAnsi="仿宋" w:eastAsia="仿宋" w:cs="仿宋"/>
          <w:color w:val="auto"/>
          <w:sz w:val="24"/>
          <w:szCs w:val="24"/>
          <w:highlight w:val="none"/>
        </w:rPr>
      </w:pPr>
    </w:p>
    <w:tbl>
      <w:tblPr>
        <w:tblStyle w:val="189"/>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99"/>
        <w:gridCol w:w="5234"/>
        <w:gridCol w:w="1731"/>
      </w:tblGrid>
      <w:tr w14:paraId="28412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071" w:type="pct"/>
            <w:tcBorders>
              <w:top w:val="single" w:color="000000" w:sz="10" w:space="0"/>
              <w:left w:val="single" w:color="000000" w:sz="10" w:space="0"/>
            </w:tcBorders>
            <w:vAlign w:val="center"/>
          </w:tcPr>
          <w:p w14:paraId="239B8A7F">
            <w:pPr>
              <w:pStyle w:val="188"/>
              <w:spacing w:before="221" w:line="223" w:lineRule="auto"/>
              <w:ind w:left="50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序号</w:t>
            </w:r>
          </w:p>
        </w:tc>
        <w:tc>
          <w:tcPr>
            <w:tcW w:w="2952" w:type="pct"/>
            <w:tcBorders>
              <w:top w:val="single" w:color="000000" w:sz="10" w:space="0"/>
            </w:tcBorders>
            <w:vAlign w:val="center"/>
          </w:tcPr>
          <w:p w14:paraId="576453EB">
            <w:pPr>
              <w:pStyle w:val="188"/>
              <w:spacing w:before="221" w:line="222" w:lineRule="auto"/>
              <w:ind w:left="1881"/>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名称</w:t>
            </w:r>
          </w:p>
        </w:tc>
        <w:tc>
          <w:tcPr>
            <w:tcW w:w="976" w:type="pct"/>
            <w:tcBorders>
              <w:top w:val="single" w:color="000000" w:sz="10" w:space="0"/>
              <w:right w:val="single" w:color="000000" w:sz="10" w:space="0"/>
            </w:tcBorders>
            <w:vAlign w:val="center"/>
          </w:tcPr>
          <w:p w14:paraId="6536EA89">
            <w:pPr>
              <w:pStyle w:val="188"/>
              <w:spacing w:before="221" w:line="224" w:lineRule="auto"/>
              <w:ind w:left="44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数量</w:t>
            </w:r>
          </w:p>
        </w:tc>
      </w:tr>
      <w:tr w14:paraId="73007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071" w:type="pct"/>
            <w:tcBorders>
              <w:left w:val="single" w:color="000000" w:sz="10" w:space="0"/>
            </w:tcBorders>
            <w:vAlign w:val="center"/>
          </w:tcPr>
          <w:p w14:paraId="270C2A7F">
            <w:pPr>
              <w:pStyle w:val="188"/>
              <w:spacing w:before="216" w:line="369" w:lineRule="exact"/>
              <w:ind w:left="72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c>
          <w:tcPr>
            <w:tcW w:w="2952" w:type="pct"/>
            <w:vAlign w:val="center"/>
          </w:tcPr>
          <w:p w14:paraId="630CF8DD">
            <w:pPr>
              <w:pStyle w:val="188"/>
              <w:spacing w:before="217" w:line="222" w:lineRule="auto"/>
              <w:ind w:left="1346"/>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图像处理装置</w:t>
            </w:r>
          </w:p>
        </w:tc>
        <w:tc>
          <w:tcPr>
            <w:tcW w:w="976" w:type="pct"/>
            <w:tcBorders>
              <w:right w:val="single" w:color="000000" w:sz="10" w:space="0"/>
            </w:tcBorders>
            <w:vAlign w:val="center"/>
          </w:tcPr>
          <w:p w14:paraId="0304D7A1">
            <w:pPr>
              <w:pStyle w:val="188"/>
              <w:spacing w:before="216"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7EFA1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1071" w:type="pct"/>
            <w:tcBorders>
              <w:left w:val="single" w:color="000000" w:sz="10" w:space="0"/>
            </w:tcBorders>
            <w:vAlign w:val="center"/>
          </w:tcPr>
          <w:p w14:paraId="4F8E00A4">
            <w:pPr>
              <w:pStyle w:val="188"/>
              <w:spacing w:before="218" w:line="368" w:lineRule="exact"/>
              <w:ind w:left="706"/>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2</w:t>
            </w:r>
          </w:p>
        </w:tc>
        <w:tc>
          <w:tcPr>
            <w:tcW w:w="2952" w:type="pct"/>
            <w:vAlign w:val="center"/>
          </w:tcPr>
          <w:p w14:paraId="58654424">
            <w:pPr>
              <w:pStyle w:val="188"/>
              <w:spacing w:before="218" w:line="223" w:lineRule="auto"/>
              <w:ind w:left="1074"/>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内窥镜 LED 冷光源</w:t>
            </w:r>
          </w:p>
        </w:tc>
        <w:tc>
          <w:tcPr>
            <w:tcW w:w="976" w:type="pct"/>
            <w:tcBorders>
              <w:right w:val="single" w:color="000000" w:sz="10" w:space="0"/>
            </w:tcBorders>
            <w:vAlign w:val="center"/>
          </w:tcPr>
          <w:p w14:paraId="52FE89EC">
            <w:pPr>
              <w:pStyle w:val="188"/>
              <w:spacing w:before="218" w:line="368"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3CE17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1071" w:type="pct"/>
            <w:tcBorders>
              <w:left w:val="single" w:color="000000" w:sz="10" w:space="0"/>
            </w:tcBorders>
            <w:vAlign w:val="center"/>
          </w:tcPr>
          <w:p w14:paraId="2F301A9E">
            <w:pPr>
              <w:pStyle w:val="188"/>
              <w:spacing w:before="219" w:line="242" w:lineRule="auto"/>
              <w:ind w:left="70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3</w:t>
            </w:r>
          </w:p>
        </w:tc>
        <w:tc>
          <w:tcPr>
            <w:tcW w:w="2952" w:type="pct"/>
            <w:vAlign w:val="center"/>
          </w:tcPr>
          <w:p w14:paraId="6A5D73D1">
            <w:pPr>
              <w:pStyle w:val="188"/>
              <w:spacing w:before="220" w:line="224" w:lineRule="auto"/>
              <w:ind w:left="1275"/>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4K、3D 监视器</w:t>
            </w:r>
          </w:p>
        </w:tc>
        <w:tc>
          <w:tcPr>
            <w:tcW w:w="976" w:type="pct"/>
            <w:tcBorders>
              <w:right w:val="single" w:color="000000" w:sz="10" w:space="0"/>
            </w:tcBorders>
            <w:vAlign w:val="center"/>
          </w:tcPr>
          <w:p w14:paraId="4BCDF64B">
            <w:pPr>
              <w:pStyle w:val="188"/>
              <w:spacing w:before="219"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63D55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071" w:type="pct"/>
            <w:tcBorders>
              <w:left w:val="single" w:color="000000" w:sz="10" w:space="0"/>
            </w:tcBorders>
            <w:vAlign w:val="center"/>
          </w:tcPr>
          <w:p w14:paraId="161B6DAA">
            <w:pPr>
              <w:pStyle w:val="188"/>
              <w:spacing w:before="220" w:line="369" w:lineRule="exact"/>
              <w:ind w:left="70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4</w:t>
            </w:r>
          </w:p>
        </w:tc>
        <w:tc>
          <w:tcPr>
            <w:tcW w:w="2952" w:type="pct"/>
            <w:vAlign w:val="center"/>
          </w:tcPr>
          <w:p w14:paraId="5CAB95C6">
            <w:pPr>
              <w:pStyle w:val="188"/>
              <w:spacing w:before="220" w:line="220" w:lineRule="auto"/>
              <w:ind w:left="1906"/>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台车</w:t>
            </w:r>
          </w:p>
        </w:tc>
        <w:tc>
          <w:tcPr>
            <w:tcW w:w="976" w:type="pct"/>
            <w:tcBorders>
              <w:right w:val="single" w:color="000000" w:sz="10" w:space="0"/>
            </w:tcBorders>
            <w:vAlign w:val="center"/>
          </w:tcPr>
          <w:p w14:paraId="4ADFE93E">
            <w:pPr>
              <w:pStyle w:val="188"/>
              <w:spacing w:before="220"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612E9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071" w:type="pct"/>
            <w:tcBorders>
              <w:left w:val="single" w:color="000000" w:sz="10" w:space="0"/>
            </w:tcBorders>
            <w:vAlign w:val="center"/>
          </w:tcPr>
          <w:p w14:paraId="42088750">
            <w:pPr>
              <w:pStyle w:val="188"/>
              <w:spacing w:before="220" w:line="242" w:lineRule="auto"/>
              <w:ind w:left="70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5</w:t>
            </w:r>
          </w:p>
        </w:tc>
        <w:tc>
          <w:tcPr>
            <w:tcW w:w="2952" w:type="pct"/>
            <w:vAlign w:val="center"/>
          </w:tcPr>
          <w:p w14:paraId="36F1378C">
            <w:pPr>
              <w:pStyle w:val="188"/>
              <w:spacing w:before="220" w:line="224" w:lineRule="auto"/>
              <w:ind w:left="1279"/>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2D 电子腹腔镜</w:t>
            </w:r>
          </w:p>
        </w:tc>
        <w:tc>
          <w:tcPr>
            <w:tcW w:w="976" w:type="pct"/>
            <w:tcBorders>
              <w:right w:val="single" w:color="000000" w:sz="10" w:space="0"/>
            </w:tcBorders>
            <w:vAlign w:val="center"/>
          </w:tcPr>
          <w:p w14:paraId="34DCC5EE">
            <w:pPr>
              <w:pStyle w:val="188"/>
              <w:spacing w:before="221"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54765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071" w:type="pct"/>
            <w:tcBorders>
              <w:left w:val="single" w:color="000000" w:sz="10" w:space="0"/>
            </w:tcBorders>
            <w:vAlign w:val="center"/>
          </w:tcPr>
          <w:p w14:paraId="07C13F2D">
            <w:pPr>
              <w:pStyle w:val="188"/>
              <w:spacing w:before="222" w:line="242" w:lineRule="auto"/>
              <w:ind w:left="705"/>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6</w:t>
            </w:r>
          </w:p>
        </w:tc>
        <w:tc>
          <w:tcPr>
            <w:tcW w:w="2952" w:type="pct"/>
            <w:vAlign w:val="center"/>
          </w:tcPr>
          <w:p w14:paraId="6FFCB9F1">
            <w:pPr>
              <w:pStyle w:val="188"/>
              <w:spacing w:before="222" w:line="224" w:lineRule="auto"/>
              <w:ind w:left="1282"/>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3D 电子腹腔镜</w:t>
            </w:r>
          </w:p>
        </w:tc>
        <w:tc>
          <w:tcPr>
            <w:tcW w:w="976" w:type="pct"/>
            <w:tcBorders>
              <w:right w:val="single" w:color="000000" w:sz="10" w:space="0"/>
            </w:tcBorders>
            <w:vAlign w:val="center"/>
          </w:tcPr>
          <w:p w14:paraId="2440DCC5">
            <w:pPr>
              <w:pStyle w:val="188"/>
              <w:spacing w:before="222"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37D7E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071" w:type="pct"/>
            <w:tcBorders>
              <w:left w:val="single" w:color="000000" w:sz="10" w:space="0"/>
            </w:tcBorders>
            <w:vAlign w:val="center"/>
          </w:tcPr>
          <w:p w14:paraId="73C96B2A">
            <w:pPr>
              <w:pStyle w:val="188"/>
              <w:spacing w:before="220" w:line="242" w:lineRule="auto"/>
              <w:ind w:left="70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7</w:t>
            </w:r>
          </w:p>
        </w:tc>
        <w:tc>
          <w:tcPr>
            <w:tcW w:w="2952" w:type="pct"/>
            <w:vAlign w:val="center"/>
          </w:tcPr>
          <w:p w14:paraId="71BBF1FE">
            <w:pPr>
              <w:pStyle w:val="188"/>
              <w:spacing w:before="220" w:line="223" w:lineRule="auto"/>
              <w:ind w:left="1749"/>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气腹机</w:t>
            </w:r>
          </w:p>
        </w:tc>
        <w:tc>
          <w:tcPr>
            <w:tcW w:w="976" w:type="pct"/>
            <w:tcBorders>
              <w:right w:val="single" w:color="000000" w:sz="10" w:space="0"/>
            </w:tcBorders>
            <w:vAlign w:val="center"/>
          </w:tcPr>
          <w:p w14:paraId="3CFF8A98">
            <w:pPr>
              <w:pStyle w:val="188"/>
              <w:spacing w:before="220"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02E6E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071" w:type="pct"/>
            <w:tcBorders>
              <w:left w:val="single" w:color="000000" w:sz="10" w:space="0"/>
            </w:tcBorders>
            <w:vAlign w:val="center"/>
          </w:tcPr>
          <w:p w14:paraId="23260108">
            <w:pPr>
              <w:pStyle w:val="188"/>
              <w:spacing w:before="220"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8</w:t>
            </w:r>
          </w:p>
        </w:tc>
        <w:tc>
          <w:tcPr>
            <w:tcW w:w="2952" w:type="pct"/>
            <w:vAlign w:val="center"/>
          </w:tcPr>
          <w:p w14:paraId="45452A60">
            <w:pPr>
              <w:pStyle w:val="188"/>
              <w:spacing w:before="221" w:line="224" w:lineRule="auto"/>
              <w:ind w:left="1608"/>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高频电刀</w:t>
            </w:r>
          </w:p>
        </w:tc>
        <w:tc>
          <w:tcPr>
            <w:tcW w:w="976" w:type="pct"/>
            <w:tcBorders>
              <w:right w:val="single" w:color="000000" w:sz="10" w:space="0"/>
            </w:tcBorders>
            <w:vAlign w:val="center"/>
          </w:tcPr>
          <w:p w14:paraId="0423D317">
            <w:pPr>
              <w:pStyle w:val="188"/>
              <w:spacing w:before="220"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2CDBC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071" w:type="pct"/>
            <w:tcBorders>
              <w:left w:val="single" w:color="000000" w:sz="10" w:space="0"/>
            </w:tcBorders>
            <w:vAlign w:val="center"/>
          </w:tcPr>
          <w:p w14:paraId="15E661AC">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9</w:t>
            </w:r>
          </w:p>
        </w:tc>
        <w:tc>
          <w:tcPr>
            <w:tcW w:w="2952" w:type="pct"/>
            <w:vAlign w:val="center"/>
          </w:tcPr>
          <w:p w14:paraId="0D704BBF">
            <w:pPr>
              <w:pStyle w:val="188"/>
              <w:spacing w:before="221" w:line="223" w:lineRule="auto"/>
              <w:ind w:left="1747"/>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刻录机</w:t>
            </w:r>
          </w:p>
        </w:tc>
        <w:tc>
          <w:tcPr>
            <w:tcW w:w="976" w:type="pct"/>
            <w:tcBorders>
              <w:right w:val="single" w:color="000000" w:sz="10" w:space="0"/>
            </w:tcBorders>
            <w:vAlign w:val="center"/>
          </w:tcPr>
          <w:p w14:paraId="1A1268C1">
            <w:pPr>
              <w:pStyle w:val="188"/>
              <w:spacing w:before="221" w:line="369" w:lineRule="exact"/>
              <w:ind w:left="67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5C52E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071" w:type="pct"/>
            <w:tcBorders>
              <w:left w:val="single" w:color="000000" w:sz="10" w:space="0"/>
            </w:tcBorders>
            <w:vAlign w:val="center"/>
          </w:tcPr>
          <w:p w14:paraId="53C45C0B">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10</w:t>
            </w:r>
          </w:p>
        </w:tc>
        <w:tc>
          <w:tcPr>
            <w:tcW w:w="2952" w:type="pct"/>
            <w:vAlign w:val="center"/>
          </w:tcPr>
          <w:p w14:paraId="61507AB6">
            <w:pPr>
              <w:pStyle w:val="188"/>
              <w:spacing w:before="221" w:line="242" w:lineRule="auto"/>
              <w:ind w:left="704" w:firstLine="952" w:firstLineChars="400"/>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换能器</w:t>
            </w:r>
          </w:p>
        </w:tc>
        <w:tc>
          <w:tcPr>
            <w:tcW w:w="976" w:type="pct"/>
            <w:tcBorders>
              <w:right w:val="single" w:color="000000" w:sz="10" w:space="0"/>
            </w:tcBorders>
            <w:vAlign w:val="center"/>
          </w:tcPr>
          <w:p w14:paraId="6ECB0D16">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7CC77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071" w:type="pct"/>
            <w:tcBorders>
              <w:left w:val="single" w:color="000000" w:sz="10" w:space="0"/>
            </w:tcBorders>
            <w:vAlign w:val="center"/>
          </w:tcPr>
          <w:p w14:paraId="41F0A865">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11</w:t>
            </w:r>
          </w:p>
        </w:tc>
        <w:tc>
          <w:tcPr>
            <w:tcW w:w="2952" w:type="pct"/>
            <w:vAlign w:val="center"/>
          </w:tcPr>
          <w:p w14:paraId="09D06E3F">
            <w:pPr>
              <w:pStyle w:val="188"/>
              <w:spacing w:before="221" w:line="242" w:lineRule="auto"/>
              <w:ind w:left="704"/>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排烟器</w:t>
            </w:r>
          </w:p>
        </w:tc>
        <w:tc>
          <w:tcPr>
            <w:tcW w:w="976" w:type="pct"/>
            <w:tcBorders>
              <w:right w:val="single" w:color="000000" w:sz="10" w:space="0"/>
            </w:tcBorders>
            <w:vAlign w:val="center"/>
          </w:tcPr>
          <w:p w14:paraId="18EDCD44">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71EDC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071" w:type="pct"/>
            <w:tcBorders>
              <w:left w:val="single" w:color="000000" w:sz="10" w:space="0"/>
            </w:tcBorders>
            <w:vAlign w:val="center"/>
          </w:tcPr>
          <w:p w14:paraId="2E5971B2">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12</w:t>
            </w:r>
          </w:p>
        </w:tc>
        <w:tc>
          <w:tcPr>
            <w:tcW w:w="2952" w:type="pct"/>
            <w:vAlign w:val="center"/>
          </w:tcPr>
          <w:p w14:paraId="5239330C">
            <w:pPr>
              <w:pStyle w:val="188"/>
              <w:spacing w:before="221" w:line="242" w:lineRule="auto"/>
              <w:ind w:left="704"/>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激活套件</w:t>
            </w:r>
          </w:p>
        </w:tc>
        <w:tc>
          <w:tcPr>
            <w:tcW w:w="976" w:type="pct"/>
            <w:tcBorders>
              <w:right w:val="single" w:color="000000" w:sz="10" w:space="0"/>
            </w:tcBorders>
            <w:vAlign w:val="center"/>
          </w:tcPr>
          <w:p w14:paraId="7058D8AD">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r>
      <w:tr w14:paraId="6F145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071" w:type="pct"/>
            <w:tcBorders>
              <w:left w:val="single" w:color="000000" w:sz="10" w:space="0"/>
            </w:tcBorders>
            <w:vAlign w:val="center"/>
          </w:tcPr>
          <w:p w14:paraId="1AD06BAC">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13</w:t>
            </w:r>
          </w:p>
        </w:tc>
        <w:tc>
          <w:tcPr>
            <w:tcW w:w="2952" w:type="pct"/>
            <w:vAlign w:val="center"/>
          </w:tcPr>
          <w:p w14:paraId="4F340C26">
            <w:pPr>
              <w:pStyle w:val="188"/>
              <w:spacing w:before="221" w:line="242" w:lineRule="auto"/>
              <w:ind w:left="704"/>
              <w:jc w:val="both"/>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负极板电缆</w:t>
            </w:r>
          </w:p>
        </w:tc>
        <w:tc>
          <w:tcPr>
            <w:tcW w:w="976" w:type="pct"/>
            <w:tcBorders>
              <w:right w:val="single" w:color="000000" w:sz="10" w:space="0"/>
            </w:tcBorders>
            <w:vAlign w:val="center"/>
          </w:tcPr>
          <w:p w14:paraId="0416D6E9">
            <w:pPr>
              <w:pStyle w:val="188"/>
              <w:spacing w:before="221" w:line="242" w:lineRule="auto"/>
              <w:ind w:left="70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2</w:t>
            </w:r>
          </w:p>
        </w:tc>
      </w:tr>
    </w:tbl>
    <w:p w14:paraId="3B15A50E">
      <w:pPr>
        <w:rPr>
          <w:rFonts w:hint="eastAsia" w:ascii="仿宋" w:hAnsi="仿宋" w:eastAsia="仿宋" w:cs="仿宋"/>
          <w:b/>
          <w:bCs/>
          <w:color w:val="auto"/>
          <w:spacing w:val="-5"/>
          <w:sz w:val="24"/>
          <w:szCs w:val="24"/>
          <w:highlight w:val="none"/>
          <w:lang w:val="en-US" w:eastAsia="zh-CN"/>
        </w:rPr>
      </w:pPr>
      <w:r>
        <w:rPr>
          <w:rFonts w:hint="eastAsia" w:ascii="仿宋" w:hAnsi="仿宋" w:eastAsia="仿宋" w:cs="仿宋"/>
          <w:b/>
          <w:bCs/>
          <w:color w:val="auto"/>
          <w:spacing w:val="-5"/>
          <w:sz w:val="24"/>
          <w:szCs w:val="24"/>
          <w:highlight w:val="none"/>
          <w:lang w:val="en-US" w:eastAsia="zh-CN"/>
        </w:rPr>
        <w:br w:type="page"/>
      </w:r>
    </w:p>
    <w:p w14:paraId="1C0D4BE5">
      <w:pPr>
        <w:spacing w:before="91" w:line="221" w:lineRule="auto"/>
        <w:ind w:left="3705"/>
        <w:outlineLvl w:val="0"/>
        <w:rPr>
          <w:rFonts w:hint="eastAsia" w:ascii="仿宋" w:hAnsi="仿宋" w:eastAsia="仿宋" w:cs="仿宋"/>
          <w:color w:val="auto"/>
          <w:sz w:val="24"/>
          <w:szCs w:val="24"/>
          <w:highlight w:val="none"/>
        </w:rPr>
      </w:pPr>
      <w:bookmarkStart w:id="604" w:name="_Toc29829"/>
      <w:bookmarkStart w:id="605" w:name="_Toc26675"/>
      <w:bookmarkStart w:id="606" w:name="_Toc23679"/>
      <w:r>
        <w:rPr>
          <w:rFonts w:hint="eastAsia" w:ascii="仿宋" w:hAnsi="仿宋" w:eastAsia="仿宋" w:cs="仿宋"/>
          <w:b/>
          <w:bCs/>
          <w:color w:val="auto"/>
          <w:spacing w:val="-3"/>
          <w:sz w:val="24"/>
          <w:szCs w:val="24"/>
          <w:highlight w:val="none"/>
          <w:lang w:val="en-US" w:eastAsia="zh-CN"/>
        </w:rPr>
        <w:t>2.</w:t>
      </w:r>
      <w:r>
        <w:rPr>
          <w:rFonts w:hint="eastAsia" w:ascii="仿宋" w:hAnsi="仿宋" w:eastAsia="仿宋" w:cs="仿宋"/>
          <w:b/>
          <w:bCs/>
          <w:color w:val="auto"/>
          <w:spacing w:val="-3"/>
          <w:sz w:val="24"/>
          <w:szCs w:val="24"/>
          <w:highlight w:val="none"/>
        </w:rPr>
        <w:t>钬激光剜除镜参数</w:t>
      </w:r>
      <w:bookmarkEnd w:id="604"/>
      <w:bookmarkEnd w:id="605"/>
      <w:bookmarkEnd w:id="606"/>
    </w:p>
    <w:p w14:paraId="2DC65942">
      <w:pPr>
        <w:pStyle w:val="11"/>
        <w:spacing w:line="316" w:lineRule="auto"/>
        <w:rPr>
          <w:rFonts w:hint="eastAsia" w:ascii="仿宋" w:hAnsi="仿宋" w:eastAsia="仿宋" w:cs="仿宋"/>
          <w:color w:val="auto"/>
          <w:sz w:val="24"/>
          <w:szCs w:val="24"/>
          <w:highlight w:val="none"/>
        </w:rPr>
      </w:pPr>
    </w:p>
    <w:p w14:paraId="680AF7DE">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1.内窥镜：视向角</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7"/>
          <w:sz w:val="24"/>
          <w:szCs w:val="24"/>
          <w:highlight w:val="none"/>
        </w:rPr>
        <w:t>25</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0A229C1A">
      <w:pPr>
        <w:spacing w:before="285" w:line="221"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2.工作长度≤302mm。</w:t>
      </w:r>
    </w:p>
    <w:p w14:paraId="5F455C2D">
      <w:pPr>
        <w:spacing w:before="289"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3.光谱显色指数</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5"/>
          <w:sz w:val="24"/>
          <w:szCs w:val="24"/>
          <w:highlight w:val="none"/>
        </w:rPr>
        <w:t>Ra：</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≥85。</w:t>
      </w:r>
    </w:p>
    <w:p w14:paraId="4162720E">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4.有效光度率</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1"/>
          <w:sz w:val="24"/>
          <w:szCs w:val="24"/>
          <w:highlight w:val="none"/>
        </w:rPr>
        <w:t>DM：1000。</w:t>
      </w:r>
    </w:p>
    <w:p w14:paraId="12A2FCCE">
      <w:pPr>
        <w:spacing w:before="285" w:line="221"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5.操作器（工作手件）内置式光纤锁止机构设计，无需外接光纤固定器。</w:t>
      </w:r>
    </w:p>
    <w:p w14:paraId="1FD02ADC">
      <w:pPr>
        <w:spacing w:before="289"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6.镜管外鞘：Fr24。</w:t>
      </w:r>
    </w:p>
    <w:p w14:paraId="6E9B52D6">
      <w:pPr>
        <w:spacing w:before="285"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7.镜管外鞘：Fr26。</w:t>
      </w:r>
    </w:p>
    <w:p w14:paraId="3EF10991">
      <w:pPr>
        <w:spacing w:before="286" w:line="223" w:lineRule="auto"/>
        <w:ind w:left="4283"/>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配置要求</w:t>
      </w:r>
    </w:p>
    <w:p w14:paraId="1E521A4B">
      <w:pPr>
        <w:spacing w:line="114" w:lineRule="exact"/>
        <w:rPr>
          <w:rFonts w:hint="eastAsia" w:ascii="仿宋" w:hAnsi="仿宋" w:eastAsia="仿宋" w:cs="仿宋"/>
          <w:color w:val="auto"/>
          <w:sz w:val="24"/>
          <w:szCs w:val="24"/>
          <w:highlight w:val="none"/>
        </w:rPr>
      </w:pPr>
    </w:p>
    <w:tbl>
      <w:tblPr>
        <w:tblStyle w:val="189"/>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54"/>
        <w:gridCol w:w="4960"/>
        <w:gridCol w:w="2032"/>
      </w:tblGrid>
      <w:tr w14:paraId="35C8B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048" w:type="pct"/>
            <w:vAlign w:val="top"/>
          </w:tcPr>
          <w:p w14:paraId="5E51CAC2">
            <w:pPr>
              <w:pStyle w:val="188"/>
              <w:spacing w:before="176" w:line="223" w:lineRule="auto"/>
              <w:ind w:left="353"/>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序号</w:t>
            </w:r>
          </w:p>
        </w:tc>
        <w:tc>
          <w:tcPr>
            <w:tcW w:w="2803" w:type="pct"/>
            <w:vAlign w:val="top"/>
          </w:tcPr>
          <w:p w14:paraId="465FE310">
            <w:pPr>
              <w:pStyle w:val="188"/>
              <w:spacing w:before="177" w:line="225" w:lineRule="auto"/>
              <w:ind w:left="1416"/>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品名</w:t>
            </w:r>
          </w:p>
        </w:tc>
        <w:tc>
          <w:tcPr>
            <w:tcW w:w="1148" w:type="pct"/>
            <w:vAlign w:val="top"/>
          </w:tcPr>
          <w:p w14:paraId="0BA8E76E">
            <w:pPr>
              <w:pStyle w:val="188"/>
              <w:spacing w:before="176" w:line="224" w:lineRule="auto"/>
              <w:ind w:left="411"/>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数量</w:t>
            </w:r>
          </w:p>
        </w:tc>
      </w:tr>
      <w:tr w14:paraId="2F3BE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48" w:type="pct"/>
            <w:vAlign w:val="top"/>
          </w:tcPr>
          <w:p w14:paraId="1EF5EF37">
            <w:pPr>
              <w:pStyle w:val="188"/>
              <w:spacing w:before="172" w:line="369" w:lineRule="exact"/>
              <w:ind w:left="574"/>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2803" w:type="pct"/>
            <w:vAlign w:val="top"/>
          </w:tcPr>
          <w:p w14:paraId="5DEB6066">
            <w:pPr>
              <w:pStyle w:val="188"/>
              <w:spacing w:before="172" w:line="223" w:lineRule="auto"/>
              <w:ind w:left="1251"/>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剜除镜</w:t>
            </w:r>
          </w:p>
        </w:tc>
        <w:tc>
          <w:tcPr>
            <w:tcW w:w="1148" w:type="pct"/>
            <w:vAlign w:val="top"/>
          </w:tcPr>
          <w:p w14:paraId="0A2C7FF3">
            <w:pPr>
              <w:pStyle w:val="188"/>
              <w:spacing w:before="172" w:line="227"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套</w:t>
            </w:r>
          </w:p>
        </w:tc>
      </w:tr>
      <w:tr w14:paraId="1E178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48" w:type="pct"/>
            <w:vAlign w:val="top"/>
          </w:tcPr>
          <w:p w14:paraId="60BF504C">
            <w:pPr>
              <w:pStyle w:val="188"/>
              <w:spacing w:before="173" w:line="369" w:lineRule="exact"/>
              <w:ind w:left="5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2</w:t>
            </w:r>
          </w:p>
        </w:tc>
        <w:tc>
          <w:tcPr>
            <w:tcW w:w="2803" w:type="pct"/>
            <w:vAlign w:val="top"/>
          </w:tcPr>
          <w:p w14:paraId="08B3BFD7">
            <w:pPr>
              <w:pStyle w:val="188"/>
              <w:spacing w:before="172" w:line="221" w:lineRule="auto"/>
              <w:ind w:left="1245"/>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操作器</w:t>
            </w:r>
          </w:p>
        </w:tc>
        <w:tc>
          <w:tcPr>
            <w:tcW w:w="1148" w:type="pct"/>
            <w:vAlign w:val="top"/>
          </w:tcPr>
          <w:p w14:paraId="2534EB76">
            <w:pPr>
              <w:pStyle w:val="188"/>
              <w:spacing w:before="173" w:line="224"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支</w:t>
            </w:r>
          </w:p>
        </w:tc>
      </w:tr>
      <w:tr w14:paraId="728F8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48" w:type="pct"/>
            <w:vAlign w:val="top"/>
          </w:tcPr>
          <w:p w14:paraId="22A6B5E3">
            <w:pPr>
              <w:pStyle w:val="188"/>
              <w:spacing w:before="173" w:line="242" w:lineRule="auto"/>
              <w:ind w:left="559"/>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3</w:t>
            </w:r>
          </w:p>
        </w:tc>
        <w:tc>
          <w:tcPr>
            <w:tcW w:w="2803" w:type="pct"/>
            <w:vAlign w:val="top"/>
          </w:tcPr>
          <w:p w14:paraId="45BE9721">
            <w:pPr>
              <w:pStyle w:val="188"/>
              <w:spacing w:before="173" w:line="223" w:lineRule="auto"/>
              <w:ind w:left="929"/>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内鞘，24Fr.</w:t>
            </w:r>
          </w:p>
        </w:tc>
        <w:tc>
          <w:tcPr>
            <w:tcW w:w="1148" w:type="pct"/>
            <w:vAlign w:val="top"/>
          </w:tcPr>
          <w:p w14:paraId="5BE8B572">
            <w:pPr>
              <w:pStyle w:val="188"/>
              <w:spacing w:before="174" w:line="224"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支</w:t>
            </w:r>
          </w:p>
        </w:tc>
      </w:tr>
      <w:tr w14:paraId="3654C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1048" w:type="pct"/>
            <w:vAlign w:val="top"/>
          </w:tcPr>
          <w:p w14:paraId="42F04457">
            <w:pPr>
              <w:pStyle w:val="188"/>
              <w:spacing w:before="174" w:line="369" w:lineRule="exact"/>
              <w:ind w:left="552"/>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4</w:t>
            </w:r>
          </w:p>
        </w:tc>
        <w:tc>
          <w:tcPr>
            <w:tcW w:w="2803" w:type="pct"/>
            <w:vAlign w:val="top"/>
          </w:tcPr>
          <w:p w14:paraId="4FB63BBF">
            <w:pPr>
              <w:pStyle w:val="188"/>
              <w:spacing w:before="174" w:line="223" w:lineRule="auto"/>
              <w:ind w:left="898"/>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外鞘，26Fr.</w:t>
            </w:r>
          </w:p>
        </w:tc>
        <w:tc>
          <w:tcPr>
            <w:tcW w:w="1148" w:type="pct"/>
            <w:vAlign w:val="top"/>
          </w:tcPr>
          <w:p w14:paraId="5A7F9ECE">
            <w:pPr>
              <w:pStyle w:val="188"/>
              <w:spacing w:before="175" w:line="224"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支</w:t>
            </w:r>
          </w:p>
        </w:tc>
      </w:tr>
      <w:tr w14:paraId="20D52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048" w:type="pct"/>
            <w:vAlign w:val="top"/>
          </w:tcPr>
          <w:p w14:paraId="518A216E">
            <w:pPr>
              <w:pStyle w:val="188"/>
              <w:spacing w:before="177" w:line="242" w:lineRule="auto"/>
              <w:ind w:left="559"/>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5</w:t>
            </w:r>
          </w:p>
        </w:tc>
        <w:tc>
          <w:tcPr>
            <w:tcW w:w="2803" w:type="pct"/>
            <w:vAlign w:val="top"/>
          </w:tcPr>
          <w:p w14:paraId="25CC47EB">
            <w:pPr>
              <w:pStyle w:val="188"/>
              <w:spacing w:before="177" w:line="222" w:lineRule="auto"/>
              <w:ind w:left="999"/>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内鞘闭孔器</w:t>
            </w:r>
          </w:p>
        </w:tc>
        <w:tc>
          <w:tcPr>
            <w:tcW w:w="1148" w:type="pct"/>
            <w:vAlign w:val="top"/>
          </w:tcPr>
          <w:p w14:paraId="5B3DD207">
            <w:pPr>
              <w:pStyle w:val="188"/>
              <w:spacing w:before="178" w:line="224"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支</w:t>
            </w:r>
          </w:p>
        </w:tc>
      </w:tr>
      <w:tr w14:paraId="3A98A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1048" w:type="pct"/>
            <w:vAlign w:val="top"/>
          </w:tcPr>
          <w:p w14:paraId="1ADF1C6B">
            <w:pPr>
              <w:pStyle w:val="188"/>
              <w:spacing w:before="176" w:line="242" w:lineRule="auto"/>
              <w:ind w:left="555"/>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6</w:t>
            </w:r>
          </w:p>
        </w:tc>
        <w:tc>
          <w:tcPr>
            <w:tcW w:w="2803" w:type="pct"/>
            <w:vAlign w:val="top"/>
          </w:tcPr>
          <w:p w14:paraId="0D727BB3">
            <w:pPr>
              <w:pStyle w:val="188"/>
              <w:spacing w:before="177" w:line="223" w:lineRule="auto"/>
              <w:ind w:left="690"/>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冲吸器，含接头</w:t>
            </w:r>
          </w:p>
        </w:tc>
        <w:tc>
          <w:tcPr>
            <w:tcW w:w="1148" w:type="pct"/>
            <w:vAlign w:val="top"/>
          </w:tcPr>
          <w:p w14:paraId="3F1ADD75">
            <w:pPr>
              <w:pStyle w:val="188"/>
              <w:spacing w:before="176" w:line="227" w:lineRule="auto"/>
              <w:ind w:left="457"/>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 只</w:t>
            </w:r>
          </w:p>
        </w:tc>
      </w:tr>
    </w:tbl>
    <w:p w14:paraId="327B0D81">
      <w:pPr>
        <w:pStyle w:val="11"/>
        <w:rPr>
          <w:rFonts w:hint="eastAsia" w:ascii="仿宋" w:hAnsi="仿宋" w:eastAsia="仿宋" w:cs="仿宋"/>
          <w:color w:val="auto"/>
          <w:sz w:val="24"/>
          <w:szCs w:val="24"/>
          <w:highlight w:val="none"/>
        </w:rPr>
      </w:pPr>
    </w:p>
    <w:p w14:paraId="7D62ED8D">
      <w:pPr>
        <w:pStyle w:val="11"/>
        <w:spacing w:line="247" w:lineRule="auto"/>
        <w:rPr>
          <w:rFonts w:hint="eastAsia" w:ascii="仿宋" w:hAnsi="仿宋" w:eastAsia="仿宋" w:cs="仿宋"/>
          <w:color w:val="auto"/>
          <w:sz w:val="24"/>
          <w:szCs w:val="24"/>
          <w:highlight w:val="none"/>
        </w:rPr>
      </w:pPr>
    </w:p>
    <w:p w14:paraId="1DE89B71">
      <w:pPr>
        <w:spacing w:before="91" w:line="221" w:lineRule="auto"/>
        <w:ind w:left="2604"/>
        <w:outlineLvl w:val="0"/>
        <w:rPr>
          <w:rFonts w:hint="eastAsia" w:ascii="仿宋" w:hAnsi="仿宋" w:eastAsia="仿宋" w:cs="仿宋"/>
          <w:color w:val="auto"/>
          <w:sz w:val="24"/>
          <w:szCs w:val="24"/>
          <w:highlight w:val="none"/>
        </w:rPr>
      </w:pPr>
      <w:bookmarkStart w:id="607" w:name="_Toc25147"/>
      <w:bookmarkStart w:id="608" w:name="_Toc26650"/>
      <w:bookmarkStart w:id="609" w:name="_Toc20121"/>
      <w:r>
        <w:rPr>
          <w:rFonts w:hint="eastAsia" w:ascii="仿宋" w:hAnsi="仿宋" w:eastAsia="仿宋" w:cs="仿宋"/>
          <w:b/>
          <w:bCs/>
          <w:color w:val="auto"/>
          <w:spacing w:val="-4"/>
          <w:sz w:val="24"/>
          <w:szCs w:val="24"/>
          <w:highlight w:val="none"/>
          <w:lang w:val="en-US" w:eastAsia="zh-CN"/>
        </w:rPr>
        <w:t>3</w:t>
      </w:r>
      <w:r>
        <w:rPr>
          <w:rFonts w:hint="eastAsia" w:ascii="仿宋" w:hAnsi="仿宋" w:eastAsia="仿宋" w:cs="仿宋"/>
          <w:b/>
          <w:bCs/>
          <w:color w:val="auto"/>
          <w:spacing w:val="-4"/>
          <w:sz w:val="24"/>
          <w:szCs w:val="24"/>
          <w:highlight w:val="none"/>
        </w:rPr>
        <w:t>.</w:t>
      </w:r>
      <w:r>
        <w:rPr>
          <w:rFonts w:hint="eastAsia" w:ascii="仿宋" w:hAnsi="仿宋" w:eastAsia="仿宋" w:cs="仿宋"/>
          <w:color w:val="auto"/>
          <w:spacing w:val="-4"/>
          <w:sz w:val="24"/>
          <w:szCs w:val="24"/>
          <w:highlight w:val="none"/>
        </w:rPr>
        <w:t xml:space="preserve"> </w:t>
      </w:r>
      <w:r>
        <w:rPr>
          <w:rFonts w:hint="eastAsia" w:ascii="仿宋" w:hAnsi="仿宋" w:eastAsia="仿宋" w:cs="仿宋"/>
          <w:b/>
          <w:bCs/>
          <w:color w:val="auto"/>
          <w:spacing w:val="-4"/>
          <w:sz w:val="24"/>
          <w:szCs w:val="24"/>
          <w:highlight w:val="none"/>
        </w:rPr>
        <w:t>硬性电子膀胱肾盂镜技术参数</w:t>
      </w:r>
      <w:bookmarkEnd w:id="607"/>
      <w:bookmarkEnd w:id="608"/>
      <w:bookmarkEnd w:id="609"/>
    </w:p>
    <w:p w14:paraId="4E8D5ECF">
      <w:pPr>
        <w:pStyle w:val="11"/>
        <w:spacing w:line="316" w:lineRule="auto"/>
        <w:rPr>
          <w:rFonts w:hint="eastAsia" w:ascii="仿宋" w:hAnsi="仿宋" w:eastAsia="仿宋" w:cs="仿宋"/>
          <w:color w:val="auto"/>
          <w:sz w:val="24"/>
          <w:szCs w:val="24"/>
          <w:highlight w:val="none"/>
        </w:rPr>
      </w:pPr>
    </w:p>
    <w:p w14:paraId="5C8FD28C">
      <w:pPr>
        <w:spacing w:before="91" w:line="223" w:lineRule="auto"/>
        <w:ind w:left="1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一、适用于泌尿外科开展微创手术</w:t>
      </w:r>
    </w:p>
    <w:p w14:paraId="719E59E5">
      <w:pPr>
        <w:spacing w:before="285" w:line="223" w:lineRule="auto"/>
        <w:ind w:left="1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二、电子小儿镜技术要求</w:t>
      </w:r>
    </w:p>
    <w:p w14:paraId="5A5870DF">
      <w:pPr>
        <w:spacing w:before="285"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1.视场角≥110</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5"/>
          <w:sz w:val="24"/>
          <w:szCs w:val="24"/>
          <w:highlight w:val="none"/>
        </w:rPr>
        <w:t>°.</w:t>
      </w:r>
    </w:p>
    <w:p w14:paraId="34AFA2EB">
      <w:pPr>
        <w:spacing w:before="284" w:line="221"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2.视向角≥5</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101"/>
          <w:sz w:val="24"/>
          <w:szCs w:val="24"/>
          <w:highlight w:val="none"/>
          <w:lang w:eastAsia="zh-CN"/>
        </w:rPr>
        <w:t>，</w:t>
      </w:r>
      <w:r>
        <w:rPr>
          <w:rFonts w:hint="eastAsia" w:ascii="仿宋" w:hAnsi="仿宋" w:eastAsia="仿宋" w:cs="仿宋"/>
          <w:color w:val="auto"/>
          <w:spacing w:val="-6"/>
          <w:sz w:val="24"/>
          <w:szCs w:val="24"/>
          <w:highlight w:val="none"/>
        </w:rPr>
        <w:t>分辨率≥16</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6"/>
          <w:sz w:val="24"/>
          <w:szCs w:val="24"/>
          <w:highlight w:val="none"/>
        </w:rPr>
        <w:t>万像素，工作长</w:t>
      </w:r>
      <w:r>
        <w:rPr>
          <w:rFonts w:hint="eastAsia" w:ascii="仿宋" w:hAnsi="仿宋" w:eastAsia="仿宋" w:cs="仿宋"/>
          <w:color w:val="auto"/>
          <w:spacing w:val="-7"/>
          <w:sz w:val="24"/>
          <w:szCs w:val="24"/>
          <w:highlight w:val="none"/>
        </w:rPr>
        <w:t>度≥430mm.</w:t>
      </w:r>
    </w:p>
    <w:p w14:paraId="5B7C7D88">
      <w:pPr>
        <w:spacing w:before="289"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3.前端尺寸</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2"/>
          <w:sz w:val="24"/>
          <w:szCs w:val="24"/>
          <w:highlight w:val="none"/>
        </w:rPr>
        <w:t>6/7.5Fr.</w:t>
      </w:r>
    </w:p>
    <w:p w14:paraId="7710EFD7">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4.器械通道≥4.0Fr</w:t>
      </w:r>
    </w:p>
    <w:p w14:paraId="301CB460">
      <w:pPr>
        <w:spacing w:before="288"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5.景深</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3"/>
          <w:sz w:val="24"/>
          <w:szCs w:val="24"/>
          <w:highlight w:val="none"/>
        </w:rPr>
        <w:t>2-50mm</w:t>
      </w:r>
    </w:p>
    <w:p w14:paraId="2ABEE62A">
      <w:pPr>
        <w:spacing w:before="286"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6.左右独立进/出水开关控制接</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3"/>
          <w:sz w:val="24"/>
          <w:szCs w:val="24"/>
          <w:highlight w:val="none"/>
        </w:rPr>
        <w:t>口，双层密封防漏设计，图像无扭曲。</w:t>
      </w:r>
    </w:p>
    <w:p w14:paraId="62D16DDF">
      <w:pPr>
        <w:spacing w:before="287" w:line="221"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7.半硬性一体式硬镜，插入部外管采用不锈钢的原材料。</w:t>
      </w:r>
    </w:p>
    <w:p w14:paraId="78C744EA">
      <w:pPr>
        <w:spacing w:before="289"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8.操作部功能按钮</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1"/>
          <w:sz w:val="24"/>
          <w:szCs w:val="24"/>
          <w:highlight w:val="none"/>
        </w:rPr>
        <w:t>1</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个，可自定义功能6</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1"/>
          <w:sz w:val="24"/>
          <w:szCs w:val="24"/>
          <w:highlight w:val="none"/>
        </w:rPr>
        <w:t>个。</w:t>
      </w:r>
    </w:p>
    <w:p w14:paraId="1D400EEC">
      <w:pPr>
        <w:spacing w:before="288"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9.内置</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1"/>
          <w:sz w:val="24"/>
          <w:szCs w:val="24"/>
          <w:highlight w:val="none"/>
        </w:rPr>
        <w:t>LED</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1"/>
          <w:sz w:val="24"/>
          <w:szCs w:val="24"/>
          <w:highlight w:val="none"/>
        </w:rPr>
        <w:t>光源，玻璃光纤导光，无需外接导光</w:t>
      </w:r>
      <w:r>
        <w:rPr>
          <w:rFonts w:hint="eastAsia" w:ascii="仿宋" w:hAnsi="仿宋" w:eastAsia="仿宋" w:cs="仿宋"/>
          <w:color w:val="auto"/>
          <w:spacing w:val="-2"/>
          <w:sz w:val="24"/>
          <w:szCs w:val="24"/>
          <w:highlight w:val="none"/>
        </w:rPr>
        <w:t>束和光源，方便操作。</w:t>
      </w:r>
    </w:p>
    <w:p w14:paraId="69CFBCBB">
      <w:pPr>
        <w:spacing w:before="290"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10.具备记忆功能，可将产品的重要参数显示在监视</w:t>
      </w:r>
      <w:r>
        <w:rPr>
          <w:rFonts w:hint="eastAsia" w:ascii="仿宋" w:hAnsi="仿宋" w:eastAsia="仿宋" w:cs="仿宋"/>
          <w:color w:val="auto"/>
          <w:spacing w:val="-2"/>
          <w:sz w:val="24"/>
          <w:szCs w:val="24"/>
          <w:highlight w:val="none"/>
        </w:rPr>
        <w:t>器上。</w:t>
      </w:r>
    </w:p>
    <w:p w14:paraId="0CD71A61">
      <w:pPr>
        <w:spacing w:before="290"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11.医用硅橡胶的视频连接线缆。</w:t>
      </w:r>
    </w:p>
    <w:p w14:paraId="7F5A82C2">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12.视频线插头全防水，一键式插拔，无需防水帽。</w:t>
      </w:r>
    </w:p>
    <w:p w14:paraId="3DBDD56D">
      <w:pPr>
        <w:spacing w:before="285"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13.内镜可一体式完全浸泡进行清洗、消毒。</w:t>
      </w:r>
    </w:p>
    <w:p w14:paraId="43CC8F62">
      <w:pPr>
        <w:spacing w:before="288"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14.插入部渐细型鞘唇设计，低温等离子灭菌。</w:t>
      </w:r>
    </w:p>
    <w:p w14:paraId="5EEB5774">
      <w:pPr>
        <w:spacing w:before="286" w:line="222"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三、专用电子镜消毒盒</w:t>
      </w:r>
    </w:p>
    <w:p w14:paraId="2CF7676B">
      <w:pPr>
        <w:spacing w:before="287" w:line="223" w:lineRule="auto"/>
        <w:ind w:left="1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不锈钢材质，可供低温等离子或环氧乙烷灭菌</w:t>
      </w:r>
    </w:p>
    <w:p w14:paraId="0376D4CB">
      <w:pPr>
        <w:spacing w:before="285" w:line="223" w:lineRule="auto"/>
        <w:ind w:left="4283"/>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配置要求</w:t>
      </w:r>
    </w:p>
    <w:tbl>
      <w:tblPr>
        <w:tblStyle w:val="189"/>
        <w:tblW w:w="50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77"/>
        <w:gridCol w:w="3219"/>
        <w:gridCol w:w="2034"/>
        <w:gridCol w:w="2354"/>
      </w:tblGrid>
      <w:tr w14:paraId="485B5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719" w:type="pct"/>
            <w:vAlign w:val="top"/>
          </w:tcPr>
          <w:p w14:paraId="06B17725">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序号</w:t>
            </w:r>
          </w:p>
        </w:tc>
        <w:tc>
          <w:tcPr>
            <w:tcW w:w="1811" w:type="pct"/>
            <w:vAlign w:val="top"/>
          </w:tcPr>
          <w:p w14:paraId="799E35EF">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产品名称</w:t>
            </w:r>
          </w:p>
        </w:tc>
        <w:tc>
          <w:tcPr>
            <w:tcW w:w="1144" w:type="pct"/>
            <w:vAlign w:val="top"/>
          </w:tcPr>
          <w:p w14:paraId="5B8398EA">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数量</w:t>
            </w:r>
          </w:p>
        </w:tc>
        <w:tc>
          <w:tcPr>
            <w:tcW w:w="1324" w:type="pct"/>
            <w:vAlign w:val="top"/>
          </w:tcPr>
          <w:p w14:paraId="39138F3C">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单位</w:t>
            </w:r>
          </w:p>
        </w:tc>
      </w:tr>
      <w:tr w14:paraId="66C54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19" w:type="pct"/>
            <w:vAlign w:val="top"/>
          </w:tcPr>
          <w:p w14:paraId="1ABFF33B">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1811" w:type="pct"/>
            <w:vAlign w:val="top"/>
          </w:tcPr>
          <w:p w14:paraId="590179CF">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硬性电子膀胱肾盂镜</w:t>
            </w:r>
          </w:p>
        </w:tc>
        <w:tc>
          <w:tcPr>
            <w:tcW w:w="1144" w:type="pct"/>
            <w:vAlign w:val="top"/>
          </w:tcPr>
          <w:p w14:paraId="6B6E99DA">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1324" w:type="pct"/>
            <w:vAlign w:val="top"/>
          </w:tcPr>
          <w:p w14:paraId="12413856">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根</w:t>
            </w:r>
          </w:p>
        </w:tc>
      </w:tr>
      <w:tr w14:paraId="2AEB4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19" w:type="pct"/>
            <w:vAlign w:val="top"/>
          </w:tcPr>
          <w:p w14:paraId="4EB2EF0B">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2</w:t>
            </w:r>
          </w:p>
        </w:tc>
        <w:tc>
          <w:tcPr>
            <w:tcW w:w="1811" w:type="pct"/>
            <w:vAlign w:val="top"/>
          </w:tcPr>
          <w:p w14:paraId="118418B3">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标准消毒盒</w:t>
            </w:r>
          </w:p>
        </w:tc>
        <w:tc>
          <w:tcPr>
            <w:tcW w:w="1144" w:type="pct"/>
            <w:vAlign w:val="top"/>
          </w:tcPr>
          <w:p w14:paraId="60A5E9CF">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1324" w:type="pct"/>
            <w:vAlign w:val="top"/>
          </w:tcPr>
          <w:p w14:paraId="02D95A15">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个</w:t>
            </w:r>
          </w:p>
        </w:tc>
      </w:tr>
      <w:tr w14:paraId="7A1D6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19" w:type="pct"/>
            <w:vAlign w:val="top"/>
          </w:tcPr>
          <w:p w14:paraId="465F1DF0">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3</w:t>
            </w:r>
          </w:p>
        </w:tc>
        <w:tc>
          <w:tcPr>
            <w:tcW w:w="1811" w:type="pct"/>
            <w:vAlign w:val="top"/>
          </w:tcPr>
          <w:p w14:paraId="6E117F5F">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硅胶帽</w:t>
            </w:r>
          </w:p>
        </w:tc>
        <w:tc>
          <w:tcPr>
            <w:tcW w:w="1144" w:type="pct"/>
            <w:vAlign w:val="top"/>
          </w:tcPr>
          <w:p w14:paraId="7B8F22A9">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5</w:t>
            </w:r>
          </w:p>
        </w:tc>
        <w:tc>
          <w:tcPr>
            <w:tcW w:w="1324" w:type="pct"/>
            <w:vAlign w:val="top"/>
          </w:tcPr>
          <w:p w14:paraId="6D26162B">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个</w:t>
            </w:r>
          </w:p>
        </w:tc>
      </w:tr>
      <w:tr w14:paraId="55663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19" w:type="pct"/>
            <w:vAlign w:val="top"/>
          </w:tcPr>
          <w:p w14:paraId="3D33A334">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4</w:t>
            </w:r>
          </w:p>
        </w:tc>
        <w:tc>
          <w:tcPr>
            <w:tcW w:w="1811" w:type="pct"/>
            <w:vAlign w:val="top"/>
          </w:tcPr>
          <w:p w14:paraId="4BCB4421">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阀片</w:t>
            </w:r>
          </w:p>
        </w:tc>
        <w:tc>
          <w:tcPr>
            <w:tcW w:w="1144" w:type="pct"/>
            <w:vAlign w:val="top"/>
          </w:tcPr>
          <w:p w14:paraId="08164EBA">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5</w:t>
            </w:r>
          </w:p>
        </w:tc>
        <w:tc>
          <w:tcPr>
            <w:tcW w:w="1324" w:type="pct"/>
            <w:vAlign w:val="top"/>
          </w:tcPr>
          <w:p w14:paraId="65BFF46E">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个</w:t>
            </w:r>
          </w:p>
        </w:tc>
      </w:tr>
    </w:tbl>
    <w:p w14:paraId="0A488ABD">
      <w:pPr>
        <w:spacing w:before="91" w:line="222" w:lineRule="auto"/>
        <w:ind w:left="4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四、图像处理器技术要求</w:t>
      </w:r>
    </w:p>
    <w:p w14:paraId="749A1178">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1.高清视频输出接</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7"/>
          <w:sz w:val="24"/>
          <w:szCs w:val="24"/>
          <w:highlight w:val="none"/>
        </w:rPr>
        <w:t>口</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7"/>
          <w:sz w:val="24"/>
          <w:szCs w:val="24"/>
          <w:highlight w:val="none"/>
        </w:rPr>
        <w:t>DVI</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7"/>
          <w:sz w:val="24"/>
          <w:szCs w:val="24"/>
          <w:highlight w:val="none"/>
        </w:rPr>
        <w:t>一组，HDMI</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7"/>
          <w:sz w:val="24"/>
          <w:szCs w:val="24"/>
          <w:highlight w:val="none"/>
        </w:rPr>
        <w:t>一组</w:t>
      </w:r>
    </w:p>
    <w:p w14:paraId="70D82E66">
      <w:pPr>
        <w:spacing w:before="285" w:line="221"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2.设备带</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12"/>
          <w:sz w:val="24"/>
          <w:szCs w:val="24"/>
          <w:highlight w:val="none"/>
        </w:rPr>
        <w:t>USB</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2"/>
          <w:sz w:val="24"/>
          <w:szCs w:val="24"/>
          <w:highlight w:val="none"/>
        </w:rPr>
        <w:t>接</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12"/>
          <w:sz w:val="24"/>
          <w:szCs w:val="24"/>
          <w:highlight w:val="none"/>
        </w:rPr>
        <w:t>口</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2"/>
          <w:sz w:val="24"/>
          <w:szCs w:val="24"/>
          <w:highlight w:val="none"/>
        </w:rPr>
        <w:t>1</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2"/>
          <w:sz w:val="24"/>
          <w:szCs w:val="24"/>
          <w:highlight w:val="none"/>
        </w:rPr>
        <w:t>个</w:t>
      </w:r>
    </w:p>
    <w:p w14:paraId="1F16036D">
      <w:pPr>
        <w:spacing w:before="289"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3.</w:t>
      </w:r>
      <w:r>
        <w:rPr>
          <w:rFonts w:hint="eastAsia" w:ascii="仿宋" w:hAnsi="仿宋" w:eastAsia="仿宋" w:cs="仿宋"/>
          <w:color w:val="auto"/>
          <w:spacing w:val="-77"/>
          <w:sz w:val="24"/>
          <w:szCs w:val="24"/>
          <w:highlight w:val="none"/>
        </w:rPr>
        <w:t xml:space="preserve"> </w:t>
      </w:r>
      <w:r>
        <w:rPr>
          <w:rFonts w:hint="eastAsia" w:ascii="仿宋" w:hAnsi="仿宋" w:eastAsia="仿宋" w:cs="仿宋"/>
          <w:color w:val="auto"/>
          <w:spacing w:val="-9"/>
          <w:sz w:val="24"/>
          <w:szCs w:val="24"/>
          <w:highlight w:val="none"/>
        </w:rPr>
        <w:t>白平衡调节功能</w:t>
      </w:r>
    </w:p>
    <w:p w14:paraId="28BCD9CE">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4.具有亮度调节功能</w:t>
      </w:r>
    </w:p>
    <w:p w14:paraId="5E888938">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5.消光功能</w:t>
      </w:r>
    </w:p>
    <w:p w14:paraId="570B60DE">
      <w:pPr>
        <w:spacing w:before="288"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6.锐度调节功能</w:t>
      </w:r>
    </w:p>
    <w:p w14:paraId="50FCDD5D">
      <w:pPr>
        <w:spacing w:before="287"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7.图像放大功能</w:t>
      </w:r>
    </w:p>
    <w:p w14:paraId="5579501D">
      <w:pPr>
        <w:spacing w:before="287"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8.图像冻结、拍照、录像功能</w:t>
      </w:r>
    </w:p>
    <w:p w14:paraId="522866E5">
      <w:pPr>
        <w:spacing w:before="287"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9.术野画面≥2</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3"/>
          <w:sz w:val="24"/>
          <w:szCs w:val="24"/>
          <w:highlight w:val="none"/>
        </w:rPr>
        <w:t>种图像边框模式</w:t>
      </w:r>
    </w:p>
    <w:p w14:paraId="534C06AF">
      <w:pPr>
        <w:spacing w:before="287"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10.兼容性：可连接同品牌电子软镜、电子硬镜</w:t>
      </w:r>
    </w:p>
    <w:p w14:paraId="22592A55">
      <w:pPr>
        <w:spacing w:before="289"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11.</w:t>
      </w:r>
      <w:r>
        <w:rPr>
          <w:rFonts w:hint="eastAsia" w:ascii="仿宋" w:hAnsi="仿宋" w:eastAsia="仿宋" w:cs="仿宋"/>
          <w:color w:val="auto"/>
          <w:spacing w:val="-69"/>
          <w:sz w:val="24"/>
          <w:szCs w:val="24"/>
          <w:highlight w:val="none"/>
        </w:rPr>
        <w:t xml:space="preserve"> </w:t>
      </w:r>
      <w:r>
        <w:rPr>
          <w:rFonts w:hint="eastAsia" w:ascii="仿宋" w:hAnsi="仿宋" w:eastAsia="仿宋" w:cs="仿宋"/>
          <w:color w:val="auto"/>
          <w:spacing w:val="-4"/>
          <w:sz w:val="24"/>
          <w:szCs w:val="24"/>
          <w:highlight w:val="none"/>
        </w:rPr>
        <w:t>自动识别电子内窥镜型号、使用次数</w:t>
      </w:r>
      <w:r>
        <w:rPr>
          <w:rFonts w:hint="eastAsia" w:ascii="仿宋" w:hAnsi="仿宋" w:eastAsia="仿宋" w:cs="仿宋"/>
          <w:color w:val="auto"/>
          <w:spacing w:val="-5"/>
          <w:sz w:val="24"/>
          <w:szCs w:val="24"/>
          <w:highlight w:val="none"/>
        </w:rPr>
        <w:t>、工作时间</w:t>
      </w:r>
    </w:p>
    <w:p w14:paraId="3D6FB113">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12.主机使用年限≥5</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年</w:t>
      </w:r>
    </w:p>
    <w:p w14:paraId="7299727C">
      <w:pPr>
        <w:spacing w:before="285" w:line="222" w:lineRule="auto"/>
        <w:ind w:left="4283"/>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配置清单</w:t>
      </w:r>
    </w:p>
    <w:p w14:paraId="7B22078B">
      <w:pPr>
        <w:spacing w:line="116" w:lineRule="exact"/>
        <w:rPr>
          <w:rFonts w:hint="eastAsia" w:ascii="仿宋" w:hAnsi="仿宋" w:eastAsia="仿宋" w:cs="仿宋"/>
          <w:color w:val="auto"/>
          <w:sz w:val="24"/>
          <w:szCs w:val="24"/>
          <w:highlight w:val="none"/>
        </w:rPr>
      </w:pPr>
    </w:p>
    <w:tbl>
      <w:tblPr>
        <w:tblStyle w:val="189"/>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319"/>
        <w:gridCol w:w="3879"/>
        <w:gridCol w:w="1384"/>
        <w:gridCol w:w="2262"/>
      </w:tblGrid>
      <w:tr w14:paraId="696A7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746" w:type="pct"/>
            <w:vAlign w:val="top"/>
          </w:tcPr>
          <w:p w14:paraId="7DC11918">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序号</w:t>
            </w:r>
          </w:p>
        </w:tc>
        <w:tc>
          <w:tcPr>
            <w:tcW w:w="2192" w:type="pct"/>
            <w:vAlign w:val="top"/>
          </w:tcPr>
          <w:p w14:paraId="25351495">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产品名称</w:t>
            </w:r>
          </w:p>
        </w:tc>
        <w:tc>
          <w:tcPr>
            <w:tcW w:w="782" w:type="pct"/>
            <w:vAlign w:val="top"/>
          </w:tcPr>
          <w:p w14:paraId="3BD3E7A6">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数量</w:t>
            </w:r>
          </w:p>
        </w:tc>
        <w:tc>
          <w:tcPr>
            <w:tcW w:w="1278" w:type="pct"/>
            <w:vAlign w:val="top"/>
          </w:tcPr>
          <w:p w14:paraId="660FA004">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单位</w:t>
            </w:r>
          </w:p>
        </w:tc>
      </w:tr>
      <w:tr w14:paraId="2FFD1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46" w:type="pct"/>
            <w:vAlign w:val="top"/>
          </w:tcPr>
          <w:p w14:paraId="388FB332">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2192" w:type="pct"/>
            <w:vAlign w:val="top"/>
          </w:tcPr>
          <w:p w14:paraId="6693FE88">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医用内窥镜图像处理器</w:t>
            </w:r>
          </w:p>
        </w:tc>
        <w:tc>
          <w:tcPr>
            <w:tcW w:w="782" w:type="pct"/>
            <w:vAlign w:val="top"/>
          </w:tcPr>
          <w:p w14:paraId="7829B49F">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1</w:t>
            </w:r>
          </w:p>
        </w:tc>
        <w:tc>
          <w:tcPr>
            <w:tcW w:w="1278" w:type="pct"/>
            <w:vAlign w:val="top"/>
          </w:tcPr>
          <w:p w14:paraId="1EABC123">
            <w:pPr>
              <w:pStyle w:val="188"/>
              <w:spacing w:before="177" w:line="225" w:lineRule="auto"/>
              <w:jc w:val="center"/>
              <w:rPr>
                <w:rFonts w:hint="eastAsia" w:ascii="仿宋" w:hAnsi="仿宋" w:eastAsia="仿宋" w:cs="仿宋"/>
                <w:color w:val="auto"/>
                <w:spacing w:val="-2"/>
                <w:kern w:val="2"/>
                <w:sz w:val="24"/>
                <w:szCs w:val="24"/>
                <w:highlight w:val="none"/>
                <w:lang w:val="en-US" w:eastAsia="zh-CN" w:bidi="ar-SA"/>
              </w:rPr>
            </w:pPr>
            <w:r>
              <w:rPr>
                <w:rFonts w:hint="eastAsia" w:ascii="仿宋" w:hAnsi="仿宋" w:eastAsia="仿宋" w:cs="仿宋"/>
                <w:color w:val="auto"/>
                <w:spacing w:val="-2"/>
                <w:kern w:val="2"/>
                <w:sz w:val="24"/>
                <w:szCs w:val="24"/>
                <w:highlight w:val="none"/>
                <w:lang w:val="en-US" w:eastAsia="zh-CN" w:bidi="ar-SA"/>
              </w:rPr>
              <w:t>台</w:t>
            </w:r>
          </w:p>
        </w:tc>
      </w:tr>
    </w:tbl>
    <w:p w14:paraId="7542895D">
      <w:pPr>
        <w:spacing w:before="91" w:line="224" w:lineRule="auto"/>
        <w:outlineLvl w:val="0"/>
        <w:rPr>
          <w:rFonts w:hint="eastAsia" w:ascii="仿宋" w:hAnsi="仿宋" w:eastAsia="仿宋" w:cs="仿宋"/>
          <w:b/>
          <w:bCs/>
          <w:color w:val="auto"/>
          <w:spacing w:val="-5"/>
          <w:sz w:val="24"/>
          <w:szCs w:val="24"/>
          <w:highlight w:val="none"/>
          <w:lang w:val="en-US" w:eastAsia="zh-CN"/>
        </w:rPr>
      </w:pPr>
    </w:p>
    <w:p w14:paraId="7BAA0B08">
      <w:pPr>
        <w:spacing w:before="91" w:line="224" w:lineRule="auto"/>
        <w:ind w:left="3305"/>
        <w:outlineLvl w:val="0"/>
        <w:rPr>
          <w:rFonts w:hint="eastAsia" w:ascii="仿宋" w:hAnsi="仿宋" w:eastAsia="仿宋" w:cs="仿宋"/>
          <w:b/>
          <w:bCs/>
          <w:color w:val="auto"/>
          <w:spacing w:val="-5"/>
          <w:sz w:val="24"/>
          <w:szCs w:val="24"/>
          <w:highlight w:val="none"/>
          <w:lang w:val="en-US" w:eastAsia="zh-CN"/>
        </w:rPr>
      </w:pPr>
    </w:p>
    <w:p w14:paraId="14654395">
      <w:pPr>
        <w:spacing w:before="91" w:line="222" w:lineRule="auto"/>
        <w:ind w:left="2878"/>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4.</w:t>
      </w:r>
      <w:r>
        <w:rPr>
          <w:rFonts w:hint="eastAsia" w:ascii="仿宋" w:hAnsi="仿宋" w:eastAsia="仿宋" w:cs="仿宋"/>
          <w:b/>
          <w:bCs/>
          <w:color w:val="auto"/>
          <w:spacing w:val="-3"/>
          <w:sz w:val="24"/>
          <w:szCs w:val="24"/>
          <w:highlight w:val="none"/>
        </w:rPr>
        <w:t>纤维支气管镜参数</w:t>
      </w:r>
    </w:p>
    <w:p w14:paraId="0BA4E23F">
      <w:pPr>
        <w:spacing w:before="91" w:line="221" w:lineRule="auto"/>
        <w:ind w:left="1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一、操作手柄（含插入管）：</w:t>
      </w:r>
    </w:p>
    <w:p w14:paraId="7D6D323D">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1.成像原理：电子成像技术，工作软管不含导像、导光纤维。</w:t>
      </w:r>
    </w:p>
    <w:p w14:paraId="739B97F0">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2.视场角≥120 °。</w:t>
      </w:r>
    </w:p>
    <w:p w14:paraId="1A11354D">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3.景深： ≥3-100mm。</w:t>
      </w:r>
    </w:p>
    <w:p w14:paraId="14BFB78C">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4.软镜插入管外径≤5.0mm，工作管道内径≥2.5mm。</w:t>
      </w:r>
    </w:p>
    <w:p w14:paraId="65E1EFDA">
      <w:pPr>
        <w:spacing w:before="286" w:line="223" w:lineRule="auto"/>
        <w:ind w:left="21" w:right="0" w:firstLine="0"/>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5.操作手柄具备左右旋转关节，可带动插入软管部先端左右旋转，向左≥ 120 °</w:t>
      </w:r>
      <w:r>
        <w:rPr>
          <w:rFonts w:hint="eastAsia" w:ascii="仿宋" w:hAnsi="仿宋" w:eastAsia="仿宋" w:cs="仿宋"/>
          <w:color w:val="auto"/>
          <w:spacing w:val="-7"/>
          <w:sz w:val="24"/>
          <w:szCs w:val="24"/>
          <w:highlight w:val="none"/>
          <w:lang w:eastAsia="zh-CN"/>
        </w:rPr>
        <w:t>，</w:t>
      </w:r>
      <w:r>
        <w:rPr>
          <w:rFonts w:hint="eastAsia" w:ascii="仿宋" w:hAnsi="仿宋" w:eastAsia="仿宋" w:cs="仿宋"/>
          <w:color w:val="auto"/>
          <w:spacing w:val="-7"/>
          <w:sz w:val="24"/>
          <w:szCs w:val="24"/>
          <w:highlight w:val="none"/>
        </w:rPr>
        <w:t>向右≥120 °。</w:t>
      </w:r>
    </w:p>
    <w:p w14:paraId="4D9CC1A5">
      <w:pPr>
        <w:spacing w:before="286" w:line="223" w:lineRule="auto"/>
        <w:ind w:left="21" w:right="0" w:firstLine="0"/>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6.插入管软管前端弯曲角度：向上弯曲≥180 °</w:t>
      </w:r>
      <w:r>
        <w:rPr>
          <w:rFonts w:hint="eastAsia" w:ascii="仿宋" w:hAnsi="仿宋" w:eastAsia="仿宋" w:cs="仿宋"/>
          <w:color w:val="auto"/>
          <w:spacing w:val="-7"/>
          <w:sz w:val="24"/>
          <w:szCs w:val="24"/>
          <w:highlight w:val="none"/>
          <w:lang w:eastAsia="zh-CN"/>
        </w:rPr>
        <w:t>，</w:t>
      </w:r>
      <w:r>
        <w:rPr>
          <w:rFonts w:hint="eastAsia" w:ascii="仿宋" w:hAnsi="仿宋" w:eastAsia="仿宋" w:cs="仿宋"/>
          <w:color w:val="auto"/>
          <w:spacing w:val="-7"/>
          <w:sz w:val="24"/>
          <w:szCs w:val="24"/>
          <w:highlight w:val="none"/>
        </w:rPr>
        <w:t>向下弯曲≥130 °</w:t>
      </w:r>
      <w:r>
        <w:rPr>
          <w:rFonts w:hint="eastAsia" w:ascii="仿宋" w:hAnsi="仿宋" w:eastAsia="仿宋" w:cs="仿宋"/>
          <w:color w:val="auto"/>
          <w:spacing w:val="-7"/>
          <w:sz w:val="24"/>
          <w:szCs w:val="24"/>
          <w:highlight w:val="none"/>
          <w:lang w:eastAsia="zh-CN"/>
        </w:rPr>
        <w:t>，</w:t>
      </w:r>
      <w:r>
        <w:rPr>
          <w:rFonts w:hint="eastAsia" w:ascii="仿宋" w:hAnsi="仿宋" w:eastAsia="仿宋" w:cs="仿宋"/>
          <w:color w:val="auto"/>
          <w:spacing w:val="-7"/>
          <w:sz w:val="24"/>
          <w:szCs w:val="24"/>
          <w:highlight w:val="none"/>
        </w:rPr>
        <w:t>双向弯曲≥310 °。</w:t>
      </w:r>
    </w:p>
    <w:p w14:paraId="3D0A4263">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7.操作手柄具备≥3 个电子功能按键。</w:t>
      </w:r>
    </w:p>
    <w:p w14:paraId="7B3AA185">
      <w:pPr>
        <w:spacing w:before="286" w:line="223" w:lineRule="auto"/>
        <w:ind w:left="21" w:right="0" w:firstLine="0"/>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8.操作手柄上按键可控制：①图像放大/缩小、②拍照/录像、③画面冻结/解冻结。</w:t>
      </w:r>
    </w:p>
    <w:p w14:paraId="5160464D">
      <w:pPr>
        <w:spacing w:before="286" w:line="223" w:lineRule="auto"/>
        <w:ind w:left="21" w:right="0" w:firstLine="0"/>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9.吸引阀座一体式防脱设计。</w:t>
      </w:r>
    </w:p>
    <w:p w14:paraId="126F8215">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10.内置 LED 冷光源，具备防雾功能。</w:t>
      </w:r>
    </w:p>
    <w:p w14:paraId="0D5B1ACC">
      <w:pPr>
        <w:spacing w:before="286" w:line="223" w:lineRule="auto"/>
        <w:ind w:left="21"/>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11.操作部防水等级： ≥IPX7，配备防水盖可进行全浸泡消毒。</w:t>
      </w:r>
    </w:p>
    <w:p w14:paraId="06664F2B">
      <w:pPr>
        <w:spacing w:before="290" w:line="222" w:lineRule="auto"/>
        <w:ind w:left="1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二、图像处理器：</w:t>
      </w:r>
    </w:p>
    <w:p w14:paraId="67C50618">
      <w:pPr>
        <w:spacing w:before="287"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1.显示屏：显示屏≥10</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英寸。高清视频信号输</w:t>
      </w:r>
      <w:r>
        <w:rPr>
          <w:rFonts w:hint="eastAsia" w:ascii="仿宋" w:hAnsi="仿宋" w:eastAsia="仿宋" w:cs="仿宋"/>
          <w:color w:val="auto"/>
          <w:spacing w:val="-4"/>
          <w:sz w:val="24"/>
          <w:szCs w:val="24"/>
          <w:highlight w:val="none"/>
        </w:rPr>
        <w:t>出分辨率：</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4"/>
          <w:sz w:val="24"/>
          <w:szCs w:val="24"/>
          <w:highlight w:val="none"/>
        </w:rPr>
        <w:t>≥1280×800。</w:t>
      </w:r>
    </w:p>
    <w:p w14:paraId="00EF2CB1">
      <w:pPr>
        <w:spacing w:before="287" w:line="412" w:lineRule="auto"/>
        <w:ind w:left="6" w:right="7" w:hanging="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2.预览、隐藏功能：具有可实时观察、记录与回放功能，且可一键隐藏所</w:t>
      </w:r>
      <w:r>
        <w:rPr>
          <w:rFonts w:hint="eastAsia" w:ascii="仿宋" w:hAnsi="仿宋" w:eastAsia="仿宋" w:cs="仿宋"/>
          <w:color w:val="auto"/>
          <w:spacing w:val="-3"/>
          <w:sz w:val="24"/>
          <w:szCs w:val="24"/>
          <w:highlight w:val="none"/>
        </w:rPr>
        <w:t>有按键功能。</w:t>
      </w:r>
    </w:p>
    <w:p w14:paraId="531D9943">
      <w:pPr>
        <w:spacing w:before="91" w:line="220"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3.调节图像输出比例功能：在外接显示器</w:t>
      </w:r>
      <w:r>
        <w:rPr>
          <w:rFonts w:hint="eastAsia" w:ascii="仿宋" w:hAnsi="仿宋" w:eastAsia="仿宋" w:cs="仿宋"/>
          <w:color w:val="auto"/>
          <w:spacing w:val="-3"/>
          <w:sz w:val="24"/>
          <w:szCs w:val="24"/>
          <w:highlight w:val="none"/>
        </w:rPr>
        <w:t>时,</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3"/>
          <w:sz w:val="24"/>
          <w:szCs w:val="24"/>
          <w:highlight w:val="none"/>
        </w:rPr>
        <w:t>种显示比例的图像。</w:t>
      </w:r>
    </w:p>
    <w:p w14:paraId="17B5D96F">
      <w:pPr>
        <w:spacing w:before="290"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4.亮度调节功能：可调节配套使用的电子内窥镜上的</w:t>
      </w:r>
      <w:r>
        <w:rPr>
          <w:rFonts w:hint="eastAsia" w:ascii="仿宋" w:hAnsi="仿宋" w:eastAsia="仿宋" w:cs="仿宋"/>
          <w:color w:val="auto"/>
          <w:sz w:val="24"/>
          <w:szCs w:val="24"/>
          <w:highlight w:val="none"/>
        </w:rPr>
        <w:t>LED</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1"/>
          <w:sz w:val="24"/>
          <w:szCs w:val="24"/>
          <w:highlight w:val="none"/>
        </w:rPr>
        <w:t>灯的亮度。</w:t>
      </w:r>
    </w:p>
    <w:p w14:paraId="1B30457F">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5.具有白平衡调节功能。</w:t>
      </w:r>
    </w:p>
    <w:p w14:paraId="7717C90E">
      <w:pPr>
        <w:spacing w:before="287" w:line="220"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6.具备录像，录音功能，可以实现带音频录像的实时存储。</w:t>
      </w:r>
    </w:p>
    <w:p w14:paraId="27C5E535">
      <w:pPr>
        <w:spacing w:before="290"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7.具有外置可热插拔≥64GSD</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存储卡直接存储</w:t>
      </w:r>
      <w:r>
        <w:rPr>
          <w:rFonts w:hint="eastAsia" w:ascii="仿宋" w:hAnsi="仿宋" w:eastAsia="仿宋" w:cs="仿宋"/>
          <w:color w:val="auto"/>
          <w:spacing w:val="-2"/>
          <w:sz w:val="24"/>
          <w:szCs w:val="24"/>
          <w:highlight w:val="none"/>
        </w:rPr>
        <w:t>图片及声音等信息。</w:t>
      </w:r>
    </w:p>
    <w:p w14:paraId="41A198AD">
      <w:pPr>
        <w:spacing w:before="290" w:line="219"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8.视频转接线≥180</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2"/>
          <w:sz w:val="24"/>
          <w:szCs w:val="24"/>
          <w:highlight w:val="none"/>
        </w:rPr>
        <w:t>度旋转。</w:t>
      </w:r>
    </w:p>
    <w:p w14:paraId="0534C23D">
      <w:pPr>
        <w:spacing w:before="290" w:line="411" w:lineRule="auto"/>
        <w:ind w:left="9" w:hanging="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9.视频输出接</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1"/>
          <w:sz w:val="24"/>
          <w:szCs w:val="24"/>
          <w:highlight w:val="none"/>
        </w:rPr>
        <w:t>口：有</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z w:val="24"/>
          <w:szCs w:val="24"/>
          <w:highlight w:val="none"/>
        </w:rPr>
        <w:t>CVBS</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1"/>
          <w:sz w:val="24"/>
          <w:szCs w:val="24"/>
          <w:highlight w:val="none"/>
        </w:rPr>
        <w:t>视频输出接口和</w:t>
      </w:r>
      <w:r>
        <w:rPr>
          <w:rFonts w:hint="eastAsia" w:ascii="仿宋" w:hAnsi="仿宋" w:eastAsia="仿宋" w:cs="仿宋"/>
          <w:color w:val="auto"/>
          <w:sz w:val="24"/>
          <w:szCs w:val="24"/>
          <w:highlight w:val="none"/>
        </w:rPr>
        <w:t>DVI</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视频输出接</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1"/>
          <w:sz w:val="24"/>
          <w:szCs w:val="24"/>
          <w:highlight w:val="none"/>
        </w:rPr>
        <w:t>口，配备</w:t>
      </w:r>
      <w:r>
        <w:rPr>
          <w:rFonts w:hint="eastAsia" w:ascii="仿宋" w:hAnsi="仿宋" w:eastAsia="仿宋" w:cs="仿宋"/>
          <w:color w:val="auto"/>
          <w:sz w:val="24"/>
          <w:szCs w:val="24"/>
          <w:highlight w:val="none"/>
        </w:rPr>
        <w:t>DVI</w:t>
      </w:r>
      <w:r>
        <w:rPr>
          <w:rFonts w:hint="eastAsia" w:ascii="仿宋" w:hAnsi="仿宋" w:eastAsia="仿宋" w:cs="仿宋"/>
          <w:color w:val="auto"/>
          <w:spacing w:val="-5"/>
          <w:sz w:val="24"/>
          <w:szCs w:val="24"/>
          <w:highlight w:val="none"/>
        </w:rPr>
        <w:t>信号转换数据线，实现DVI视频图像输出，可与医用显示器或工</w:t>
      </w:r>
      <w:r>
        <w:rPr>
          <w:rFonts w:hint="eastAsia" w:ascii="仿宋" w:hAnsi="仿宋" w:eastAsia="仿宋" w:cs="仿宋"/>
          <w:color w:val="auto"/>
          <w:spacing w:val="-6"/>
          <w:sz w:val="24"/>
          <w:szCs w:val="24"/>
          <w:highlight w:val="none"/>
        </w:rPr>
        <w:t>作站连接。</w:t>
      </w:r>
    </w:p>
    <w:p w14:paraId="148E5AE2">
      <w:pPr>
        <w:spacing w:before="4" w:line="411" w:lineRule="auto"/>
        <w:ind w:left="15" w:right="101" w:firstLine="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10.供电方式：电池供电：具有内置可充电使用</w:t>
      </w:r>
      <w:r>
        <w:rPr>
          <w:rFonts w:hint="eastAsia" w:ascii="仿宋" w:hAnsi="仿宋" w:eastAsia="仿宋" w:cs="仿宋"/>
          <w:color w:val="auto"/>
          <w:spacing w:val="-5"/>
          <w:sz w:val="24"/>
          <w:szCs w:val="24"/>
          <w:highlight w:val="none"/>
        </w:rPr>
        <w:t>电池,一次充满电的内部电</w:t>
      </w:r>
      <w:r>
        <w:rPr>
          <w:rFonts w:hint="eastAsia" w:ascii="仿宋" w:hAnsi="仿宋" w:eastAsia="仿宋" w:cs="仿宋"/>
          <w:color w:val="auto"/>
          <w:spacing w:val="1"/>
          <w:sz w:val="24"/>
          <w:szCs w:val="24"/>
          <w:highlight w:val="none"/>
        </w:rPr>
        <w:t>源连续工作时间≥3</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小时；还可通过接入</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z w:val="24"/>
          <w:szCs w:val="24"/>
          <w:highlight w:val="none"/>
        </w:rPr>
        <w:t>DC</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适配器连</w:t>
      </w:r>
      <w:r>
        <w:rPr>
          <w:rFonts w:hint="eastAsia" w:ascii="仿宋" w:hAnsi="仿宋" w:eastAsia="仿宋" w:cs="仿宋"/>
          <w:color w:val="auto"/>
          <w:sz w:val="24"/>
          <w:szCs w:val="24"/>
          <w:highlight w:val="none"/>
        </w:rPr>
        <w:t>接交流电使用，通</w:t>
      </w:r>
    </w:p>
    <w:p w14:paraId="74B78A7A">
      <w:pPr>
        <w:spacing w:line="223" w:lineRule="auto"/>
        <w:ind w:left="13"/>
        <w:outlineLvl w:val="0"/>
        <w:rPr>
          <w:rFonts w:hint="eastAsia" w:ascii="仿宋" w:hAnsi="仿宋" w:eastAsia="仿宋" w:cs="仿宋"/>
          <w:color w:val="auto"/>
          <w:sz w:val="24"/>
          <w:szCs w:val="24"/>
          <w:highlight w:val="none"/>
        </w:rPr>
      </w:pPr>
      <w:bookmarkStart w:id="610" w:name="_Toc9208"/>
      <w:bookmarkStart w:id="611" w:name="_Toc1660"/>
      <w:bookmarkStart w:id="612" w:name="_Toc24848"/>
      <w:r>
        <w:rPr>
          <w:rFonts w:hint="eastAsia" w:ascii="仿宋" w:hAnsi="仿宋" w:eastAsia="仿宋" w:cs="仿宋"/>
          <w:color w:val="auto"/>
          <w:spacing w:val="-4"/>
          <w:sz w:val="24"/>
          <w:szCs w:val="24"/>
          <w:highlight w:val="none"/>
        </w:rPr>
        <w:t>过适配器实现</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24</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小时连续供电。</w:t>
      </w:r>
      <w:bookmarkEnd w:id="610"/>
      <w:bookmarkEnd w:id="611"/>
      <w:bookmarkEnd w:id="612"/>
    </w:p>
    <w:p w14:paraId="54E769CA">
      <w:pPr>
        <w:spacing w:before="91" w:line="224" w:lineRule="auto"/>
        <w:ind w:left="3305"/>
        <w:outlineLvl w:val="0"/>
        <w:rPr>
          <w:rFonts w:hint="eastAsia" w:ascii="仿宋" w:hAnsi="仿宋" w:eastAsia="仿宋" w:cs="仿宋"/>
          <w:b/>
          <w:bCs/>
          <w:color w:val="auto"/>
          <w:spacing w:val="-5"/>
          <w:sz w:val="24"/>
          <w:szCs w:val="24"/>
          <w:highlight w:val="none"/>
          <w:lang w:val="en-US" w:eastAsia="zh-CN"/>
        </w:rPr>
      </w:pPr>
    </w:p>
    <w:p w14:paraId="582B1F2A">
      <w:pPr>
        <w:spacing w:before="91" w:line="224" w:lineRule="auto"/>
        <w:ind w:left="3305"/>
        <w:outlineLvl w:val="0"/>
        <w:rPr>
          <w:rFonts w:hint="eastAsia" w:ascii="仿宋" w:hAnsi="仿宋" w:eastAsia="仿宋" w:cs="仿宋"/>
          <w:b/>
          <w:bCs/>
          <w:color w:val="auto"/>
          <w:spacing w:val="-5"/>
          <w:sz w:val="24"/>
          <w:szCs w:val="24"/>
          <w:highlight w:val="none"/>
          <w:lang w:val="en-US" w:eastAsia="zh-CN"/>
        </w:rPr>
      </w:pPr>
    </w:p>
    <w:p w14:paraId="7477B27A">
      <w:pPr>
        <w:spacing w:before="91" w:line="223" w:lineRule="auto"/>
        <w:ind w:left="3087"/>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5.</w:t>
      </w:r>
      <w:r>
        <w:rPr>
          <w:rFonts w:hint="eastAsia" w:ascii="仿宋" w:hAnsi="仿宋" w:eastAsia="仿宋" w:cs="仿宋"/>
          <w:b/>
          <w:bCs/>
          <w:color w:val="auto"/>
          <w:spacing w:val="-3"/>
          <w:sz w:val="24"/>
          <w:szCs w:val="24"/>
          <w:highlight w:val="none"/>
        </w:rPr>
        <w:t>子镜系统技术参数</w:t>
      </w:r>
    </w:p>
    <w:p w14:paraId="188089D0">
      <w:pPr>
        <w:spacing w:before="91" w:line="222" w:lineRule="auto"/>
        <w:ind w:left="14"/>
        <w:outlineLvl w:val="1"/>
        <w:rPr>
          <w:rFonts w:hint="eastAsia" w:ascii="仿宋" w:hAnsi="仿宋" w:eastAsia="仿宋" w:cs="仿宋"/>
          <w:color w:val="auto"/>
          <w:sz w:val="24"/>
          <w:szCs w:val="24"/>
          <w:highlight w:val="none"/>
        </w:rPr>
      </w:pPr>
      <w:bookmarkStart w:id="613" w:name="_Toc24354"/>
      <w:bookmarkStart w:id="614" w:name="_Toc6940"/>
      <w:bookmarkStart w:id="615" w:name="_Toc26407"/>
      <w:r>
        <w:rPr>
          <w:rFonts w:hint="eastAsia" w:ascii="仿宋" w:hAnsi="仿宋" w:eastAsia="仿宋" w:cs="仿宋"/>
          <w:b/>
          <w:bCs/>
          <w:color w:val="auto"/>
          <w:spacing w:val="-4"/>
          <w:sz w:val="24"/>
          <w:szCs w:val="24"/>
          <w:highlight w:val="none"/>
        </w:rPr>
        <w:t>一、电子内窥镜图像处理器技术参数要求</w:t>
      </w:r>
      <w:bookmarkEnd w:id="613"/>
      <w:bookmarkEnd w:id="614"/>
      <w:bookmarkEnd w:id="615"/>
    </w:p>
    <w:p w14:paraId="6149FC11">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1.主机光源一体化设计，内置</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3"/>
          <w:sz w:val="24"/>
          <w:szCs w:val="24"/>
          <w:highlight w:val="none"/>
        </w:rPr>
        <w:t>LED</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冷光源；</w:t>
      </w:r>
    </w:p>
    <w:p w14:paraId="5490E46B">
      <w:pPr>
        <w:spacing w:before="287" w:line="411" w:lineRule="auto"/>
        <w:ind w:left="7" w:right="93" w:hanging="3"/>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2.可适配</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5"/>
          <w:sz w:val="24"/>
          <w:szCs w:val="24"/>
          <w:highlight w:val="none"/>
        </w:rPr>
        <w:t>11Fr、9Fr、7.5Fr</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规格的胰胆成像导管及</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5"/>
          <w:sz w:val="24"/>
          <w:szCs w:val="24"/>
          <w:highlight w:val="none"/>
        </w:rPr>
        <w:t>8F、11F、14F</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规格的</w:t>
      </w:r>
      <w:r>
        <w:rPr>
          <w:rFonts w:hint="eastAsia" w:ascii="仿宋" w:hAnsi="仿宋" w:eastAsia="仿宋" w:cs="仿宋"/>
          <w:color w:val="auto"/>
          <w:spacing w:val="-3"/>
          <w:sz w:val="24"/>
          <w:szCs w:val="24"/>
          <w:highlight w:val="none"/>
        </w:rPr>
        <w:t>胆道成像导管；</w:t>
      </w:r>
    </w:p>
    <w:p w14:paraId="0A4DDF73">
      <w:pPr>
        <w:spacing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3.具备图像放大功能，调节档位数≥3</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种；</w:t>
      </w:r>
    </w:p>
    <w:p w14:paraId="78F65821">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4.具备图像冻结功功能；</w:t>
      </w:r>
    </w:p>
    <w:p w14:paraId="710B0651">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5.具备自动白平衡调节功能；</w:t>
      </w:r>
    </w:p>
    <w:p w14:paraId="28277D61">
      <w:pPr>
        <w:spacing w:before="288" w:line="411" w:lineRule="auto"/>
        <w:ind w:left="37" w:hanging="34"/>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6.具备图像参数设置功能，包括锐度、测光模式、降</w:t>
      </w:r>
      <w:r>
        <w:rPr>
          <w:rFonts w:hint="eastAsia" w:ascii="仿宋" w:hAnsi="仿宋" w:eastAsia="仿宋" w:cs="仿宋"/>
          <w:color w:val="auto"/>
          <w:spacing w:val="-10"/>
          <w:sz w:val="24"/>
          <w:szCs w:val="24"/>
          <w:highlight w:val="none"/>
        </w:rPr>
        <w:t>噪强度、图像对比度、</w:t>
      </w:r>
      <w:r>
        <w:rPr>
          <w:rFonts w:hint="eastAsia" w:ascii="仿宋" w:hAnsi="仿宋" w:eastAsia="仿宋" w:cs="仿宋"/>
          <w:color w:val="auto"/>
          <w:spacing w:val="-4"/>
          <w:sz w:val="24"/>
          <w:szCs w:val="24"/>
          <w:highlight w:val="none"/>
        </w:rPr>
        <w:t>图像亮度色调、色彩饱和度及</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4"/>
          <w:sz w:val="24"/>
          <w:szCs w:val="24"/>
          <w:highlight w:val="none"/>
        </w:rPr>
        <w:t>Gamma</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4"/>
          <w:sz w:val="24"/>
          <w:szCs w:val="24"/>
          <w:highlight w:val="none"/>
        </w:rPr>
        <w:t>值；</w:t>
      </w:r>
    </w:p>
    <w:p w14:paraId="35EED601">
      <w:pPr>
        <w:spacing w:before="1"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7.具备自动曝光调整功能；</w:t>
      </w:r>
    </w:p>
    <w:p w14:paraId="54EFB1F8">
      <w:pPr>
        <w:spacing w:before="286"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9.具有良好的色彩还原性，无明显色差；</w:t>
      </w:r>
    </w:p>
    <w:p w14:paraId="596A39AF">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10.支持</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7"/>
          <w:sz w:val="24"/>
          <w:szCs w:val="24"/>
          <w:highlight w:val="none"/>
        </w:rPr>
        <w:t>5</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7"/>
          <w:sz w:val="24"/>
          <w:szCs w:val="24"/>
          <w:highlight w:val="none"/>
        </w:rPr>
        <w:t>级调光；</w:t>
      </w:r>
    </w:p>
    <w:p w14:paraId="5D590F26">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11.支持DVI，SDI</w:t>
      </w:r>
      <w:r>
        <w:rPr>
          <w:rFonts w:hint="eastAsia" w:ascii="仿宋" w:hAnsi="仿宋" w:eastAsia="仿宋" w:cs="仿宋"/>
          <w:color w:val="auto"/>
          <w:spacing w:val="-28"/>
          <w:sz w:val="24"/>
          <w:szCs w:val="24"/>
          <w:highlight w:val="none"/>
        </w:rPr>
        <w:t xml:space="preserve"> </w:t>
      </w:r>
      <w:r>
        <w:rPr>
          <w:rFonts w:hint="eastAsia" w:ascii="仿宋" w:hAnsi="仿宋" w:eastAsia="仿宋" w:cs="仿宋"/>
          <w:color w:val="auto"/>
          <w:spacing w:val="-3"/>
          <w:sz w:val="24"/>
          <w:szCs w:val="24"/>
          <w:highlight w:val="none"/>
        </w:rPr>
        <w:t>等多种视频信号输出接</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3"/>
          <w:sz w:val="24"/>
          <w:szCs w:val="24"/>
          <w:highlight w:val="none"/>
        </w:rPr>
        <w:t>口；</w:t>
      </w:r>
    </w:p>
    <w:p w14:paraId="45A1519B">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12.具备两种成像模式，</w:t>
      </w:r>
      <w:r>
        <w:rPr>
          <w:rFonts w:hint="eastAsia" w:ascii="仿宋" w:hAnsi="仿宋" w:eastAsia="仿宋" w:cs="仿宋"/>
          <w:color w:val="auto"/>
          <w:spacing w:val="-72"/>
          <w:sz w:val="24"/>
          <w:szCs w:val="24"/>
          <w:highlight w:val="none"/>
        </w:rPr>
        <w:t xml:space="preserve"> </w:t>
      </w:r>
      <w:r>
        <w:rPr>
          <w:rFonts w:hint="eastAsia" w:ascii="仿宋" w:hAnsi="仿宋" w:eastAsia="仿宋" w:cs="仿宋"/>
          <w:color w:val="auto"/>
          <w:spacing w:val="-4"/>
          <w:sz w:val="24"/>
          <w:szCs w:val="24"/>
          <w:highlight w:val="none"/>
        </w:rPr>
        <w:t>白光模式和特殊光成像模式；</w:t>
      </w:r>
    </w:p>
    <w:p w14:paraId="0EA26A78">
      <w:pPr>
        <w:spacing w:before="288"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13.支持实时录像录制存储功能和截图存储功能；</w:t>
      </w:r>
    </w:p>
    <w:p w14:paraId="56DA221A">
      <w:pPr>
        <w:spacing w:before="290"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14.具备USB3.0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接</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2"/>
          <w:sz w:val="24"/>
          <w:szCs w:val="24"/>
          <w:highlight w:val="none"/>
        </w:rPr>
        <w:t>口，可外接</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2"/>
          <w:sz w:val="24"/>
          <w:szCs w:val="24"/>
          <w:highlight w:val="none"/>
        </w:rPr>
        <w:t>USB</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存储器，快速存</w:t>
      </w:r>
      <w:r>
        <w:rPr>
          <w:rFonts w:hint="eastAsia" w:ascii="仿宋" w:hAnsi="仿宋" w:eastAsia="仿宋" w:cs="仿宋"/>
          <w:color w:val="auto"/>
          <w:spacing w:val="-3"/>
          <w:sz w:val="24"/>
          <w:szCs w:val="24"/>
          <w:highlight w:val="none"/>
        </w:rPr>
        <w:t>储图像及视频；</w:t>
      </w:r>
    </w:p>
    <w:p w14:paraId="2960A1F9">
      <w:pPr>
        <w:spacing w:before="290"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15.提供双路</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pacing w:val="-5"/>
          <w:sz w:val="24"/>
          <w:szCs w:val="24"/>
          <w:highlight w:val="none"/>
        </w:rPr>
        <w:t>LED</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5"/>
          <w:sz w:val="24"/>
          <w:szCs w:val="24"/>
          <w:highlight w:val="none"/>
        </w:rPr>
        <w:t>照明；</w:t>
      </w:r>
    </w:p>
    <w:p w14:paraId="186895FB">
      <w:pPr>
        <w:spacing w:before="92" w:line="222" w:lineRule="auto"/>
        <w:ind w:left="18"/>
        <w:outlineLvl w:val="1"/>
        <w:rPr>
          <w:rFonts w:hint="eastAsia" w:ascii="仿宋" w:hAnsi="仿宋" w:eastAsia="仿宋" w:cs="仿宋"/>
          <w:color w:val="auto"/>
          <w:sz w:val="24"/>
          <w:szCs w:val="24"/>
          <w:highlight w:val="none"/>
        </w:rPr>
      </w:pPr>
      <w:bookmarkStart w:id="616" w:name="_Toc6359"/>
      <w:bookmarkStart w:id="617" w:name="_Toc13615"/>
      <w:bookmarkStart w:id="618" w:name="_Toc23833"/>
      <w:r>
        <w:rPr>
          <w:rFonts w:hint="eastAsia" w:ascii="仿宋" w:hAnsi="仿宋" w:eastAsia="仿宋" w:cs="仿宋"/>
          <w:b/>
          <w:bCs/>
          <w:color w:val="auto"/>
          <w:spacing w:val="-5"/>
          <w:sz w:val="24"/>
          <w:szCs w:val="24"/>
          <w:highlight w:val="none"/>
        </w:rPr>
        <w:t>二、成像导管技术参数要求</w:t>
      </w:r>
      <w:bookmarkEnd w:id="616"/>
      <w:bookmarkEnd w:id="617"/>
      <w:bookmarkEnd w:id="618"/>
    </w:p>
    <w:p w14:paraId="1769B26E">
      <w:pPr>
        <w:spacing w:before="91" w:line="411" w:lineRule="auto"/>
        <w:ind w:left="16" w:firstLine="5"/>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1、导管前端可调节方向≥4 向，方向调节轮≥2</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7"/>
          <w:sz w:val="24"/>
          <w:szCs w:val="24"/>
          <w:highlight w:val="none"/>
        </w:rPr>
        <w:t>个；转向锁紧结构为拨杆</w:t>
      </w:r>
      <w:r>
        <w:rPr>
          <w:rFonts w:hint="eastAsia" w:ascii="仿宋" w:hAnsi="仿宋" w:eastAsia="仿宋" w:cs="仿宋"/>
          <w:color w:val="auto"/>
          <w:spacing w:val="-13"/>
          <w:sz w:val="24"/>
          <w:szCs w:val="24"/>
          <w:highlight w:val="none"/>
        </w:rPr>
        <w:t>式；</w:t>
      </w:r>
    </w:p>
    <w:p w14:paraId="5BA38351">
      <w:pPr>
        <w:spacing w:before="1" w:line="220"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2、有效工作直径有</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1.2mm、2.0mm</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2"/>
          <w:sz w:val="24"/>
          <w:szCs w:val="24"/>
          <w:highlight w:val="none"/>
        </w:rPr>
        <w:t>两种规格，满足多种</w:t>
      </w:r>
      <w:r>
        <w:rPr>
          <w:rFonts w:hint="eastAsia" w:ascii="仿宋" w:hAnsi="仿宋" w:eastAsia="仿宋" w:cs="仿宋"/>
          <w:color w:val="auto"/>
          <w:spacing w:val="-3"/>
          <w:sz w:val="24"/>
          <w:szCs w:val="24"/>
          <w:highlight w:val="none"/>
        </w:rPr>
        <w:t>手术方式；</w:t>
      </w:r>
    </w:p>
    <w:p w14:paraId="79B1B81B">
      <w:pPr>
        <w:spacing w:before="289"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3、有</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12</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3"/>
          <w:sz w:val="24"/>
          <w:szCs w:val="24"/>
          <w:highlight w:val="none"/>
        </w:rPr>
        <w:t>个规格型号，涵盖</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7.5F、9F、</w:t>
      </w:r>
      <w:r>
        <w:rPr>
          <w:rFonts w:hint="eastAsia" w:ascii="仿宋" w:hAnsi="仿宋" w:eastAsia="仿宋" w:cs="仿宋"/>
          <w:color w:val="auto"/>
          <w:spacing w:val="-4"/>
          <w:sz w:val="24"/>
          <w:szCs w:val="24"/>
          <w:highlight w:val="none"/>
        </w:rPr>
        <w:t>11F</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外径的导管；</w:t>
      </w:r>
    </w:p>
    <w:p w14:paraId="418730D9">
      <w:pPr>
        <w:spacing w:before="285" w:line="221"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4、导管有三种工作长度:2140mm、213</w:t>
      </w:r>
      <w:r>
        <w:rPr>
          <w:rFonts w:hint="eastAsia" w:ascii="仿宋" w:hAnsi="仿宋" w:eastAsia="仿宋" w:cs="仿宋"/>
          <w:color w:val="auto"/>
          <w:spacing w:val="-1"/>
          <w:sz w:val="24"/>
          <w:szCs w:val="24"/>
          <w:highlight w:val="none"/>
        </w:rPr>
        <w:t>0mm、2120mm；</w:t>
      </w:r>
    </w:p>
    <w:p w14:paraId="59B58618">
      <w:pPr>
        <w:spacing w:before="289"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5、进液防护程度：导管头端</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3"/>
          <w:sz w:val="24"/>
          <w:szCs w:val="24"/>
          <w:highlight w:val="none"/>
        </w:rPr>
        <w:t>IPX7，其他</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IPX0；</w:t>
      </w:r>
    </w:p>
    <w:p w14:paraId="06FC3AE5">
      <w:pPr>
        <w:spacing w:before="286"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6、具备独立注水通道≥2</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个，可实现注水和负压吸引同时</w:t>
      </w:r>
      <w:r>
        <w:rPr>
          <w:rFonts w:hint="eastAsia" w:ascii="仿宋" w:hAnsi="仿宋" w:eastAsia="仿宋" w:cs="仿宋"/>
          <w:color w:val="auto"/>
          <w:spacing w:val="-2"/>
          <w:sz w:val="24"/>
          <w:szCs w:val="24"/>
          <w:highlight w:val="none"/>
        </w:rPr>
        <w:t>进行；</w:t>
      </w:r>
    </w:p>
    <w:p w14:paraId="691D3704">
      <w:pPr>
        <w:spacing w:before="288"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7、视场角：</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9"/>
          <w:sz w:val="24"/>
          <w:szCs w:val="24"/>
          <w:highlight w:val="none"/>
        </w:rPr>
        <w:t>≥120</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9"/>
          <w:sz w:val="24"/>
          <w:szCs w:val="24"/>
          <w:highlight w:val="none"/>
        </w:rPr>
        <w:t>,视向角：0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9"/>
          <w:sz w:val="24"/>
          <w:szCs w:val="24"/>
          <w:highlight w:val="none"/>
        </w:rPr>
        <w:t>;</w:t>
      </w:r>
    </w:p>
    <w:p w14:paraId="0683ACE2">
      <w:pPr>
        <w:spacing w:before="284"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8、导管具备多种通路，包括器械通道，注水通道，吸引通道等；</w:t>
      </w:r>
    </w:p>
    <w:p w14:paraId="093BF155">
      <w:pPr>
        <w:spacing w:before="288"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9、具备图像冻结功能；</w:t>
      </w:r>
    </w:p>
    <w:p w14:paraId="6AC27D79">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10、采用</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pacing w:val="-4"/>
          <w:sz w:val="24"/>
          <w:szCs w:val="24"/>
          <w:highlight w:val="none"/>
        </w:rPr>
        <w:t>CMOS</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4"/>
          <w:sz w:val="24"/>
          <w:szCs w:val="24"/>
          <w:highlight w:val="none"/>
        </w:rPr>
        <w:t>高清摄像头，像素≥16</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万；</w:t>
      </w:r>
    </w:p>
    <w:p w14:paraId="386015A8">
      <w:pPr>
        <w:spacing w:before="287" w:line="223" w:lineRule="auto"/>
        <w:ind w:left="21"/>
        <w:outlineLvl w:val="0"/>
        <w:rPr>
          <w:rFonts w:hint="eastAsia" w:ascii="仿宋" w:hAnsi="仿宋" w:eastAsia="仿宋" w:cs="仿宋"/>
          <w:color w:val="auto"/>
          <w:sz w:val="24"/>
          <w:szCs w:val="24"/>
          <w:highlight w:val="none"/>
        </w:rPr>
      </w:pPr>
      <w:bookmarkStart w:id="619" w:name="_Toc17008"/>
      <w:bookmarkStart w:id="620" w:name="_Toc11688"/>
      <w:bookmarkStart w:id="621" w:name="_Toc14672"/>
      <w:r>
        <w:rPr>
          <w:rFonts w:hint="eastAsia" w:ascii="仿宋" w:hAnsi="仿宋" w:eastAsia="仿宋" w:cs="仿宋"/>
          <w:color w:val="auto"/>
          <w:spacing w:val="-4"/>
          <w:sz w:val="24"/>
          <w:szCs w:val="24"/>
          <w:highlight w:val="none"/>
        </w:rPr>
        <w:t>11、景深</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4"/>
          <w:sz w:val="24"/>
          <w:szCs w:val="24"/>
          <w:highlight w:val="none"/>
        </w:rPr>
        <w:t>3-50mm；</w:t>
      </w:r>
      <w:bookmarkEnd w:id="619"/>
      <w:bookmarkEnd w:id="620"/>
      <w:bookmarkEnd w:id="621"/>
    </w:p>
    <w:p w14:paraId="24EC1EEA">
      <w:pPr>
        <w:spacing w:line="223" w:lineRule="auto"/>
        <w:rPr>
          <w:rFonts w:hint="eastAsia" w:ascii="仿宋" w:hAnsi="仿宋" w:eastAsia="仿宋" w:cs="仿宋"/>
          <w:color w:val="auto"/>
          <w:sz w:val="24"/>
          <w:szCs w:val="24"/>
          <w:highlight w:val="none"/>
        </w:rPr>
        <w:sectPr>
          <w:pgSz w:w="11906" w:h="16839"/>
          <w:pgMar w:top="1247" w:right="1473" w:bottom="1247" w:left="1597" w:header="0" w:footer="567" w:gutter="0"/>
          <w:pgNumType w:fmt="decimal"/>
          <w:cols w:space="720" w:num="1"/>
        </w:sectPr>
      </w:pPr>
    </w:p>
    <w:p w14:paraId="06B4584D">
      <w:pPr>
        <w:spacing w:before="91" w:line="223" w:lineRule="auto"/>
        <w:ind w:left="3082"/>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6</w:t>
      </w:r>
      <w:r>
        <w:rPr>
          <w:rFonts w:hint="eastAsia" w:ascii="仿宋" w:hAnsi="仿宋" w:eastAsia="仿宋" w:cs="仿宋"/>
          <w:b/>
          <w:bCs/>
          <w:color w:val="auto"/>
          <w:spacing w:val="-3"/>
          <w:sz w:val="24"/>
          <w:szCs w:val="24"/>
          <w:highlight w:val="none"/>
        </w:rPr>
        <w:t>.内镜侦探技术参数</w:t>
      </w:r>
    </w:p>
    <w:p w14:paraId="0DC76567">
      <w:pPr>
        <w:spacing w:before="91" w:line="223"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1.系统技术规格</w:t>
      </w:r>
    </w:p>
    <w:p w14:paraId="4B07F0D8">
      <w:pPr>
        <w:spacing w:before="285" w:line="221" w:lineRule="auto"/>
        <w:ind w:left="1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z w:val="24"/>
          <w:szCs w:val="24"/>
          <w:highlight w:val="none"/>
        </w:rPr>
        <w:t>系统架构：高性能边缘计算AI</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z w:val="24"/>
          <w:szCs w:val="24"/>
          <w:highlight w:val="none"/>
        </w:rPr>
        <w:t>主机</w:t>
      </w:r>
      <w:r>
        <w:rPr>
          <w:rFonts w:hint="eastAsia" w:ascii="仿宋" w:hAnsi="仿宋" w:eastAsia="仿宋" w:cs="仿宋"/>
          <w:color w:val="auto"/>
          <w:spacing w:val="-1"/>
          <w:sz w:val="24"/>
          <w:szCs w:val="24"/>
          <w:highlight w:val="none"/>
        </w:rPr>
        <w:t>与开源企业级服务器系统架构</w:t>
      </w:r>
    </w:p>
    <w:p w14:paraId="07FA2341">
      <w:pPr>
        <w:spacing w:before="289" w:line="223"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6"/>
          <w:sz w:val="24"/>
          <w:szCs w:val="24"/>
          <w:highlight w:val="none"/>
        </w:rPr>
        <w:t>系统硬件配置：</w:t>
      </w:r>
    </w:p>
    <w:p w14:paraId="607FDB19">
      <w:pPr>
        <w:spacing w:before="285" w:line="223" w:lineRule="auto"/>
        <w:ind w:left="845"/>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（1）CPU：8</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4"/>
          <w:sz w:val="24"/>
          <w:szCs w:val="24"/>
          <w:highlight w:val="none"/>
        </w:rPr>
        <w:t>核及以上</w:t>
      </w:r>
    </w:p>
    <w:p w14:paraId="02BAA682">
      <w:pPr>
        <w:spacing w:before="286" w:line="220" w:lineRule="auto"/>
        <w:ind w:left="845"/>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（2）显存/内存：显存加内存</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24GB</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及以上</w:t>
      </w:r>
    </w:p>
    <w:p w14:paraId="5DA01132">
      <w:pPr>
        <w:spacing w:before="290" w:line="224" w:lineRule="auto"/>
        <w:ind w:left="845"/>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（3）硬盘：256GBSSD</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3"/>
          <w:sz w:val="24"/>
          <w:szCs w:val="24"/>
          <w:highlight w:val="none"/>
        </w:rPr>
        <w:t>及以上</w:t>
      </w:r>
    </w:p>
    <w:p w14:paraId="6143419C">
      <w:pPr>
        <w:spacing w:before="285" w:line="222" w:lineRule="auto"/>
        <w:ind w:left="845"/>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（4）视频采集卡：高清</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1080P</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3"/>
          <w:sz w:val="24"/>
          <w:szCs w:val="24"/>
          <w:highlight w:val="none"/>
        </w:rPr>
        <w:t>视频采集卡</w:t>
      </w:r>
    </w:p>
    <w:p w14:paraId="340B439A">
      <w:pPr>
        <w:spacing w:before="288"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1.3</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9"/>
          <w:sz w:val="24"/>
          <w:szCs w:val="24"/>
          <w:highlight w:val="none"/>
        </w:rPr>
        <w:t>支持接入主流内窥镜影像设备如奥林巴斯、富士、宾得、澳</w:t>
      </w:r>
      <w:r>
        <w:rPr>
          <w:rFonts w:hint="eastAsia" w:ascii="仿宋" w:hAnsi="仿宋" w:eastAsia="仿宋" w:cs="仿宋"/>
          <w:color w:val="auto"/>
          <w:spacing w:val="-10"/>
          <w:sz w:val="24"/>
          <w:szCs w:val="24"/>
          <w:highlight w:val="none"/>
        </w:rPr>
        <w:t>华、</w:t>
      </w:r>
      <w:r>
        <w:rPr>
          <w:rFonts w:hint="eastAsia" w:ascii="仿宋" w:hAnsi="仿宋" w:eastAsia="仿宋" w:cs="仿宋"/>
          <w:color w:val="auto"/>
          <w:spacing w:val="2"/>
          <w:sz w:val="24"/>
          <w:szCs w:val="24"/>
          <w:highlight w:val="none"/>
        </w:rPr>
        <w:t>开立等，支持多种标准视频输出接口如</w:t>
      </w:r>
      <w:r>
        <w:rPr>
          <w:rFonts w:hint="eastAsia" w:ascii="仿宋" w:hAnsi="仿宋" w:eastAsia="仿宋" w:cs="仿宋"/>
          <w:color w:val="auto"/>
          <w:sz w:val="24"/>
          <w:szCs w:val="24"/>
          <w:highlight w:val="none"/>
        </w:rPr>
        <w:t>DVI</w:t>
      </w:r>
      <w:r>
        <w:rPr>
          <w:rFonts w:hint="eastAsia" w:ascii="仿宋" w:hAnsi="仿宋" w:eastAsia="仿宋" w:cs="仿宋"/>
          <w:color w:val="auto"/>
          <w:spacing w:val="2"/>
          <w:sz w:val="24"/>
          <w:szCs w:val="24"/>
          <w:highlight w:val="none"/>
        </w:rPr>
        <w:t>、</w:t>
      </w:r>
      <w:r>
        <w:rPr>
          <w:rFonts w:hint="eastAsia" w:ascii="仿宋" w:hAnsi="仿宋" w:eastAsia="仿宋" w:cs="仿宋"/>
          <w:color w:val="auto"/>
          <w:sz w:val="24"/>
          <w:szCs w:val="24"/>
          <w:highlight w:val="none"/>
        </w:rPr>
        <w:t>SDI</w:t>
      </w:r>
      <w:r>
        <w:rPr>
          <w:rFonts w:hint="eastAsia" w:ascii="仿宋" w:hAnsi="仿宋" w:eastAsia="仿宋" w:cs="仿宋"/>
          <w:color w:val="auto"/>
          <w:spacing w:val="2"/>
          <w:sz w:val="24"/>
          <w:szCs w:val="24"/>
          <w:highlight w:val="none"/>
        </w:rPr>
        <w:t>、</w:t>
      </w:r>
      <w:r>
        <w:rPr>
          <w:rFonts w:hint="eastAsia" w:ascii="仿宋" w:hAnsi="仿宋" w:eastAsia="仿宋" w:cs="仿宋"/>
          <w:color w:val="auto"/>
          <w:sz w:val="24"/>
          <w:szCs w:val="24"/>
          <w:highlight w:val="none"/>
        </w:rPr>
        <w:t>HDMI</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等</w:t>
      </w:r>
    </w:p>
    <w:p w14:paraId="263F7068">
      <w:pPr>
        <w:spacing w:before="1" w:line="411" w:lineRule="auto"/>
        <w:ind w:right="9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1.4</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3"/>
          <w:sz w:val="24"/>
          <w:szCs w:val="24"/>
          <w:highlight w:val="none"/>
        </w:rPr>
        <w:t>采用基于视频流时间和空间信息的深度卷积神</w:t>
      </w:r>
      <w:r>
        <w:rPr>
          <w:rFonts w:hint="eastAsia" w:ascii="仿宋" w:hAnsi="仿宋" w:eastAsia="仿宋" w:cs="仿宋"/>
          <w:color w:val="auto"/>
          <w:spacing w:val="-4"/>
          <w:sz w:val="24"/>
          <w:szCs w:val="24"/>
          <w:highlight w:val="none"/>
        </w:rPr>
        <w:t>经网络算法，针</w:t>
      </w:r>
      <w:r>
        <w:rPr>
          <w:rFonts w:hint="eastAsia" w:ascii="仿宋" w:hAnsi="仿宋" w:eastAsia="仿宋" w:cs="仿宋"/>
          <w:color w:val="auto"/>
          <w:spacing w:val="-2"/>
          <w:sz w:val="24"/>
          <w:szCs w:val="24"/>
          <w:highlight w:val="none"/>
        </w:rPr>
        <w:t>对动态医学影像的算法架构</w:t>
      </w:r>
    </w:p>
    <w:p w14:paraId="6A95C152">
      <w:pPr>
        <w:spacing w:before="1" w:line="411" w:lineRule="auto"/>
        <w:ind w:right="93"/>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1.5 同时满足：①经过软件算法分析后将疑似病变位置显示在现有</w:t>
      </w:r>
      <w:r>
        <w:rPr>
          <w:rFonts w:hint="eastAsia" w:ascii="仿宋" w:hAnsi="仿宋" w:eastAsia="仿宋" w:cs="仿宋"/>
          <w:color w:val="auto"/>
          <w:spacing w:val="5"/>
          <w:sz w:val="24"/>
          <w:szCs w:val="24"/>
          <w:highlight w:val="none"/>
        </w:rPr>
        <w:t>显示器上；②经过软件算法分析后将疑似病变位置在</w:t>
      </w:r>
      <w:r>
        <w:rPr>
          <w:rFonts w:hint="eastAsia" w:ascii="仿宋" w:hAnsi="仿宋" w:eastAsia="仿宋" w:cs="仿宋"/>
          <w:color w:val="auto"/>
          <w:spacing w:val="4"/>
          <w:sz w:val="24"/>
          <w:szCs w:val="24"/>
          <w:highlight w:val="none"/>
        </w:rPr>
        <w:t>视频图像中进行标</w:t>
      </w:r>
      <w:r>
        <w:rPr>
          <w:rFonts w:hint="eastAsia" w:ascii="仿宋" w:hAnsi="仿宋" w:eastAsia="仿宋" w:cs="仿宋"/>
          <w:color w:val="auto"/>
          <w:spacing w:val="-1"/>
          <w:sz w:val="24"/>
          <w:szCs w:val="24"/>
          <w:highlight w:val="none"/>
        </w:rPr>
        <w:t>记，显示在单独的显示器上的双显示器方案。</w:t>
      </w:r>
    </w:p>
    <w:p w14:paraId="53802299">
      <w:pPr>
        <w:spacing w:before="2" w:line="411" w:lineRule="auto"/>
        <w:ind w:right="9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1.6</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支持通过软件算法分析识别肠镜和胃镜下的消化道</w:t>
      </w:r>
      <w:r>
        <w:rPr>
          <w:rFonts w:hint="eastAsia" w:ascii="仿宋" w:hAnsi="仿宋" w:eastAsia="仿宋" w:cs="仿宋"/>
          <w:color w:val="auto"/>
          <w:spacing w:val="-4"/>
          <w:sz w:val="24"/>
          <w:szCs w:val="24"/>
          <w:highlight w:val="none"/>
        </w:rPr>
        <w:t>病变，并实</w:t>
      </w:r>
      <w:r>
        <w:rPr>
          <w:rFonts w:hint="eastAsia" w:ascii="仿宋" w:hAnsi="仿宋" w:eastAsia="仿宋" w:cs="仿宋"/>
          <w:color w:val="auto"/>
          <w:spacing w:val="-5"/>
          <w:sz w:val="24"/>
          <w:szCs w:val="24"/>
          <w:highlight w:val="none"/>
        </w:rPr>
        <w:t>时标记给医生提示</w:t>
      </w:r>
    </w:p>
    <w:p w14:paraId="274B791A">
      <w:pPr>
        <w:spacing w:before="1"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支持消化道影像数据的本地自动存储</w:t>
      </w:r>
    </w:p>
    <w:p w14:paraId="7B009547">
      <w:pPr>
        <w:spacing w:before="289"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3"/>
          <w:sz w:val="24"/>
          <w:szCs w:val="24"/>
          <w:highlight w:val="none"/>
        </w:rPr>
        <w:t>上消化道辅助监测功能</w:t>
      </w:r>
    </w:p>
    <w:p w14:paraId="05A72202">
      <w:pPr>
        <w:spacing w:before="288" w:line="222" w:lineRule="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2.1</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2"/>
          <w:sz w:val="24"/>
          <w:szCs w:val="24"/>
          <w:highlight w:val="none"/>
        </w:rPr>
        <w:t>支持上消化道自动识别功能</w:t>
      </w:r>
    </w:p>
    <w:p w14:paraId="581874DC">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2.2</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2"/>
          <w:sz w:val="24"/>
          <w:szCs w:val="24"/>
          <w:highlight w:val="none"/>
        </w:rPr>
        <w:t>支持自动识别胃部病变图像位置功能，</w:t>
      </w:r>
      <w:r>
        <w:rPr>
          <w:rFonts w:hint="eastAsia" w:ascii="仿宋" w:hAnsi="仿宋" w:eastAsia="仿宋" w:cs="仿宋"/>
          <w:color w:val="auto"/>
          <w:spacing w:val="-3"/>
          <w:sz w:val="24"/>
          <w:szCs w:val="24"/>
          <w:highlight w:val="none"/>
        </w:rPr>
        <w:t>给出标识框进行提示。</w:t>
      </w:r>
    </w:p>
    <w:p w14:paraId="5FD00913">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4"/>
          <w:sz w:val="24"/>
          <w:szCs w:val="24"/>
          <w:highlight w:val="none"/>
        </w:rPr>
        <w:t>下消化道辅助监测功能</w:t>
      </w:r>
    </w:p>
    <w:p w14:paraId="029667B3">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3.1</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支持下消化道自动识别功能</w:t>
      </w:r>
    </w:p>
    <w:p w14:paraId="54F742B5">
      <w:pPr>
        <w:spacing w:before="288" w:line="411" w:lineRule="auto"/>
        <w:ind w:right="24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3.2</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1"/>
          <w:sz w:val="24"/>
          <w:szCs w:val="24"/>
          <w:highlight w:val="none"/>
        </w:rPr>
        <w:t>支持自动识别肠部病变图像位置功能，给出标识框</w:t>
      </w:r>
      <w:r>
        <w:rPr>
          <w:rFonts w:hint="eastAsia" w:ascii="仿宋" w:hAnsi="仿宋" w:eastAsia="仿宋" w:cs="仿宋"/>
          <w:color w:val="auto"/>
          <w:spacing w:val="-2"/>
          <w:sz w:val="24"/>
          <w:szCs w:val="24"/>
          <w:highlight w:val="none"/>
        </w:rPr>
        <w:t>进行提示</w:t>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支持声音提示功能</w:t>
      </w:r>
    </w:p>
    <w:p w14:paraId="2AFDEFE7">
      <w:pPr>
        <w:spacing w:line="225"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5</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9"/>
          <w:sz w:val="24"/>
          <w:szCs w:val="24"/>
          <w:highlight w:val="none"/>
        </w:rPr>
        <w:t>系统配置</w:t>
      </w:r>
    </w:p>
    <w:p w14:paraId="39B6E2EB">
      <w:pPr>
        <w:spacing w:before="282"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5.1</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2"/>
          <w:sz w:val="24"/>
          <w:szCs w:val="24"/>
          <w:highlight w:val="none"/>
        </w:rPr>
        <w:t>支持维护用户账号和密码功能</w:t>
      </w:r>
    </w:p>
    <w:p w14:paraId="1E13B6BA">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5.2</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支持维护手术室编号</w:t>
      </w:r>
    </w:p>
    <w:p w14:paraId="66811F76">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5.3</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支持病变识别相关参数调整</w:t>
      </w:r>
    </w:p>
    <w:p w14:paraId="1ED9E1BF">
      <w:pPr>
        <w:spacing w:before="91" w:line="224" w:lineRule="auto"/>
        <w:outlineLvl w:val="0"/>
        <w:rPr>
          <w:rFonts w:hint="eastAsia" w:ascii="仿宋" w:hAnsi="仿宋" w:eastAsia="仿宋" w:cs="仿宋"/>
          <w:color w:val="auto"/>
          <w:spacing w:val="-2"/>
          <w:sz w:val="24"/>
          <w:szCs w:val="24"/>
          <w:highlight w:val="none"/>
        </w:rPr>
      </w:pPr>
      <w:bookmarkStart w:id="622" w:name="_Toc11232"/>
      <w:bookmarkStart w:id="623" w:name="_Toc13522"/>
      <w:bookmarkStart w:id="624" w:name="_Toc29882"/>
      <w:r>
        <w:rPr>
          <w:rFonts w:hint="eastAsia" w:ascii="仿宋" w:hAnsi="仿宋" w:eastAsia="仿宋" w:cs="仿宋"/>
          <w:color w:val="auto"/>
          <w:spacing w:val="-2"/>
          <w:sz w:val="24"/>
          <w:szCs w:val="24"/>
          <w:highlight w:val="none"/>
        </w:rPr>
        <w:t>5.4</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2"/>
          <w:sz w:val="24"/>
          <w:szCs w:val="24"/>
          <w:highlight w:val="none"/>
        </w:rPr>
        <w:t>支持根据医生要求，对标注框颜色和粗细进行调整</w:t>
      </w:r>
      <w:bookmarkEnd w:id="622"/>
      <w:bookmarkEnd w:id="623"/>
      <w:bookmarkEnd w:id="624"/>
    </w:p>
    <w:p w14:paraId="200330F0">
      <w:pP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br w:type="page"/>
      </w:r>
    </w:p>
    <w:p w14:paraId="44CE01D9">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合同包4</w:t>
      </w:r>
    </w:p>
    <w:p w14:paraId="0B4EC723">
      <w:pPr>
        <w:spacing w:before="91" w:line="224" w:lineRule="auto"/>
        <w:ind w:firstLine="708" w:firstLineChars="300"/>
        <w:outlineLvl w:val="0"/>
        <w:rPr>
          <w:rFonts w:hint="eastAsia" w:ascii="仿宋" w:hAnsi="仿宋" w:eastAsia="仿宋" w:cs="仿宋"/>
          <w:color w:val="auto"/>
          <w:spacing w:val="-2"/>
          <w:sz w:val="24"/>
          <w:szCs w:val="24"/>
          <w:highlight w:val="none"/>
        </w:rPr>
      </w:pPr>
    </w:p>
    <w:p w14:paraId="02F6AFB0">
      <w:pPr>
        <w:spacing w:before="91" w:line="223" w:lineRule="auto"/>
        <w:ind w:left="3357"/>
        <w:outlineLvl w:val="0"/>
        <w:rPr>
          <w:rFonts w:hint="eastAsia" w:ascii="仿宋" w:hAnsi="仿宋" w:eastAsia="仿宋" w:cs="仿宋"/>
          <w:color w:val="auto"/>
          <w:sz w:val="24"/>
          <w:szCs w:val="24"/>
          <w:highlight w:val="none"/>
          <w:lang w:val="en-US" w:eastAsia="zh-CN"/>
        </w:rPr>
      </w:pPr>
      <w:bookmarkStart w:id="625" w:name="_Toc15778"/>
      <w:bookmarkStart w:id="626" w:name="_Toc28107"/>
      <w:bookmarkStart w:id="627" w:name="_Toc7271"/>
      <w:r>
        <w:rPr>
          <w:rFonts w:hint="eastAsia" w:ascii="仿宋" w:hAnsi="仿宋" w:eastAsia="仿宋" w:cs="仿宋"/>
          <w:b/>
          <w:bCs/>
          <w:color w:val="auto"/>
          <w:spacing w:val="-4"/>
          <w:sz w:val="24"/>
          <w:szCs w:val="24"/>
          <w:highlight w:val="none"/>
          <w:lang w:val="en-US" w:eastAsia="zh-CN"/>
        </w:rPr>
        <w:t>1.</w:t>
      </w:r>
      <w:r>
        <w:rPr>
          <w:rFonts w:hint="eastAsia" w:ascii="仿宋" w:hAnsi="仿宋" w:eastAsia="仿宋" w:cs="仿宋"/>
          <w:b/>
          <w:bCs/>
          <w:color w:val="auto"/>
          <w:spacing w:val="-4"/>
          <w:sz w:val="24"/>
          <w:szCs w:val="24"/>
          <w:highlight w:val="none"/>
        </w:rPr>
        <w:t>强脉冲光与激光系统</w:t>
      </w:r>
      <w:r>
        <w:rPr>
          <w:rFonts w:hint="eastAsia" w:ascii="仿宋" w:hAnsi="仿宋" w:eastAsia="仿宋" w:cs="仿宋"/>
          <w:b/>
          <w:bCs/>
          <w:color w:val="auto"/>
          <w:spacing w:val="-4"/>
          <w:sz w:val="24"/>
          <w:szCs w:val="24"/>
          <w:highlight w:val="none"/>
          <w:lang w:val="en-US" w:eastAsia="zh-CN"/>
        </w:rPr>
        <w:t>技术参数</w:t>
      </w:r>
      <w:bookmarkEnd w:id="625"/>
      <w:bookmarkEnd w:id="626"/>
      <w:bookmarkEnd w:id="627"/>
    </w:p>
    <w:p w14:paraId="6A79155D">
      <w:pPr>
        <w:pStyle w:val="11"/>
        <w:spacing w:line="314" w:lineRule="auto"/>
        <w:rPr>
          <w:rFonts w:hint="eastAsia" w:ascii="仿宋" w:hAnsi="仿宋" w:eastAsia="仿宋" w:cs="仿宋"/>
          <w:color w:val="auto"/>
          <w:sz w:val="24"/>
          <w:szCs w:val="24"/>
          <w:highlight w:val="none"/>
        </w:rPr>
      </w:pPr>
    </w:p>
    <w:p w14:paraId="0EF1F682">
      <w:pPr>
        <w:spacing w:before="91" w:line="411" w:lineRule="auto"/>
        <w:ind w:left="10" w:firstLine="1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1.性能：治疗皮肤,面部,躯干部位的毛细血管扩张；鲜红斑痣等血管性病变，雀斑，黄褐斑，皮肤异色症等色素性病变；美白，毛孔粗大等嫩肤性治疗；眶周皱</w:t>
      </w:r>
      <w:r>
        <w:rPr>
          <w:rFonts w:hint="eastAsia" w:ascii="仿宋" w:hAnsi="仿宋" w:eastAsia="仿宋" w:cs="仿宋"/>
          <w:color w:val="auto"/>
          <w:spacing w:val="-1"/>
          <w:sz w:val="24"/>
          <w:szCs w:val="24"/>
          <w:highlight w:val="none"/>
        </w:rPr>
        <w:t>纹、皮肤重建、肤色不均、妊娠纹、瘢痕干预治疗、痤疮、脱毛等。</w:t>
      </w:r>
    </w:p>
    <w:p w14:paraId="06D074C3">
      <w:pPr>
        <w:spacing w:before="1" w:line="220"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2.具备中文操作界面，彩色触摸屏。</w:t>
      </w:r>
    </w:p>
    <w:p w14:paraId="1BA03FAE">
      <w:pPr>
        <w:spacing w:before="290" w:line="411" w:lineRule="auto"/>
        <w:ind w:left="13" w:hanging="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3.具备参数推荐系统，可根据不同临床适应症，不</w:t>
      </w:r>
      <w:r>
        <w:rPr>
          <w:rFonts w:hint="eastAsia" w:ascii="仿宋" w:hAnsi="仿宋" w:eastAsia="仿宋" w:cs="仿宋"/>
          <w:color w:val="auto"/>
          <w:spacing w:val="-5"/>
          <w:sz w:val="24"/>
          <w:szCs w:val="24"/>
          <w:highlight w:val="none"/>
        </w:rPr>
        <w:t>同肤色，不同靶组织自动推荐治疗参数。</w:t>
      </w:r>
    </w:p>
    <w:p w14:paraId="17949065">
      <w:pPr>
        <w:spacing w:before="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4.具备完美脉冲技术或柔脉冲技术或细胞净肤技术。</w:t>
      </w:r>
    </w:p>
    <w:p w14:paraId="6A6034BC">
      <w:pPr>
        <w:spacing w:before="287" w:line="411" w:lineRule="auto"/>
        <w:ind w:left="21" w:hanging="15"/>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5.波长：手具覆盖</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7"/>
          <w:sz w:val="24"/>
          <w:szCs w:val="24"/>
          <w:highlight w:val="none"/>
        </w:rPr>
        <w:t>400</w:t>
      </w:r>
      <w:r>
        <w:rPr>
          <w:rFonts w:hint="eastAsia" w:ascii="仿宋" w:hAnsi="仿宋" w:eastAsia="仿宋" w:cs="仿宋"/>
          <w:color w:val="auto"/>
          <w:sz w:val="24"/>
          <w:szCs w:val="24"/>
          <w:highlight w:val="none"/>
        </w:rPr>
        <w:t>nm</w:t>
      </w:r>
      <w:r>
        <w:rPr>
          <w:rFonts w:hint="eastAsia" w:ascii="仿宋" w:hAnsi="仿宋" w:eastAsia="仿宋" w:cs="仿宋"/>
          <w:color w:val="auto"/>
          <w:spacing w:val="7"/>
          <w:sz w:val="24"/>
          <w:szCs w:val="24"/>
          <w:highlight w:val="none"/>
        </w:rPr>
        <w:t>-1200</w:t>
      </w:r>
      <w:r>
        <w:rPr>
          <w:rFonts w:hint="eastAsia" w:ascii="仿宋" w:hAnsi="仿宋" w:eastAsia="仿宋" w:cs="仿宋"/>
          <w:color w:val="auto"/>
          <w:sz w:val="24"/>
          <w:szCs w:val="24"/>
          <w:highlight w:val="none"/>
        </w:rPr>
        <w:t>nm</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7"/>
          <w:sz w:val="24"/>
          <w:szCs w:val="24"/>
          <w:highlight w:val="none"/>
        </w:rPr>
        <w:t>宽光谱，配置≥6</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7"/>
          <w:sz w:val="24"/>
          <w:szCs w:val="24"/>
          <w:highlight w:val="none"/>
        </w:rPr>
        <w:t>种波长，强</w:t>
      </w:r>
      <w:r>
        <w:rPr>
          <w:rFonts w:hint="eastAsia" w:ascii="仿宋" w:hAnsi="仿宋" w:eastAsia="仿宋" w:cs="仿宋"/>
          <w:color w:val="auto"/>
          <w:spacing w:val="6"/>
          <w:sz w:val="24"/>
          <w:szCs w:val="24"/>
          <w:highlight w:val="none"/>
        </w:rPr>
        <w:t>脉冲光波长≤</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5"/>
          <w:sz w:val="24"/>
          <w:szCs w:val="24"/>
          <w:highlight w:val="none"/>
        </w:rPr>
        <w:t>1200nm。</w:t>
      </w:r>
    </w:p>
    <w:p w14:paraId="52811D81">
      <w:pPr>
        <w:spacing w:before="1"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6.脉冲方式：具备多同步自由可调脉冲</w:t>
      </w:r>
    </w:p>
    <w:p w14:paraId="292EDEB6">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1"/>
          <w:sz w:val="24"/>
          <w:szCs w:val="24"/>
          <w:highlight w:val="none"/>
        </w:rPr>
        <w:t>7.</w:t>
      </w:r>
      <w:r>
        <w:rPr>
          <w:rFonts w:hint="eastAsia" w:ascii="仿宋" w:hAnsi="仿宋" w:eastAsia="仿宋" w:cs="仿宋"/>
          <w:color w:val="auto"/>
          <w:spacing w:val="-3"/>
          <w:sz w:val="24"/>
          <w:szCs w:val="24"/>
          <w:highlight w:val="none"/>
        </w:rPr>
        <w:t>最大脉宽：≤100ms，可连续手动调节</w:t>
      </w:r>
    </w:p>
    <w:p w14:paraId="714B4BFF">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8.脉冲延迟： ≥100ms，可连续手动调节</w:t>
      </w:r>
    </w:p>
    <w:p w14:paraId="0D6D85B9">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9.能量密度：最大能量≥35J/cm2 ，可连续手动调节</w:t>
      </w:r>
    </w:p>
    <w:p w14:paraId="02D2988F">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10.光斑：大光斑面积≥5cm2 ，小光斑面积≤3cm2（最少配置 2 种光斑大小）</w:t>
      </w:r>
    </w:p>
    <w:p w14:paraId="71D89381">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11.具备可插拔滤光片技术：可通过不同波长滤光片来改变波长</w:t>
      </w:r>
    </w:p>
    <w:p w14:paraId="516618CE">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12.冷却方式：具备持续接触式冷却</w:t>
      </w:r>
    </w:p>
    <w:p w14:paraId="04424844">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13.双波截取技术：具备超膜双波截取波长，在一张滤光片或者一个手具上截取两段不同强脉冲光波长。</w:t>
      </w:r>
    </w:p>
    <w:p w14:paraId="079170AD">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14.在强脉冲光治疗模式下，可以分别设定每个子脉冲的能量密度，脉冲时间和脉冲延迟并均可自由调节。</w:t>
      </w:r>
    </w:p>
    <w:p w14:paraId="397EEF2E">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15.频率： ≥1Hz</w:t>
      </w:r>
    </w:p>
    <w:p w14:paraId="6E4A66A3">
      <w:pPr>
        <w:spacing w:before="288" w:line="223" w:lineRule="auto"/>
        <w:ind w:left="6"/>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16.校准：内置校准系统，每次开机自动校准</w:t>
      </w:r>
    </w:p>
    <w:p w14:paraId="7E06D8C5">
      <w:pPr>
        <w:spacing w:before="286" w:line="223" w:lineRule="auto"/>
        <w:ind w:left="14"/>
        <w:rPr>
          <w:rFonts w:hint="eastAsia" w:ascii="仿宋" w:hAnsi="仿宋" w:eastAsia="仿宋" w:cs="仿宋"/>
          <w:color w:val="auto"/>
          <w:sz w:val="24"/>
          <w:szCs w:val="24"/>
          <w:highlight w:val="none"/>
        </w:rPr>
      </w:pPr>
      <w:r>
        <w:rPr>
          <w:rFonts w:hint="eastAsia" w:ascii="仿宋" w:hAnsi="仿宋" w:eastAsia="仿宋" w:cs="仿宋"/>
          <w:b/>
          <w:bCs/>
          <w:color w:val="auto"/>
          <w:spacing w:val="-8"/>
          <w:sz w:val="24"/>
          <w:szCs w:val="24"/>
          <w:highlight w:val="none"/>
        </w:rPr>
        <w:t>非剥脱激光</w:t>
      </w:r>
    </w:p>
    <w:p w14:paraId="454CDCF1">
      <w:pPr>
        <w:spacing w:before="91" w:line="411" w:lineRule="auto"/>
        <w:ind w:left="10" w:firstLine="10"/>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17.波长：1565nm±30nm</w:t>
      </w:r>
    </w:p>
    <w:p w14:paraId="48716DDB">
      <w:pPr>
        <w:spacing w:before="91" w:line="411" w:lineRule="auto"/>
        <w:ind w:left="10" w:firstLine="10"/>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18.最大能量：≥65mJ/光束</w:t>
      </w:r>
    </w:p>
    <w:p w14:paraId="5F3BF5BB">
      <w:pPr>
        <w:spacing w:before="91" w:line="411" w:lineRule="auto"/>
        <w:ind w:left="10" w:firstLine="10"/>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19.光斑形状：≥3 种光斑形状可选</w:t>
      </w:r>
    </w:p>
    <w:p w14:paraId="4FF796BC">
      <w:pPr>
        <w:spacing w:before="91" w:line="411" w:lineRule="auto"/>
        <w:ind w:left="10" w:firstLine="10"/>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20.脉冲：具备非顺序扫描方式</w:t>
      </w:r>
    </w:p>
    <w:p w14:paraId="282089DB">
      <w:pPr>
        <w:rPr>
          <w:rFonts w:hint="eastAsia" w:ascii="仿宋" w:hAnsi="仿宋" w:eastAsia="仿宋" w:cs="仿宋"/>
          <w:color w:val="auto"/>
          <w:spacing w:val="-1"/>
          <w:sz w:val="24"/>
          <w:szCs w:val="24"/>
          <w:highlight w:val="none"/>
        </w:rPr>
      </w:pPr>
    </w:p>
    <w:p w14:paraId="484CD831">
      <w:pPr>
        <w:rPr>
          <w:rFonts w:hint="eastAsia" w:ascii="仿宋" w:hAnsi="仿宋" w:eastAsia="仿宋" w:cs="仿宋"/>
          <w:color w:val="auto"/>
          <w:spacing w:val="-1"/>
          <w:sz w:val="24"/>
          <w:szCs w:val="24"/>
          <w:highlight w:val="none"/>
        </w:rPr>
      </w:pPr>
    </w:p>
    <w:p w14:paraId="7D451FA8">
      <w:pPr>
        <w:spacing w:before="91" w:line="223" w:lineRule="auto"/>
        <w:ind w:left="3357"/>
        <w:outlineLvl w:val="0"/>
        <w:rPr>
          <w:rFonts w:hint="eastAsia" w:ascii="仿宋" w:hAnsi="仿宋" w:eastAsia="仿宋" w:cs="仿宋"/>
          <w:b/>
          <w:bCs/>
          <w:color w:val="auto"/>
          <w:spacing w:val="-4"/>
          <w:sz w:val="24"/>
          <w:szCs w:val="24"/>
          <w:highlight w:val="none"/>
          <w:lang w:val="en-US" w:eastAsia="zh-CN"/>
        </w:rPr>
      </w:pPr>
      <w:bookmarkStart w:id="628" w:name="_Toc27799"/>
      <w:bookmarkStart w:id="629" w:name="_Toc18024"/>
      <w:bookmarkStart w:id="630" w:name="_Toc22807"/>
      <w:r>
        <w:rPr>
          <w:rFonts w:hint="eastAsia" w:ascii="仿宋" w:hAnsi="仿宋" w:eastAsia="仿宋" w:cs="仿宋"/>
          <w:b/>
          <w:bCs/>
          <w:color w:val="auto"/>
          <w:spacing w:val="-4"/>
          <w:sz w:val="24"/>
          <w:szCs w:val="24"/>
          <w:highlight w:val="none"/>
          <w:lang w:val="en-US" w:eastAsia="zh-CN"/>
        </w:rPr>
        <w:t>2.半导体激光治疗机技术参数</w:t>
      </w:r>
      <w:bookmarkEnd w:id="628"/>
      <w:bookmarkEnd w:id="629"/>
      <w:bookmarkEnd w:id="630"/>
    </w:p>
    <w:p w14:paraId="1D4E609F">
      <w:pPr>
        <w:spacing w:before="91" w:line="223" w:lineRule="auto"/>
        <w:ind w:left="3357"/>
        <w:outlineLvl w:val="0"/>
        <w:rPr>
          <w:rFonts w:hint="eastAsia" w:ascii="仿宋" w:hAnsi="仿宋" w:eastAsia="仿宋" w:cs="仿宋"/>
          <w:b/>
          <w:bCs/>
          <w:color w:val="auto"/>
          <w:spacing w:val="-4"/>
          <w:sz w:val="24"/>
          <w:szCs w:val="24"/>
          <w:highlight w:val="none"/>
          <w:lang w:val="en-US" w:eastAsia="zh-CN"/>
        </w:rPr>
      </w:pPr>
    </w:p>
    <w:p w14:paraId="073BB946">
      <w:pPr>
        <w:spacing w:before="9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1、适用范围：用于对人体软组织进行汽化、凝固治疗良性前列腺增生症；</w:t>
      </w:r>
    </w:p>
    <w:p w14:paraId="504F42D1">
      <w:pPr>
        <w:spacing w:before="288"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2、激光类型：半导体激光；</w:t>
      </w:r>
    </w:p>
    <w:p w14:paraId="3970F49E">
      <w:pPr>
        <w:spacing w:before="287"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3、光束模式：高阶或多模模式：</w:t>
      </w:r>
    </w:p>
    <w:p w14:paraId="1278E453">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4、波长类型：</w:t>
      </w:r>
      <w:r>
        <w:rPr>
          <w:rFonts w:hint="eastAsia" w:ascii="仿宋" w:hAnsi="仿宋" w:eastAsia="仿宋" w:cs="仿宋"/>
          <w:color w:val="auto"/>
          <w:spacing w:val="-94"/>
          <w:sz w:val="24"/>
          <w:szCs w:val="24"/>
          <w:highlight w:val="none"/>
        </w:rPr>
        <w:t xml:space="preserve"> </w:t>
      </w:r>
      <w:r>
        <w:rPr>
          <w:rFonts w:hint="eastAsia" w:ascii="仿宋" w:hAnsi="仿宋" w:eastAsia="仿宋" w:cs="仿宋"/>
          <w:color w:val="auto"/>
          <w:spacing w:val="-5"/>
          <w:sz w:val="24"/>
          <w:szCs w:val="24"/>
          <w:highlight w:val="none"/>
        </w:rPr>
        <w:t>≥3</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5"/>
          <w:sz w:val="24"/>
          <w:szCs w:val="24"/>
          <w:highlight w:val="none"/>
        </w:rPr>
        <w:t>种波长类型；</w:t>
      </w:r>
    </w:p>
    <w:p w14:paraId="7639BCCF">
      <w:pPr>
        <w:spacing w:before="288"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5、汽化切割波长：≤525nm；</w:t>
      </w:r>
    </w:p>
    <w:p w14:paraId="0E05361F">
      <w:pPr>
        <w:spacing w:before="28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6、汽化切割波长功率：</w:t>
      </w:r>
      <w:r>
        <w:rPr>
          <w:rFonts w:hint="eastAsia" w:ascii="仿宋" w:hAnsi="仿宋" w:eastAsia="仿宋" w:cs="仿宋"/>
          <w:color w:val="auto"/>
          <w:spacing w:val="-87"/>
          <w:sz w:val="24"/>
          <w:szCs w:val="24"/>
          <w:highlight w:val="none"/>
        </w:rPr>
        <w:t xml:space="preserve"> </w:t>
      </w:r>
      <w:r>
        <w:rPr>
          <w:rFonts w:hint="eastAsia" w:ascii="仿宋" w:hAnsi="仿宋" w:eastAsia="仿宋" w:cs="仿宋"/>
          <w:color w:val="auto"/>
          <w:spacing w:val="-4"/>
          <w:sz w:val="24"/>
          <w:szCs w:val="24"/>
          <w:highlight w:val="none"/>
        </w:rPr>
        <w:t>≥180W；</w:t>
      </w:r>
    </w:p>
    <w:p w14:paraId="6AEB1913">
      <w:pPr>
        <w:spacing w:before="286" w:line="226"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7、止血波长：</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5"/>
          <w:sz w:val="24"/>
          <w:szCs w:val="24"/>
          <w:highlight w:val="none"/>
        </w:rPr>
        <w:t>≥900nm</w:t>
      </w:r>
    </w:p>
    <w:p w14:paraId="3912D401">
      <w:pPr>
        <w:spacing w:before="281"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8、止血波长功率：</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4"/>
          <w:sz w:val="24"/>
          <w:szCs w:val="24"/>
          <w:highlight w:val="none"/>
        </w:rPr>
        <w:t>≥50W；</w:t>
      </w:r>
    </w:p>
    <w:p w14:paraId="321FAB9F">
      <w:pPr>
        <w:spacing w:before="286"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9、瞄准光波长：635nm±10nm;</w:t>
      </w:r>
    </w:p>
    <w:p w14:paraId="7A292C17">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10、终端输出功率可调：具备</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4"/>
          <w:sz w:val="24"/>
          <w:szCs w:val="24"/>
          <w:highlight w:val="none"/>
        </w:rPr>
        <w:t>1W</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调节步进；</w:t>
      </w:r>
    </w:p>
    <w:p w14:paraId="18DEF948">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11、瞄准光功率：</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≤5mW；</w:t>
      </w:r>
    </w:p>
    <w:p w14:paraId="00EC5DC1">
      <w:pPr>
        <w:spacing w:before="286"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12、激光输出功率不稳定性：</w:t>
      </w:r>
      <w:r>
        <w:rPr>
          <w:rFonts w:hint="eastAsia" w:ascii="仿宋" w:hAnsi="仿宋" w:eastAsia="仿宋" w:cs="仿宋"/>
          <w:color w:val="auto"/>
          <w:spacing w:val="-91"/>
          <w:sz w:val="24"/>
          <w:szCs w:val="24"/>
          <w:highlight w:val="none"/>
        </w:rPr>
        <w:t xml:space="preserve"> </w:t>
      </w:r>
      <w:r>
        <w:rPr>
          <w:rFonts w:hint="eastAsia" w:ascii="仿宋" w:hAnsi="仿宋" w:eastAsia="仿宋" w:cs="仿宋"/>
          <w:color w:val="auto"/>
          <w:spacing w:val="-4"/>
          <w:sz w:val="24"/>
          <w:szCs w:val="24"/>
          <w:highlight w:val="none"/>
        </w:rPr>
        <w:t>≤±10%；</w:t>
      </w:r>
    </w:p>
    <w:p w14:paraId="2F18BBC4">
      <w:pPr>
        <w:spacing w:before="290"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13、激光输出功率复现性：</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4"/>
          <w:sz w:val="24"/>
          <w:szCs w:val="24"/>
          <w:highlight w:val="none"/>
        </w:rPr>
        <w:t>≤±10%；</w:t>
      </w:r>
    </w:p>
    <w:p w14:paraId="39D387A9">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14、激光发散角：</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8"/>
          <w:sz w:val="24"/>
          <w:szCs w:val="24"/>
          <w:highlight w:val="none"/>
        </w:rPr>
        <w:t>≤25</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8"/>
          <w:sz w:val="24"/>
          <w:szCs w:val="24"/>
          <w:highlight w:val="none"/>
        </w:rPr>
        <w:t>;</w:t>
      </w:r>
    </w:p>
    <w:p w14:paraId="60B4975D">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15、冷却系统：内循环水冷；</w:t>
      </w:r>
    </w:p>
    <w:p w14:paraId="57F7250B">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16、发射方式：间歇运行；</w:t>
      </w:r>
    </w:p>
    <w:p w14:paraId="42B01AC6">
      <w:pPr>
        <w:spacing w:before="288"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17、噪音：≤60dB；</w:t>
      </w:r>
    </w:p>
    <w:p w14:paraId="5FAF75D4">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18、用户界面：彩色触摸屏界面&gt;10</w:t>
      </w:r>
      <w:r>
        <w:rPr>
          <w:rFonts w:hint="eastAsia" w:ascii="仿宋" w:hAnsi="仿宋" w:eastAsia="仿宋" w:cs="仿宋"/>
          <w:color w:val="auto"/>
          <w:spacing w:val="-22"/>
          <w:sz w:val="24"/>
          <w:szCs w:val="24"/>
          <w:highlight w:val="none"/>
        </w:rPr>
        <w:t xml:space="preserve"> </w:t>
      </w:r>
      <w:r>
        <w:rPr>
          <w:rFonts w:hint="eastAsia" w:ascii="仿宋" w:hAnsi="仿宋" w:eastAsia="仿宋" w:cs="仿宋"/>
          <w:color w:val="auto"/>
          <w:spacing w:val="-4"/>
          <w:sz w:val="24"/>
          <w:szCs w:val="24"/>
          <w:highlight w:val="none"/>
        </w:rPr>
        <w:t>吋；</w:t>
      </w:r>
    </w:p>
    <w:p w14:paraId="6FA2D556">
      <w:pPr>
        <w:spacing w:before="285" w:line="413" w:lineRule="auto"/>
        <w:ind w:left="9" w:firstLine="12"/>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19、触摸屏：具备功能控制、功率调节、工作状态实时显示、工作时间与能量使</w:t>
      </w:r>
      <w:r>
        <w:rPr>
          <w:rFonts w:hint="eastAsia" w:ascii="仿宋" w:hAnsi="仿宋" w:eastAsia="仿宋" w:cs="仿宋"/>
          <w:color w:val="auto"/>
          <w:spacing w:val="-4"/>
          <w:sz w:val="24"/>
          <w:szCs w:val="24"/>
          <w:highlight w:val="none"/>
        </w:rPr>
        <w:t>用记录等。</w:t>
      </w:r>
    </w:p>
    <w:p w14:paraId="246C12D5">
      <w:pPr>
        <w:spacing w:before="91" w:line="411" w:lineRule="auto"/>
        <w:ind w:left="4" w:hanging="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20、界面操作：具备彩色触摸屏、具备功能控制、功率调节、指示光亮度调节、</w:t>
      </w:r>
      <w:r>
        <w:rPr>
          <w:rFonts w:hint="eastAsia" w:ascii="仿宋" w:hAnsi="仿宋" w:eastAsia="仿宋" w:cs="仿宋"/>
          <w:color w:val="auto"/>
          <w:spacing w:val="-1"/>
          <w:sz w:val="24"/>
          <w:szCs w:val="24"/>
          <w:highlight w:val="none"/>
        </w:rPr>
        <w:t>设备状态实时显示、设备工作时有提示；</w:t>
      </w:r>
    </w:p>
    <w:p w14:paraId="61451A41">
      <w:pPr>
        <w:spacing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21、控制方式：脚控控制和触模屏控制两种控制方式；</w:t>
      </w:r>
    </w:p>
    <w:p w14:paraId="3ECE82A1">
      <w:pPr>
        <w:spacing w:before="28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22、脚踏开关：防水级别</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2"/>
          <w:sz w:val="24"/>
          <w:szCs w:val="24"/>
          <w:highlight w:val="none"/>
        </w:rPr>
        <w:t>IPX8，具有防误触装置；</w:t>
      </w:r>
    </w:p>
    <w:p w14:paraId="4D0069AF">
      <w:pPr>
        <w:spacing w:before="289" w:line="22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23、安全装置：具备位置明显的紧急关机</w:t>
      </w:r>
      <w:r>
        <w:rPr>
          <w:rFonts w:hint="eastAsia" w:ascii="仿宋" w:hAnsi="仿宋" w:eastAsia="仿宋" w:cs="仿宋"/>
          <w:color w:val="auto"/>
          <w:spacing w:val="-1"/>
          <w:sz w:val="24"/>
          <w:szCs w:val="24"/>
          <w:highlight w:val="none"/>
        </w:rPr>
        <w:t>键，开关机钥匙及安全联动插锁；</w:t>
      </w:r>
    </w:p>
    <w:p w14:paraId="63AC233A">
      <w:pPr>
        <w:spacing w:before="286"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24、传输方式：760um-1000um</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2"/>
          <w:sz w:val="24"/>
          <w:szCs w:val="24"/>
          <w:highlight w:val="none"/>
        </w:rPr>
        <w:t>光纤传输；</w:t>
      </w:r>
    </w:p>
    <w:p w14:paraId="342C978B">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25、光纤至少具备通水功能；</w:t>
      </w:r>
    </w:p>
    <w:p w14:paraId="592CCCFB">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26、光纤类型：具有直出光和侧出光两种类型；</w:t>
      </w:r>
    </w:p>
    <w:p w14:paraId="6980240E">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27、光纤芯径：</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4"/>
          <w:sz w:val="24"/>
          <w:szCs w:val="24"/>
          <w:highlight w:val="none"/>
        </w:rPr>
        <w:t>≥800um；</w:t>
      </w:r>
    </w:p>
    <w:p w14:paraId="67A56862">
      <w:pPr>
        <w:spacing w:before="285" w:line="413" w:lineRule="auto"/>
        <w:ind w:left="9" w:firstLine="12"/>
        <w:rPr>
          <w:rFonts w:hint="eastAsia" w:ascii="仿宋" w:hAnsi="仿宋" w:eastAsia="仿宋" w:cs="仿宋"/>
          <w:color w:val="auto"/>
          <w:spacing w:val="-4"/>
          <w:sz w:val="24"/>
          <w:szCs w:val="24"/>
          <w:highlight w:val="none"/>
        </w:rPr>
      </w:pPr>
    </w:p>
    <w:p w14:paraId="1DC4736F">
      <w:pPr>
        <w:spacing w:before="91" w:line="223" w:lineRule="auto"/>
        <w:ind w:left="3215"/>
        <w:outlineLvl w:val="0"/>
        <w:rPr>
          <w:rFonts w:hint="eastAsia" w:ascii="仿宋" w:hAnsi="仿宋" w:eastAsia="仿宋" w:cs="仿宋"/>
          <w:color w:val="auto"/>
          <w:sz w:val="24"/>
          <w:szCs w:val="24"/>
          <w:highlight w:val="none"/>
        </w:rPr>
      </w:pPr>
      <w:bookmarkStart w:id="631" w:name="_Toc24120"/>
      <w:bookmarkStart w:id="632" w:name="_Toc9148"/>
      <w:bookmarkStart w:id="633" w:name="_Toc11899"/>
      <w:r>
        <w:rPr>
          <w:rFonts w:hint="eastAsia" w:ascii="仿宋" w:hAnsi="仿宋" w:eastAsia="仿宋" w:cs="仿宋"/>
          <w:b/>
          <w:bCs/>
          <w:color w:val="auto"/>
          <w:spacing w:val="-3"/>
          <w:sz w:val="24"/>
          <w:szCs w:val="24"/>
          <w:highlight w:val="none"/>
          <w:lang w:val="en-US" w:eastAsia="zh-CN"/>
        </w:rPr>
        <w:t>3.</w:t>
      </w:r>
      <w:r>
        <w:rPr>
          <w:rFonts w:hint="eastAsia" w:ascii="仿宋" w:hAnsi="仿宋" w:eastAsia="仿宋" w:cs="仿宋"/>
          <w:b/>
          <w:bCs/>
          <w:color w:val="auto"/>
          <w:spacing w:val="-3"/>
          <w:sz w:val="24"/>
          <w:szCs w:val="24"/>
          <w:highlight w:val="none"/>
        </w:rPr>
        <w:t>全自动手术床招标参数</w:t>
      </w:r>
      <w:bookmarkEnd w:id="631"/>
      <w:bookmarkEnd w:id="632"/>
      <w:bookmarkEnd w:id="633"/>
    </w:p>
    <w:p w14:paraId="26E6CAE3">
      <w:pPr>
        <w:pStyle w:val="11"/>
        <w:spacing w:line="314" w:lineRule="auto"/>
        <w:rPr>
          <w:rFonts w:hint="eastAsia" w:ascii="仿宋" w:hAnsi="仿宋" w:eastAsia="仿宋" w:cs="仿宋"/>
          <w:color w:val="auto"/>
          <w:sz w:val="24"/>
          <w:szCs w:val="24"/>
          <w:highlight w:val="none"/>
        </w:rPr>
      </w:pPr>
    </w:p>
    <w:p w14:paraId="26167D44">
      <w:pPr>
        <w:spacing w:before="91" w:line="41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1.手术床采用电动液压动力系统，可电动调节实现台面升降、头脚</w:t>
      </w:r>
      <w:r>
        <w:rPr>
          <w:rFonts w:hint="eastAsia" w:ascii="仿宋" w:hAnsi="仿宋" w:eastAsia="仿宋" w:cs="仿宋"/>
          <w:color w:val="auto"/>
          <w:spacing w:val="-3"/>
          <w:sz w:val="24"/>
          <w:szCs w:val="24"/>
          <w:highlight w:val="none"/>
        </w:rPr>
        <w:t>倾、左右倾、背板上下折、解锁锁定，平移。</w:t>
      </w:r>
    </w:p>
    <w:p w14:paraId="576E136F">
      <w:pPr>
        <w:spacing w:before="1" w:line="220"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2.手术床具备两套功能一致的独立操作系统。</w:t>
      </w:r>
    </w:p>
    <w:p w14:paraId="00EE1D3B">
      <w:pPr>
        <w:spacing w:before="289"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3.手术床配置无线遥控器，通过蓝牙连接。</w:t>
      </w:r>
    </w:p>
    <w:p w14:paraId="19193F00">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4.手术床立柱护罩顶端采用硬顶式设计。</w:t>
      </w:r>
    </w:p>
    <w:p w14:paraId="3DD43445">
      <w:pPr>
        <w:spacing w:before="288" w:line="411" w:lineRule="auto"/>
        <w:ind w:left="13" w:right="93" w:hanging="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5.手术床床垫采用多层复合技术，由质地柔软的记</w:t>
      </w:r>
      <w:r>
        <w:rPr>
          <w:rFonts w:hint="eastAsia" w:ascii="仿宋" w:hAnsi="仿宋" w:eastAsia="仿宋" w:cs="仿宋"/>
          <w:color w:val="auto"/>
          <w:spacing w:val="-5"/>
          <w:sz w:val="24"/>
          <w:szCs w:val="24"/>
          <w:highlight w:val="none"/>
        </w:rPr>
        <w:t>忆海绵材料制成，手术床床垫</w:t>
      </w:r>
      <w:r>
        <w:rPr>
          <w:rFonts w:hint="eastAsia" w:ascii="仿宋" w:hAnsi="仿宋" w:eastAsia="仿宋" w:cs="仿宋"/>
          <w:color w:val="auto"/>
          <w:spacing w:val="-3"/>
          <w:sz w:val="24"/>
          <w:szCs w:val="24"/>
          <w:highlight w:val="none"/>
        </w:rPr>
        <w:t>厚度≥80mm。</w:t>
      </w:r>
    </w:p>
    <w:p w14:paraId="37579E0C">
      <w:pPr>
        <w:spacing w:before="1"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6.手术床腿板采用一键快插式连接结构，采用气弹簧腿板设计。</w:t>
      </w:r>
    </w:p>
    <w:p w14:paraId="491AFA78">
      <w:pPr>
        <w:spacing w:before="285"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7.底座在手术床腿端有</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3"/>
          <w:sz w:val="24"/>
          <w:szCs w:val="24"/>
          <w:highlight w:val="none"/>
        </w:rPr>
        <w:t>U</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3"/>
          <w:sz w:val="24"/>
          <w:szCs w:val="24"/>
          <w:highlight w:val="none"/>
        </w:rPr>
        <w:t>型凹槽设计。</w:t>
      </w:r>
    </w:p>
    <w:p w14:paraId="3E1E2932">
      <w:pPr>
        <w:spacing w:before="290"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8.手术床采用四个万向脚轮结构。</w:t>
      </w:r>
    </w:p>
    <w:p w14:paraId="6DA95F7A">
      <w:pPr>
        <w:spacing w:before="291"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9.手术床具有四个独立的电动支脚刹车。</w:t>
      </w:r>
    </w:p>
    <w:p w14:paraId="2099454B">
      <w:pPr>
        <w:spacing w:before="290"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10.手术床开关、等电位柱及电源接口均有防</w:t>
      </w:r>
      <w:r>
        <w:rPr>
          <w:rFonts w:hint="eastAsia" w:ascii="仿宋" w:hAnsi="仿宋" w:eastAsia="仿宋" w:cs="仿宋"/>
          <w:color w:val="auto"/>
          <w:spacing w:val="-2"/>
          <w:sz w:val="24"/>
          <w:szCs w:val="24"/>
          <w:highlight w:val="none"/>
        </w:rPr>
        <w:t>水盖设计。</w:t>
      </w:r>
    </w:p>
    <w:p w14:paraId="6FD30804">
      <w:pPr>
        <w:spacing w:before="288"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11.手术床可一键预设体位：正、反屈曲位，同时具备一键</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2"/>
          <w:sz w:val="24"/>
          <w:szCs w:val="24"/>
          <w:highlight w:val="none"/>
        </w:rPr>
        <w:t>0</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2"/>
          <w:sz w:val="24"/>
          <w:szCs w:val="24"/>
          <w:highlight w:val="none"/>
        </w:rPr>
        <w:t>位功能。</w:t>
      </w:r>
    </w:p>
    <w:p w14:paraId="7F672915">
      <w:pPr>
        <w:spacing w:before="286"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12.手术床配有高性能充电电池，可满足≥10</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次手术需要。</w:t>
      </w:r>
    </w:p>
    <w:p w14:paraId="7412101E">
      <w:pPr>
        <w:spacing w:before="289" w:line="216"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13.手术床承载重量：</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≥400kg。</w:t>
      </w:r>
    </w:p>
    <w:p w14:paraId="0BDB2552">
      <w:pPr>
        <w:spacing w:before="29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14.技术参数：</w:t>
      </w:r>
    </w:p>
    <w:p w14:paraId="6C98AF76">
      <w:pPr>
        <w:spacing w:before="286" w:line="223"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（1）手术床宽度：52cm，长度</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1"/>
          <w:sz w:val="24"/>
          <w:szCs w:val="24"/>
          <w:highlight w:val="none"/>
        </w:rPr>
        <w:t>2080mm,允差±20mm；</w:t>
      </w:r>
    </w:p>
    <w:p w14:paraId="3C605A2A">
      <w:pPr>
        <w:spacing w:before="285" w:line="223"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（2）纵向最大倾斜角度（头倾</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≥30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4"/>
          <w:sz w:val="24"/>
          <w:szCs w:val="24"/>
          <w:highlight w:val="none"/>
        </w:rPr>
        <w:t>°</w:t>
      </w:r>
    </w:p>
    <w:p w14:paraId="1E8F6739">
      <w:pPr>
        <w:spacing w:before="286" w:line="221"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（3）纵向最大倾斜角度（脚倾</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4"/>
          <w:sz w:val="24"/>
          <w:szCs w:val="24"/>
          <w:highlight w:val="none"/>
        </w:rPr>
        <w:t>≥20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4"/>
          <w:sz w:val="24"/>
          <w:szCs w:val="24"/>
          <w:highlight w:val="none"/>
        </w:rPr>
        <w:t>°</w:t>
      </w:r>
    </w:p>
    <w:p w14:paraId="37F0A2AE">
      <w:pPr>
        <w:spacing w:before="289" w:line="223" w:lineRule="auto"/>
        <w:ind w:left="28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（4）侧向最大倾斜角度（左倾/右倾</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3"/>
          <w:sz w:val="24"/>
          <w:szCs w:val="24"/>
          <w:highlight w:val="none"/>
        </w:rPr>
        <w:t>≥20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3"/>
          <w:sz w:val="24"/>
          <w:szCs w:val="24"/>
          <w:highlight w:val="none"/>
        </w:rPr>
        <w:t>°</w:t>
      </w:r>
    </w:p>
    <w:p w14:paraId="21077A7E">
      <w:pPr>
        <w:spacing w:before="91"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（5）头板最大倾斜角度：上折≥60</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82"/>
          <w:sz w:val="24"/>
          <w:szCs w:val="24"/>
          <w:highlight w:val="none"/>
        </w:rPr>
        <w:t xml:space="preserve"> </w:t>
      </w:r>
      <w:r>
        <w:rPr>
          <w:rFonts w:hint="eastAsia" w:ascii="仿宋" w:hAnsi="仿宋" w:eastAsia="仿宋" w:cs="仿宋"/>
          <w:color w:val="auto"/>
          <w:spacing w:val="-7"/>
          <w:sz w:val="24"/>
          <w:szCs w:val="24"/>
          <w:highlight w:val="none"/>
        </w:rPr>
        <w:t>下折≥90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24177D51">
      <w:pPr>
        <w:spacing w:before="287"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（6）背板最大倾斜角度：上折≥80</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82"/>
          <w:sz w:val="24"/>
          <w:szCs w:val="24"/>
          <w:highlight w:val="none"/>
        </w:rPr>
        <w:t xml:space="preserve"> </w:t>
      </w:r>
      <w:r>
        <w:rPr>
          <w:rFonts w:hint="eastAsia" w:ascii="仿宋" w:hAnsi="仿宋" w:eastAsia="仿宋" w:cs="仿宋"/>
          <w:color w:val="auto"/>
          <w:spacing w:val="-7"/>
          <w:sz w:val="24"/>
          <w:szCs w:val="24"/>
          <w:highlight w:val="none"/>
        </w:rPr>
        <w:t>下折≥10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2C1B9DBF">
      <w:pPr>
        <w:spacing w:before="287"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（7）腿板最大倾斜角度：上折≥30</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82"/>
          <w:sz w:val="24"/>
          <w:szCs w:val="24"/>
          <w:highlight w:val="none"/>
        </w:rPr>
        <w:t xml:space="preserve"> </w:t>
      </w:r>
      <w:r>
        <w:rPr>
          <w:rFonts w:hint="eastAsia" w:ascii="仿宋" w:hAnsi="仿宋" w:eastAsia="仿宋" w:cs="仿宋"/>
          <w:color w:val="auto"/>
          <w:spacing w:val="-7"/>
          <w:sz w:val="24"/>
          <w:szCs w:val="24"/>
          <w:highlight w:val="none"/>
        </w:rPr>
        <w:t>下折≥90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66AEA4A0">
      <w:pPr>
        <w:spacing w:before="287"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（8）手术床最低台面：≤100mm</w:t>
      </w:r>
    </w:p>
    <w:p w14:paraId="2623DD27">
      <w:pPr>
        <w:spacing w:before="287"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（9）手术床最高台面：</w:t>
      </w:r>
      <w:r>
        <w:rPr>
          <w:rFonts w:hint="eastAsia" w:ascii="仿宋" w:hAnsi="仿宋" w:eastAsia="仿宋" w:cs="仿宋"/>
          <w:color w:val="auto"/>
          <w:spacing w:val="-86"/>
          <w:sz w:val="24"/>
          <w:szCs w:val="24"/>
          <w:highlight w:val="none"/>
        </w:rPr>
        <w:t xml:space="preserve"> </w:t>
      </w:r>
      <w:r>
        <w:rPr>
          <w:rFonts w:hint="eastAsia" w:ascii="仿宋" w:hAnsi="仿宋" w:eastAsia="仿宋" w:cs="仿宋"/>
          <w:color w:val="auto"/>
          <w:spacing w:val="-4"/>
          <w:sz w:val="24"/>
          <w:szCs w:val="24"/>
          <w:highlight w:val="none"/>
        </w:rPr>
        <w:t>≥1000mm</w:t>
      </w:r>
    </w:p>
    <w:p w14:paraId="6B3D93C4">
      <w:pPr>
        <w:spacing w:before="287" w:line="222" w:lineRule="auto"/>
        <w:ind w:left="27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（10）台面平移距离：</w:t>
      </w:r>
      <w:r>
        <w:rPr>
          <w:rFonts w:hint="eastAsia" w:ascii="仿宋" w:hAnsi="仿宋" w:eastAsia="仿宋" w:cs="仿宋"/>
          <w:color w:val="auto"/>
          <w:spacing w:val="-90"/>
          <w:sz w:val="24"/>
          <w:szCs w:val="24"/>
          <w:highlight w:val="none"/>
        </w:rPr>
        <w:t xml:space="preserve"> </w:t>
      </w:r>
      <w:r>
        <w:rPr>
          <w:rFonts w:hint="eastAsia" w:ascii="仿宋" w:hAnsi="仿宋" w:eastAsia="仿宋" w:cs="仿宋"/>
          <w:color w:val="auto"/>
          <w:spacing w:val="-4"/>
          <w:sz w:val="24"/>
          <w:szCs w:val="24"/>
          <w:highlight w:val="none"/>
        </w:rPr>
        <w:t>≥320mm</w:t>
      </w:r>
    </w:p>
    <w:p w14:paraId="5559FF40">
      <w:pPr>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16.手术床配置要求：</w:t>
      </w:r>
    </w:p>
    <w:p w14:paraId="381DA847">
      <w:pPr>
        <w:spacing w:before="285" w:line="412" w:lineRule="auto"/>
        <w:ind w:firstLine="30"/>
        <w:jc w:val="both"/>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电动手术床配记忆海绵床垫一套，头板一个</w:t>
      </w:r>
      <w:r>
        <w:rPr>
          <w:rFonts w:hint="eastAsia" w:ascii="仿宋" w:hAnsi="仿宋" w:eastAsia="仿宋" w:cs="仿宋"/>
          <w:color w:val="auto"/>
          <w:spacing w:val="-6"/>
          <w:sz w:val="24"/>
          <w:szCs w:val="24"/>
          <w:highlight w:val="none"/>
        </w:rPr>
        <w:t>，主机（包含背板，坐板）一套，分</w:t>
      </w:r>
      <w:r>
        <w:rPr>
          <w:rFonts w:hint="eastAsia" w:ascii="仿宋" w:hAnsi="仿宋" w:eastAsia="仿宋" w:cs="仿宋"/>
          <w:color w:val="auto"/>
          <w:spacing w:val="-4"/>
          <w:sz w:val="24"/>
          <w:szCs w:val="24"/>
          <w:highlight w:val="none"/>
        </w:rPr>
        <w:t>体式腿板一对，备用面板一个，无线遥控器一个，托手架一对（含夹持</w:t>
      </w:r>
      <w:r>
        <w:rPr>
          <w:rFonts w:hint="eastAsia" w:ascii="仿宋" w:hAnsi="仿宋" w:eastAsia="仿宋" w:cs="仿宋"/>
          <w:color w:val="auto"/>
          <w:spacing w:val="-5"/>
          <w:sz w:val="24"/>
          <w:szCs w:val="24"/>
          <w:highlight w:val="none"/>
        </w:rPr>
        <w:t>器</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5"/>
          <w:sz w:val="24"/>
          <w:szCs w:val="24"/>
          <w:highlight w:val="none"/>
        </w:rPr>
        <w:t>麻</w:t>
      </w:r>
      <w:r>
        <w:rPr>
          <w:rFonts w:hint="eastAsia" w:ascii="仿宋" w:hAnsi="仿宋" w:eastAsia="仿宋" w:cs="仿宋"/>
          <w:color w:val="auto"/>
          <w:spacing w:val="-4"/>
          <w:sz w:val="24"/>
          <w:szCs w:val="24"/>
          <w:highlight w:val="none"/>
        </w:rPr>
        <w:t>醉屏架一个（含夹持器</w:t>
      </w:r>
      <w:r>
        <w:rPr>
          <w:rFonts w:hint="eastAsia" w:ascii="仿宋" w:hAnsi="仿宋" w:eastAsia="仿宋" w:cs="仿宋"/>
          <w:color w:val="auto"/>
          <w:spacing w:val="-40"/>
          <w:sz w:val="24"/>
          <w:szCs w:val="24"/>
          <w:highlight w:val="none"/>
        </w:rPr>
        <w:t>），</w:t>
      </w:r>
      <w:r>
        <w:rPr>
          <w:rFonts w:hint="eastAsia" w:ascii="仿宋" w:hAnsi="仿宋" w:eastAsia="仿宋" w:cs="仿宋"/>
          <w:color w:val="auto"/>
          <w:spacing w:val="-4"/>
          <w:sz w:val="24"/>
          <w:szCs w:val="24"/>
          <w:highlight w:val="none"/>
        </w:rPr>
        <w:t>托腿架一对（含夹持器</w:t>
      </w:r>
      <w:r>
        <w:rPr>
          <w:rFonts w:hint="eastAsia" w:ascii="仿宋" w:hAnsi="仿宋" w:eastAsia="仿宋" w:cs="仿宋"/>
          <w:color w:val="auto"/>
          <w:spacing w:val="-40"/>
          <w:sz w:val="24"/>
          <w:szCs w:val="24"/>
          <w:highlight w:val="none"/>
        </w:rPr>
        <w:t>），</w:t>
      </w:r>
      <w:r>
        <w:rPr>
          <w:rFonts w:hint="eastAsia" w:ascii="仿宋" w:hAnsi="仿宋" w:eastAsia="仿宋" w:cs="仿宋"/>
          <w:color w:val="auto"/>
          <w:spacing w:val="-4"/>
          <w:sz w:val="24"/>
          <w:szCs w:val="24"/>
          <w:highlight w:val="none"/>
        </w:rPr>
        <w:t>支身架一对（含夹持器</w:t>
      </w:r>
      <w:r>
        <w:rPr>
          <w:rFonts w:hint="eastAsia" w:ascii="仿宋" w:hAnsi="仿宋" w:eastAsia="仿宋" w:cs="仿宋"/>
          <w:color w:val="auto"/>
          <w:spacing w:val="-40"/>
          <w:sz w:val="24"/>
          <w:szCs w:val="24"/>
          <w:highlight w:val="none"/>
        </w:rPr>
        <w:t>），</w:t>
      </w:r>
      <w:r>
        <w:rPr>
          <w:rFonts w:hint="eastAsia" w:ascii="仿宋" w:hAnsi="仿宋" w:eastAsia="仿宋" w:cs="仿宋"/>
          <w:color w:val="auto"/>
          <w:spacing w:val="-2"/>
          <w:sz w:val="24"/>
          <w:szCs w:val="24"/>
          <w:highlight w:val="none"/>
        </w:rPr>
        <w:t>侧卧手架一个（含夹持器）。</w:t>
      </w:r>
    </w:p>
    <w:p w14:paraId="1F74C660">
      <w:pPr>
        <w:spacing w:line="413" w:lineRule="auto"/>
        <w:rPr>
          <w:rFonts w:hint="eastAsia" w:ascii="仿宋" w:hAnsi="仿宋" w:eastAsia="仿宋" w:cs="仿宋"/>
          <w:color w:val="auto"/>
          <w:sz w:val="24"/>
          <w:szCs w:val="24"/>
          <w:highlight w:val="none"/>
        </w:rPr>
      </w:pPr>
    </w:p>
    <w:p w14:paraId="0D5F79CE">
      <w:pPr>
        <w:spacing w:before="91" w:line="222" w:lineRule="auto"/>
        <w:ind w:left="3142"/>
        <w:outlineLvl w:val="0"/>
        <w:rPr>
          <w:rFonts w:hint="eastAsia" w:ascii="仿宋" w:hAnsi="仿宋" w:eastAsia="仿宋" w:cs="仿宋"/>
          <w:color w:val="auto"/>
          <w:sz w:val="24"/>
          <w:szCs w:val="24"/>
          <w:highlight w:val="none"/>
        </w:rPr>
      </w:pPr>
      <w:bookmarkStart w:id="634" w:name="_Toc32567"/>
      <w:bookmarkStart w:id="635" w:name="_Toc15271"/>
      <w:bookmarkStart w:id="636" w:name="_Toc10879"/>
      <w:r>
        <w:rPr>
          <w:rFonts w:hint="eastAsia" w:ascii="仿宋" w:hAnsi="仿宋" w:eastAsia="仿宋" w:cs="仿宋"/>
          <w:b/>
          <w:bCs/>
          <w:color w:val="auto"/>
          <w:spacing w:val="-4"/>
          <w:sz w:val="24"/>
          <w:szCs w:val="24"/>
          <w:highlight w:val="none"/>
          <w:lang w:val="en-US" w:eastAsia="zh-CN"/>
        </w:rPr>
        <w:t>4.</w:t>
      </w:r>
      <w:r>
        <w:rPr>
          <w:rFonts w:hint="eastAsia" w:ascii="仿宋" w:hAnsi="仿宋" w:eastAsia="仿宋" w:cs="仿宋"/>
          <w:b/>
          <w:bCs/>
          <w:color w:val="auto"/>
          <w:spacing w:val="-4"/>
          <w:sz w:val="24"/>
          <w:szCs w:val="24"/>
          <w:highlight w:val="none"/>
        </w:rPr>
        <w:t>多功能经皮肾镜技术参数</w:t>
      </w:r>
      <w:bookmarkEnd w:id="634"/>
      <w:bookmarkEnd w:id="635"/>
      <w:bookmarkEnd w:id="636"/>
    </w:p>
    <w:p w14:paraId="42F97DB9">
      <w:pPr>
        <w:pStyle w:val="11"/>
        <w:spacing w:line="313" w:lineRule="auto"/>
        <w:rPr>
          <w:rFonts w:hint="eastAsia" w:ascii="仿宋" w:hAnsi="仿宋" w:eastAsia="仿宋" w:cs="仿宋"/>
          <w:color w:val="auto"/>
          <w:sz w:val="24"/>
          <w:szCs w:val="24"/>
          <w:highlight w:val="none"/>
        </w:rPr>
      </w:pPr>
    </w:p>
    <w:p w14:paraId="76C41BBE">
      <w:pPr>
        <w:spacing w:before="91"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1、内窥镜视向角：6</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0"/>
          <w:sz w:val="24"/>
          <w:szCs w:val="24"/>
          <w:highlight w:val="none"/>
        </w:rPr>
        <w:t>°</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10"/>
          <w:sz w:val="24"/>
          <w:szCs w:val="24"/>
          <w:highlight w:val="none"/>
        </w:rPr>
        <w:t>±1</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0"/>
          <w:sz w:val="24"/>
          <w:szCs w:val="24"/>
          <w:highlight w:val="none"/>
        </w:rPr>
        <w:t>°。</w:t>
      </w:r>
    </w:p>
    <w:p w14:paraId="4614D770">
      <w:pPr>
        <w:spacing w:before="285"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2、内窥镜工作长度：</w:t>
      </w:r>
      <w:r>
        <w:rPr>
          <w:rFonts w:hint="eastAsia" w:ascii="仿宋" w:hAnsi="仿宋" w:eastAsia="仿宋" w:cs="仿宋"/>
          <w:color w:val="auto"/>
          <w:spacing w:val="-87"/>
          <w:sz w:val="24"/>
          <w:szCs w:val="24"/>
          <w:highlight w:val="none"/>
        </w:rPr>
        <w:t xml:space="preserve"> </w:t>
      </w:r>
      <w:r>
        <w:rPr>
          <w:rFonts w:hint="eastAsia" w:ascii="仿宋" w:hAnsi="仿宋" w:eastAsia="仿宋" w:cs="仿宋"/>
          <w:color w:val="auto"/>
          <w:spacing w:val="-4"/>
          <w:sz w:val="24"/>
          <w:szCs w:val="24"/>
          <w:highlight w:val="none"/>
        </w:rPr>
        <w:t>≥285mm。</w:t>
      </w:r>
    </w:p>
    <w:p w14:paraId="6EB68C79">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3、超微通道镜鞘：≤8Fr</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7"/>
          <w:sz w:val="24"/>
          <w:szCs w:val="24"/>
          <w:highlight w:val="none"/>
        </w:rPr>
        <w:t>外径，</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w:t>
      </w:r>
      <w:r>
        <w:rPr>
          <w:rFonts w:hint="eastAsia" w:ascii="仿宋" w:hAnsi="仿宋" w:eastAsia="仿宋" w:cs="仿宋"/>
          <w:color w:val="auto"/>
          <w:spacing w:val="-73"/>
          <w:sz w:val="24"/>
          <w:szCs w:val="24"/>
          <w:highlight w:val="none"/>
        </w:rPr>
        <w:t xml:space="preserve"> </w:t>
      </w:r>
      <w:r>
        <w:rPr>
          <w:rFonts w:hint="eastAsia" w:ascii="仿宋" w:hAnsi="仿宋" w:eastAsia="仿宋" w:cs="仿宋"/>
          <w:color w:val="auto"/>
          <w:spacing w:val="-7"/>
          <w:sz w:val="24"/>
          <w:szCs w:val="24"/>
          <w:highlight w:val="none"/>
        </w:rPr>
        <w:t>φ</w:t>
      </w:r>
      <w:r>
        <w:rPr>
          <w:rFonts w:hint="eastAsia" w:ascii="仿宋" w:hAnsi="仿宋" w:eastAsia="仿宋" w:cs="仿宋"/>
          <w:color w:val="auto"/>
          <w:spacing w:val="-112"/>
          <w:sz w:val="24"/>
          <w:szCs w:val="24"/>
          <w:highlight w:val="none"/>
        </w:rPr>
        <w:t xml:space="preserve"> </w:t>
      </w:r>
      <w:r>
        <w:rPr>
          <w:rFonts w:hint="eastAsia" w:ascii="仿宋" w:hAnsi="仿宋" w:eastAsia="仿宋" w:cs="仿宋"/>
          <w:color w:val="auto"/>
          <w:spacing w:val="-7"/>
          <w:sz w:val="24"/>
          <w:szCs w:val="24"/>
          <w:highlight w:val="none"/>
        </w:rPr>
        <w:t>1.1mm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7"/>
          <w:sz w:val="24"/>
          <w:szCs w:val="24"/>
          <w:highlight w:val="none"/>
        </w:rPr>
        <w:t>器械通道。</w:t>
      </w:r>
    </w:p>
    <w:p w14:paraId="2C5B4091">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4、微通道镜鞘：</w:t>
      </w:r>
      <w:r>
        <w:rPr>
          <w:rFonts w:hint="eastAsia" w:ascii="仿宋" w:hAnsi="仿宋" w:eastAsia="仿宋" w:cs="仿宋"/>
          <w:color w:val="auto"/>
          <w:spacing w:val="-88"/>
          <w:sz w:val="24"/>
          <w:szCs w:val="24"/>
          <w:highlight w:val="none"/>
        </w:rPr>
        <w:t xml:space="preserve"> </w:t>
      </w:r>
      <w:r>
        <w:rPr>
          <w:rFonts w:hint="eastAsia" w:ascii="仿宋" w:hAnsi="仿宋" w:eastAsia="仿宋" w:cs="仿宋"/>
          <w:color w:val="auto"/>
          <w:spacing w:val="-5"/>
          <w:sz w:val="24"/>
          <w:szCs w:val="24"/>
          <w:highlight w:val="none"/>
        </w:rPr>
        <w:t>≥12Fr</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5"/>
          <w:sz w:val="24"/>
          <w:szCs w:val="24"/>
          <w:highlight w:val="none"/>
        </w:rPr>
        <w:t>外径，</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≥φ2.0mm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器械通道。</w:t>
      </w:r>
    </w:p>
    <w:p w14:paraId="1256D76A">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5、超声通道镜鞘：</w:t>
      </w:r>
      <w:r>
        <w:rPr>
          <w:rFonts w:hint="eastAsia" w:ascii="仿宋" w:hAnsi="仿宋" w:eastAsia="仿宋" w:cs="仿宋"/>
          <w:color w:val="auto"/>
          <w:spacing w:val="-86"/>
          <w:sz w:val="24"/>
          <w:szCs w:val="24"/>
          <w:highlight w:val="none"/>
        </w:rPr>
        <w:t xml:space="preserve"> </w:t>
      </w:r>
      <w:r>
        <w:rPr>
          <w:rFonts w:hint="eastAsia" w:ascii="仿宋" w:hAnsi="仿宋" w:eastAsia="仿宋" w:cs="仿宋"/>
          <w:color w:val="auto"/>
          <w:spacing w:val="-5"/>
          <w:sz w:val="24"/>
          <w:szCs w:val="24"/>
          <w:highlight w:val="none"/>
        </w:rPr>
        <w:t>≥17Fr</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5"/>
          <w:sz w:val="24"/>
          <w:szCs w:val="24"/>
          <w:highlight w:val="none"/>
        </w:rPr>
        <w:t>外径，</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≥φ3.8mm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器械通道。</w:t>
      </w:r>
    </w:p>
    <w:p w14:paraId="2029B1FF">
      <w:pPr>
        <w:spacing w:before="287"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6、操作护套（短</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1"/>
          <w:sz w:val="24"/>
          <w:szCs w:val="24"/>
          <w:highlight w:val="none"/>
        </w:rPr>
        <w:t>用于8</w:t>
      </w:r>
      <w:r>
        <w:rPr>
          <w:rFonts w:hint="eastAsia" w:ascii="仿宋" w:hAnsi="仿宋" w:eastAsia="仿宋" w:cs="仿宋"/>
          <w:color w:val="auto"/>
          <w:sz w:val="24"/>
          <w:szCs w:val="24"/>
          <w:highlight w:val="none"/>
        </w:rPr>
        <w:t>Fr</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镜鞘光纤导引及固</w:t>
      </w:r>
      <w:r>
        <w:rPr>
          <w:rFonts w:hint="eastAsia" w:ascii="仿宋" w:hAnsi="仿宋" w:eastAsia="仿宋" w:cs="仿宋"/>
          <w:color w:val="auto"/>
          <w:sz w:val="24"/>
          <w:szCs w:val="24"/>
          <w:highlight w:val="none"/>
        </w:rPr>
        <w:t>定。</w:t>
      </w:r>
    </w:p>
    <w:p w14:paraId="60B76DE6">
      <w:pPr>
        <w:spacing w:before="289"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7、操作护套（长</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5"/>
          <w:sz w:val="24"/>
          <w:szCs w:val="24"/>
          <w:highlight w:val="none"/>
        </w:rPr>
        <w:t>用于</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5"/>
          <w:sz w:val="24"/>
          <w:szCs w:val="24"/>
          <w:highlight w:val="none"/>
        </w:rPr>
        <w:t>12Fr</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及</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5"/>
          <w:sz w:val="24"/>
          <w:szCs w:val="24"/>
          <w:highlight w:val="none"/>
        </w:rPr>
        <w:t>17Fr</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镜鞘光纤导引及固定。</w:t>
      </w:r>
    </w:p>
    <w:p w14:paraId="52666256">
      <w:pPr>
        <w:spacing w:before="289"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8、皮肤组织钻孔器：14Fr</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4"/>
          <w:sz w:val="24"/>
          <w:szCs w:val="24"/>
          <w:highlight w:val="none"/>
        </w:rPr>
        <w:t>鞘，以及</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4"/>
          <w:sz w:val="24"/>
          <w:szCs w:val="24"/>
          <w:highlight w:val="none"/>
        </w:rPr>
        <w:t>18Fr</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4"/>
          <w:sz w:val="24"/>
          <w:szCs w:val="24"/>
          <w:highlight w:val="none"/>
        </w:rPr>
        <w:t>鞘。</w:t>
      </w:r>
    </w:p>
    <w:p w14:paraId="4D79CAC0">
      <w:pPr>
        <w:spacing w:before="28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9、复合式密封阀：具备单向密封及通用密封两种功能。</w:t>
      </w:r>
    </w:p>
    <w:p w14:paraId="5F4E63CB">
      <w:pPr>
        <w:spacing w:before="290"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10、实现一镜三用，即一条镜子可分别与三条不同规格镜鞘组合成用于超微通道的超细肾镜，用于微通道肾镜，用于超声碎石的标准肾镜。</w:t>
      </w:r>
    </w:p>
    <w:p w14:paraId="2EFC48C9">
      <w:pPr>
        <w:spacing w:line="222" w:lineRule="auto"/>
        <w:ind w:left="3302"/>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多功能经皮肾镜配置要求</w:t>
      </w:r>
    </w:p>
    <w:p w14:paraId="42651CF4">
      <w:pPr>
        <w:spacing w:line="130" w:lineRule="exact"/>
        <w:rPr>
          <w:rFonts w:hint="eastAsia" w:ascii="仿宋" w:hAnsi="仿宋" w:eastAsia="仿宋" w:cs="仿宋"/>
          <w:color w:val="auto"/>
          <w:sz w:val="24"/>
          <w:szCs w:val="24"/>
          <w:highlight w:val="none"/>
        </w:rPr>
      </w:pPr>
    </w:p>
    <w:tbl>
      <w:tblPr>
        <w:tblStyle w:val="189"/>
        <w:tblW w:w="493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79"/>
        <w:gridCol w:w="5423"/>
        <w:gridCol w:w="2127"/>
      </w:tblGrid>
      <w:tr w14:paraId="1CB82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38" w:type="pct"/>
            <w:vAlign w:val="top"/>
          </w:tcPr>
          <w:p w14:paraId="254B2E3D">
            <w:pPr>
              <w:pStyle w:val="188"/>
              <w:spacing w:before="200" w:line="223" w:lineRule="auto"/>
              <w:ind w:left="38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序号</w:t>
            </w:r>
          </w:p>
        </w:tc>
        <w:tc>
          <w:tcPr>
            <w:tcW w:w="2845" w:type="pct"/>
            <w:vAlign w:val="top"/>
          </w:tcPr>
          <w:p w14:paraId="246AA4DD">
            <w:pPr>
              <w:pStyle w:val="188"/>
              <w:spacing w:before="200" w:line="225" w:lineRule="auto"/>
              <w:ind w:left="152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品名</w:t>
            </w:r>
          </w:p>
        </w:tc>
        <w:tc>
          <w:tcPr>
            <w:tcW w:w="1116" w:type="pct"/>
            <w:vAlign w:val="top"/>
          </w:tcPr>
          <w:p w14:paraId="502DFE67">
            <w:pPr>
              <w:pStyle w:val="188"/>
              <w:spacing w:before="199" w:line="224" w:lineRule="auto"/>
              <w:ind w:left="506"/>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数量</w:t>
            </w:r>
          </w:p>
        </w:tc>
      </w:tr>
      <w:tr w14:paraId="03134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038" w:type="pct"/>
            <w:vAlign w:val="top"/>
          </w:tcPr>
          <w:p w14:paraId="2C03479B">
            <w:pPr>
              <w:pStyle w:val="188"/>
              <w:spacing w:before="194" w:line="369" w:lineRule="exact"/>
              <w:ind w:left="603"/>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w:t>
            </w:r>
          </w:p>
        </w:tc>
        <w:tc>
          <w:tcPr>
            <w:tcW w:w="2845" w:type="pct"/>
            <w:vAlign w:val="top"/>
          </w:tcPr>
          <w:p w14:paraId="20B4ADAE">
            <w:pPr>
              <w:pStyle w:val="188"/>
              <w:spacing w:before="194" w:line="224" w:lineRule="auto"/>
              <w:ind w:left="1080"/>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输尿管肾镜</w:t>
            </w:r>
          </w:p>
        </w:tc>
        <w:tc>
          <w:tcPr>
            <w:tcW w:w="1116" w:type="pct"/>
            <w:vAlign w:val="top"/>
          </w:tcPr>
          <w:p w14:paraId="1ACC4D58">
            <w:pPr>
              <w:pStyle w:val="188"/>
              <w:spacing w:before="195"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556EC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038" w:type="pct"/>
            <w:vAlign w:val="top"/>
          </w:tcPr>
          <w:p w14:paraId="0DB442E1">
            <w:pPr>
              <w:pStyle w:val="188"/>
              <w:spacing w:before="196" w:line="369" w:lineRule="exact"/>
              <w:ind w:left="586"/>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2</w:t>
            </w:r>
          </w:p>
        </w:tc>
        <w:tc>
          <w:tcPr>
            <w:tcW w:w="2845" w:type="pct"/>
            <w:vAlign w:val="top"/>
          </w:tcPr>
          <w:p w14:paraId="471FCC4B">
            <w:pPr>
              <w:pStyle w:val="188"/>
              <w:spacing w:before="196" w:line="223" w:lineRule="auto"/>
              <w:ind w:left="149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镜鞘</w:t>
            </w:r>
          </w:p>
        </w:tc>
        <w:tc>
          <w:tcPr>
            <w:tcW w:w="1116" w:type="pct"/>
            <w:vAlign w:val="top"/>
          </w:tcPr>
          <w:p w14:paraId="4F44D32B">
            <w:pPr>
              <w:pStyle w:val="188"/>
              <w:spacing w:before="196"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203D7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038" w:type="pct"/>
            <w:vAlign w:val="top"/>
          </w:tcPr>
          <w:p w14:paraId="565DC33B">
            <w:pPr>
              <w:pStyle w:val="188"/>
              <w:spacing w:before="197" w:line="242" w:lineRule="auto"/>
              <w:ind w:left="58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3</w:t>
            </w:r>
          </w:p>
        </w:tc>
        <w:tc>
          <w:tcPr>
            <w:tcW w:w="2845" w:type="pct"/>
            <w:vAlign w:val="top"/>
          </w:tcPr>
          <w:p w14:paraId="7F46DDA0">
            <w:pPr>
              <w:pStyle w:val="188"/>
              <w:spacing w:before="197" w:line="223" w:lineRule="auto"/>
              <w:ind w:left="149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镜鞘</w:t>
            </w:r>
          </w:p>
        </w:tc>
        <w:tc>
          <w:tcPr>
            <w:tcW w:w="1116" w:type="pct"/>
            <w:vAlign w:val="top"/>
          </w:tcPr>
          <w:p w14:paraId="79466517">
            <w:pPr>
              <w:pStyle w:val="188"/>
              <w:spacing w:before="198"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61C32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038" w:type="pct"/>
            <w:vAlign w:val="top"/>
          </w:tcPr>
          <w:p w14:paraId="41CF2A87">
            <w:pPr>
              <w:pStyle w:val="188"/>
              <w:spacing w:before="199" w:line="369" w:lineRule="exact"/>
              <w:ind w:left="581"/>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4</w:t>
            </w:r>
          </w:p>
        </w:tc>
        <w:tc>
          <w:tcPr>
            <w:tcW w:w="2845" w:type="pct"/>
            <w:vAlign w:val="top"/>
          </w:tcPr>
          <w:p w14:paraId="1A5B81C2">
            <w:pPr>
              <w:pStyle w:val="188"/>
              <w:spacing w:before="199" w:line="223" w:lineRule="auto"/>
              <w:ind w:left="1499"/>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镜鞘</w:t>
            </w:r>
          </w:p>
        </w:tc>
        <w:tc>
          <w:tcPr>
            <w:tcW w:w="1116" w:type="pct"/>
            <w:vAlign w:val="top"/>
          </w:tcPr>
          <w:p w14:paraId="3CDC03C7">
            <w:pPr>
              <w:pStyle w:val="188"/>
              <w:spacing w:before="200"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5F41D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1038" w:type="pct"/>
            <w:vAlign w:val="top"/>
          </w:tcPr>
          <w:p w14:paraId="4F741C8D">
            <w:pPr>
              <w:pStyle w:val="188"/>
              <w:spacing w:before="198" w:line="242" w:lineRule="auto"/>
              <w:ind w:left="588"/>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5</w:t>
            </w:r>
          </w:p>
        </w:tc>
        <w:tc>
          <w:tcPr>
            <w:tcW w:w="2845" w:type="pct"/>
            <w:vAlign w:val="top"/>
          </w:tcPr>
          <w:p w14:paraId="096D8C82">
            <w:pPr>
              <w:pStyle w:val="188"/>
              <w:spacing w:before="199" w:line="224" w:lineRule="auto"/>
              <w:ind w:left="813"/>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皮肤组织钻孔器</w:t>
            </w:r>
          </w:p>
        </w:tc>
        <w:tc>
          <w:tcPr>
            <w:tcW w:w="1116" w:type="pct"/>
            <w:vAlign w:val="top"/>
          </w:tcPr>
          <w:p w14:paraId="74E777B4">
            <w:pPr>
              <w:pStyle w:val="188"/>
              <w:spacing w:before="199"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79C92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38" w:type="pct"/>
            <w:vAlign w:val="top"/>
          </w:tcPr>
          <w:p w14:paraId="41F867DE">
            <w:pPr>
              <w:pStyle w:val="188"/>
              <w:spacing w:before="198" w:line="242" w:lineRule="auto"/>
              <w:ind w:left="584"/>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6</w:t>
            </w:r>
          </w:p>
        </w:tc>
        <w:tc>
          <w:tcPr>
            <w:tcW w:w="2845" w:type="pct"/>
            <w:vAlign w:val="top"/>
          </w:tcPr>
          <w:p w14:paraId="291530A8">
            <w:pPr>
              <w:pStyle w:val="188"/>
              <w:spacing w:before="199" w:line="224" w:lineRule="auto"/>
              <w:ind w:left="813"/>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皮肤组织钻孔器</w:t>
            </w:r>
          </w:p>
        </w:tc>
        <w:tc>
          <w:tcPr>
            <w:tcW w:w="1116" w:type="pct"/>
            <w:vAlign w:val="top"/>
          </w:tcPr>
          <w:p w14:paraId="5D526FF0">
            <w:pPr>
              <w:pStyle w:val="188"/>
              <w:spacing w:before="199" w:line="224" w:lineRule="auto"/>
              <w:ind w:left="552"/>
              <w:rPr>
                <w:rFonts w:hint="eastAsia" w:ascii="仿宋" w:hAnsi="仿宋" w:eastAsia="仿宋" w:cs="仿宋"/>
                <w:color w:val="auto"/>
                <w:spacing w:val="-1"/>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 支</w:t>
            </w:r>
          </w:p>
        </w:tc>
      </w:tr>
      <w:tr w14:paraId="7F72C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038" w:type="pct"/>
            <w:shd w:val="clear" w:color="auto" w:fill="auto"/>
            <w:vAlign w:val="top"/>
          </w:tcPr>
          <w:p w14:paraId="6BA18888">
            <w:pPr>
              <w:pStyle w:val="188"/>
              <w:spacing w:before="198" w:line="242" w:lineRule="auto"/>
              <w:ind w:left="589"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7</w:t>
            </w:r>
          </w:p>
        </w:tc>
        <w:tc>
          <w:tcPr>
            <w:tcW w:w="2845" w:type="pct"/>
            <w:shd w:val="clear" w:color="auto" w:fill="auto"/>
            <w:vAlign w:val="top"/>
          </w:tcPr>
          <w:p w14:paraId="3B6EC99F">
            <w:pPr>
              <w:pStyle w:val="188"/>
              <w:spacing w:before="199" w:line="222" w:lineRule="auto"/>
              <w:ind w:left="1374"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收集瓶</w:t>
            </w:r>
          </w:p>
        </w:tc>
        <w:tc>
          <w:tcPr>
            <w:tcW w:w="1116" w:type="pct"/>
            <w:shd w:val="clear" w:color="auto" w:fill="auto"/>
            <w:vAlign w:val="top"/>
          </w:tcPr>
          <w:p w14:paraId="557C90BE">
            <w:pPr>
              <w:pStyle w:val="188"/>
              <w:spacing w:before="198" w:line="227" w:lineRule="auto"/>
              <w:ind w:left="552"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1 只</w:t>
            </w:r>
          </w:p>
        </w:tc>
      </w:tr>
      <w:tr w14:paraId="6620D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38" w:type="pct"/>
            <w:shd w:val="clear" w:color="auto" w:fill="auto"/>
            <w:vAlign w:val="top"/>
          </w:tcPr>
          <w:p w14:paraId="3542A9CE">
            <w:pPr>
              <w:pStyle w:val="188"/>
              <w:spacing w:before="204" w:line="242" w:lineRule="auto"/>
              <w:ind w:left="583"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8</w:t>
            </w:r>
          </w:p>
        </w:tc>
        <w:tc>
          <w:tcPr>
            <w:tcW w:w="2845" w:type="pct"/>
            <w:shd w:val="clear" w:color="auto" w:fill="auto"/>
            <w:vAlign w:val="top"/>
          </w:tcPr>
          <w:p w14:paraId="7E83E965">
            <w:pPr>
              <w:pStyle w:val="188"/>
              <w:spacing w:before="204" w:line="222" w:lineRule="auto"/>
              <w:ind w:left="1365"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消毒篮</w:t>
            </w:r>
          </w:p>
        </w:tc>
        <w:tc>
          <w:tcPr>
            <w:tcW w:w="1116" w:type="pct"/>
            <w:shd w:val="clear" w:color="auto" w:fill="auto"/>
            <w:vAlign w:val="top"/>
          </w:tcPr>
          <w:p w14:paraId="7EAF94AF">
            <w:pPr>
              <w:pStyle w:val="188"/>
              <w:spacing w:before="204" w:line="223" w:lineRule="auto"/>
              <w:ind w:left="552" w:leftChars="0"/>
              <w:rPr>
                <w:rFonts w:hint="eastAsia" w:ascii="仿宋" w:hAnsi="仿宋" w:eastAsia="仿宋" w:cs="仿宋"/>
                <w:color w:val="auto"/>
                <w:spacing w:val="-1"/>
                <w:kern w:val="2"/>
                <w:sz w:val="24"/>
                <w:szCs w:val="24"/>
                <w:highlight w:val="none"/>
                <w:lang w:val="en-US" w:eastAsia="en-US" w:bidi="ar-SA"/>
              </w:rPr>
            </w:pPr>
            <w:r>
              <w:rPr>
                <w:rFonts w:hint="eastAsia" w:ascii="仿宋" w:hAnsi="仿宋" w:eastAsia="仿宋" w:cs="仿宋"/>
                <w:color w:val="auto"/>
                <w:spacing w:val="-1"/>
                <w:kern w:val="2"/>
                <w:sz w:val="24"/>
                <w:szCs w:val="24"/>
                <w:highlight w:val="none"/>
                <w:lang w:val="en-US" w:eastAsia="zh-CN" w:bidi="ar-SA"/>
              </w:rPr>
              <w:t>1 件</w:t>
            </w:r>
          </w:p>
        </w:tc>
      </w:tr>
    </w:tbl>
    <w:p w14:paraId="1B5D5BB8">
      <w:pPr>
        <w:pStyle w:val="11"/>
        <w:rPr>
          <w:rFonts w:hint="eastAsia" w:ascii="仿宋" w:hAnsi="仿宋" w:eastAsia="仿宋" w:cs="仿宋"/>
          <w:color w:val="auto"/>
          <w:sz w:val="24"/>
          <w:szCs w:val="24"/>
          <w:highlight w:val="none"/>
        </w:rPr>
      </w:pPr>
    </w:p>
    <w:p w14:paraId="0B8ABFD0">
      <w:pPr>
        <w:rPr>
          <w:rFonts w:hint="eastAsia" w:ascii="仿宋" w:hAnsi="仿宋" w:eastAsia="仿宋" w:cs="仿宋"/>
          <w:color w:val="auto"/>
          <w:sz w:val="24"/>
          <w:szCs w:val="24"/>
          <w:highlight w:val="none"/>
        </w:rPr>
        <w:sectPr>
          <w:pgSz w:w="11906" w:h="16839"/>
          <w:pgMar w:top="1247" w:right="1065" w:bottom="1247" w:left="1196" w:header="0" w:footer="567" w:gutter="0"/>
          <w:pgNumType w:fmt="decimal"/>
          <w:cols w:space="720" w:num="1"/>
        </w:sectPr>
      </w:pPr>
    </w:p>
    <w:p w14:paraId="7E36D63E">
      <w:pPr>
        <w:rPr>
          <w:rFonts w:hint="eastAsia" w:ascii="仿宋" w:hAnsi="仿宋" w:eastAsia="仿宋" w:cs="仿宋"/>
          <w:color w:val="auto"/>
          <w:spacing w:val="-2"/>
          <w:sz w:val="24"/>
          <w:szCs w:val="24"/>
          <w:highlight w:val="none"/>
        </w:rPr>
      </w:pPr>
    </w:p>
    <w:p w14:paraId="4ADD2C21">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合同包5</w:t>
      </w:r>
    </w:p>
    <w:p w14:paraId="0661EB4A">
      <w:pPr>
        <w:spacing w:before="91" w:line="224" w:lineRule="auto"/>
        <w:ind w:left="3709"/>
        <w:outlineLvl w:val="0"/>
        <w:rPr>
          <w:rFonts w:hint="eastAsia" w:ascii="仿宋" w:hAnsi="仿宋" w:eastAsia="仿宋" w:cs="仿宋"/>
          <w:color w:val="auto"/>
          <w:sz w:val="24"/>
          <w:szCs w:val="24"/>
          <w:highlight w:val="none"/>
        </w:rPr>
      </w:pPr>
      <w:bookmarkStart w:id="637" w:name="_Toc12938"/>
      <w:bookmarkStart w:id="638" w:name="_Toc17206"/>
      <w:bookmarkStart w:id="639" w:name="_Toc19193"/>
      <w:r>
        <w:rPr>
          <w:rFonts w:hint="eastAsia" w:ascii="仿宋" w:hAnsi="仿宋" w:eastAsia="仿宋" w:cs="仿宋"/>
          <w:b/>
          <w:bCs/>
          <w:color w:val="auto"/>
          <w:spacing w:val="-10"/>
          <w:sz w:val="24"/>
          <w:szCs w:val="24"/>
          <w:highlight w:val="none"/>
          <w:lang w:val="en-US" w:eastAsia="zh-CN"/>
        </w:rPr>
        <w:t>1.</w:t>
      </w:r>
      <w:r>
        <w:rPr>
          <w:rFonts w:hint="eastAsia" w:ascii="仿宋" w:hAnsi="仿宋" w:eastAsia="仿宋" w:cs="仿宋"/>
          <w:b/>
          <w:bCs/>
          <w:color w:val="auto"/>
          <w:spacing w:val="-10"/>
          <w:sz w:val="24"/>
          <w:szCs w:val="24"/>
          <w:highlight w:val="none"/>
        </w:rPr>
        <w:t>胃肠镜系统参数</w:t>
      </w:r>
      <w:bookmarkEnd w:id="637"/>
      <w:bookmarkEnd w:id="638"/>
      <w:bookmarkEnd w:id="639"/>
    </w:p>
    <w:p w14:paraId="36E7F2D8">
      <w:pPr>
        <w:spacing w:before="91" w:line="222" w:lineRule="auto"/>
        <w:ind w:left="14"/>
        <w:outlineLvl w:val="1"/>
        <w:rPr>
          <w:rFonts w:hint="eastAsia" w:ascii="仿宋" w:hAnsi="仿宋" w:eastAsia="仿宋" w:cs="仿宋"/>
          <w:color w:val="auto"/>
          <w:sz w:val="24"/>
          <w:szCs w:val="24"/>
          <w:highlight w:val="none"/>
        </w:rPr>
      </w:pPr>
      <w:bookmarkStart w:id="640" w:name="_Toc6613"/>
      <w:bookmarkStart w:id="641" w:name="_Toc22604"/>
      <w:bookmarkStart w:id="642" w:name="_Toc28130"/>
      <w:r>
        <w:rPr>
          <w:rFonts w:hint="eastAsia" w:ascii="仿宋" w:hAnsi="仿宋" w:eastAsia="仿宋" w:cs="仿宋"/>
          <w:b/>
          <w:bCs/>
          <w:color w:val="auto"/>
          <w:spacing w:val="-9"/>
          <w:sz w:val="24"/>
          <w:szCs w:val="24"/>
          <w:highlight w:val="none"/>
        </w:rPr>
        <w:t>一、图像处理装置</w:t>
      </w:r>
      <w:r>
        <w:rPr>
          <w:rFonts w:hint="eastAsia" w:ascii="仿宋" w:hAnsi="仿宋" w:eastAsia="仿宋" w:cs="仿宋"/>
          <w:color w:val="auto"/>
          <w:spacing w:val="-43"/>
          <w:sz w:val="24"/>
          <w:szCs w:val="24"/>
          <w:highlight w:val="none"/>
        </w:rPr>
        <w:t xml:space="preserve"> </w:t>
      </w:r>
      <w:r>
        <w:rPr>
          <w:rFonts w:hint="eastAsia" w:ascii="仿宋" w:hAnsi="仿宋" w:eastAsia="仿宋" w:cs="仿宋"/>
          <w:b/>
          <w:bCs/>
          <w:color w:val="auto"/>
          <w:spacing w:val="-9"/>
          <w:sz w:val="24"/>
          <w:szCs w:val="24"/>
          <w:highlight w:val="none"/>
        </w:rPr>
        <w:t>1</w:t>
      </w:r>
      <w:r>
        <w:rPr>
          <w:rFonts w:hint="eastAsia" w:ascii="仿宋" w:hAnsi="仿宋" w:eastAsia="仿宋" w:cs="仿宋"/>
          <w:color w:val="auto"/>
          <w:spacing w:val="-9"/>
          <w:sz w:val="24"/>
          <w:szCs w:val="24"/>
          <w:highlight w:val="none"/>
        </w:rPr>
        <w:t xml:space="preserve"> </w:t>
      </w:r>
      <w:r>
        <w:rPr>
          <w:rFonts w:hint="eastAsia" w:ascii="仿宋" w:hAnsi="仿宋" w:eastAsia="仿宋" w:cs="仿宋"/>
          <w:b/>
          <w:bCs/>
          <w:color w:val="auto"/>
          <w:spacing w:val="-9"/>
          <w:sz w:val="24"/>
          <w:szCs w:val="24"/>
          <w:highlight w:val="none"/>
        </w:rPr>
        <w:t>台</w:t>
      </w:r>
      <w:bookmarkEnd w:id="640"/>
      <w:bookmarkEnd w:id="641"/>
      <w:bookmarkEnd w:id="642"/>
    </w:p>
    <w:p w14:paraId="25FCC77C">
      <w:pPr>
        <w:spacing w:before="91" w:line="36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4"/>
          <w:sz w:val="24"/>
          <w:szCs w:val="24"/>
          <w:highlight w:val="none"/>
        </w:rPr>
        <w:t>具备摄像主机，光源配合式设计</w:t>
      </w:r>
    </w:p>
    <w:p w14:paraId="3FBD006B">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eastAsia="zh-CN"/>
        </w:rPr>
        <w:t>2</w:t>
      </w:r>
      <w:r>
        <w:rPr>
          <w:rFonts w:hint="eastAsia" w:ascii="仿宋" w:hAnsi="仿宋" w:eastAsia="仿宋" w:cs="仿宋"/>
          <w:color w:val="auto"/>
          <w:spacing w:val="-4"/>
          <w:sz w:val="24"/>
          <w:szCs w:val="24"/>
          <w:highlight w:val="none"/>
        </w:rPr>
        <w:t xml:space="preserve"> 兼容CCD或CMOS</w:t>
      </w:r>
    </w:p>
    <w:p w14:paraId="2909BE1A">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3</w:t>
      </w:r>
      <w:r>
        <w:rPr>
          <w:rFonts w:hint="eastAsia" w:ascii="仿宋" w:hAnsi="仿宋" w:eastAsia="仿宋" w:cs="仿宋"/>
          <w:color w:val="auto"/>
          <w:spacing w:val="-4"/>
          <w:sz w:val="24"/>
          <w:szCs w:val="24"/>
          <w:highlight w:val="none"/>
        </w:rPr>
        <w:t>支持特殊光：410nm≤波长1≤415nm，515nm≤波长2≤545nm（波长在范围内或者包含此范围）</w:t>
      </w:r>
    </w:p>
    <w:p w14:paraId="4CBCFB3C">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4</w:t>
      </w:r>
      <w:r>
        <w:rPr>
          <w:rFonts w:hint="eastAsia" w:ascii="仿宋" w:hAnsi="仿宋" w:eastAsia="仿宋" w:cs="仿宋"/>
          <w:color w:val="auto"/>
          <w:spacing w:val="-4"/>
          <w:sz w:val="24"/>
          <w:szCs w:val="24"/>
          <w:highlight w:val="none"/>
        </w:rPr>
        <w:t xml:space="preserve"> 具有图像增益功能</w:t>
      </w:r>
    </w:p>
    <w:p w14:paraId="26D78D62">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eastAsia="zh-CN"/>
        </w:rPr>
        <w:t>5</w:t>
      </w:r>
      <w:r>
        <w:rPr>
          <w:rFonts w:hint="eastAsia" w:ascii="仿宋" w:hAnsi="仿宋" w:eastAsia="仿宋" w:cs="仿宋"/>
          <w:color w:val="auto"/>
          <w:spacing w:val="-4"/>
          <w:sz w:val="24"/>
          <w:szCs w:val="24"/>
          <w:highlight w:val="none"/>
        </w:rPr>
        <w:t xml:space="preserve"> 患者信息可注册数量： ≥40 个</w:t>
      </w:r>
    </w:p>
    <w:p w14:paraId="7E9B6715">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eastAsia="zh-CN"/>
        </w:rPr>
        <w:t>6</w:t>
      </w:r>
      <w:r>
        <w:rPr>
          <w:rFonts w:hint="eastAsia" w:ascii="仿宋" w:hAnsi="仿宋" w:eastAsia="仿宋" w:cs="仿宋"/>
          <w:color w:val="auto"/>
          <w:spacing w:val="-4"/>
          <w:sz w:val="24"/>
          <w:szCs w:val="24"/>
          <w:highlight w:val="none"/>
        </w:rPr>
        <w:t xml:space="preserve"> 面板具有：实体按键、液晶触摸按键</w:t>
      </w:r>
    </w:p>
    <w:p w14:paraId="3A6167BB">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7</w:t>
      </w:r>
      <w:r>
        <w:rPr>
          <w:rFonts w:hint="eastAsia" w:ascii="仿宋" w:hAnsi="仿宋" w:eastAsia="仿宋" w:cs="仿宋"/>
          <w:color w:val="auto"/>
          <w:spacing w:val="-4"/>
          <w:sz w:val="24"/>
          <w:szCs w:val="24"/>
          <w:highlight w:val="none"/>
        </w:rPr>
        <w:t>信号输出：具备≥12GSDI</w:t>
      </w:r>
    </w:p>
    <w:p w14:paraId="2A2D65FF">
      <w:pPr>
        <w:spacing w:before="91" w:line="360" w:lineRule="auto"/>
        <w:ind w:left="21" w:firstLine="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8</w:t>
      </w:r>
      <w:r>
        <w:rPr>
          <w:rFonts w:hint="eastAsia" w:ascii="仿宋" w:hAnsi="仿宋" w:eastAsia="仿宋" w:cs="仿宋"/>
          <w:color w:val="auto"/>
          <w:spacing w:val="-4"/>
          <w:sz w:val="24"/>
          <w:szCs w:val="24"/>
          <w:highlight w:val="none"/>
        </w:rPr>
        <w:t xml:space="preserve"> 色彩调节：红色调节:至少0±7 档、蓝色调节:至少0±7 档、色度调整:至少0±7 档</w:t>
      </w:r>
    </w:p>
    <w:p w14:paraId="77D358CF">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9</w:t>
      </w:r>
      <w:r>
        <w:rPr>
          <w:rFonts w:hint="eastAsia" w:ascii="仿宋" w:hAnsi="仿宋" w:eastAsia="仿宋" w:cs="仿宋"/>
          <w:color w:val="auto"/>
          <w:spacing w:val="-4"/>
          <w:sz w:val="24"/>
          <w:szCs w:val="24"/>
          <w:highlight w:val="none"/>
        </w:rPr>
        <w:t>≥白光下特殊光</w:t>
      </w:r>
    </w:p>
    <w:p w14:paraId="115B323A">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10</w:t>
      </w:r>
      <w:r>
        <w:rPr>
          <w:rFonts w:hint="eastAsia" w:ascii="仿宋" w:hAnsi="仿宋" w:eastAsia="仿宋" w:cs="仿宋"/>
          <w:color w:val="auto"/>
          <w:spacing w:val="-4"/>
          <w:sz w:val="24"/>
          <w:szCs w:val="24"/>
          <w:highlight w:val="none"/>
        </w:rPr>
        <w:t>≥开展治疗下的特殊光</w:t>
      </w:r>
    </w:p>
    <w:p w14:paraId="104B50D5">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11</w:t>
      </w:r>
      <w:r>
        <w:rPr>
          <w:rFonts w:hint="eastAsia" w:ascii="仿宋" w:hAnsi="仿宋" w:eastAsia="仿宋" w:cs="仿宋"/>
          <w:color w:val="auto"/>
          <w:spacing w:val="-4"/>
          <w:sz w:val="24"/>
          <w:szCs w:val="24"/>
          <w:highlight w:val="none"/>
        </w:rPr>
        <w:t xml:space="preserve"> 亮度可调节</w:t>
      </w:r>
    </w:p>
    <w:p w14:paraId="4D2E7A5A">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12</w:t>
      </w:r>
      <w:r>
        <w:rPr>
          <w:rFonts w:hint="eastAsia" w:ascii="仿宋" w:hAnsi="仿宋" w:eastAsia="仿宋" w:cs="仿宋"/>
          <w:color w:val="auto"/>
          <w:spacing w:val="-4"/>
          <w:sz w:val="24"/>
          <w:szCs w:val="24"/>
          <w:highlight w:val="none"/>
        </w:rPr>
        <w:t>白光下具备保持亮度不变同时调节亮度</w:t>
      </w:r>
    </w:p>
    <w:p w14:paraId="60C6EDC8">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13</w:t>
      </w:r>
      <w:r>
        <w:rPr>
          <w:rFonts w:hint="eastAsia" w:ascii="仿宋" w:hAnsi="仿宋" w:eastAsia="仿宋" w:cs="仿宋"/>
          <w:color w:val="auto"/>
          <w:spacing w:val="-4"/>
          <w:sz w:val="24"/>
          <w:szCs w:val="24"/>
          <w:highlight w:val="none"/>
        </w:rPr>
        <w:t>可匹配境内注册的医疗器械（注册）内镜</w:t>
      </w:r>
    </w:p>
    <w:p w14:paraId="2775E329">
      <w:pPr>
        <w:spacing w:before="91" w:line="360" w:lineRule="auto"/>
        <w:ind w:left="21" w:right="0" w:firstLine="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14</w:t>
      </w:r>
      <w:r>
        <w:rPr>
          <w:rFonts w:hint="eastAsia" w:ascii="仿宋" w:hAnsi="仿宋" w:eastAsia="仿宋" w:cs="仿宋"/>
          <w:color w:val="auto"/>
          <w:spacing w:val="-4"/>
          <w:sz w:val="24"/>
          <w:szCs w:val="24"/>
          <w:highlight w:val="none"/>
        </w:rPr>
        <w:t>可连接同品牌高清及标清电子胃肠镜、电子十二指肠镜、电子支气管镜、环扫及扇扫电子超声内镜、超声小探头等。</w:t>
      </w:r>
    </w:p>
    <w:p w14:paraId="44AEB69A">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15</w:t>
      </w:r>
      <w:r>
        <w:rPr>
          <w:rFonts w:hint="eastAsia" w:ascii="仿宋" w:hAnsi="仿宋" w:eastAsia="仿宋" w:cs="仿宋"/>
          <w:color w:val="auto"/>
          <w:spacing w:val="-4"/>
          <w:sz w:val="24"/>
          <w:szCs w:val="24"/>
          <w:highlight w:val="none"/>
        </w:rPr>
        <w:t xml:space="preserve"> 图像增强功能：具备模式种类： ≥两种，每种模式≥7 个档位</w:t>
      </w:r>
    </w:p>
    <w:p w14:paraId="5756E60B">
      <w:pPr>
        <w:spacing w:before="91" w:line="360" w:lineRule="auto"/>
        <w:ind w:left="21"/>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val="en-US" w:eastAsia="zh-CN"/>
        </w:rPr>
        <w:t>16</w:t>
      </w:r>
      <w:r>
        <w:rPr>
          <w:rFonts w:hint="eastAsia" w:ascii="仿宋" w:hAnsi="仿宋" w:eastAsia="仿宋" w:cs="仿宋"/>
          <w:color w:val="auto"/>
          <w:spacing w:val="-4"/>
          <w:sz w:val="24"/>
          <w:szCs w:val="24"/>
          <w:highlight w:val="none"/>
        </w:rPr>
        <w:t xml:space="preserve"> 同时工作的LED 灯数量： ≥5 个</w:t>
      </w:r>
    </w:p>
    <w:p w14:paraId="61CE6EDF">
      <w:pPr>
        <w:spacing w:before="91" w:line="224" w:lineRule="auto"/>
        <w:ind w:left="18"/>
        <w:outlineLvl w:val="1"/>
        <w:rPr>
          <w:rFonts w:hint="eastAsia" w:ascii="仿宋" w:hAnsi="仿宋" w:eastAsia="仿宋" w:cs="仿宋"/>
          <w:color w:val="auto"/>
          <w:sz w:val="24"/>
          <w:szCs w:val="24"/>
          <w:highlight w:val="none"/>
        </w:rPr>
      </w:pPr>
      <w:bookmarkStart w:id="643" w:name="_Toc31823"/>
      <w:bookmarkStart w:id="644" w:name="_Toc10243"/>
      <w:bookmarkStart w:id="645" w:name="_Toc10823"/>
      <w:r>
        <w:rPr>
          <w:rFonts w:hint="eastAsia" w:ascii="仿宋" w:hAnsi="仿宋" w:eastAsia="仿宋" w:cs="仿宋"/>
          <w:b/>
          <w:bCs/>
          <w:color w:val="auto"/>
          <w:spacing w:val="-8"/>
          <w:sz w:val="24"/>
          <w:szCs w:val="24"/>
          <w:highlight w:val="none"/>
        </w:rPr>
        <w:t>二、电子胃镜（1</w:t>
      </w:r>
      <w:r>
        <w:rPr>
          <w:rFonts w:hint="eastAsia" w:ascii="仿宋" w:hAnsi="仿宋" w:eastAsia="仿宋" w:cs="仿宋"/>
          <w:color w:val="auto"/>
          <w:spacing w:val="-41"/>
          <w:sz w:val="24"/>
          <w:szCs w:val="24"/>
          <w:highlight w:val="none"/>
        </w:rPr>
        <w:t xml:space="preserve"> </w:t>
      </w:r>
      <w:r>
        <w:rPr>
          <w:rFonts w:hint="eastAsia" w:ascii="仿宋" w:hAnsi="仿宋" w:eastAsia="仿宋" w:cs="仿宋"/>
          <w:b/>
          <w:bCs/>
          <w:color w:val="auto"/>
          <w:spacing w:val="-8"/>
          <w:sz w:val="24"/>
          <w:szCs w:val="24"/>
          <w:highlight w:val="none"/>
        </w:rPr>
        <w:t>条）</w:t>
      </w:r>
      <w:bookmarkEnd w:id="643"/>
      <w:bookmarkEnd w:id="644"/>
      <w:bookmarkEnd w:id="645"/>
    </w:p>
    <w:p w14:paraId="16B2959E">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1.支持特殊光：410nm≤波长1≤415nm,515nm≤波长2≤545nm（波长在范围内或者包含此范围）</w:t>
      </w:r>
    </w:p>
    <w:p w14:paraId="4F20CD3C">
      <w:pPr>
        <w:spacing w:before="286"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2</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7"/>
          <w:sz w:val="24"/>
          <w:szCs w:val="24"/>
          <w:highlight w:val="none"/>
        </w:rPr>
        <w:t>视野角：</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7"/>
          <w:sz w:val="24"/>
          <w:szCs w:val="24"/>
          <w:highlight w:val="none"/>
        </w:rPr>
        <w:t>≥140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30F13AEA">
      <w:pPr>
        <w:spacing w:before="284"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景深：3-100mm</w:t>
      </w:r>
    </w:p>
    <w:p w14:paraId="624BA197">
      <w:pPr>
        <w:spacing w:before="285"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具备可调节光学变焦，焦距数量≥2</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2"/>
          <w:sz w:val="24"/>
          <w:szCs w:val="24"/>
          <w:highlight w:val="none"/>
        </w:rPr>
        <w:t>种</w:t>
      </w:r>
    </w:p>
    <w:p w14:paraId="3C82B263">
      <w:pPr>
        <w:spacing w:before="288"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5</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7"/>
          <w:sz w:val="24"/>
          <w:szCs w:val="24"/>
          <w:highlight w:val="none"/>
        </w:rPr>
        <w:t>视野方向：0</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°直视</w:t>
      </w:r>
    </w:p>
    <w:p w14:paraId="035203C4">
      <w:pPr>
        <w:spacing w:before="285"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6</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12"/>
          <w:sz w:val="24"/>
          <w:szCs w:val="24"/>
          <w:highlight w:val="none"/>
        </w:rPr>
        <w:t>弯曲角度：向上≥210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83"/>
          <w:sz w:val="24"/>
          <w:szCs w:val="24"/>
          <w:highlight w:val="none"/>
        </w:rPr>
        <w:t xml:space="preserve"> </w:t>
      </w:r>
      <w:r>
        <w:rPr>
          <w:rFonts w:hint="eastAsia" w:ascii="仿宋" w:hAnsi="仿宋" w:eastAsia="仿宋" w:cs="仿宋"/>
          <w:color w:val="auto"/>
          <w:spacing w:val="-12"/>
          <w:sz w:val="24"/>
          <w:szCs w:val="24"/>
          <w:highlight w:val="none"/>
        </w:rPr>
        <w:t>下≥90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3"/>
          <w:sz w:val="24"/>
          <w:szCs w:val="24"/>
          <w:highlight w:val="none"/>
        </w:rPr>
        <w:t>,向右≥100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81"/>
          <w:sz w:val="24"/>
          <w:szCs w:val="24"/>
          <w:highlight w:val="none"/>
        </w:rPr>
        <w:t xml:space="preserve"> </w:t>
      </w:r>
      <w:r>
        <w:rPr>
          <w:rFonts w:hint="eastAsia" w:ascii="仿宋" w:hAnsi="仿宋" w:eastAsia="仿宋" w:cs="仿宋"/>
          <w:color w:val="auto"/>
          <w:spacing w:val="-13"/>
          <w:sz w:val="24"/>
          <w:szCs w:val="24"/>
          <w:highlight w:val="none"/>
        </w:rPr>
        <w:t>左≥100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3"/>
          <w:sz w:val="24"/>
          <w:szCs w:val="24"/>
          <w:highlight w:val="none"/>
        </w:rPr>
        <w:t>°</w:t>
      </w:r>
    </w:p>
    <w:p w14:paraId="5CC2C3DF">
      <w:pPr>
        <w:spacing w:before="286"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先端部外径：≤10.3mm</w:t>
      </w:r>
    </w:p>
    <w:p w14:paraId="7C864898">
      <w:pPr>
        <w:spacing w:before="285"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2"/>
          <w:sz w:val="24"/>
          <w:szCs w:val="24"/>
          <w:highlight w:val="none"/>
        </w:rPr>
        <w:t>插入部外径：≤10.3mm</w:t>
      </w:r>
    </w:p>
    <w:p w14:paraId="4809BA41">
      <w:pPr>
        <w:spacing w:before="285"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器械钳道内径：</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5"/>
          <w:sz w:val="24"/>
          <w:szCs w:val="24"/>
          <w:highlight w:val="none"/>
        </w:rPr>
        <w:t>≥2.8mm</w:t>
      </w:r>
    </w:p>
    <w:p w14:paraId="2C0847B5">
      <w:pPr>
        <w:spacing w:before="288"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10</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5"/>
          <w:sz w:val="24"/>
          <w:szCs w:val="24"/>
          <w:highlight w:val="none"/>
        </w:rPr>
        <w:t>工作长度：</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≥1000mm，总长度：</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5"/>
          <w:sz w:val="24"/>
          <w:szCs w:val="24"/>
          <w:highlight w:val="none"/>
        </w:rPr>
        <w:t>≥1300</w:t>
      </w:r>
      <w:r>
        <w:rPr>
          <w:rFonts w:hint="eastAsia" w:ascii="仿宋" w:hAnsi="仿宋" w:eastAsia="仿宋" w:cs="仿宋"/>
          <w:color w:val="auto"/>
          <w:spacing w:val="-6"/>
          <w:sz w:val="24"/>
          <w:szCs w:val="24"/>
          <w:highlight w:val="none"/>
        </w:rPr>
        <w:t>mm</w:t>
      </w:r>
    </w:p>
    <w:p w14:paraId="7DC52EEE">
      <w:pPr>
        <w:spacing w:before="290"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具有副送水功能</w:t>
      </w:r>
    </w:p>
    <w:p w14:paraId="18303853">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全防水设计，无需内镜电缆，无需防水盖</w:t>
      </w:r>
    </w:p>
    <w:p w14:paraId="34840675">
      <w:pPr>
        <w:spacing w:before="91" w:line="224" w:lineRule="auto"/>
        <w:ind w:left="17"/>
        <w:outlineLvl w:val="1"/>
        <w:rPr>
          <w:rFonts w:hint="eastAsia" w:ascii="仿宋" w:hAnsi="仿宋" w:eastAsia="仿宋" w:cs="仿宋"/>
          <w:color w:val="auto"/>
          <w:sz w:val="24"/>
          <w:szCs w:val="24"/>
          <w:highlight w:val="none"/>
        </w:rPr>
      </w:pPr>
      <w:bookmarkStart w:id="646" w:name="_Toc30543"/>
      <w:bookmarkStart w:id="647" w:name="_Toc17919"/>
      <w:bookmarkStart w:id="648" w:name="_Toc32383"/>
      <w:r>
        <w:rPr>
          <w:rFonts w:hint="eastAsia" w:ascii="仿宋" w:hAnsi="仿宋" w:eastAsia="仿宋" w:cs="仿宋"/>
          <w:b/>
          <w:bCs/>
          <w:color w:val="auto"/>
          <w:spacing w:val="-7"/>
          <w:sz w:val="24"/>
          <w:szCs w:val="24"/>
          <w:highlight w:val="none"/>
        </w:rPr>
        <w:t>三、电子结肠镜（2</w:t>
      </w:r>
      <w:r>
        <w:rPr>
          <w:rFonts w:hint="eastAsia" w:ascii="仿宋" w:hAnsi="仿宋" w:eastAsia="仿宋" w:cs="仿宋"/>
          <w:color w:val="auto"/>
          <w:spacing w:val="-45"/>
          <w:sz w:val="24"/>
          <w:szCs w:val="24"/>
          <w:highlight w:val="none"/>
        </w:rPr>
        <w:t xml:space="preserve"> </w:t>
      </w:r>
      <w:r>
        <w:rPr>
          <w:rFonts w:hint="eastAsia" w:ascii="仿宋" w:hAnsi="仿宋" w:eastAsia="仿宋" w:cs="仿宋"/>
          <w:b/>
          <w:bCs/>
          <w:color w:val="auto"/>
          <w:spacing w:val="-7"/>
          <w:sz w:val="24"/>
          <w:szCs w:val="24"/>
          <w:highlight w:val="none"/>
        </w:rPr>
        <w:t>条）</w:t>
      </w:r>
      <w:bookmarkEnd w:id="646"/>
      <w:bookmarkEnd w:id="647"/>
      <w:bookmarkEnd w:id="648"/>
    </w:p>
    <w:p w14:paraId="36A7C5D3">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1.支持特殊光：410nm≤波长1≤415nm,515nm≤波长2≤545nm（波长在范围内或者包含此范围）</w:t>
      </w:r>
    </w:p>
    <w:p w14:paraId="473C0E31">
      <w:pPr>
        <w:spacing w:before="287"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6"/>
          <w:sz w:val="24"/>
          <w:szCs w:val="24"/>
          <w:highlight w:val="none"/>
        </w:rPr>
        <w:t>视野角度：</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≥170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w:t>
      </w:r>
    </w:p>
    <w:p w14:paraId="34977173">
      <w:pPr>
        <w:spacing w:before="284"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景深：5-100mm</w:t>
      </w:r>
    </w:p>
    <w:p w14:paraId="28403981">
      <w:pPr>
        <w:spacing w:before="286"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4</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7"/>
          <w:sz w:val="24"/>
          <w:szCs w:val="24"/>
          <w:highlight w:val="none"/>
        </w:rPr>
        <w:t>视野方向：0</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°直视</w:t>
      </w:r>
    </w:p>
    <w:p w14:paraId="1455C21E">
      <w:pPr>
        <w:spacing w:before="91"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5</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15"/>
          <w:sz w:val="24"/>
          <w:szCs w:val="24"/>
          <w:highlight w:val="none"/>
        </w:rPr>
        <w:t>弯曲角度：向上≥180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5"/>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5"/>
          <w:sz w:val="24"/>
          <w:szCs w:val="24"/>
          <w:highlight w:val="none"/>
        </w:rPr>
        <w:t>,</w:t>
      </w:r>
      <w:r>
        <w:rPr>
          <w:rFonts w:hint="eastAsia" w:ascii="仿宋" w:hAnsi="仿宋" w:eastAsia="仿宋" w:cs="仿宋"/>
          <w:color w:val="auto"/>
          <w:spacing w:val="83"/>
          <w:sz w:val="24"/>
          <w:szCs w:val="24"/>
          <w:highlight w:val="none"/>
        </w:rPr>
        <w:t xml:space="preserve"> </w:t>
      </w:r>
      <w:r>
        <w:rPr>
          <w:rFonts w:hint="eastAsia" w:ascii="仿宋" w:hAnsi="仿宋" w:eastAsia="仿宋" w:cs="仿宋"/>
          <w:color w:val="auto"/>
          <w:spacing w:val="-15"/>
          <w:sz w:val="24"/>
          <w:szCs w:val="24"/>
          <w:highlight w:val="none"/>
        </w:rPr>
        <w:t>下≥180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5"/>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5"/>
          <w:sz w:val="24"/>
          <w:szCs w:val="24"/>
          <w:highlight w:val="none"/>
        </w:rPr>
        <w:t>,</w:t>
      </w:r>
      <w:r>
        <w:rPr>
          <w:rFonts w:hint="eastAsia" w:ascii="仿宋" w:hAnsi="仿宋" w:eastAsia="仿宋" w:cs="仿宋"/>
          <w:color w:val="auto"/>
          <w:spacing w:val="111"/>
          <w:sz w:val="24"/>
          <w:szCs w:val="24"/>
          <w:highlight w:val="none"/>
        </w:rPr>
        <w:t xml:space="preserve"> </w:t>
      </w:r>
      <w:r>
        <w:rPr>
          <w:rFonts w:hint="eastAsia" w:ascii="仿宋" w:hAnsi="仿宋" w:eastAsia="仿宋" w:cs="仿宋"/>
          <w:color w:val="auto"/>
          <w:spacing w:val="-16"/>
          <w:sz w:val="24"/>
          <w:szCs w:val="24"/>
          <w:highlight w:val="none"/>
        </w:rPr>
        <w:t>向右≥160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6"/>
          <w:sz w:val="24"/>
          <w:szCs w:val="24"/>
          <w:highlight w:val="none"/>
        </w:rPr>
        <w:t>°</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16"/>
          <w:sz w:val="24"/>
          <w:szCs w:val="24"/>
          <w:highlight w:val="none"/>
        </w:rPr>
        <w:t>,</w:t>
      </w:r>
      <w:r>
        <w:rPr>
          <w:rFonts w:hint="eastAsia" w:ascii="仿宋" w:hAnsi="仿宋" w:eastAsia="仿宋" w:cs="仿宋"/>
          <w:color w:val="auto"/>
          <w:spacing w:val="80"/>
          <w:sz w:val="24"/>
          <w:szCs w:val="24"/>
          <w:highlight w:val="none"/>
        </w:rPr>
        <w:t xml:space="preserve"> </w:t>
      </w:r>
      <w:r>
        <w:rPr>
          <w:rFonts w:hint="eastAsia" w:ascii="仿宋" w:hAnsi="仿宋" w:eastAsia="仿宋" w:cs="仿宋"/>
          <w:color w:val="auto"/>
          <w:spacing w:val="-16"/>
          <w:sz w:val="24"/>
          <w:szCs w:val="24"/>
          <w:highlight w:val="none"/>
        </w:rPr>
        <w:t>左≥160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6"/>
          <w:sz w:val="24"/>
          <w:szCs w:val="24"/>
          <w:highlight w:val="none"/>
        </w:rPr>
        <w:t>°</w:t>
      </w:r>
    </w:p>
    <w:p w14:paraId="5A228BE9">
      <w:pPr>
        <w:spacing w:before="285"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先端部外径：≤12.3mm</w:t>
      </w:r>
    </w:p>
    <w:p w14:paraId="48FB086D">
      <w:pPr>
        <w:spacing w:before="285"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插入部外径：≤12.3mm</w:t>
      </w:r>
    </w:p>
    <w:p w14:paraId="735C26B2">
      <w:pPr>
        <w:spacing w:before="285"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z w:val="24"/>
          <w:szCs w:val="24"/>
          <w:highlight w:val="none"/>
        </w:rPr>
        <w:t>器械钳道内径</w:t>
      </w:r>
      <w:r>
        <w:rPr>
          <w:rFonts w:hint="eastAsia" w:ascii="仿宋" w:hAnsi="仿宋" w:eastAsia="仿宋" w:cs="仿宋"/>
          <w:color w:val="auto"/>
          <w:spacing w:val="-14"/>
          <w:sz w:val="24"/>
          <w:szCs w:val="24"/>
          <w:highlight w:val="none"/>
        </w:rPr>
        <w:t>：＞</w:t>
      </w:r>
      <w:r>
        <w:rPr>
          <w:rFonts w:hint="eastAsia" w:ascii="仿宋" w:hAnsi="仿宋" w:eastAsia="仿宋" w:cs="仿宋"/>
          <w:color w:val="auto"/>
          <w:sz w:val="24"/>
          <w:szCs w:val="24"/>
          <w:highlight w:val="none"/>
        </w:rPr>
        <w:t>3.0mm</w:t>
      </w:r>
    </w:p>
    <w:p w14:paraId="3DE23791">
      <w:pPr>
        <w:spacing w:before="287"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5"/>
          <w:sz w:val="24"/>
          <w:szCs w:val="24"/>
          <w:highlight w:val="none"/>
        </w:rPr>
        <w:t>工作长度：</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5"/>
          <w:sz w:val="24"/>
          <w:szCs w:val="24"/>
          <w:highlight w:val="none"/>
        </w:rPr>
        <w:t>≥1300mm，总长度：</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5"/>
          <w:sz w:val="24"/>
          <w:szCs w:val="24"/>
          <w:highlight w:val="none"/>
        </w:rPr>
        <w:t>≥1600mm</w:t>
      </w:r>
    </w:p>
    <w:p w14:paraId="47805F08">
      <w:pPr>
        <w:spacing w:before="290"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具有副送水功能</w:t>
      </w:r>
    </w:p>
    <w:p w14:paraId="523E5926">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11.高效传导，软硬手动</w:t>
      </w:r>
    </w:p>
    <w:p w14:paraId="58DA4A6D">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12</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具备全防水设计</w:t>
      </w:r>
    </w:p>
    <w:p w14:paraId="62289941">
      <w:pPr>
        <w:spacing w:before="91" w:line="223" w:lineRule="auto"/>
        <w:ind w:left="42"/>
        <w:outlineLvl w:val="1"/>
        <w:rPr>
          <w:rFonts w:hint="eastAsia" w:ascii="仿宋" w:hAnsi="仿宋" w:eastAsia="仿宋" w:cs="仿宋"/>
          <w:color w:val="auto"/>
          <w:sz w:val="24"/>
          <w:szCs w:val="24"/>
          <w:highlight w:val="none"/>
        </w:rPr>
      </w:pPr>
      <w:bookmarkStart w:id="649" w:name="_Toc24251"/>
      <w:bookmarkStart w:id="650" w:name="_Toc10260"/>
      <w:bookmarkStart w:id="651" w:name="_Toc10129"/>
      <w:r>
        <w:rPr>
          <w:rFonts w:hint="eastAsia" w:ascii="仿宋" w:hAnsi="仿宋" w:eastAsia="仿宋" w:cs="仿宋"/>
          <w:b/>
          <w:bCs/>
          <w:color w:val="auto"/>
          <w:spacing w:val="-9"/>
          <w:sz w:val="24"/>
          <w:szCs w:val="24"/>
          <w:highlight w:val="none"/>
        </w:rPr>
        <w:t>四、十二指肠镜（1</w:t>
      </w:r>
      <w:r>
        <w:rPr>
          <w:rFonts w:hint="eastAsia" w:ascii="仿宋" w:hAnsi="仿宋" w:eastAsia="仿宋" w:cs="仿宋"/>
          <w:color w:val="auto"/>
          <w:spacing w:val="-48"/>
          <w:sz w:val="24"/>
          <w:szCs w:val="24"/>
          <w:highlight w:val="none"/>
        </w:rPr>
        <w:t xml:space="preserve"> </w:t>
      </w:r>
      <w:r>
        <w:rPr>
          <w:rFonts w:hint="eastAsia" w:ascii="仿宋" w:hAnsi="仿宋" w:eastAsia="仿宋" w:cs="仿宋"/>
          <w:b/>
          <w:bCs/>
          <w:color w:val="auto"/>
          <w:spacing w:val="-9"/>
          <w:sz w:val="24"/>
          <w:szCs w:val="24"/>
          <w:highlight w:val="none"/>
        </w:rPr>
        <w:t>条）</w:t>
      </w:r>
      <w:bookmarkEnd w:id="649"/>
      <w:bookmarkEnd w:id="650"/>
      <w:bookmarkEnd w:id="651"/>
    </w:p>
    <w:p w14:paraId="5143FA23">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1.支持特殊光：410nm≤波长1≤415nm,515nm≤波长2≤545nm（波长在范围内或者包含此范围）</w:t>
      </w:r>
    </w:p>
    <w:p w14:paraId="51BF3937">
      <w:pPr>
        <w:spacing w:before="286"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2</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7"/>
          <w:sz w:val="24"/>
          <w:szCs w:val="24"/>
          <w:highlight w:val="none"/>
        </w:rPr>
        <w:t>视野角:</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7"/>
          <w:sz w:val="24"/>
          <w:szCs w:val="24"/>
          <w:highlight w:val="none"/>
        </w:rPr>
        <w:t>≥100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7"/>
          <w:sz w:val="24"/>
          <w:szCs w:val="24"/>
          <w:highlight w:val="none"/>
        </w:rPr>
        <w:t>°</w:t>
      </w:r>
    </w:p>
    <w:p w14:paraId="52F5B1D6">
      <w:pPr>
        <w:spacing w:before="285"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视野方向:后方斜视＞100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3"/>
          <w:sz w:val="24"/>
          <w:szCs w:val="24"/>
          <w:highlight w:val="none"/>
        </w:rPr>
        <w:t>°</w:t>
      </w:r>
    </w:p>
    <w:p w14:paraId="64C3D5E1">
      <w:pPr>
        <w:spacing w:before="286"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3"/>
          <w:sz w:val="24"/>
          <w:szCs w:val="24"/>
          <w:highlight w:val="none"/>
        </w:rPr>
        <w:t>景深:5-55mm</w:t>
      </w:r>
    </w:p>
    <w:p w14:paraId="1EF50455">
      <w:pPr>
        <w:spacing w:before="286"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先端部外径:</w:t>
      </w:r>
      <w:r>
        <w:rPr>
          <w:rFonts w:hint="eastAsia" w:ascii="仿宋" w:hAnsi="仿宋" w:eastAsia="仿宋" w:cs="仿宋"/>
          <w:color w:val="auto"/>
          <w:spacing w:val="-108"/>
          <w:sz w:val="24"/>
          <w:szCs w:val="24"/>
          <w:highlight w:val="none"/>
        </w:rPr>
        <w:t xml:space="preserve"> </w:t>
      </w:r>
      <w:r>
        <w:rPr>
          <w:rFonts w:hint="eastAsia" w:ascii="仿宋" w:hAnsi="仿宋" w:eastAsia="仿宋" w:cs="仿宋"/>
          <w:color w:val="auto"/>
          <w:spacing w:val="-5"/>
          <w:sz w:val="24"/>
          <w:szCs w:val="24"/>
          <w:highlight w:val="none"/>
        </w:rPr>
        <w:t>≤13.5mm</w:t>
      </w:r>
    </w:p>
    <w:p w14:paraId="0CEE36EA">
      <w:pPr>
        <w:spacing w:before="285"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6</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5"/>
          <w:sz w:val="24"/>
          <w:szCs w:val="24"/>
          <w:highlight w:val="none"/>
        </w:rPr>
        <w:t>插入部外径:</w:t>
      </w:r>
      <w:r>
        <w:rPr>
          <w:rFonts w:hint="eastAsia" w:ascii="仿宋" w:hAnsi="仿宋" w:eastAsia="仿宋" w:cs="仿宋"/>
          <w:color w:val="auto"/>
          <w:spacing w:val="-108"/>
          <w:sz w:val="24"/>
          <w:szCs w:val="24"/>
          <w:highlight w:val="none"/>
        </w:rPr>
        <w:t xml:space="preserve"> </w:t>
      </w:r>
      <w:r>
        <w:rPr>
          <w:rFonts w:hint="eastAsia" w:ascii="仿宋" w:hAnsi="仿宋" w:eastAsia="仿宋" w:cs="仿宋"/>
          <w:color w:val="auto"/>
          <w:spacing w:val="-5"/>
          <w:sz w:val="24"/>
          <w:szCs w:val="24"/>
          <w:highlight w:val="none"/>
        </w:rPr>
        <w:t>≤13.5mm</w:t>
      </w:r>
    </w:p>
    <w:p w14:paraId="3DBBF599">
      <w:pPr>
        <w:spacing w:before="286"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7</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9"/>
          <w:sz w:val="24"/>
          <w:szCs w:val="24"/>
          <w:highlight w:val="none"/>
        </w:rPr>
        <w:t>弯曲角度:上：</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9"/>
          <w:sz w:val="24"/>
          <w:szCs w:val="24"/>
          <w:highlight w:val="none"/>
        </w:rPr>
        <w:t>≥120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9"/>
          <w:sz w:val="24"/>
          <w:szCs w:val="24"/>
          <w:highlight w:val="none"/>
        </w:rPr>
        <w:t>°下：</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9"/>
          <w:sz w:val="24"/>
          <w:szCs w:val="24"/>
          <w:highlight w:val="none"/>
        </w:rPr>
        <w:t>≥90</w:t>
      </w:r>
      <w:r>
        <w:rPr>
          <w:rFonts w:hint="eastAsia" w:ascii="仿宋" w:hAnsi="仿宋" w:eastAsia="仿宋" w:cs="仿宋"/>
          <w:color w:val="auto"/>
          <w:spacing w:val="-106"/>
          <w:sz w:val="24"/>
          <w:szCs w:val="24"/>
          <w:highlight w:val="none"/>
        </w:rPr>
        <w:t xml:space="preserve"> </w:t>
      </w:r>
      <w:r>
        <w:rPr>
          <w:rFonts w:hint="eastAsia" w:ascii="仿宋" w:hAnsi="仿宋" w:eastAsia="仿宋" w:cs="仿宋"/>
          <w:color w:val="auto"/>
          <w:spacing w:val="-9"/>
          <w:sz w:val="24"/>
          <w:szCs w:val="24"/>
          <w:highlight w:val="none"/>
        </w:rPr>
        <w:t>°右：</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9"/>
          <w:sz w:val="24"/>
          <w:szCs w:val="24"/>
          <w:highlight w:val="none"/>
        </w:rPr>
        <w:t>≥110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0"/>
          <w:sz w:val="24"/>
          <w:szCs w:val="24"/>
          <w:highlight w:val="none"/>
        </w:rPr>
        <w:t>左：</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10"/>
          <w:sz w:val="24"/>
          <w:szCs w:val="24"/>
          <w:highlight w:val="none"/>
        </w:rPr>
        <w:t>≥90</w:t>
      </w:r>
      <w:r>
        <w:rPr>
          <w:rFonts w:hint="eastAsia" w:ascii="仿宋" w:hAnsi="仿宋" w:eastAsia="仿宋" w:cs="仿宋"/>
          <w:color w:val="auto"/>
          <w:spacing w:val="-107"/>
          <w:sz w:val="24"/>
          <w:szCs w:val="24"/>
          <w:highlight w:val="none"/>
        </w:rPr>
        <w:t xml:space="preserve"> </w:t>
      </w:r>
      <w:r>
        <w:rPr>
          <w:rFonts w:hint="eastAsia" w:ascii="仿宋" w:hAnsi="仿宋" w:eastAsia="仿宋" w:cs="仿宋"/>
          <w:color w:val="auto"/>
          <w:spacing w:val="-10"/>
          <w:sz w:val="24"/>
          <w:szCs w:val="24"/>
          <w:highlight w:val="none"/>
        </w:rPr>
        <w:t>°</w:t>
      </w:r>
    </w:p>
    <w:p w14:paraId="6896FC6E">
      <w:pPr>
        <w:spacing w:before="286"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8</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有效长度:</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5"/>
          <w:sz w:val="24"/>
          <w:szCs w:val="24"/>
          <w:highlight w:val="none"/>
        </w:rPr>
        <w:t>≥1200mm</w:t>
      </w:r>
    </w:p>
    <w:p w14:paraId="27C5D27D">
      <w:pPr>
        <w:spacing w:before="286" w:line="226"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9</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7"/>
          <w:sz w:val="24"/>
          <w:szCs w:val="24"/>
          <w:highlight w:val="none"/>
        </w:rPr>
        <w:t>全长:</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7"/>
          <w:sz w:val="24"/>
          <w:szCs w:val="24"/>
          <w:highlight w:val="none"/>
        </w:rPr>
        <w:t>≥1500mm</w:t>
      </w:r>
    </w:p>
    <w:p w14:paraId="73F2674C">
      <w:pPr>
        <w:spacing w:before="28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钳子管道:内径≥4.0mm,最小可视距离距先端部</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3"/>
          <w:sz w:val="24"/>
          <w:szCs w:val="24"/>
          <w:highlight w:val="none"/>
        </w:rPr>
        <w:t>10mm</w:t>
      </w:r>
    </w:p>
    <w:p w14:paraId="1431CA5A">
      <w:pPr>
        <w:spacing w:before="286"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11</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6"/>
          <w:sz w:val="24"/>
          <w:szCs w:val="24"/>
          <w:highlight w:val="none"/>
        </w:rPr>
        <w:t>具备高频兼容性</w:t>
      </w:r>
    </w:p>
    <w:p w14:paraId="149E745D">
      <w:pPr>
        <w:spacing w:before="289"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12</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5"/>
          <w:sz w:val="24"/>
          <w:szCs w:val="24"/>
          <w:highlight w:val="none"/>
        </w:rPr>
        <w:t>具备内镜信息记忆功能</w:t>
      </w:r>
    </w:p>
    <w:p w14:paraId="48A346E3">
      <w:pPr>
        <w:spacing w:before="91" w:line="223" w:lineRule="auto"/>
        <w:ind w:left="14"/>
        <w:outlineLvl w:val="1"/>
        <w:rPr>
          <w:rFonts w:hint="eastAsia" w:ascii="仿宋" w:hAnsi="仿宋" w:eastAsia="仿宋" w:cs="仿宋"/>
          <w:color w:val="auto"/>
          <w:sz w:val="24"/>
          <w:szCs w:val="24"/>
          <w:highlight w:val="none"/>
        </w:rPr>
      </w:pPr>
      <w:bookmarkStart w:id="652" w:name="_Toc8228"/>
      <w:bookmarkStart w:id="653" w:name="_Toc25448"/>
      <w:bookmarkStart w:id="654" w:name="_Toc13664"/>
      <w:r>
        <w:rPr>
          <w:rFonts w:hint="eastAsia" w:ascii="仿宋" w:hAnsi="仿宋" w:eastAsia="仿宋" w:cs="仿宋"/>
          <w:b/>
          <w:bCs/>
          <w:color w:val="auto"/>
          <w:spacing w:val="-7"/>
          <w:sz w:val="24"/>
          <w:szCs w:val="24"/>
          <w:highlight w:val="none"/>
        </w:rPr>
        <w:t>五、治疗胃镜（1</w:t>
      </w:r>
      <w:r>
        <w:rPr>
          <w:rFonts w:hint="eastAsia" w:ascii="仿宋" w:hAnsi="仿宋" w:eastAsia="仿宋" w:cs="仿宋"/>
          <w:color w:val="auto"/>
          <w:spacing w:val="-46"/>
          <w:sz w:val="24"/>
          <w:szCs w:val="24"/>
          <w:highlight w:val="none"/>
        </w:rPr>
        <w:t xml:space="preserve"> </w:t>
      </w:r>
      <w:r>
        <w:rPr>
          <w:rFonts w:hint="eastAsia" w:ascii="仿宋" w:hAnsi="仿宋" w:eastAsia="仿宋" w:cs="仿宋"/>
          <w:b/>
          <w:bCs/>
          <w:color w:val="auto"/>
          <w:spacing w:val="-7"/>
          <w:sz w:val="24"/>
          <w:szCs w:val="24"/>
          <w:highlight w:val="none"/>
        </w:rPr>
        <w:t>条）</w:t>
      </w:r>
      <w:bookmarkEnd w:id="652"/>
      <w:bookmarkEnd w:id="653"/>
      <w:bookmarkEnd w:id="654"/>
    </w:p>
    <w:p w14:paraId="3924EB51">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1.支持特殊光：410nm≤波长1≤415nm,515nm≤波长2≤545nm（波长在范围内或者包含此范围）</w:t>
      </w:r>
    </w:p>
    <w:p w14:paraId="0BC231E6">
      <w:pPr>
        <w:spacing w:before="286"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6"/>
          <w:sz w:val="24"/>
          <w:szCs w:val="24"/>
          <w:highlight w:val="none"/>
        </w:rPr>
        <w:t>视野角度：</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≥140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w:t>
      </w:r>
    </w:p>
    <w:p w14:paraId="42601B28">
      <w:pPr>
        <w:spacing w:before="284"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3"/>
          <w:sz w:val="24"/>
          <w:szCs w:val="24"/>
          <w:highlight w:val="none"/>
        </w:rPr>
        <w:t>景深：3-100mm</w:t>
      </w:r>
    </w:p>
    <w:p w14:paraId="2C60CF6D">
      <w:pPr>
        <w:spacing w:before="285"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4</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6"/>
          <w:sz w:val="24"/>
          <w:szCs w:val="24"/>
          <w:highlight w:val="none"/>
        </w:rPr>
        <w:t>视野方向:0</w:t>
      </w:r>
      <w:r>
        <w:rPr>
          <w:rFonts w:hint="eastAsia" w:ascii="仿宋" w:hAnsi="仿宋" w:eastAsia="仿宋" w:cs="仿宋"/>
          <w:color w:val="auto"/>
          <w:spacing w:val="-107"/>
          <w:sz w:val="24"/>
          <w:szCs w:val="24"/>
          <w:highlight w:val="none"/>
        </w:rPr>
        <w:t xml:space="preserve"> </w:t>
      </w:r>
      <w:r>
        <w:rPr>
          <w:rFonts w:hint="eastAsia" w:ascii="仿宋" w:hAnsi="仿宋" w:eastAsia="仿宋" w:cs="仿宋"/>
          <w:color w:val="auto"/>
          <w:spacing w:val="-6"/>
          <w:sz w:val="24"/>
          <w:szCs w:val="24"/>
          <w:highlight w:val="none"/>
        </w:rPr>
        <w:t>°直视</w:t>
      </w:r>
    </w:p>
    <w:p w14:paraId="63119BC1">
      <w:pPr>
        <w:spacing w:before="285"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5</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12"/>
          <w:sz w:val="24"/>
          <w:szCs w:val="24"/>
          <w:highlight w:val="none"/>
        </w:rPr>
        <w:t>弯曲角度：向上≥210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83"/>
          <w:sz w:val="24"/>
          <w:szCs w:val="24"/>
          <w:highlight w:val="none"/>
        </w:rPr>
        <w:t xml:space="preserve"> </w:t>
      </w:r>
      <w:r>
        <w:rPr>
          <w:rFonts w:hint="eastAsia" w:ascii="仿宋" w:hAnsi="仿宋" w:eastAsia="仿宋" w:cs="仿宋"/>
          <w:color w:val="auto"/>
          <w:spacing w:val="-12"/>
          <w:sz w:val="24"/>
          <w:szCs w:val="24"/>
          <w:highlight w:val="none"/>
        </w:rPr>
        <w:t>下≥100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12"/>
          <w:sz w:val="24"/>
          <w:szCs w:val="24"/>
          <w:highlight w:val="none"/>
        </w:rPr>
        <w:t>,向右≥10</w:t>
      </w:r>
      <w:r>
        <w:rPr>
          <w:rFonts w:hint="eastAsia" w:ascii="仿宋" w:hAnsi="仿宋" w:eastAsia="仿宋" w:cs="仿宋"/>
          <w:color w:val="auto"/>
          <w:spacing w:val="-13"/>
          <w:sz w:val="24"/>
          <w:szCs w:val="24"/>
          <w:highlight w:val="none"/>
        </w:rPr>
        <w:t>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80"/>
          <w:sz w:val="24"/>
          <w:szCs w:val="24"/>
          <w:highlight w:val="none"/>
        </w:rPr>
        <w:t xml:space="preserve"> </w:t>
      </w:r>
      <w:r>
        <w:rPr>
          <w:rFonts w:hint="eastAsia" w:ascii="仿宋" w:hAnsi="仿宋" w:eastAsia="仿宋" w:cs="仿宋"/>
          <w:color w:val="auto"/>
          <w:spacing w:val="-13"/>
          <w:sz w:val="24"/>
          <w:szCs w:val="24"/>
          <w:highlight w:val="none"/>
        </w:rPr>
        <w:t>左≥100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13"/>
          <w:sz w:val="24"/>
          <w:szCs w:val="24"/>
          <w:highlight w:val="none"/>
        </w:rPr>
        <w:t>°</w:t>
      </w:r>
    </w:p>
    <w:p w14:paraId="13CA3FF2">
      <w:pPr>
        <w:spacing w:before="28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先端部外径：≤10.0mm</w:t>
      </w:r>
    </w:p>
    <w:p w14:paraId="09C199CA">
      <w:pPr>
        <w:spacing w:before="286"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3"/>
          <w:sz w:val="24"/>
          <w:szCs w:val="24"/>
          <w:highlight w:val="none"/>
        </w:rPr>
        <w:t>插入部外径：≤10.0mm</w:t>
      </w:r>
    </w:p>
    <w:p w14:paraId="573F230D">
      <w:pPr>
        <w:spacing w:before="285"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8</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器械钳道内径：</w:t>
      </w:r>
      <w:r>
        <w:rPr>
          <w:rFonts w:hint="eastAsia" w:ascii="仿宋" w:hAnsi="仿宋" w:eastAsia="仿宋" w:cs="仿宋"/>
          <w:color w:val="auto"/>
          <w:spacing w:val="-100"/>
          <w:sz w:val="24"/>
          <w:szCs w:val="24"/>
          <w:highlight w:val="none"/>
        </w:rPr>
        <w:t xml:space="preserve"> </w:t>
      </w:r>
      <w:r>
        <w:rPr>
          <w:rFonts w:hint="eastAsia" w:ascii="仿宋" w:hAnsi="仿宋" w:eastAsia="仿宋" w:cs="仿宋"/>
          <w:color w:val="auto"/>
          <w:spacing w:val="-5"/>
          <w:sz w:val="24"/>
          <w:szCs w:val="24"/>
          <w:highlight w:val="none"/>
        </w:rPr>
        <w:t>≥2.8mm</w:t>
      </w:r>
    </w:p>
    <w:p w14:paraId="7C127672">
      <w:pPr>
        <w:spacing w:before="287"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w:t>
      </w:r>
      <w:r>
        <w:rPr>
          <w:rFonts w:hint="eastAsia" w:ascii="仿宋" w:hAnsi="仿宋" w:eastAsia="仿宋" w:cs="仿宋"/>
          <w:color w:val="auto"/>
          <w:spacing w:val="-30"/>
          <w:sz w:val="24"/>
          <w:szCs w:val="24"/>
          <w:highlight w:val="none"/>
        </w:rPr>
        <w:t xml:space="preserve"> </w:t>
      </w:r>
      <w:r>
        <w:rPr>
          <w:rFonts w:hint="eastAsia" w:ascii="仿宋" w:hAnsi="仿宋" w:eastAsia="仿宋" w:cs="仿宋"/>
          <w:color w:val="auto"/>
          <w:spacing w:val="-5"/>
          <w:sz w:val="24"/>
          <w:szCs w:val="24"/>
          <w:highlight w:val="none"/>
        </w:rPr>
        <w:t>工作长度：</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5"/>
          <w:sz w:val="24"/>
          <w:szCs w:val="24"/>
          <w:highlight w:val="none"/>
        </w:rPr>
        <w:t>≥1010mm，总长度：</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5"/>
          <w:sz w:val="24"/>
          <w:szCs w:val="24"/>
          <w:highlight w:val="none"/>
        </w:rPr>
        <w:t>≥1300mm</w:t>
      </w:r>
    </w:p>
    <w:p w14:paraId="4D1EA08E">
      <w:pPr>
        <w:spacing w:before="290"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具有副送水功能</w:t>
      </w:r>
    </w:p>
    <w:p w14:paraId="6D11B463">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全防水设计，无需内镜电缆，无需防水盖</w:t>
      </w:r>
    </w:p>
    <w:p w14:paraId="18A13227">
      <w:pPr>
        <w:spacing w:before="91" w:line="222" w:lineRule="auto"/>
        <w:ind w:left="12"/>
        <w:outlineLvl w:val="1"/>
        <w:rPr>
          <w:rFonts w:hint="eastAsia" w:ascii="仿宋" w:hAnsi="仿宋" w:eastAsia="仿宋" w:cs="仿宋"/>
          <w:color w:val="auto"/>
          <w:sz w:val="24"/>
          <w:szCs w:val="24"/>
          <w:highlight w:val="none"/>
        </w:rPr>
      </w:pPr>
      <w:bookmarkStart w:id="655" w:name="_Toc12815"/>
      <w:bookmarkStart w:id="656" w:name="_Toc16976"/>
      <w:bookmarkStart w:id="657" w:name="_Toc2979"/>
      <w:r>
        <w:rPr>
          <w:rFonts w:hint="eastAsia" w:ascii="仿宋" w:hAnsi="仿宋" w:eastAsia="仿宋" w:cs="仿宋"/>
          <w:b/>
          <w:bCs/>
          <w:color w:val="auto"/>
          <w:spacing w:val="-10"/>
          <w:sz w:val="24"/>
          <w:szCs w:val="24"/>
          <w:highlight w:val="none"/>
        </w:rPr>
        <w:t>六、监视器（1</w:t>
      </w:r>
      <w:r>
        <w:rPr>
          <w:rFonts w:hint="eastAsia" w:ascii="仿宋" w:hAnsi="仿宋" w:eastAsia="仿宋" w:cs="仿宋"/>
          <w:color w:val="auto"/>
          <w:spacing w:val="-22"/>
          <w:sz w:val="24"/>
          <w:szCs w:val="24"/>
          <w:highlight w:val="none"/>
        </w:rPr>
        <w:t xml:space="preserve"> </w:t>
      </w:r>
      <w:r>
        <w:rPr>
          <w:rFonts w:hint="eastAsia" w:ascii="仿宋" w:hAnsi="仿宋" w:eastAsia="仿宋" w:cs="仿宋"/>
          <w:b/>
          <w:bCs/>
          <w:color w:val="auto"/>
          <w:spacing w:val="-10"/>
          <w:sz w:val="24"/>
          <w:szCs w:val="24"/>
          <w:highlight w:val="none"/>
        </w:rPr>
        <w:t>台）</w:t>
      </w:r>
      <w:bookmarkEnd w:id="655"/>
      <w:bookmarkEnd w:id="656"/>
      <w:bookmarkEnd w:id="657"/>
    </w:p>
    <w:p w14:paraId="08915365">
      <w:pPr>
        <w:spacing w:before="91" w:line="222" w:lineRule="auto"/>
        <w:ind w:left="2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≥27</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吋全</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3"/>
          <w:sz w:val="24"/>
          <w:szCs w:val="24"/>
          <w:highlight w:val="none"/>
        </w:rPr>
        <w:t>HD</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3"/>
          <w:sz w:val="24"/>
          <w:szCs w:val="24"/>
          <w:highlight w:val="none"/>
        </w:rPr>
        <w:t>的</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3"/>
          <w:sz w:val="24"/>
          <w:szCs w:val="24"/>
          <w:highlight w:val="none"/>
        </w:rPr>
        <w:t>LCD</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面板，屏幕长宽对比≥16</w:t>
      </w:r>
      <w:r>
        <w:rPr>
          <w:rFonts w:hint="eastAsia" w:ascii="仿宋" w:hAnsi="仿宋" w:eastAsia="仿宋" w:cs="仿宋"/>
          <w:color w:val="auto"/>
          <w:spacing w:val="-4"/>
          <w:sz w:val="24"/>
          <w:szCs w:val="24"/>
          <w:highlight w:val="none"/>
        </w:rPr>
        <w:t>:9，分辨率≥3840X2160。</w:t>
      </w:r>
    </w:p>
    <w:p w14:paraId="2EEB8A51">
      <w:pPr>
        <w:spacing w:before="92" w:line="220" w:lineRule="auto"/>
        <w:ind w:left="15"/>
        <w:outlineLvl w:val="1"/>
        <w:rPr>
          <w:rFonts w:hint="eastAsia" w:ascii="仿宋" w:hAnsi="仿宋" w:eastAsia="仿宋" w:cs="仿宋"/>
          <w:color w:val="auto"/>
          <w:sz w:val="24"/>
          <w:szCs w:val="24"/>
          <w:highlight w:val="none"/>
        </w:rPr>
      </w:pPr>
      <w:bookmarkStart w:id="658" w:name="_Toc17428"/>
      <w:bookmarkStart w:id="659" w:name="_Toc583"/>
      <w:bookmarkStart w:id="660" w:name="_Toc18302"/>
      <w:r>
        <w:rPr>
          <w:rFonts w:hint="eastAsia" w:ascii="仿宋" w:hAnsi="仿宋" w:eastAsia="仿宋" w:cs="仿宋"/>
          <w:b/>
          <w:bCs/>
          <w:color w:val="auto"/>
          <w:spacing w:val="-11"/>
          <w:sz w:val="24"/>
          <w:szCs w:val="24"/>
          <w:highlight w:val="none"/>
        </w:rPr>
        <w:t>七、台车（1</w:t>
      </w:r>
      <w:r>
        <w:rPr>
          <w:rFonts w:hint="eastAsia" w:ascii="仿宋" w:hAnsi="仿宋" w:eastAsia="仿宋" w:cs="仿宋"/>
          <w:color w:val="auto"/>
          <w:spacing w:val="-25"/>
          <w:sz w:val="24"/>
          <w:szCs w:val="24"/>
          <w:highlight w:val="none"/>
        </w:rPr>
        <w:t xml:space="preserve"> </w:t>
      </w:r>
      <w:r>
        <w:rPr>
          <w:rFonts w:hint="eastAsia" w:ascii="仿宋" w:hAnsi="仿宋" w:eastAsia="仿宋" w:cs="仿宋"/>
          <w:b/>
          <w:bCs/>
          <w:color w:val="auto"/>
          <w:spacing w:val="-11"/>
          <w:sz w:val="24"/>
          <w:szCs w:val="24"/>
          <w:highlight w:val="none"/>
        </w:rPr>
        <w:t>台）</w:t>
      </w:r>
      <w:bookmarkEnd w:id="658"/>
      <w:bookmarkEnd w:id="659"/>
      <w:bookmarkEnd w:id="660"/>
    </w:p>
    <w:p w14:paraId="48355DD2">
      <w:pPr>
        <w:spacing w:before="91" w:line="412" w:lineRule="auto"/>
        <w:ind w:left="16" w:right="80" w:firstLine="5"/>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1、医用专用高级台车。支持液晶监视器，并可随意调整监视器角度，配有推拉</w:t>
      </w:r>
      <w:r>
        <w:rPr>
          <w:rFonts w:hint="eastAsia" w:ascii="仿宋" w:hAnsi="仿宋" w:eastAsia="仿宋" w:cs="仿宋"/>
          <w:color w:val="auto"/>
          <w:spacing w:val="-2"/>
          <w:sz w:val="24"/>
          <w:szCs w:val="24"/>
          <w:highlight w:val="none"/>
        </w:rPr>
        <w:t>式键盘托板、内镜支架、可调高度的隔板。</w:t>
      </w:r>
    </w:p>
    <w:p w14:paraId="0986EA34">
      <w:pPr>
        <w:spacing w:before="277" w:line="221" w:lineRule="auto"/>
        <w:ind w:left="8"/>
        <w:outlineLvl w:val="1"/>
        <w:rPr>
          <w:rFonts w:hint="eastAsia" w:ascii="仿宋" w:hAnsi="仿宋" w:eastAsia="仿宋" w:cs="仿宋"/>
          <w:color w:val="auto"/>
          <w:sz w:val="24"/>
          <w:szCs w:val="24"/>
          <w:highlight w:val="none"/>
        </w:rPr>
      </w:pPr>
      <w:bookmarkStart w:id="661" w:name="_Toc9827"/>
      <w:bookmarkStart w:id="662" w:name="_Toc8706"/>
      <w:bookmarkStart w:id="663" w:name="_Toc27836"/>
      <w:r>
        <w:rPr>
          <w:rFonts w:hint="eastAsia" w:ascii="仿宋" w:hAnsi="仿宋" w:eastAsia="仿宋" w:cs="仿宋"/>
          <w:b/>
          <w:bCs/>
          <w:color w:val="auto"/>
          <w:spacing w:val="-6"/>
          <w:sz w:val="24"/>
          <w:szCs w:val="24"/>
          <w:highlight w:val="none"/>
        </w:rPr>
        <w:t>八、工作站</w:t>
      </w:r>
      <w:bookmarkEnd w:id="661"/>
      <w:bookmarkEnd w:id="662"/>
      <w:bookmarkEnd w:id="663"/>
    </w:p>
    <w:p w14:paraId="3197539B">
      <w:pPr>
        <w:spacing w:before="92" w:line="217"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清晰度：≥1080p，CPU：I3</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7"/>
          <w:sz w:val="24"/>
          <w:szCs w:val="24"/>
          <w:highlight w:val="none"/>
        </w:rPr>
        <w:t>及以上，内存≥8G，硬盘≥1T，显示器≥26</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7"/>
          <w:sz w:val="24"/>
          <w:szCs w:val="24"/>
          <w:highlight w:val="none"/>
        </w:rPr>
        <w:t>吋，</w:t>
      </w:r>
    </w:p>
    <w:p w14:paraId="29F354EE">
      <w:pPr>
        <w:spacing w:before="9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喷墨打印机</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24"/>
          <w:sz w:val="24"/>
          <w:szCs w:val="24"/>
          <w:highlight w:val="none"/>
        </w:rPr>
        <w:t xml:space="preserve"> </w:t>
      </w:r>
      <w:r>
        <w:rPr>
          <w:rFonts w:hint="eastAsia" w:ascii="仿宋" w:hAnsi="仿宋" w:eastAsia="仿宋" w:cs="仿宋"/>
          <w:color w:val="auto"/>
          <w:spacing w:val="-14"/>
          <w:sz w:val="24"/>
          <w:szCs w:val="24"/>
          <w:highlight w:val="none"/>
        </w:rPr>
        <w:t>台。</w:t>
      </w:r>
    </w:p>
    <w:p w14:paraId="7F2CB47C">
      <w:pPr>
        <w:spacing w:before="91" w:line="223" w:lineRule="auto"/>
        <w:ind w:left="359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胃肠镜系统配置要求</w:t>
      </w:r>
    </w:p>
    <w:p w14:paraId="501A8612">
      <w:pPr>
        <w:spacing w:line="113" w:lineRule="exact"/>
        <w:rPr>
          <w:rFonts w:hint="eastAsia" w:ascii="仿宋" w:hAnsi="仿宋" w:eastAsia="仿宋" w:cs="仿宋"/>
          <w:color w:val="auto"/>
          <w:sz w:val="24"/>
          <w:szCs w:val="24"/>
          <w:highlight w:val="none"/>
        </w:rPr>
      </w:pPr>
    </w:p>
    <w:tbl>
      <w:tblPr>
        <w:tblStyle w:val="18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09"/>
        <w:gridCol w:w="5645"/>
        <w:gridCol w:w="1606"/>
      </w:tblGrid>
      <w:tr w14:paraId="5EA73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908" w:type="pct"/>
            <w:tcBorders>
              <w:top w:val="single" w:color="000000" w:sz="10" w:space="0"/>
              <w:left w:val="single" w:color="000000" w:sz="10" w:space="0"/>
            </w:tcBorders>
            <w:vAlign w:val="top"/>
          </w:tcPr>
          <w:p w14:paraId="384448CE">
            <w:pPr>
              <w:pStyle w:val="188"/>
              <w:spacing w:before="221" w:line="223" w:lineRule="auto"/>
              <w:ind w:left="265"/>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序号</w:t>
            </w:r>
          </w:p>
        </w:tc>
        <w:tc>
          <w:tcPr>
            <w:tcW w:w="3184" w:type="pct"/>
            <w:tcBorders>
              <w:top w:val="single" w:color="000000" w:sz="10" w:space="0"/>
            </w:tcBorders>
            <w:vAlign w:val="top"/>
          </w:tcPr>
          <w:p w14:paraId="78079A97">
            <w:pPr>
              <w:pStyle w:val="188"/>
              <w:spacing w:before="221" w:line="222" w:lineRule="auto"/>
              <w:ind w:left="1640"/>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名称</w:t>
            </w:r>
          </w:p>
        </w:tc>
        <w:tc>
          <w:tcPr>
            <w:tcW w:w="906" w:type="pct"/>
            <w:tcBorders>
              <w:top w:val="single" w:color="000000" w:sz="10" w:space="0"/>
              <w:right w:val="single" w:color="000000" w:sz="10" w:space="0"/>
            </w:tcBorders>
            <w:vAlign w:val="top"/>
          </w:tcPr>
          <w:p w14:paraId="029A3BBE">
            <w:pPr>
              <w:pStyle w:val="188"/>
              <w:spacing w:before="221" w:line="224" w:lineRule="auto"/>
              <w:ind w:left="280"/>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数量</w:t>
            </w:r>
          </w:p>
        </w:tc>
      </w:tr>
      <w:tr w14:paraId="7CAC2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08" w:type="pct"/>
            <w:tcBorders>
              <w:left w:val="single" w:color="000000" w:sz="10" w:space="0"/>
            </w:tcBorders>
            <w:vAlign w:val="top"/>
          </w:tcPr>
          <w:p w14:paraId="5F507E36">
            <w:pPr>
              <w:pStyle w:val="188"/>
              <w:spacing w:before="218" w:line="369" w:lineRule="exact"/>
              <w:ind w:left="488"/>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c>
          <w:tcPr>
            <w:tcW w:w="3184" w:type="pct"/>
            <w:vAlign w:val="top"/>
          </w:tcPr>
          <w:p w14:paraId="70E84ED6">
            <w:pPr>
              <w:pStyle w:val="188"/>
              <w:spacing w:before="219" w:line="222" w:lineRule="auto"/>
              <w:ind w:left="1108"/>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图像处理装置</w:t>
            </w:r>
          </w:p>
        </w:tc>
        <w:tc>
          <w:tcPr>
            <w:tcW w:w="906" w:type="pct"/>
            <w:tcBorders>
              <w:right w:val="single" w:color="000000" w:sz="10" w:space="0"/>
            </w:tcBorders>
            <w:vAlign w:val="top"/>
          </w:tcPr>
          <w:p w14:paraId="318B558E">
            <w:pPr>
              <w:pStyle w:val="188"/>
              <w:spacing w:before="218"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34653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908" w:type="pct"/>
            <w:tcBorders>
              <w:left w:val="single" w:color="000000" w:sz="10" w:space="0"/>
            </w:tcBorders>
            <w:vAlign w:val="top"/>
          </w:tcPr>
          <w:p w14:paraId="5A442191">
            <w:pPr>
              <w:pStyle w:val="188"/>
              <w:spacing w:before="218" w:line="369" w:lineRule="exact"/>
              <w:ind w:left="471"/>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2</w:t>
            </w:r>
          </w:p>
        </w:tc>
        <w:tc>
          <w:tcPr>
            <w:tcW w:w="3184" w:type="pct"/>
            <w:vAlign w:val="top"/>
          </w:tcPr>
          <w:p w14:paraId="7D6E9474">
            <w:pPr>
              <w:pStyle w:val="188"/>
              <w:spacing w:before="218" w:line="224" w:lineRule="auto"/>
              <w:ind w:left="1389"/>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电子胃镜</w:t>
            </w:r>
          </w:p>
        </w:tc>
        <w:tc>
          <w:tcPr>
            <w:tcW w:w="906" w:type="pct"/>
            <w:tcBorders>
              <w:right w:val="single" w:color="000000" w:sz="10" w:space="0"/>
            </w:tcBorders>
            <w:vAlign w:val="top"/>
          </w:tcPr>
          <w:p w14:paraId="0D512B7D">
            <w:pPr>
              <w:pStyle w:val="188"/>
              <w:spacing w:before="218"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7C656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908" w:type="pct"/>
            <w:tcBorders>
              <w:left w:val="single" w:color="000000" w:sz="10" w:space="0"/>
            </w:tcBorders>
            <w:vAlign w:val="top"/>
          </w:tcPr>
          <w:p w14:paraId="41AE411A">
            <w:pPr>
              <w:pStyle w:val="188"/>
              <w:spacing w:before="219" w:line="242" w:lineRule="auto"/>
              <w:ind w:left="473"/>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3</w:t>
            </w:r>
          </w:p>
        </w:tc>
        <w:tc>
          <w:tcPr>
            <w:tcW w:w="3184" w:type="pct"/>
            <w:vAlign w:val="top"/>
          </w:tcPr>
          <w:p w14:paraId="1FFEF10F">
            <w:pPr>
              <w:pStyle w:val="188"/>
              <w:spacing w:before="219" w:line="224" w:lineRule="auto"/>
              <w:ind w:left="1250"/>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电子结肠镜</w:t>
            </w:r>
          </w:p>
        </w:tc>
        <w:tc>
          <w:tcPr>
            <w:tcW w:w="906" w:type="pct"/>
            <w:tcBorders>
              <w:right w:val="single" w:color="000000" w:sz="10" w:space="0"/>
            </w:tcBorders>
            <w:vAlign w:val="top"/>
          </w:tcPr>
          <w:p w14:paraId="366D731F">
            <w:pPr>
              <w:pStyle w:val="188"/>
              <w:spacing w:before="219" w:line="369" w:lineRule="exact"/>
              <w:ind w:left="487"/>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2</w:t>
            </w:r>
          </w:p>
        </w:tc>
      </w:tr>
      <w:tr w14:paraId="118E5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908" w:type="pct"/>
            <w:tcBorders>
              <w:left w:val="single" w:color="000000" w:sz="10" w:space="0"/>
            </w:tcBorders>
            <w:vAlign w:val="top"/>
          </w:tcPr>
          <w:p w14:paraId="220F5CE2">
            <w:pPr>
              <w:pStyle w:val="188"/>
              <w:spacing w:before="220" w:line="369" w:lineRule="exact"/>
              <w:ind w:left="466"/>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4</w:t>
            </w:r>
          </w:p>
        </w:tc>
        <w:tc>
          <w:tcPr>
            <w:tcW w:w="3184" w:type="pct"/>
            <w:vAlign w:val="top"/>
          </w:tcPr>
          <w:p w14:paraId="36440E3A">
            <w:pPr>
              <w:pStyle w:val="188"/>
              <w:spacing w:before="220" w:line="223" w:lineRule="auto"/>
              <w:ind w:left="691"/>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电子十二指肠内窥镜</w:t>
            </w:r>
          </w:p>
        </w:tc>
        <w:tc>
          <w:tcPr>
            <w:tcW w:w="906" w:type="pct"/>
            <w:tcBorders>
              <w:right w:val="single" w:color="000000" w:sz="10" w:space="0"/>
            </w:tcBorders>
            <w:vAlign w:val="top"/>
          </w:tcPr>
          <w:p w14:paraId="13D07869">
            <w:pPr>
              <w:pStyle w:val="188"/>
              <w:spacing w:before="220"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6C3F0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08" w:type="pct"/>
            <w:tcBorders>
              <w:left w:val="single" w:color="000000" w:sz="10" w:space="0"/>
            </w:tcBorders>
            <w:vAlign w:val="top"/>
          </w:tcPr>
          <w:p w14:paraId="458F8CA8">
            <w:pPr>
              <w:pStyle w:val="188"/>
              <w:spacing w:before="221" w:line="242" w:lineRule="auto"/>
              <w:ind w:left="473"/>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5</w:t>
            </w:r>
          </w:p>
        </w:tc>
        <w:tc>
          <w:tcPr>
            <w:tcW w:w="3184" w:type="pct"/>
            <w:vAlign w:val="top"/>
          </w:tcPr>
          <w:p w14:paraId="491FEECA">
            <w:pPr>
              <w:pStyle w:val="188"/>
              <w:spacing w:before="221" w:line="223" w:lineRule="auto"/>
              <w:ind w:left="1085"/>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治疗电子胃镜</w:t>
            </w:r>
          </w:p>
        </w:tc>
        <w:tc>
          <w:tcPr>
            <w:tcW w:w="906" w:type="pct"/>
            <w:tcBorders>
              <w:right w:val="single" w:color="000000" w:sz="10" w:space="0"/>
            </w:tcBorders>
            <w:vAlign w:val="top"/>
          </w:tcPr>
          <w:p w14:paraId="6CD12C69">
            <w:pPr>
              <w:pStyle w:val="188"/>
              <w:spacing w:before="221"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54DA1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908" w:type="pct"/>
            <w:tcBorders>
              <w:left w:val="single" w:color="000000" w:sz="10" w:space="0"/>
            </w:tcBorders>
            <w:vAlign w:val="top"/>
          </w:tcPr>
          <w:p w14:paraId="14725A34">
            <w:pPr>
              <w:pStyle w:val="188"/>
              <w:spacing w:before="221" w:line="242" w:lineRule="auto"/>
              <w:ind w:left="470"/>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6</w:t>
            </w:r>
          </w:p>
        </w:tc>
        <w:tc>
          <w:tcPr>
            <w:tcW w:w="3184" w:type="pct"/>
            <w:vAlign w:val="top"/>
          </w:tcPr>
          <w:p w14:paraId="20D8ABAC">
            <w:pPr>
              <w:pStyle w:val="188"/>
              <w:spacing w:before="222" w:line="224" w:lineRule="auto"/>
              <w:ind w:left="1315"/>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4K 监视器</w:t>
            </w:r>
          </w:p>
        </w:tc>
        <w:tc>
          <w:tcPr>
            <w:tcW w:w="906" w:type="pct"/>
            <w:tcBorders>
              <w:right w:val="single" w:color="000000" w:sz="10" w:space="0"/>
            </w:tcBorders>
            <w:vAlign w:val="top"/>
          </w:tcPr>
          <w:p w14:paraId="5A2EB5F6">
            <w:pPr>
              <w:pStyle w:val="188"/>
              <w:spacing w:before="221"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1B260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908" w:type="pct"/>
            <w:tcBorders>
              <w:left w:val="single" w:color="000000" w:sz="10" w:space="0"/>
            </w:tcBorders>
            <w:vAlign w:val="top"/>
          </w:tcPr>
          <w:p w14:paraId="2906172D">
            <w:pPr>
              <w:pStyle w:val="188"/>
              <w:spacing w:before="222" w:line="242" w:lineRule="auto"/>
              <w:ind w:left="47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7</w:t>
            </w:r>
          </w:p>
        </w:tc>
        <w:tc>
          <w:tcPr>
            <w:tcW w:w="3184" w:type="pct"/>
            <w:vAlign w:val="top"/>
          </w:tcPr>
          <w:p w14:paraId="01F496FE">
            <w:pPr>
              <w:pStyle w:val="188"/>
              <w:spacing w:before="222" w:line="220" w:lineRule="auto"/>
              <w:ind w:left="1666"/>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台车</w:t>
            </w:r>
          </w:p>
        </w:tc>
        <w:tc>
          <w:tcPr>
            <w:tcW w:w="906" w:type="pct"/>
            <w:tcBorders>
              <w:right w:val="single" w:color="000000" w:sz="10" w:space="0"/>
            </w:tcBorders>
            <w:vAlign w:val="top"/>
          </w:tcPr>
          <w:p w14:paraId="555B62B7">
            <w:pPr>
              <w:pStyle w:val="188"/>
              <w:spacing w:before="222"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r w14:paraId="53EB7A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08" w:type="pct"/>
            <w:tcBorders>
              <w:left w:val="single" w:color="000000" w:sz="10" w:space="0"/>
            </w:tcBorders>
            <w:vAlign w:val="top"/>
          </w:tcPr>
          <w:p w14:paraId="2E455D14">
            <w:pPr>
              <w:pStyle w:val="188"/>
              <w:spacing w:before="222" w:line="242" w:lineRule="auto"/>
              <w:ind w:left="468"/>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8</w:t>
            </w:r>
          </w:p>
        </w:tc>
        <w:tc>
          <w:tcPr>
            <w:tcW w:w="3184" w:type="pct"/>
            <w:vAlign w:val="top"/>
          </w:tcPr>
          <w:p w14:paraId="4AC73226">
            <w:pPr>
              <w:pStyle w:val="188"/>
              <w:spacing w:before="222" w:line="221" w:lineRule="auto"/>
              <w:ind w:left="1247"/>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图文工作站</w:t>
            </w:r>
          </w:p>
        </w:tc>
        <w:tc>
          <w:tcPr>
            <w:tcW w:w="906" w:type="pct"/>
            <w:tcBorders>
              <w:right w:val="single" w:color="000000" w:sz="10" w:space="0"/>
            </w:tcBorders>
            <w:vAlign w:val="top"/>
          </w:tcPr>
          <w:p w14:paraId="65BF6555">
            <w:pPr>
              <w:pStyle w:val="188"/>
              <w:spacing w:before="222" w:line="369" w:lineRule="exact"/>
              <w:ind w:left="504"/>
              <w:rPr>
                <w:rFonts w:hint="eastAsia" w:ascii="仿宋" w:hAnsi="仿宋" w:eastAsia="仿宋" w:cs="仿宋"/>
                <w:color w:val="auto"/>
                <w:spacing w:val="-6"/>
                <w:kern w:val="2"/>
                <w:sz w:val="24"/>
                <w:szCs w:val="24"/>
                <w:highlight w:val="none"/>
                <w:lang w:val="en-US" w:eastAsia="zh-CN" w:bidi="ar-SA"/>
              </w:rPr>
            </w:pPr>
            <w:r>
              <w:rPr>
                <w:rFonts w:hint="eastAsia" w:ascii="仿宋" w:hAnsi="仿宋" w:eastAsia="仿宋" w:cs="仿宋"/>
                <w:color w:val="auto"/>
                <w:spacing w:val="-6"/>
                <w:kern w:val="2"/>
                <w:sz w:val="24"/>
                <w:szCs w:val="24"/>
                <w:highlight w:val="none"/>
                <w:lang w:val="en-US" w:eastAsia="zh-CN" w:bidi="ar-SA"/>
              </w:rPr>
              <w:t>1</w:t>
            </w:r>
          </w:p>
        </w:tc>
      </w:tr>
    </w:tbl>
    <w:p w14:paraId="01F703D6">
      <w:pP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br w:type="page"/>
      </w:r>
    </w:p>
    <w:p w14:paraId="6EA602C6">
      <w:pPr>
        <w:rPr>
          <w:rFonts w:hint="eastAsia" w:ascii="仿宋" w:hAnsi="仿宋" w:eastAsia="仿宋" w:cs="仿宋"/>
          <w:b/>
          <w:bCs/>
          <w:color w:val="auto"/>
          <w:kern w:val="44"/>
          <w:sz w:val="24"/>
          <w:szCs w:val="24"/>
          <w:highlight w:val="none"/>
          <w:lang w:val="en-US" w:eastAsia="zh-CN" w:bidi="ar-SA"/>
          <w14:ligatures w14:val="standardContextual"/>
        </w:rPr>
      </w:pPr>
    </w:p>
    <w:p w14:paraId="0A3DE65A">
      <w:pPr>
        <w:spacing w:before="91" w:line="222" w:lineRule="auto"/>
        <w:ind w:left="2399"/>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lang w:val="en-US" w:eastAsia="zh-CN"/>
        </w:rPr>
        <w:t>2.</w:t>
      </w:r>
      <w:r>
        <w:rPr>
          <w:rFonts w:hint="eastAsia" w:ascii="仿宋" w:hAnsi="仿宋" w:eastAsia="仿宋" w:cs="仿宋"/>
          <w:b/>
          <w:bCs/>
          <w:color w:val="auto"/>
          <w:spacing w:val="-5"/>
          <w:sz w:val="24"/>
          <w:szCs w:val="24"/>
          <w:highlight w:val="none"/>
        </w:rPr>
        <w:t>静脉腔内射频闭合发生器参数</w:t>
      </w:r>
    </w:p>
    <w:p w14:paraId="582D13C6">
      <w:pPr>
        <w:spacing w:before="91"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1.主机参数</w:t>
      </w:r>
    </w:p>
    <w:p w14:paraId="679D08AA">
      <w:pPr>
        <w:spacing w:before="285" w:line="224"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3"/>
          <w:sz w:val="24"/>
          <w:szCs w:val="24"/>
          <w:highlight w:val="none"/>
        </w:rPr>
        <w:t>射频频率:400kHlz±25kHz</w:t>
      </w:r>
    </w:p>
    <w:p w14:paraId="43BDF168">
      <w:pPr>
        <w:spacing w:before="284"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2"/>
          <w:sz w:val="24"/>
          <w:szCs w:val="24"/>
          <w:highlight w:val="none"/>
        </w:rPr>
        <w:t>额定输出功率:功率模式≤45W；定时模式≤45W</w:t>
      </w:r>
    </w:p>
    <w:p w14:paraId="287010B0">
      <w:pPr>
        <w:spacing w:before="286"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4"/>
          <w:sz w:val="24"/>
          <w:szCs w:val="24"/>
          <w:highlight w:val="none"/>
        </w:rPr>
        <w:t>阻抗监测范围:20~230</w:t>
      </w:r>
      <w:r>
        <w:rPr>
          <w:rFonts w:hint="eastAsia" w:ascii="仿宋" w:hAnsi="仿宋" w:eastAsia="仿宋" w:cs="仿宋"/>
          <w:color w:val="auto"/>
          <w:spacing w:val="-78"/>
          <w:sz w:val="24"/>
          <w:szCs w:val="24"/>
          <w:highlight w:val="none"/>
        </w:rPr>
        <w:t xml:space="preserve"> </w:t>
      </w:r>
      <w:r>
        <w:rPr>
          <w:rFonts w:hint="eastAsia" w:ascii="仿宋" w:hAnsi="仿宋" w:eastAsia="仿宋" w:cs="仿宋"/>
          <w:color w:val="auto"/>
          <w:spacing w:val="-4"/>
          <w:sz w:val="24"/>
          <w:szCs w:val="24"/>
          <w:highlight w:val="none"/>
        </w:rPr>
        <w:t>Ω</w:t>
      </w:r>
    </w:p>
    <w:p w14:paraId="0ECC8372">
      <w:pPr>
        <w:spacing w:before="288"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2.主机功能</w:t>
      </w:r>
    </w:p>
    <w:p w14:paraId="4EB775DE">
      <w:pPr>
        <w:spacing w:before="286"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2.1</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2"/>
          <w:sz w:val="24"/>
          <w:szCs w:val="24"/>
          <w:highlight w:val="none"/>
        </w:rPr>
        <w:t>导管自动识别，并有代码显示</w:t>
      </w:r>
    </w:p>
    <w:p w14:paraId="5DE121FE">
      <w:pPr>
        <w:spacing w:before="290"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2.2</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功率模式:0~45W</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可调，调节步</w:t>
      </w:r>
      <w:r>
        <w:rPr>
          <w:rFonts w:hint="eastAsia" w:ascii="仿宋" w:hAnsi="仿宋" w:eastAsia="仿宋" w:cs="仿宋"/>
          <w:color w:val="auto"/>
          <w:spacing w:val="-4"/>
          <w:sz w:val="24"/>
          <w:szCs w:val="24"/>
          <w:highlight w:val="none"/>
        </w:rPr>
        <w:t>进为</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4"/>
          <w:sz w:val="24"/>
          <w:szCs w:val="24"/>
          <w:highlight w:val="none"/>
        </w:rPr>
        <w:t>5W</w:t>
      </w:r>
    </w:p>
    <w:p w14:paraId="4433C15E">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2.3</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定时模式:0~10s</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可调，调节步进为</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3"/>
          <w:sz w:val="24"/>
          <w:szCs w:val="24"/>
          <w:highlight w:val="none"/>
        </w:rPr>
        <w:t>1s</w:t>
      </w:r>
    </w:p>
    <w:p w14:paraId="4EF477AC">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2.4</w:t>
      </w:r>
      <w:r>
        <w:rPr>
          <w:rFonts w:hint="eastAsia" w:ascii="仿宋" w:hAnsi="仿宋" w:eastAsia="仿宋" w:cs="仿宋"/>
          <w:color w:val="auto"/>
          <w:spacing w:val="-26"/>
          <w:sz w:val="24"/>
          <w:szCs w:val="24"/>
          <w:highlight w:val="none"/>
        </w:rPr>
        <w:t xml:space="preserve"> </w:t>
      </w:r>
      <w:r>
        <w:rPr>
          <w:rFonts w:hint="eastAsia" w:ascii="仿宋" w:hAnsi="仿宋" w:eastAsia="仿宋" w:cs="仿宋"/>
          <w:color w:val="auto"/>
          <w:spacing w:val="-3"/>
          <w:sz w:val="24"/>
          <w:szCs w:val="24"/>
          <w:highlight w:val="none"/>
        </w:rPr>
        <w:t>阻抗监测:全程监测病灶的阻抗变化</w:t>
      </w:r>
    </w:p>
    <w:p w14:paraId="6F4DAC90">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2.5</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4"/>
          <w:sz w:val="24"/>
          <w:szCs w:val="24"/>
          <w:highlight w:val="none"/>
        </w:rPr>
        <w:t>冷循环控制系统</w:t>
      </w:r>
    </w:p>
    <w:p w14:paraId="05FE9B68">
      <w:pPr>
        <w:spacing w:before="288"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2.6</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1"/>
          <w:sz w:val="24"/>
          <w:szCs w:val="24"/>
          <w:highlight w:val="none"/>
        </w:rPr>
        <w:t>功率模式下保护功能:当病灶阻抗达到阈值时，</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1"/>
          <w:sz w:val="24"/>
          <w:szCs w:val="24"/>
          <w:highlight w:val="none"/>
        </w:rPr>
        <w:t>自动停止射频</w:t>
      </w:r>
      <w:r>
        <w:rPr>
          <w:rFonts w:hint="eastAsia" w:ascii="仿宋" w:hAnsi="仿宋" w:eastAsia="仿宋" w:cs="仿宋"/>
          <w:color w:val="auto"/>
          <w:spacing w:val="-10"/>
          <w:sz w:val="24"/>
          <w:szCs w:val="24"/>
          <w:highlight w:val="none"/>
        </w:rPr>
        <w:t>输出</w:t>
      </w:r>
    </w:p>
    <w:p w14:paraId="58B44AAF">
      <w:pPr>
        <w:spacing w:before="1"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2.7</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4"/>
          <w:sz w:val="24"/>
          <w:szCs w:val="24"/>
          <w:highlight w:val="none"/>
        </w:rPr>
        <w:t>定时模式下保护功能:</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4"/>
          <w:sz w:val="24"/>
          <w:szCs w:val="24"/>
          <w:highlight w:val="none"/>
        </w:rPr>
        <w:t>自适应脉冲功能始终处于运行状态</w:t>
      </w:r>
    </w:p>
    <w:p w14:paraId="634625DB">
      <w:pPr>
        <w:spacing w:before="288"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3.导管</w:t>
      </w:r>
    </w:p>
    <w:p w14:paraId="7BE74052">
      <w:pPr>
        <w:spacing w:before="285"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3.1 一次性使用静脉腔内射频闭合导管:具有冷循环结构，导管总长度≥900mm，工作端长度≥5mm，工作端直径≥1.5mm。</w:t>
      </w:r>
    </w:p>
    <w:p w14:paraId="01EECCCB">
      <w:pPr>
        <w:spacing w:before="1"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4.辅助功能</w:t>
      </w:r>
    </w:p>
    <w:p w14:paraId="12CC8A89">
      <w:pPr>
        <w:spacing w:before="28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4.1 自检功能:具有开机自检功能。</w:t>
      </w:r>
    </w:p>
    <w:p w14:paraId="0D357C91">
      <w:pPr>
        <w:spacing w:before="289" w:line="221" w:lineRule="auto"/>
        <w:ind w:right="2"/>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电极检测功能:具有导管和中性电极断开检测功能，并停止能</w:t>
      </w:r>
      <w:r>
        <w:rPr>
          <w:rFonts w:hint="eastAsia" w:ascii="仿宋" w:hAnsi="仿宋" w:eastAsia="仿宋" w:cs="仿宋"/>
          <w:color w:val="auto"/>
          <w:spacing w:val="-3"/>
          <w:sz w:val="24"/>
          <w:szCs w:val="24"/>
          <w:highlight w:val="none"/>
        </w:rPr>
        <w:t>量输出，更加安全可靠。</w:t>
      </w:r>
    </w:p>
    <w:p w14:paraId="6FAA06A5">
      <w:pPr>
        <w:spacing w:before="285" w:line="223"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三、配置要求:</w:t>
      </w:r>
    </w:p>
    <w:p w14:paraId="00BB15B0">
      <w:pPr>
        <w:spacing w:before="285" w:line="224"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1.静脉腔内射频闭合发生器主机 1 台</w:t>
      </w:r>
    </w:p>
    <w:p w14:paraId="29158F10">
      <w:pPr>
        <w:spacing w:before="285" w:line="224"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2.台车 1台</w:t>
      </w:r>
    </w:p>
    <w:p w14:paraId="538C2DED">
      <w:pPr>
        <w:spacing w:before="285" w:line="224"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3.中性电极电缆 1 根（若有）</w:t>
      </w:r>
    </w:p>
    <w:p w14:paraId="3A6BC207">
      <w:pPr>
        <w:spacing w:before="285" w:line="224"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4.脚踏开关 1 个（若有）</w:t>
      </w:r>
    </w:p>
    <w:p w14:paraId="5F737377">
      <w:pPr>
        <w:spacing w:before="285" w:line="224"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5.蠕动泵 1 个</w:t>
      </w:r>
    </w:p>
    <w:p w14:paraId="0C8974C1">
      <w:pPr>
        <w:jc w:val="left"/>
        <w:rPr>
          <w:rFonts w:hint="eastAsia" w:ascii="仿宋" w:hAnsi="仿宋" w:eastAsia="仿宋" w:cs="仿宋"/>
          <w:color w:val="auto"/>
          <w:spacing w:val="-7"/>
          <w:sz w:val="24"/>
          <w:szCs w:val="24"/>
          <w:highlight w:val="none"/>
        </w:rPr>
      </w:pPr>
    </w:p>
    <w:p w14:paraId="2DE36C2F">
      <w:pPr>
        <w:spacing w:before="91" w:line="222" w:lineRule="auto"/>
        <w:ind w:left="3093"/>
        <w:outlineLvl w:val="0"/>
        <w:rPr>
          <w:rFonts w:hint="eastAsia" w:ascii="仿宋" w:hAnsi="仿宋" w:eastAsia="仿宋" w:cs="仿宋"/>
          <w:color w:val="auto"/>
          <w:sz w:val="24"/>
          <w:szCs w:val="24"/>
          <w:highlight w:val="none"/>
        </w:rPr>
      </w:pPr>
      <w:bookmarkStart w:id="664" w:name="_Toc1982"/>
      <w:bookmarkStart w:id="665" w:name="_Toc20292"/>
      <w:bookmarkStart w:id="666" w:name="_Toc18360"/>
      <w:r>
        <w:rPr>
          <w:rFonts w:hint="eastAsia" w:ascii="仿宋" w:hAnsi="仿宋" w:eastAsia="仿宋" w:cs="仿宋"/>
          <w:b/>
          <w:bCs/>
          <w:color w:val="auto"/>
          <w:spacing w:val="-5"/>
          <w:sz w:val="24"/>
          <w:szCs w:val="24"/>
          <w:highlight w:val="none"/>
          <w:lang w:val="en-US" w:eastAsia="zh-CN"/>
        </w:rPr>
        <w:t>3.</w:t>
      </w:r>
      <w:r>
        <w:rPr>
          <w:rFonts w:hint="eastAsia" w:ascii="仿宋" w:hAnsi="仿宋" w:eastAsia="仿宋" w:cs="仿宋"/>
          <w:b/>
          <w:bCs/>
          <w:color w:val="auto"/>
          <w:spacing w:val="-5"/>
          <w:sz w:val="24"/>
          <w:szCs w:val="24"/>
          <w:highlight w:val="none"/>
        </w:rPr>
        <w:t>膀胱镜及碎石钳产品参数</w:t>
      </w:r>
      <w:bookmarkEnd w:id="664"/>
      <w:bookmarkEnd w:id="665"/>
      <w:bookmarkEnd w:id="666"/>
    </w:p>
    <w:p w14:paraId="6E298F51">
      <w:pPr>
        <w:spacing w:before="91" w:line="224" w:lineRule="auto"/>
        <w:ind w:left="14"/>
        <w:outlineLvl w:val="1"/>
        <w:rPr>
          <w:rFonts w:hint="eastAsia" w:ascii="仿宋" w:hAnsi="仿宋" w:eastAsia="仿宋" w:cs="仿宋"/>
          <w:color w:val="auto"/>
          <w:sz w:val="24"/>
          <w:szCs w:val="24"/>
          <w:highlight w:val="none"/>
        </w:rPr>
      </w:pPr>
      <w:bookmarkStart w:id="667" w:name="_Toc23254"/>
      <w:bookmarkStart w:id="668" w:name="_Toc7270"/>
      <w:bookmarkStart w:id="669" w:name="_Toc5868"/>
      <w:r>
        <w:rPr>
          <w:rFonts w:hint="eastAsia" w:ascii="仿宋" w:hAnsi="仿宋" w:eastAsia="仿宋" w:cs="仿宋"/>
          <w:b/>
          <w:bCs/>
          <w:color w:val="auto"/>
          <w:spacing w:val="-7"/>
          <w:sz w:val="24"/>
          <w:szCs w:val="24"/>
          <w:highlight w:val="none"/>
        </w:rPr>
        <w:t>一、膀胱镜</w:t>
      </w:r>
      <w:bookmarkEnd w:id="667"/>
      <w:bookmarkEnd w:id="668"/>
      <w:bookmarkEnd w:id="669"/>
    </w:p>
    <w:p w14:paraId="5FF0C03F">
      <w:pPr>
        <w:spacing w:before="91"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1.视向角：</w:t>
      </w:r>
      <w:r>
        <w:rPr>
          <w:rFonts w:hint="eastAsia" w:ascii="仿宋" w:hAnsi="仿宋" w:eastAsia="仿宋" w:cs="仿宋"/>
          <w:color w:val="auto"/>
          <w:spacing w:val="-92"/>
          <w:sz w:val="24"/>
          <w:szCs w:val="24"/>
          <w:highlight w:val="none"/>
        </w:rPr>
        <w:t xml:space="preserve"> </w:t>
      </w:r>
      <w:r>
        <w:rPr>
          <w:rFonts w:hint="eastAsia" w:ascii="仿宋" w:hAnsi="仿宋" w:eastAsia="仿宋" w:cs="仿宋"/>
          <w:color w:val="auto"/>
          <w:spacing w:val="-8"/>
          <w:sz w:val="24"/>
          <w:szCs w:val="24"/>
          <w:highlight w:val="none"/>
        </w:rPr>
        <w:t>≥70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8"/>
          <w:sz w:val="24"/>
          <w:szCs w:val="24"/>
          <w:highlight w:val="none"/>
        </w:rPr>
        <w:t>°</w:t>
      </w:r>
    </w:p>
    <w:p w14:paraId="2827BEE3">
      <w:pPr>
        <w:spacing w:before="283" w:line="224"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2.视场角：</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6"/>
          <w:sz w:val="24"/>
          <w:szCs w:val="24"/>
          <w:highlight w:val="none"/>
        </w:rPr>
        <w:t>≥60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6"/>
          <w:sz w:val="24"/>
          <w:szCs w:val="24"/>
          <w:highlight w:val="none"/>
        </w:rPr>
        <w:t>°</w:t>
      </w:r>
    </w:p>
    <w:p w14:paraId="06856B8E">
      <w:pPr>
        <w:spacing w:before="284"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3.镜管直径：</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73"/>
          <w:sz w:val="24"/>
          <w:szCs w:val="24"/>
          <w:highlight w:val="none"/>
        </w:rPr>
        <w:t xml:space="preserve"> </w:t>
      </w:r>
      <w:r>
        <w:rPr>
          <w:rFonts w:hint="eastAsia" w:ascii="仿宋" w:hAnsi="仿宋" w:eastAsia="仿宋" w:cs="仿宋"/>
          <w:color w:val="auto"/>
          <w:spacing w:val="-9"/>
          <w:sz w:val="24"/>
          <w:szCs w:val="24"/>
          <w:highlight w:val="none"/>
        </w:rPr>
        <w:t>φ4.0mm</w:t>
      </w:r>
    </w:p>
    <w:p w14:paraId="47AAAD4B">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4.景深范围：</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3"/>
          <w:sz w:val="24"/>
          <w:szCs w:val="24"/>
          <w:highlight w:val="none"/>
        </w:rPr>
        <w:t>≥5mm～50mm</w:t>
      </w:r>
    </w:p>
    <w:p w14:paraId="79F4C7D9">
      <w:pPr>
        <w:spacing w:before="286"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5.工作长度：</w:t>
      </w:r>
      <w:r>
        <w:rPr>
          <w:rFonts w:hint="eastAsia" w:ascii="仿宋" w:hAnsi="仿宋" w:eastAsia="仿宋" w:cs="仿宋"/>
          <w:color w:val="auto"/>
          <w:spacing w:val="-92"/>
          <w:sz w:val="24"/>
          <w:szCs w:val="24"/>
          <w:highlight w:val="none"/>
        </w:rPr>
        <w:t xml:space="preserve"> </w:t>
      </w:r>
      <w:r>
        <w:rPr>
          <w:rFonts w:hint="eastAsia" w:ascii="仿宋" w:hAnsi="仿宋" w:eastAsia="仿宋" w:cs="仿宋"/>
          <w:color w:val="auto"/>
          <w:spacing w:val="-5"/>
          <w:sz w:val="24"/>
          <w:szCs w:val="24"/>
          <w:highlight w:val="none"/>
        </w:rPr>
        <w:t>≥300mm</w:t>
      </w:r>
    </w:p>
    <w:p w14:paraId="11C26801">
      <w:pPr>
        <w:spacing w:before="295"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rPr>
        <w:t>.宝石镜片级别以上</w:t>
      </w:r>
    </w:p>
    <w:p w14:paraId="3EAA6888">
      <w:pPr>
        <w:spacing w:before="285" w:line="224"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val="en-US" w:eastAsia="zh-CN"/>
        </w:rPr>
        <w:t>7</w:t>
      </w:r>
      <w:r>
        <w:rPr>
          <w:rFonts w:hint="eastAsia" w:ascii="仿宋" w:hAnsi="仿宋" w:eastAsia="仿宋" w:cs="仿宋"/>
          <w:color w:val="auto"/>
          <w:spacing w:val="-1"/>
          <w:sz w:val="24"/>
          <w:szCs w:val="24"/>
          <w:highlight w:val="none"/>
        </w:rPr>
        <w:t>.材质：全医用不锈钢级别及以上</w:t>
      </w:r>
    </w:p>
    <w:p w14:paraId="4EFF1B5F">
      <w:pPr>
        <w:spacing w:before="92" w:line="222" w:lineRule="auto"/>
        <w:ind w:left="18"/>
        <w:outlineLvl w:val="1"/>
        <w:rPr>
          <w:rFonts w:hint="eastAsia" w:ascii="仿宋" w:hAnsi="仿宋" w:eastAsia="仿宋" w:cs="仿宋"/>
          <w:color w:val="auto"/>
          <w:sz w:val="24"/>
          <w:szCs w:val="24"/>
          <w:highlight w:val="none"/>
        </w:rPr>
      </w:pPr>
      <w:bookmarkStart w:id="670" w:name="_Toc24784"/>
      <w:bookmarkStart w:id="671" w:name="_Toc15142"/>
      <w:bookmarkStart w:id="672" w:name="_Toc32646"/>
      <w:r>
        <w:rPr>
          <w:rFonts w:hint="eastAsia" w:ascii="仿宋" w:hAnsi="仿宋" w:eastAsia="仿宋" w:cs="仿宋"/>
          <w:b/>
          <w:bCs/>
          <w:color w:val="auto"/>
          <w:spacing w:val="-8"/>
          <w:sz w:val="24"/>
          <w:szCs w:val="24"/>
          <w:highlight w:val="none"/>
        </w:rPr>
        <w:t>二、碎石钳</w:t>
      </w:r>
      <w:bookmarkEnd w:id="670"/>
      <w:bookmarkEnd w:id="671"/>
      <w:bookmarkEnd w:id="672"/>
    </w:p>
    <w:p w14:paraId="32BB2A38">
      <w:pPr>
        <w:spacing w:before="283" w:line="224" w:lineRule="auto"/>
        <w:ind w:left="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 周长：≥F24</w:t>
      </w:r>
    </w:p>
    <w:p w14:paraId="522E4944">
      <w:pPr>
        <w:spacing w:before="283" w:line="224" w:lineRule="auto"/>
        <w:ind w:left="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 工作长度：≥220mm</w:t>
      </w:r>
    </w:p>
    <w:p w14:paraId="4FDFF316">
      <w:pPr>
        <w:spacing w:before="283" w:line="224" w:lineRule="auto"/>
        <w:ind w:left="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3 与膀胱镜同品牌匹配</w:t>
      </w:r>
    </w:p>
    <w:p w14:paraId="742E7BC3">
      <w:pPr>
        <w:spacing w:before="283" w:line="224" w:lineRule="auto"/>
        <w:ind w:left="4"/>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4 钳头匹配≥70 °视野</w:t>
      </w:r>
    </w:p>
    <w:p w14:paraId="025C15F7">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50AFEC20">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合同包6</w:t>
      </w:r>
    </w:p>
    <w:p w14:paraId="40A2B87F">
      <w:pPr>
        <w:spacing w:before="91" w:line="223" w:lineRule="auto"/>
        <w:ind w:firstLine="2562" w:firstLineChars="1100"/>
        <w:outlineLvl w:val="0"/>
        <w:rPr>
          <w:rFonts w:hint="eastAsia" w:ascii="仿宋" w:hAnsi="仿宋" w:eastAsia="仿宋" w:cs="仿宋"/>
          <w:color w:val="auto"/>
          <w:sz w:val="24"/>
          <w:szCs w:val="24"/>
          <w:highlight w:val="none"/>
        </w:rPr>
      </w:pPr>
      <w:bookmarkStart w:id="673" w:name="_Toc22188"/>
      <w:bookmarkStart w:id="674" w:name="_Toc20035"/>
      <w:bookmarkStart w:id="675" w:name="_Toc23244"/>
      <w:r>
        <w:rPr>
          <w:rFonts w:hint="eastAsia" w:ascii="仿宋" w:hAnsi="仿宋" w:eastAsia="仿宋" w:cs="仿宋"/>
          <w:b/>
          <w:bCs/>
          <w:color w:val="auto"/>
          <w:spacing w:val="-4"/>
          <w:sz w:val="24"/>
          <w:szCs w:val="24"/>
          <w:highlight w:val="none"/>
          <w:lang w:val="en-US" w:eastAsia="zh-CN"/>
        </w:rPr>
        <w:t>1.</w:t>
      </w:r>
      <w:r>
        <w:rPr>
          <w:rFonts w:hint="eastAsia" w:ascii="仿宋" w:hAnsi="仿宋" w:eastAsia="仿宋" w:cs="仿宋"/>
          <w:b/>
          <w:bCs/>
          <w:color w:val="auto"/>
          <w:spacing w:val="-4"/>
          <w:sz w:val="24"/>
          <w:szCs w:val="24"/>
          <w:highlight w:val="none"/>
        </w:rPr>
        <w:t>远红外线治疗仪</w:t>
      </w:r>
      <w:r>
        <w:rPr>
          <w:rFonts w:hint="eastAsia" w:ascii="仿宋" w:hAnsi="仿宋" w:eastAsia="仿宋" w:cs="仿宋"/>
          <w:b/>
          <w:bCs/>
          <w:color w:val="auto"/>
          <w:spacing w:val="-5"/>
          <w:sz w:val="24"/>
          <w:szCs w:val="24"/>
          <w:highlight w:val="none"/>
        </w:rPr>
        <w:t>参数</w:t>
      </w:r>
      <w:bookmarkEnd w:id="673"/>
      <w:bookmarkEnd w:id="674"/>
      <w:bookmarkEnd w:id="675"/>
    </w:p>
    <w:p w14:paraId="7C540D55">
      <w:pPr>
        <w:spacing w:before="91" w:line="411" w:lineRule="auto"/>
        <w:ind w:left="12" w:firstLine="9"/>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1.适用范围：适用于血液净化患者，促进瘘管穿刺点愈合，缓解组织疼痛，促进</w:t>
      </w:r>
      <w:r>
        <w:rPr>
          <w:rFonts w:hint="eastAsia" w:ascii="仿宋" w:hAnsi="仿宋" w:eastAsia="仿宋" w:cs="仿宋"/>
          <w:color w:val="auto"/>
          <w:spacing w:val="-1"/>
          <w:sz w:val="24"/>
          <w:szCs w:val="24"/>
          <w:highlight w:val="none"/>
        </w:rPr>
        <w:t>淤青消除；增加动静脉瘘管血流量和动静脉瘘管直径</w:t>
      </w:r>
    </w:p>
    <w:p w14:paraId="04C02F4C">
      <w:pPr>
        <w:spacing w:before="1"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2.治疗波长：2-25</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4"/>
          <w:sz w:val="24"/>
          <w:szCs w:val="24"/>
          <w:highlight w:val="none"/>
        </w:rPr>
        <w:t>μm</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远红外线热源高效率耐温陶瓷发热板</w:t>
      </w:r>
    </w:p>
    <w:p w14:paraId="40A5CE52">
      <w:pPr>
        <w:spacing w:before="285"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3.热源数量：</w:t>
      </w:r>
      <w:r>
        <w:rPr>
          <w:rFonts w:hint="eastAsia" w:ascii="仿宋" w:hAnsi="仿宋" w:eastAsia="仿宋" w:cs="仿宋"/>
          <w:color w:val="auto"/>
          <w:spacing w:val="-98"/>
          <w:sz w:val="24"/>
          <w:szCs w:val="24"/>
          <w:highlight w:val="none"/>
        </w:rPr>
        <w:t xml:space="preserve"> </w:t>
      </w:r>
      <w:r>
        <w:rPr>
          <w:rFonts w:hint="eastAsia" w:ascii="仿宋" w:hAnsi="仿宋" w:eastAsia="仿宋" w:cs="仿宋"/>
          <w:color w:val="auto"/>
          <w:spacing w:val="-6"/>
          <w:sz w:val="24"/>
          <w:szCs w:val="24"/>
          <w:highlight w:val="none"/>
        </w:rPr>
        <w:t>≥4</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6"/>
          <w:sz w:val="24"/>
          <w:szCs w:val="24"/>
          <w:highlight w:val="none"/>
        </w:rPr>
        <w:t>片</w:t>
      </w:r>
    </w:p>
    <w:p w14:paraId="760B3068">
      <w:pPr>
        <w:spacing w:before="284"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4.治疗仪单次治疗40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分钟以上且治疗面温度不得超过3</w:t>
      </w:r>
      <w:r>
        <w:rPr>
          <w:rFonts w:hint="eastAsia" w:ascii="仿宋" w:hAnsi="仿宋" w:eastAsia="仿宋" w:cs="仿宋"/>
          <w:color w:val="auto"/>
          <w:spacing w:val="3"/>
          <w:sz w:val="24"/>
          <w:szCs w:val="24"/>
          <w:highlight w:val="none"/>
        </w:rPr>
        <w:t>8℃</w:t>
      </w:r>
    </w:p>
    <w:p w14:paraId="7EAFD99D">
      <w:pPr>
        <w:spacing w:before="288" w:line="219"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5.机臂旋转角度：自适应多角度旋转</w:t>
      </w:r>
    </w:p>
    <w:p w14:paraId="7794977E">
      <w:pPr>
        <w:spacing w:before="293" w:line="411" w:lineRule="auto"/>
        <w:ind w:left="13" w:hanging="1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6.操作系统：≥5 吋液晶触摸屏，具有连续、脉冲两种模式，在自动治疗模式下可一键启动治疗，手动模式下可调节强中弱三挡能量，治疗时间可调范围1-99分钟</w:t>
      </w:r>
    </w:p>
    <w:p w14:paraId="49275321">
      <w:pPr>
        <w:spacing w:before="1"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7.具备紧急停机按钮</w:t>
      </w:r>
    </w:p>
    <w:p w14:paraId="0F4731E5">
      <w:pPr>
        <w:spacing w:before="286"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8.具备轮滑安全锁</w:t>
      </w:r>
    </w:p>
    <w:p w14:paraId="0BF4D069">
      <w:pPr>
        <w:spacing w:before="290"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9.强度设定≥3档可调</w:t>
      </w:r>
    </w:p>
    <w:p w14:paraId="02C63174">
      <w:pPr>
        <w:spacing w:before="286"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10.治疗模式有自动和手动模式</w:t>
      </w:r>
    </w:p>
    <w:p w14:paraId="1E14996C">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11.悬吊手臂二节屈伸，随意平衡式</w:t>
      </w:r>
    </w:p>
    <w:p w14:paraId="04BEE575">
      <w:pPr>
        <w:spacing w:before="287"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12.升降机构电动式升降</w:t>
      </w:r>
    </w:p>
    <w:p w14:paraId="2781406E">
      <w:pPr>
        <w:spacing w:before="28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13.具备防护罩</w:t>
      </w:r>
    </w:p>
    <w:p w14:paraId="798E99DC">
      <w:pPr>
        <w:spacing w:before="287"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14.底座具有防倾倒底座加稳装置</w:t>
      </w:r>
    </w:p>
    <w:p w14:paraId="376CE5E0">
      <w:pPr>
        <w:spacing w:before="290"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15.治疗时间可调，治疗时间结束有音频提示</w:t>
      </w:r>
    </w:p>
    <w:p w14:paraId="3BC7F323">
      <w:pP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br w:type="page"/>
      </w:r>
    </w:p>
    <w:p w14:paraId="141BCA81">
      <w:pPr>
        <w:rPr>
          <w:rFonts w:hint="eastAsia" w:ascii="仿宋" w:hAnsi="仿宋" w:eastAsia="仿宋" w:cs="仿宋"/>
          <w:color w:val="auto"/>
          <w:spacing w:val="-6"/>
          <w:sz w:val="24"/>
          <w:szCs w:val="24"/>
          <w:highlight w:val="none"/>
          <w:lang w:val="en-US" w:eastAsia="zh-CN"/>
        </w:rPr>
      </w:pPr>
    </w:p>
    <w:p w14:paraId="572C27BC">
      <w:pPr>
        <w:spacing w:before="91" w:line="223" w:lineRule="auto"/>
        <w:ind w:left="3496"/>
        <w:outlineLvl w:val="0"/>
        <w:rPr>
          <w:rFonts w:hint="eastAsia" w:ascii="仿宋" w:hAnsi="仿宋" w:eastAsia="仿宋" w:cs="仿宋"/>
          <w:color w:val="auto"/>
          <w:sz w:val="24"/>
          <w:szCs w:val="24"/>
          <w:highlight w:val="none"/>
        </w:rPr>
      </w:pPr>
      <w:bookmarkStart w:id="676" w:name="_Toc23415"/>
      <w:bookmarkStart w:id="677" w:name="_Toc29290"/>
      <w:bookmarkStart w:id="678" w:name="_Toc17213"/>
      <w:r>
        <w:rPr>
          <w:rFonts w:hint="eastAsia" w:ascii="仿宋" w:hAnsi="仿宋" w:eastAsia="仿宋" w:cs="仿宋"/>
          <w:b/>
          <w:bCs/>
          <w:color w:val="auto"/>
          <w:spacing w:val="-3"/>
          <w:sz w:val="24"/>
          <w:szCs w:val="24"/>
          <w:highlight w:val="none"/>
          <w:lang w:val="en-US" w:eastAsia="zh-CN"/>
        </w:rPr>
        <w:t>2.</w:t>
      </w:r>
      <w:r>
        <w:rPr>
          <w:rFonts w:hint="eastAsia" w:ascii="仿宋" w:hAnsi="仿宋" w:eastAsia="仿宋" w:cs="仿宋"/>
          <w:b/>
          <w:bCs/>
          <w:color w:val="auto"/>
          <w:spacing w:val="-3"/>
          <w:sz w:val="24"/>
          <w:szCs w:val="24"/>
          <w:highlight w:val="none"/>
        </w:rPr>
        <w:t>磁刺激仪招标参数</w:t>
      </w:r>
      <w:bookmarkEnd w:id="676"/>
      <w:bookmarkEnd w:id="677"/>
      <w:bookmarkEnd w:id="678"/>
    </w:p>
    <w:p w14:paraId="61847F03">
      <w:pPr>
        <w:spacing w:before="9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1.整机通过YY/T0994-2015</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1"/>
          <w:sz w:val="24"/>
          <w:szCs w:val="24"/>
          <w:highlight w:val="none"/>
        </w:rPr>
        <w:t>磁刺激设备行业</w:t>
      </w:r>
      <w:r>
        <w:rPr>
          <w:rFonts w:hint="eastAsia" w:ascii="仿宋" w:hAnsi="仿宋" w:eastAsia="仿宋" w:cs="仿宋"/>
          <w:color w:val="auto"/>
          <w:spacing w:val="-2"/>
          <w:sz w:val="24"/>
          <w:szCs w:val="24"/>
          <w:highlight w:val="none"/>
        </w:rPr>
        <w:t>标准，通过</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2"/>
          <w:sz w:val="24"/>
          <w:szCs w:val="24"/>
          <w:highlight w:val="none"/>
        </w:rPr>
        <w:t>EMC电磁兼容测试。</w:t>
      </w:r>
    </w:p>
    <w:p w14:paraId="0A4A6323">
      <w:pPr>
        <w:spacing w:before="290" w:line="411" w:lineRule="auto"/>
        <w:ind w:left="8" w:hanging="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2.用于刺激人体中枢神经和外周神经，注册证适用范围</w:t>
      </w:r>
      <w:r>
        <w:rPr>
          <w:rFonts w:hint="eastAsia" w:ascii="仿宋" w:hAnsi="仿宋" w:eastAsia="仿宋" w:cs="仿宋"/>
          <w:color w:val="auto"/>
          <w:spacing w:val="-5"/>
          <w:sz w:val="24"/>
          <w:szCs w:val="24"/>
          <w:highlight w:val="none"/>
        </w:rPr>
        <w:t>包含骶神经功能障碍的辅助治疗。</w:t>
      </w:r>
    </w:p>
    <w:p w14:paraId="137B5F7F">
      <w:pPr>
        <w:spacing w:before="1"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3.注册证产品结构及组成包含主机、刺激线圈、座椅或治疗椅、软件。</w:t>
      </w:r>
    </w:p>
    <w:p w14:paraId="5A64B809">
      <w:pPr>
        <w:spacing w:before="285"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4.磁刺激脉冲源、冷却系统集成在同一主机机箱内。</w:t>
      </w:r>
    </w:p>
    <w:p w14:paraId="2686A636">
      <w:pPr>
        <w:spacing w:before="290"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5.标配盆底磁刺激专用座椅，座椅靠背角度可调，可放平至</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3"/>
          <w:sz w:val="24"/>
          <w:szCs w:val="24"/>
          <w:highlight w:val="none"/>
        </w:rPr>
        <w:t>180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3"/>
          <w:sz w:val="24"/>
          <w:szCs w:val="24"/>
          <w:highlight w:val="none"/>
        </w:rPr>
        <w:t>°。</w:t>
      </w:r>
    </w:p>
    <w:p w14:paraId="34CDD38F">
      <w:pPr>
        <w:spacing w:before="28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6.标配2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
          <w:sz w:val="24"/>
          <w:szCs w:val="24"/>
          <w:highlight w:val="none"/>
        </w:rPr>
        <w:t>个液冷线圈，包括盆底铁芯线圈和外周刺激线圈。</w:t>
      </w:r>
    </w:p>
    <w:p w14:paraId="034FED10">
      <w:pPr>
        <w:spacing w:before="286"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7.盆底铁芯线圈同时适用于盆底刺激和骶神经刺激。</w:t>
      </w:r>
    </w:p>
    <w:p w14:paraId="00F5AC7E">
      <w:pPr>
        <w:spacing w:before="287" w:line="411" w:lineRule="auto"/>
        <w:ind w:left="15" w:hanging="1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8.外周刺激线圈可以通过线圈把手按键进行强度调节和触发磁</w:t>
      </w:r>
      <w:r>
        <w:rPr>
          <w:rFonts w:hint="eastAsia" w:ascii="仿宋" w:hAnsi="仿宋" w:eastAsia="仿宋" w:cs="仿宋"/>
          <w:color w:val="auto"/>
          <w:spacing w:val="-5"/>
          <w:sz w:val="24"/>
          <w:szCs w:val="24"/>
          <w:highlight w:val="none"/>
        </w:rPr>
        <w:t>刺激输出，可显示</w:t>
      </w:r>
      <w:r>
        <w:rPr>
          <w:rFonts w:hint="eastAsia" w:ascii="仿宋" w:hAnsi="仿宋" w:eastAsia="仿宋" w:cs="仿宋"/>
          <w:color w:val="auto"/>
          <w:spacing w:val="-4"/>
          <w:sz w:val="24"/>
          <w:szCs w:val="24"/>
          <w:highlight w:val="none"/>
        </w:rPr>
        <w:t>实时线圈温度。</w:t>
      </w:r>
    </w:p>
    <w:p w14:paraId="63E8A243">
      <w:pPr>
        <w:spacing w:before="1" w:line="22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9.支持一键开机，直接进入操作界面。</w:t>
      </w:r>
    </w:p>
    <w:p w14:paraId="075146D6">
      <w:pPr>
        <w:spacing w:before="291" w:line="411" w:lineRule="auto"/>
        <w:ind w:left="14" w:firstLine="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10.采用实体按键进行选择、键入等动作，非触摸屏操作，防止由误触导致刺激</w:t>
      </w:r>
      <w:r>
        <w:rPr>
          <w:rFonts w:hint="eastAsia" w:ascii="仿宋" w:hAnsi="仿宋" w:eastAsia="仿宋" w:cs="仿宋"/>
          <w:color w:val="auto"/>
          <w:spacing w:val="-4"/>
          <w:sz w:val="24"/>
          <w:szCs w:val="24"/>
          <w:highlight w:val="none"/>
        </w:rPr>
        <w:t>参数突然变化。</w:t>
      </w:r>
    </w:p>
    <w:p w14:paraId="20247B38">
      <w:pPr>
        <w:spacing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11.磁刺激强度可进行电脑软件、磁刺激主机旋钮和拍头按键多模式调节。</w:t>
      </w:r>
    </w:p>
    <w:p w14:paraId="3237ED2F">
      <w:pPr>
        <w:spacing w:before="289" w:line="411" w:lineRule="auto"/>
        <w:ind w:left="15" w:firstLine="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12.采用液态内循环冷却系统联合风冷系统，可实现系统温度≤40℃</w:t>
      </w:r>
      <w:r>
        <w:rPr>
          <w:rFonts w:hint="eastAsia" w:ascii="仿宋" w:hAnsi="仿宋" w:eastAsia="仿宋" w:cs="仿宋"/>
          <w:color w:val="auto"/>
          <w:spacing w:val="-98"/>
          <w:sz w:val="24"/>
          <w:szCs w:val="24"/>
          <w:highlight w:val="none"/>
        </w:rPr>
        <w:t xml:space="preserve"> </w:t>
      </w:r>
      <w:r>
        <w:rPr>
          <w:rFonts w:hint="eastAsia" w:ascii="仿宋" w:hAnsi="仿宋" w:eastAsia="仿宋" w:cs="仿宋"/>
          <w:color w:val="auto"/>
          <w:spacing w:val="-2"/>
          <w:sz w:val="24"/>
          <w:szCs w:val="24"/>
          <w:highlight w:val="none"/>
        </w:rPr>
        <w:t>。防护系统实时监测线圈温度，安全预警暂停工作。</w:t>
      </w:r>
    </w:p>
    <w:p w14:paraId="1771614D">
      <w:pPr>
        <w:spacing w:before="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13.磁刺激设备包含体外反馈模块，用于检测</w:t>
      </w:r>
      <w:r>
        <w:rPr>
          <w:rFonts w:hint="eastAsia" w:ascii="仿宋" w:hAnsi="仿宋" w:eastAsia="仿宋" w:cs="仿宋"/>
          <w:color w:val="auto"/>
          <w:spacing w:val="-2"/>
          <w:sz w:val="24"/>
          <w:szCs w:val="24"/>
          <w:highlight w:val="none"/>
        </w:rPr>
        <w:t>盆底运动。</w:t>
      </w:r>
    </w:p>
    <w:p w14:paraId="1E749D45">
      <w:pPr>
        <w:spacing w:before="289"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14.脉冲磁场最大磁感应强度≥7Tesla。</w:t>
      </w:r>
    </w:p>
    <w:p w14:paraId="706C758F">
      <w:pPr>
        <w:spacing w:before="285" w:line="223"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15.脉冲磁场最大刺激频率≥100Hz，0-100Hz</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2"/>
          <w:sz w:val="24"/>
          <w:szCs w:val="24"/>
          <w:highlight w:val="none"/>
        </w:rPr>
        <w:t>可调。</w:t>
      </w:r>
    </w:p>
    <w:p w14:paraId="21F16062">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16.当脉冲频率≤1Hz</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3"/>
          <w:sz w:val="24"/>
          <w:szCs w:val="24"/>
          <w:highlight w:val="none"/>
        </w:rPr>
        <w:t>时，频率调节步长</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3"/>
          <w:sz w:val="24"/>
          <w:szCs w:val="24"/>
          <w:highlight w:val="none"/>
        </w:rPr>
        <w:t>0.01Hz。</w:t>
      </w:r>
    </w:p>
    <w:p w14:paraId="6306CF7F">
      <w:pPr>
        <w:spacing w:before="91" w:line="222"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17.单个脉冲持续时间：340</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9"/>
          <w:sz w:val="24"/>
          <w:szCs w:val="24"/>
          <w:highlight w:val="none"/>
        </w:rPr>
        <w:t>μs±20</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9"/>
          <w:sz w:val="24"/>
          <w:szCs w:val="24"/>
          <w:highlight w:val="none"/>
        </w:rPr>
        <w:t>μs。</w:t>
      </w:r>
    </w:p>
    <w:p w14:paraId="2D23AB00">
      <w:pPr>
        <w:spacing w:before="288" w:line="398" w:lineRule="auto"/>
        <w:ind w:left="66" w:right="1" w:hanging="49"/>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18.运动诱发电位测量灵敏度示值准确度范围：1～2000</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6"/>
          <w:sz w:val="24"/>
          <w:szCs w:val="24"/>
          <w:highlight w:val="none"/>
        </w:rPr>
        <w:t>μV</w:t>
      </w:r>
      <w:r>
        <w:rPr>
          <w:rFonts w:hint="eastAsia" w:ascii="仿宋" w:hAnsi="仿宋" w:eastAsia="仿宋" w:cs="仿宋"/>
          <w:color w:val="auto"/>
          <w:spacing w:val="-7"/>
          <w:sz w:val="24"/>
          <w:szCs w:val="24"/>
          <w:highlight w:val="none"/>
        </w:rPr>
        <w:t>，检查最小分辨率≤1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8"/>
          <w:sz w:val="24"/>
          <w:szCs w:val="24"/>
          <w:highlight w:val="none"/>
        </w:rPr>
        <w:t>μV。</w:t>
      </w:r>
    </w:p>
    <w:p w14:paraId="70E3DCA5">
      <w:pPr>
        <w:spacing w:before="42" w:line="411" w:lineRule="auto"/>
        <w:ind w:left="2" w:firstLine="15"/>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19.内置多种临床治疗方案供医生选择，包含压力性尿失禁、急迫性尿失禁、尿</w:t>
      </w:r>
      <w:r>
        <w:rPr>
          <w:rFonts w:hint="eastAsia" w:ascii="仿宋" w:hAnsi="仿宋" w:eastAsia="仿宋" w:cs="仿宋"/>
          <w:color w:val="auto"/>
          <w:spacing w:val="-5"/>
          <w:sz w:val="24"/>
          <w:szCs w:val="24"/>
          <w:highlight w:val="none"/>
        </w:rPr>
        <w:t>潴留、盆腔脏器脱垂、便秘、大便失禁、慢性前列腺炎、慢性盆腔疼痛等。且所</w:t>
      </w:r>
      <w:r>
        <w:rPr>
          <w:rFonts w:hint="eastAsia" w:ascii="仿宋" w:hAnsi="仿宋" w:eastAsia="仿宋" w:cs="仿宋"/>
          <w:color w:val="auto"/>
          <w:spacing w:val="-1"/>
          <w:sz w:val="24"/>
          <w:szCs w:val="24"/>
          <w:highlight w:val="none"/>
        </w:rPr>
        <w:t>有内置方案参数可查看，也可以导入导出。</w:t>
      </w:r>
    </w:p>
    <w:p w14:paraId="40B83039">
      <w:pPr>
        <w:spacing w:before="1"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20.系统可根据盆底评估结果自动生成针对不同患者的组合治疗方案。</w:t>
      </w:r>
    </w:p>
    <w:p w14:paraId="26E5EDFB">
      <w:pPr>
        <w:spacing w:before="290" w:line="411" w:lineRule="auto"/>
        <w:ind w:left="6" w:right="1" w:hanging="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21.治疗过程中可对刺激强度进行连续调节，同时显示方案的输</w:t>
      </w:r>
      <w:r>
        <w:rPr>
          <w:rFonts w:hint="eastAsia" w:ascii="仿宋" w:hAnsi="仿宋" w:eastAsia="仿宋" w:cs="仿宋"/>
          <w:color w:val="auto"/>
          <w:spacing w:val="-5"/>
          <w:sz w:val="24"/>
          <w:szCs w:val="24"/>
          <w:highlight w:val="none"/>
        </w:rPr>
        <w:t>出进程，已完成/</w:t>
      </w:r>
      <w:r>
        <w:rPr>
          <w:rFonts w:hint="eastAsia" w:ascii="仿宋" w:hAnsi="仿宋" w:eastAsia="仿宋" w:cs="仿宋"/>
          <w:color w:val="auto"/>
          <w:spacing w:val="-2"/>
          <w:sz w:val="24"/>
          <w:szCs w:val="24"/>
          <w:highlight w:val="none"/>
        </w:rPr>
        <w:t>剩余脉冲个数及刺激时间。</w:t>
      </w:r>
    </w:p>
    <w:p w14:paraId="40DF72D5">
      <w:pPr>
        <w:spacing w:line="222"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22.刺激方案具有患者体位示意图，提示</w:t>
      </w:r>
      <w:r>
        <w:rPr>
          <w:rFonts w:hint="eastAsia" w:ascii="仿宋" w:hAnsi="仿宋" w:eastAsia="仿宋" w:cs="仿宋"/>
          <w:color w:val="auto"/>
          <w:spacing w:val="-2"/>
          <w:sz w:val="24"/>
          <w:szCs w:val="24"/>
          <w:highlight w:val="none"/>
        </w:rPr>
        <w:t>患者磁刺激刺激部位或摆放姿势体位。</w:t>
      </w:r>
    </w:p>
    <w:p w14:paraId="3FF54E1D">
      <w:pPr>
        <w:spacing w:before="283" w:line="224" w:lineRule="auto"/>
        <w:ind w:left="4"/>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23.具有数据管理功能，可以对工作量等治疗</w:t>
      </w:r>
      <w:r>
        <w:rPr>
          <w:rFonts w:hint="eastAsia" w:ascii="仿宋" w:hAnsi="仿宋" w:eastAsia="仿宋" w:cs="仿宋"/>
          <w:color w:val="auto"/>
          <w:spacing w:val="-1"/>
          <w:sz w:val="24"/>
          <w:szCs w:val="24"/>
          <w:highlight w:val="none"/>
        </w:rPr>
        <w:t>数据进行统计分析，可回顾数据结</w:t>
      </w:r>
      <w:r>
        <w:rPr>
          <w:rFonts w:hint="eastAsia" w:ascii="仿宋" w:hAnsi="仿宋" w:eastAsia="仿宋" w:cs="仿宋"/>
          <w:color w:val="auto"/>
          <w:spacing w:val="-2"/>
          <w:sz w:val="24"/>
          <w:szCs w:val="24"/>
          <w:highlight w:val="none"/>
        </w:rPr>
        <w:t>果、波形，实现病历管理或病历导出。</w:t>
      </w:r>
    </w:p>
    <w:p w14:paraId="5C9A642F">
      <w:pPr>
        <w:spacing w:before="283" w:line="224" w:lineRule="auto"/>
        <w:ind w:left="4"/>
        <w:rPr>
          <w:rFonts w:hint="eastAsia" w:ascii="仿宋" w:hAnsi="仿宋" w:eastAsia="仿宋" w:cs="仿宋"/>
          <w:color w:val="auto"/>
          <w:spacing w:val="-2"/>
          <w:sz w:val="24"/>
          <w:szCs w:val="24"/>
          <w:highlight w:val="none"/>
        </w:rPr>
      </w:pPr>
    </w:p>
    <w:p w14:paraId="631C8E07">
      <w:pPr>
        <w:spacing w:before="91" w:line="222" w:lineRule="auto"/>
        <w:ind w:left="2934"/>
        <w:outlineLvl w:val="0"/>
        <w:rPr>
          <w:rFonts w:hint="eastAsia" w:ascii="仿宋" w:hAnsi="仿宋" w:eastAsia="仿宋" w:cs="仿宋"/>
          <w:color w:val="auto"/>
          <w:sz w:val="24"/>
          <w:szCs w:val="24"/>
          <w:highlight w:val="none"/>
        </w:rPr>
      </w:pPr>
      <w:bookmarkStart w:id="679" w:name="_Toc17041"/>
      <w:bookmarkStart w:id="680" w:name="_Toc32621"/>
      <w:bookmarkStart w:id="681" w:name="_Toc30756"/>
      <w:r>
        <w:rPr>
          <w:rFonts w:hint="eastAsia" w:ascii="仿宋" w:hAnsi="仿宋" w:eastAsia="仿宋" w:cs="仿宋"/>
          <w:b/>
          <w:bCs/>
          <w:color w:val="auto"/>
          <w:spacing w:val="-3"/>
          <w:sz w:val="24"/>
          <w:szCs w:val="24"/>
          <w:highlight w:val="none"/>
          <w:lang w:val="en-US" w:eastAsia="zh-CN"/>
        </w:rPr>
        <w:t>3.</w:t>
      </w:r>
      <w:r>
        <w:rPr>
          <w:rFonts w:hint="eastAsia" w:ascii="仿宋" w:hAnsi="仿宋" w:eastAsia="仿宋" w:cs="仿宋"/>
          <w:b/>
          <w:bCs/>
          <w:color w:val="auto"/>
          <w:spacing w:val="-3"/>
          <w:sz w:val="24"/>
          <w:szCs w:val="24"/>
          <w:highlight w:val="none"/>
        </w:rPr>
        <w:t>生物刺激反馈系统招标参数</w:t>
      </w:r>
      <w:bookmarkEnd w:id="679"/>
      <w:bookmarkEnd w:id="680"/>
      <w:bookmarkEnd w:id="681"/>
    </w:p>
    <w:p w14:paraId="3774007C">
      <w:pPr>
        <w:spacing w:before="91"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1.主机≥4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个电刺激通道、</w:t>
      </w:r>
      <w:r>
        <w:rPr>
          <w:rFonts w:hint="eastAsia" w:ascii="仿宋" w:hAnsi="仿宋" w:eastAsia="仿宋" w:cs="仿宋"/>
          <w:color w:val="auto"/>
          <w:spacing w:val="-103"/>
          <w:sz w:val="24"/>
          <w:szCs w:val="24"/>
          <w:highlight w:val="none"/>
        </w:rPr>
        <w:t xml:space="preserve"> </w:t>
      </w: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个肌电采集通道、1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个压力反馈通道。</w:t>
      </w:r>
    </w:p>
    <w:p w14:paraId="38C8F5DC">
      <w:pPr>
        <w:spacing w:before="287"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2.肌电采集测量范围：2</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9"/>
          <w:sz w:val="24"/>
          <w:szCs w:val="24"/>
          <w:highlight w:val="none"/>
        </w:rPr>
        <w:t>μV～2100</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9"/>
          <w:sz w:val="24"/>
          <w:szCs w:val="24"/>
          <w:highlight w:val="none"/>
        </w:rPr>
        <w:t>μV</w:t>
      </w:r>
    </w:p>
    <w:p w14:paraId="47563B32">
      <w:pPr>
        <w:spacing w:before="286"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3.分辨率：≤1</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10"/>
          <w:sz w:val="24"/>
          <w:szCs w:val="24"/>
          <w:highlight w:val="none"/>
        </w:rPr>
        <w:t>μV</w:t>
      </w:r>
    </w:p>
    <w:p w14:paraId="08DB92E3">
      <w:pPr>
        <w:spacing w:before="285"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4.通频带：</w:t>
      </w:r>
      <w:r>
        <w:rPr>
          <w:rFonts w:hint="eastAsia" w:ascii="仿宋" w:hAnsi="仿宋" w:eastAsia="仿宋" w:cs="仿宋"/>
          <w:color w:val="auto"/>
          <w:spacing w:val="-99"/>
          <w:sz w:val="24"/>
          <w:szCs w:val="24"/>
          <w:highlight w:val="none"/>
        </w:rPr>
        <w:t xml:space="preserve"> </w:t>
      </w:r>
      <w:r>
        <w:rPr>
          <w:rFonts w:hint="eastAsia" w:ascii="仿宋" w:hAnsi="仿宋" w:eastAsia="仿宋" w:cs="仿宋"/>
          <w:color w:val="auto"/>
          <w:spacing w:val="-3"/>
          <w:sz w:val="24"/>
          <w:szCs w:val="24"/>
          <w:highlight w:val="none"/>
        </w:rPr>
        <w:t>≥20Hz～100Hz</w:t>
      </w:r>
    </w:p>
    <w:p w14:paraId="1F3DDAE2">
      <w:pPr>
        <w:spacing w:before="290"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5.低频刺激强度：1-100mA可调。</w:t>
      </w:r>
    </w:p>
    <w:p w14:paraId="7DC728D8">
      <w:pPr>
        <w:spacing w:before="287"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6.低频刺激频率：1Hz-410Hz</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1"/>
          <w:sz w:val="24"/>
          <w:szCs w:val="24"/>
          <w:highlight w:val="none"/>
        </w:rPr>
        <w:t>范围内均</w:t>
      </w:r>
      <w:r>
        <w:rPr>
          <w:rFonts w:hint="eastAsia" w:ascii="仿宋" w:hAnsi="仿宋" w:eastAsia="仿宋" w:cs="仿宋"/>
          <w:color w:val="auto"/>
          <w:spacing w:val="-2"/>
          <w:sz w:val="24"/>
          <w:szCs w:val="24"/>
          <w:highlight w:val="none"/>
        </w:rPr>
        <w:t>可调，调节步长≤1Hz。</w:t>
      </w:r>
    </w:p>
    <w:p w14:paraId="2513130E">
      <w:pPr>
        <w:spacing w:before="287"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7.输出脉冲宽度：20μs-1000 μs 范围内均可调，调节步长≤10us 调节。</w:t>
      </w:r>
    </w:p>
    <w:p w14:paraId="68A66B58">
      <w:pPr>
        <w:spacing w:before="287"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8.电刺激基础输出波形双向对称波、单向波、交互波。</w:t>
      </w:r>
    </w:p>
    <w:p w14:paraId="242484B0">
      <w:pPr>
        <w:spacing w:before="288"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9.中频刺激频率：1kHz-4kHz</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可调，误差：≤</w:t>
      </w:r>
      <w:r>
        <w:rPr>
          <w:rFonts w:hint="eastAsia" w:ascii="仿宋" w:hAnsi="仿宋" w:eastAsia="仿宋" w:cs="仿宋"/>
          <w:color w:val="auto"/>
          <w:spacing w:val="-2"/>
          <w:sz w:val="24"/>
          <w:szCs w:val="24"/>
          <w:highlight w:val="none"/>
        </w:rPr>
        <w:t>±10%。</w:t>
      </w:r>
    </w:p>
    <w:p w14:paraId="6529B5A5">
      <w:pPr>
        <w:spacing w:before="286"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10.中频电刺激调幅度：0%～100%的调幅度范围内可调，1%调节，允差≤±1%。</w:t>
      </w:r>
    </w:p>
    <w:p w14:paraId="517F326D">
      <w:pPr>
        <w:spacing w:before="286" w:line="216"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11.压力模块测量范围不低于</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pacing w:val="-1"/>
          <w:sz w:val="24"/>
          <w:szCs w:val="24"/>
          <w:highlight w:val="none"/>
        </w:rPr>
        <w:t>0-240mmHg，测量分辨率≤0.1mm</w:t>
      </w:r>
      <w:r>
        <w:rPr>
          <w:rFonts w:hint="eastAsia" w:ascii="仿宋" w:hAnsi="仿宋" w:eastAsia="仿宋" w:cs="仿宋"/>
          <w:color w:val="auto"/>
          <w:spacing w:val="-2"/>
          <w:sz w:val="24"/>
          <w:szCs w:val="24"/>
          <w:highlight w:val="none"/>
        </w:rPr>
        <w:t>Hg。</w:t>
      </w:r>
    </w:p>
    <w:p w14:paraId="49E77AE7">
      <w:pPr>
        <w:spacing w:before="296"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12.使用物理旋钮调节电流强度，每个通道均设置各自的独立旋钮控制。</w:t>
      </w:r>
    </w:p>
    <w:p w14:paraId="67E3C7D2">
      <w:pPr>
        <w:spacing w:before="290" w:line="411" w:lineRule="auto"/>
        <w:ind w:left="10" w:firstLine="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13.具备盆腹动力评估功能，包含≥9</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z w:val="24"/>
          <w:szCs w:val="24"/>
          <w:highlight w:val="none"/>
        </w:rPr>
        <w:t>种评估功能，包括盆底表面肌电标准评估</w:t>
      </w:r>
      <w:r>
        <w:rPr>
          <w:rFonts w:hint="eastAsia" w:ascii="仿宋" w:hAnsi="仿宋" w:eastAsia="仿宋" w:cs="仿宋"/>
          <w:color w:val="auto"/>
          <w:spacing w:val="1"/>
          <w:sz w:val="24"/>
          <w:szCs w:val="24"/>
          <w:highlight w:val="none"/>
        </w:rPr>
        <w:t>（</w:t>
      </w:r>
      <w:r>
        <w:rPr>
          <w:rFonts w:hint="eastAsia" w:ascii="仿宋" w:hAnsi="仿宋" w:eastAsia="仿宋" w:cs="仿宋"/>
          <w:color w:val="auto"/>
          <w:sz w:val="24"/>
          <w:szCs w:val="24"/>
          <w:highlight w:val="none"/>
        </w:rPr>
        <w:t>Glazer</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评估）、性功能评估、控尿反射评估、腰背痛评估、肌张力检测</w:t>
      </w:r>
      <w:r>
        <w:rPr>
          <w:rFonts w:hint="eastAsia" w:ascii="仿宋" w:hAnsi="仿宋" w:eastAsia="仿宋" w:cs="仿宋"/>
          <w:color w:val="auto"/>
          <w:sz w:val="24"/>
          <w:szCs w:val="24"/>
          <w:highlight w:val="none"/>
        </w:rPr>
        <w:t>、肌</w:t>
      </w:r>
      <w:r>
        <w:rPr>
          <w:rFonts w:hint="eastAsia" w:ascii="仿宋" w:hAnsi="仿宋" w:eastAsia="仿宋" w:cs="仿宋"/>
          <w:color w:val="auto"/>
          <w:spacing w:val="-2"/>
          <w:sz w:val="24"/>
          <w:szCs w:val="24"/>
          <w:highlight w:val="none"/>
        </w:rPr>
        <w:t>电压力综合评估等。</w:t>
      </w:r>
    </w:p>
    <w:p w14:paraId="469320DC">
      <w:pPr>
        <w:spacing w:before="2" w:line="411" w:lineRule="auto"/>
        <w:ind w:left="13" w:firstLine="8"/>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
          <w:sz w:val="24"/>
          <w:szCs w:val="24"/>
          <w:highlight w:val="none"/>
        </w:rPr>
        <w:t>14.具备肌张力检测功能</w:t>
      </w:r>
      <w:r>
        <w:rPr>
          <w:rFonts w:hint="eastAsia" w:ascii="仿宋" w:hAnsi="仿宋" w:eastAsia="仿宋" w:cs="仿宋"/>
          <w:color w:val="auto"/>
          <w:spacing w:val="-1"/>
          <w:sz w:val="24"/>
          <w:szCs w:val="24"/>
          <w:highlight w:val="none"/>
          <w:lang w:eastAsia="zh-CN"/>
        </w:rPr>
        <w:t>。</w:t>
      </w:r>
    </w:p>
    <w:p w14:paraId="443BE8D0">
      <w:pPr>
        <w:spacing w:before="1" w:line="411" w:lineRule="auto"/>
        <w:ind w:left="10" w:firstLine="1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11.系统可根据盆底筛查或评估结果自动生成针对不同患者的疗程化盆底训练方</w:t>
      </w:r>
      <w:r>
        <w:rPr>
          <w:rFonts w:hint="eastAsia" w:ascii="仿宋" w:hAnsi="仿宋" w:eastAsia="仿宋" w:cs="仿宋"/>
          <w:color w:val="auto"/>
          <w:spacing w:val="-10"/>
          <w:sz w:val="24"/>
          <w:szCs w:val="24"/>
          <w:highlight w:val="none"/>
        </w:rPr>
        <w:t>案。</w:t>
      </w:r>
    </w:p>
    <w:p w14:paraId="24B37EC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16.标配可同时监测肌电信号与压力信号的阴道电极，治疗过程中，压力通道可对接入的电极进行自动充气，实现对于阴道电极不同大小的调节。</w:t>
      </w:r>
    </w:p>
    <w:p w14:paraId="72E26D76">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17.盆底康复治疗时，可实现对于盆底肌牵张热身、电刺激治疗、kegel 生物反馈训练和牵张拉伸的自动治疗，治疗过程中无需手动切换模式或人工更换电极探头。</w:t>
      </w:r>
    </w:p>
    <w:p w14:paraId="68F4DEF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18.系统支持自动生成磁电联合疗程化治疗方案，并实现与同品牌磁刺激类设备的实时数据同步共享。</w:t>
      </w:r>
    </w:p>
    <w:p w14:paraId="768F1402">
      <w:pPr>
        <w:spacing w:before="283" w:line="224" w:lineRule="auto"/>
        <w:ind w:left="4"/>
        <w:rPr>
          <w:rFonts w:hint="eastAsia" w:ascii="仿宋" w:hAnsi="仿宋" w:eastAsia="仿宋" w:cs="仿宋"/>
          <w:color w:val="auto"/>
          <w:spacing w:val="-4"/>
          <w:sz w:val="24"/>
          <w:szCs w:val="24"/>
          <w:highlight w:val="none"/>
        </w:rPr>
      </w:pPr>
    </w:p>
    <w:p w14:paraId="4077F451">
      <w:pPr>
        <w:spacing w:before="91" w:line="223" w:lineRule="auto"/>
        <w:ind w:left="2934"/>
        <w:outlineLvl w:val="0"/>
        <w:rPr>
          <w:rFonts w:hint="eastAsia" w:ascii="仿宋" w:hAnsi="仿宋" w:eastAsia="仿宋" w:cs="仿宋"/>
          <w:color w:val="auto"/>
          <w:sz w:val="24"/>
          <w:szCs w:val="24"/>
          <w:highlight w:val="none"/>
        </w:rPr>
      </w:pPr>
      <w:bookmarkStart w:id="682" w:name="_Toc30237"/>
      <w:bookmarkStart w:id="683" w:name="_Toc18030"/>
      <w:bookmarkStart w:id="684" w:name="_Toc25680"/>
      <w:r>
        <w:rPr>
          <w:rFonts w:hint="eastAsia" w:ascii="仿宋" w:hAnsi="仿宋" w:eastAsia="仿宋" w:cs="仿宋"/>
          <w:b/>
          <w:bCs/>
          <w:color w:val="auto"/>
          <w:spacing w:val="-3"/>
          <w:sz w:val="24"/>
          <w:szCs w:val="24"/>
          <w:highlight w:val="none"/>
          <w:lang w:val="en-US" w:eastAsia="zh-CN"/>
        </w:rPr>
        <w:t>4.</w:t>
      </w:r>
      <w:r>
        <w:rPr>
          <w:rFonts w:hint="eastAsia" w:ascii="仿宋" w:hAnsi="仿宋" w:eastAsia="仿宋" w:cs="仿宋"/>
          <w:b/>
          <w:bCs/>
          <w:color w:val="auto"/>
          <w:spacing w:val="-3"/>
          <w:sz w:val="24"/>
          <w:szCs w:val="24"/>
          <w:highlight w:val="none"/>
        </w:rPr>
        <w:t>经颅重复磁刺激仪技术参数</w:t>
      </w:r>
      <w:bookmarkEnd w:id="682"/>
      <w:bookmarkEnd w:id="683"/>
      <w:bookmarkEnd w:id="684"/>
    </w:p>
    <w:p w14:paraId="426774FF">
      <w:pPr>
        <w:spacing w:before="91" w:line="411" w:lineRule="auto"/>
        <w:ind w:left="25" w:hanging="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1.适用范围：刺激人体中枢神经和外周神经，用于人体中枢神经和外周神经功能</w:t>
      </w:r>
      <w:r>
        <w:rPr>
          <w:rFonts w:hint="eastAsia" w:ascii="仿宋" w:hAnsi="仿宋" w:eastAsia="仿宋" w:cs="仿宋"/>
          <w:color w:val="auto"/>
          <w:spacing w:val="-1"/>
          <w:sz w:val="24"/>
          <w:szCs w:val="24"/>
          <w:highlight w:val="none"/>
        </w:rPr>
        <w:t>的检测、评定、改善，对脑神经及神经损伤</w:t>
      </w:r>
      <w:r>
        <w:rPr>
          <w:rFonts w:hint="eastAsia" w:ascii="仿宋" w:hAnsi="仿宋" w:eastAsia="仿宋" w:cs="仿宋"/>
          <w:color w:val="auto"/>
          <w:spacing w:val="-2"/>
          <w:sz w:val="24"/>
          <w:szCs w:val="24"/>
          <w:highlight w:val="none"/>
        </w:rPr>
        <w:t>性疾病的辅助治疗。</w:t>
      </w:r>
    </w:p>
    <w:p w14:paraId="13B8C14F">
      <w:pPr>
        <w:spacing w:before="1" w:line="411" w:lineRule="auto"/>
        <w:ind w:left="13" w:hanging="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2.线圈具备液态循环冷却技术，线圈屏幕、一体机控制</w:t>
      </w:r>
      <w:r>
        <w:rPr>
          <w:rFonts w:hint="eastAsia" w:ascii="仿宋" w:hAnsi="仿宋" w:eastAsia="仿宋" w:cs="仿宋"/>
          <w:color w:val="auto"/>
          <w:spacing w:val="-5"/>
          <w:sz w:val="24"/>
          <w:szCs w:val="24"/>
          <w:highlight w:val="none"/>
        </w:rPr>
        <w:t>软件、下位机应用软件均</w:t>
      </w:r>
      <w:r>
        <w:rPr>
          <w:rFonts w:hint="eastAsia" w:ascii="仿宋" w:hAnsi="仿宋" w:eastAsia="仿宋" w:cs="仿宋"/>
          <w:color w:val="auto"/>
          <w:spacing w:val="-3"/>
          <w:sz w:val="24"/>
          <w:szCs w:val="24"/>
          <w:highlight w:val="none"/>
        </w:rPr>
        <w:t>可实时显示线圈温度。</w:t>
      </w:r>
    </w:p>
    <w:p w14:paraId="4254307B">
      <w:pPr>
        <w:spacing w:before="1" w:line="411" w:lineRule="auto"/>
        <w:ind w:left="10" w:hanging="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3.温度限值可设置，温度达到设置限值温度后自动</w:t>
      </w:r>
      <w:r>
        <w:rPr>
          <w:rFonts w:hint="eastAsia" w:ascii="仿宋" w:hAnsi="仿宋" w:eastAsia="仿宋" w:cs="仿宋"/>
          <w:color w:val="auto"/>
          <w:spacing w:val="-5"/>
          <w:sz w:val="24"/>
          <w:szCs w:val="24"/>
          <w:highlight w:val="none"/>
        </w:rPr>
        <w:t>停止治疗，设备会发出故障提</w:t>
      </w:r>
      <w:r>
        <w:rPr>
          <w:rFonts w:hint="eastAsia" w:ascii="仿宋" w:hAnsi="仿宋" w:eastAsia="仿宋" w:cs="仿宋"/>
          <w:color w:val="auto"/>
          <w:spacing w:val="-1"/>
          <w:sz w:val="24"/>
          <w:szCs w:val="24"/>
          <w:highlight w:val="none"/>
        </w:rPr>
        <w:t>示音、同时软件界面、远距离故障提示灯均会提示。</w:t>
      </w:r>
    </w:p>
    <w:p w14:paraId="7980E188">
      <w:pPr>
        <w:spacing w:before="1"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4.磁场强度:最大磁感应强度：</w:t>
      </w:r>
      <w:r>
        <w:rPr>
          <w:rFonts w:hint="eastAsia" w:ascii="仿宋" w:hAnsi="仿宋" w:eastAsia="仿宋" w:cs="仿宋"/>
          <w:color w:val="auto"/>
          <w:spacing w:val="-93"/>
          <w:sz w:val="24"/>
          <w:szCs w:val="24"/>
          <w:highlight w:val="none"/>
        </w:rPr>
        <w:t xml:space="preserve"> </w:t>
      </w:r>
      <w:r>
        <w:rPr>
          <w:rFonts w:hint="eastAsia" w:ascii="仿宋" w:hAnsi="仿宋" w:eastAsia="仿宋" w:cs="仿宋"/>
          <w:color w:val="auto"/>
          <w:spacing w:val="-3"/>
          <w:sz w:val="24"/>
          <w:szCs w:val="24"/>
          <w:highlight w:val="none"/>
        </w:rPr>
        <w:t>≥8T。</w:t>
      </w:r>
    </w:p>
    <w:p w14:paraId="4DFF1449">
      <w:pPr>
        <w:spacing w:before="286"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5.磁感应强度最大变化率范围：30kT/s~80kT/s。</w:t>
      </w:r>
    </w:p>
    <w:p w14:paraId="4EA213CB">
      <w:pPr>
        <w:spacing w:before="28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6.脉冲上升时间：20us~100us。</w:t>
      </w:r>
    </w:p>
    <w:p w14:paraId="23E33999">
      <w:pPr>
        <w:spacing w:before="285" w:line="223"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7.输出脉冲宽度：330us±10%。</w:t>
      </w:r>
    </w:p>
    <w:p w14:paraId="3C45FF92">
      <w:pPr>
        <w:spacing w:before="287" w:line="411" w:lineRule="auto"/>
        <w:ind w:left="9" w:hanging="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8.最大刺激频率：100Hz，刺激频率</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z w:val="24"/>
          <w:szCs w:val="24"/>
          <w:highlight w:val="none"/>
        </w:rPr>
        <w:t>0-100Hz，</w:t>
      </w:r>
      <w:r>
        <w:rPr>
          <w:rFonts w:hint="eastAsia" w:ascii="仿宋" w:hAnsi="仿宋" w:eastAsia="仿宋" w:cs="仿宋"/>
          <w:color w:val="auto"/>
          <w:spacing w:val="-109"/>
          <w:sz w:val="24"/>
          <w:szCs w:val="24"/>
          <w:highlight w:val="none"/>
        </w:rPr>
        <w:t xml:space="preserve"> </w:t>
      </w:r>
      <w:r>
        <w:rPr>
          <w:rFonts w:hint="eastAsia" w:ascii="仿宋" w:hAnsi="仿宋" w:eastAsia="仿宋" w:cs="仿宋"/>
          <w:color w:val="auto"/>
          <w:sz w:val="24"/>
          <w:szCs w:val="24"/>
          <w:highlight w:val="none"/>
        </w:rPr>
        <w:t>≤1Hz，步长</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z w:val="24"/>
          <w:szCs w:val="24"/>
          <w:highlight w:val="none"/>
        </w:rPr>
        <w:t>0.01Hz</w:t>
      </w:r>
      <w:r>
        <w:rPr>
          <w:rFonts w:hint="eastAsia" w:ascii="仿宋" w:hAnsi="仿宋" w:eastAsia="仿宋" w:cs="仿宋"/>
          <w:color w:val="auto"/>
          <w:spacing w:val="-32"/>
          <w:sz w:val="24"/>
          <w:szCs w:val="24"/>
          <w:highlight w:val="none"/>
        </w:rPr>
        <w:t>，＞</w:t>
      </w:r>
      <w:r>
        <w:rPr>
          <w:rFonts w:hint="eastAsia" w:ascii="仿宋" w:hAnsi="仿宋" w:eastAsia="仿宋" w:cs="仿宋"/>
          <w:color w:val="auto"/>
          <w:sz w:val="24"/>
          <w:szCs w:val="24"/>
          <w:highlight w:val="none"/>
        </w:rPr>
        <w:t>1Hz，步</w:t>
      </w:r>
      <w:r>
        <w:rPr>
          <w:rFonts w:hint="eastAsia" w:ascii="仿宋" w:hAnsi="仿宋" w:eastAsia="仿宋" w:cs="仿宋"/>
          <w:color w:val="auto"/>
          <w:spacing w:val="-4"/>
          <w:sz w:val="24"/>
          <w:szCs w:val="24"/>
          <w:highlight w:val="none"/>
        </w:rPr>
        <w:t>长</w:t>
      </w:r>
      <w:r>
        <w:rPr>
          <w:rFonts w:hint="eastAsia" w:ascii="仿宋" w:hAnsi="仿宋" w:eastAsia="仿宋" w:cs="仿宋"/>
          <w:color w:val="auto"/>
          <w:spacing w:val="-61"/>
          <w:sz w:val="24"/>
          <w:szCs w:val="24"/>
          <w:highlight w:val="none"/>
        </w:rPr>
        <w:t xml:space="preserve"> </w:t>
      </w:r>
      <w:r>
        <w:rPr>
          <w:rFonts w:hint="eastAsia" w:ascii="仿宋" w:hAnsi="仿宋" w:eastAsia="仿宋" w:cs="仿宋"/>
          <w:color w:val="auto"/>
          <w:spacing w:val="-4"/>
          <w:sz w:val="24"/>
          <w:szCs w:val="24"/>
          <w:highlight w:val="none"/>
        </w:rPr>
        <w:t>0.1Hz。</w:t>
      </w:r>
    </w:p>
    <w:p w14:paraId="202BECA7">
      <w:pPr>
        <w:spacing w:before="1" w:line="221"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9.支持四种刺激模式：标准刺激、TBS</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1"/>
          <w:sz w:val="24"/>
          <w:szCs w:val="24"/>
          <w:highlight w:val="none"/>
        </w:rPr>
        <w:t>刺激、单次刺激、成对刺激。</w:t>
      </w:r>
    </w:p>
    <w:p w14:paraId="4EF97CDB">
      <w:pPr>
        <w:spacing w:before="290" w:line="411" w:lineRule="auto"/>
        <w:ind w:left="9" w:firstLine="1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10.系统包含一体机操作软件和下位机应用软件双触屏操作软件，下位机应用软</w:t>
      </w:r>
      <w:r>
        <w:rPr>
          <w:rFonts w:hint="eastAsia" w:ascii="仿宋" w:hAnsi="仿宋" w:eastAsia="仿宋" w:cs="仿宋"/>
          <w:color w:val="auto"/>
          <w:spacing w:val="-5"/>
          <w:sz w:val="24"/>
          <w:szCs w:val="24"/>
          <w:highlight w:val="none"/>
        </w:rPr>
        <w:t>件的触摸屏幕≥8</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5"/>
          <w:sz w:val="24"/>
          <w:szCs w:val="24"/>
          <w:highlight w:val="none"/>
        </w:rPr>
        <w:t>寸。</w:t>
      </w:r>
    </w:p>
    <w:p w14:paraId="42A10C45">
      <w:pPr>
        <w:spacing w:before="1"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11.一体机操作软件和下位机应用软件通过网口通讯，实现数据交互和同步。</w:t>
      </w:r>
    </w:p>
    <w:p w14:paraId="027CEB8E">
      <w:pPr>
        <w:spacing w:before="290" w:line="411" w:lineRule="auto"/>
        <w:ind w:left="25" w:hanging="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12.下位机应用软件，可直接进行患者信息管理、方案管理、导出功能、刺激功</w:t>
      </w:r>
      <w:r>
        <w:rPr>
          <w:rFonts w:hint="eastAsia" w:ascii="仿宋" w:hAnsi="仿宋" w:eastAsia="仿宋" w:cs="仿宋"/>
          <w:color w:val="auto"/>
          <w:spacing w:val="-18"/>
          <w:sz w:val="24"/>
          <w:szCs w:val="24"/>
          <w:highlight w:val="none"/>
        </w:rPr>
        <w:t>能。</w:t>
      </w:r>
    </w:p>
    <w:p w14:paraId="245B32AA">
      <w:pPr>
        <w:spacing w:before="1" w:line="411" w:lineRule="auto"/>
        <w:ind w:left="9" w:firstLin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13.下位机应用软件可以进行</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z w:val="24"/>
          <w:szCs w:val="24"/>
          <w:highlight w:val="none"/>
        </w:rPr>
        <w:t>MEP</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z w:val="24"/>
          <w:szCs w:val="24"/>
          <w:highlight w:val="none"/>
        </w:rPr>
        <w:t>通道选择，ME</w:t>
      </w:r>
      <w:r>
        <w:rPr>
          <w:rFonts w:hint="eastAsia" w:ascii="仿宋" w:hAnsi="仿宋" w:eastAsia="仿宋" w:cs="仿宋"/>
          <w:color w:val="auto"/>
          <w:spacing w:val="-1"/>
          <w:sz w:val="24"/>
          <w:szCs w:val="24"/>
          <w:highlight w:val="none"/>
        </w:rPr>
        <w:t>P</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采样频率设置，时程和增益选</w:t>
      </w:r>
      <w:r>
        <w:rPr>
          <w:rFonts w:hint="eastAsia" w:ascii="仿宋" w:hAnsi="仿宋" w:eastAsia="仿宋" w:cs="仿宋"/>
          <w:color w:val="auto"/>
          <w:spacing w:val="-5"/>
          <w:sz w:val="24"/>
          <w:szCs w:val="24"/>
          <w:highlight w:val="none"/>
        </w:rPr>
        <w:t>择，触发输入和触发输出功能选择，带通滤波和陷波器的启用和关闭，各种滤波</w:t>
      </w:r>
      <w:r>
        <w:rPr>
          <w:rFonts w:hint="eastAsia" w:ascii="仿宋" w:hAnsi="仿宋" w:eastAsia="仿宋" w:cs="仿宋"/>
          <w:color w:val="auto"/>
          <w:spacing w:val="-3"/>
          <w:sz w:val="24"/>
          <w:szCs w:val="24"/>
          <w:highlight w:val="none"/>
        </w:rPr>
        <w:t>频带的选择，AD</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3"/>
          <w:sz w:val="24"/>
          <w:szCs w:val="24"/>
          <w:highlight w:val="none"/>
        </w:rPr>
        <w:t>硬件滤波的启用或关闭，</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3"/>
          <w:sz w:val="24"/>
          <w:szCs w:val="24"/>
          <w:highlight w:val="none"/>
        </w:rPr>
        <w:t>自动</w:t>
      </w:r>
      <w:r>
        <w:rPr>
          <w:rFonts w:hint="eastAsia" w:ascii="仿宋" w:hAnsi="仿宋" w:eastAsia="仿宋" w:cs="仿宋"/>
          <w:color w:val="auto"/>
          <w:spacing w:val="-4"/>
          <w:sz w:val="24"/>
          <w:szCs w:val="24"/>
          <w:highlight w:val="none"/>
        </w:rPr>
        <w:t>接收波形的启用或取消。</w:t>
      </w:r>
    </w:p>
    <w:p w14:paraId="4DDCCCD8">
      <w:pPr>
        <w:spacing w:before="288" w:line="221"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14.4</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4"/>
          <w:sz w:val="24"/>
          <w:szCs w:val="24"/>
          <w:highlight w:val="none"/>
        </w:rPr>
        <w:t>通道</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4"/>
          <w:sz w:val="24"/>
          <w:szCs w:val="24"/>
          <w:highlight w:val="none"/>
        </w:rPr>
        <w:t>MEP</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采集，可同时进行多部位</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4"/>
          <w:sz w:val="24"/>
          <w:szCs w:val="24"/>
          <w:highlight w:val="none"/>
        </w:rPr>
        <w:t>MEP</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4"/>
          <w:sz w:val="24"/>
          <w:szCs w:val="24"/>
          <w:highlight w:val="none"/>
        </w:rPr>
        <w:t>检测。</w:t>
      </w:r>
    </w:p>
    <w:p w14:paraId="0A0B333A">
      <w:pPr>
        <w:spacing w:before="289" w:line="223" w:lineRule="auto"/>
        <w:ind w:left="1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15.MEP</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3"/>
          <w:sz w:val="24"/>
          <w:szCs w:val="24"/>
          <w:highlight w:val="none"/>
        </w:rPr>
        <w:t>满足</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3"/>
          <w:sz w:val="24"/>
          <w:szCs w:val="24"/>
          <w:highlight w:val="none"/>
        </w:rPr>
        <w:t>YY9706.240-2</w:t>
      </w:r>
      <w:r>
        <w:rPr>
          <w:rFonts w:hint="eastAsia" w:ascii="仿宋" w:hAnsi="仿宋" w:eastAsia="仿宋" w:cs="仿宋"/>
          <w:color w:val="auto"/>
          <w:spacing w:val="-4"/>
          <w:sz w:val="24"/>
          <w:szCs w:val="24"/>
          <w:highlight w:val="none"/>
        </w:rPr>
        <w:t>021</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4"/>
          <w:sz w:val="24"/>
          <w:szCs w:val="24"/>
          <w:highlight w:val="none"/>
        </w:rPr>
        <w:t>的要求。</w:t>
      </w:r>
    </w:p>
    <w:p w14:paraId="08C63867">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16.定位帽：两个，可供临床定位和治疗使用。</w:t>
      </w:r>
    </w:p>
    <w:p w14:paraId="73DD88D0">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17.定位帽符合 10-20 国际标准。</w:t>
      </w:r>
    </w:p>
    <w:p w14:paraId="7DF53DAE">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18.刺激线圈实时显示温度，可在设备电脑操作软件与主机箱小液晶显示屏上进行双模式展示，当温度达到设定报警温度时自动停止输出。</w:t>
      </w:r>
    </w:p>
    <w:p w14:paraId="76725D94">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19.主机可根据临床需求安装圆形线圈或八字形线圈。</w:t>
      </w:r>
    </w:p>
    <w:p w14:paraId="488AEE39">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20.系统可查看患者基本信息、临床治疗方案、治疗记录、报警信息等，并可实时查询、编辑及导出数据。</w:t>
      </w:r>
    </w:p>
    <w:p w14:paraId="36AF8C7E">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21.系统可设置线圈温度上限、冷却系统参数、内部环境温度上下限、电源最高充电电压。</w:t>
      </w:r>
    </w:p>
    <w:p w14:paraId="774FC4CC">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22.系统可自动化生成报告，也可根据需要自定义编辑。</w:t>
      </w:r>
    </w:p>
    <w:p w14:paraId="09DD5D14">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23.系统包含脉冲输出自动计数功能，客观评估累计使用次数。</w:t>
      </w:r>
    </w:p>
    <w:p w14:paraId="26E6949D">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24.具有故障提示灯。</w:t>
      </w:r>
    </w:p>
    <w:p w14:paraId="21CB1AF1">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25.设备支持实时调整、暂停刺激后调整刺激强度。</w:t>
      </w:r>
    </w:p>
    <w:p w14:paraId="5BB2BEEB">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26.设备支持暂停后直接修改刺激频率、刺激个数、重复次数、间歇时间、从间频率、从内频率。</w:t>
      </w:r>
    </w:p>
    <w:p w14:paraId="1C6BFC14">
      <w:pPr>
        <w:spacing w:before="91" w:line="411" w:lineRule="auto"/>
        <w:ind w:left="25" w:hanging="4"/>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27.设备操作软件满足 GB/T25000.51 的软件质量要求。</w:t>
      </w:r>
    </w:p>
    <w:p w14:paraId="1D3371E0">
      <w:pPr>
        <w:spacing w:before="289" w:line="223" w:lineRule="auto"/>
        <w:ind w:left="9"/>
        <w:rPr>
          <w:rFonts w:hint="eastAsia" w:ascii="仿宋" w:hAnsi="仿宋" w:eastAsia="仿宋" w:cs="仿宋"/>
          <w:b/>
          <w:bCs/>
          <w:color w:val="auto"/>
          <w:sz w:val="24"/>
          <w:szCs w:val="24"/>
          <w:highlight w:val="none"/>
        </w:rPr>
      </w:pPr>
      <w:r>
        <w:rPr>
          <w:rFonts w:hint="eastAsia" w:ascii="仿宋" w:hAnsi="仿宋" w:eastAsia="仿宋" w:cs="仿宋"/>
          <w:b/>
          <w:bCs/>
          <w:color w:val="auto"/>
          <w:spacing w:val="-6"/>
          <w:sz w:val="24"/>
          <w:szCs w:val="24"/>
          <w:highlight w:val="none"/>
        </w:rPr>
        <w:t>配置要求：</w:t>
      </w:r>
    </w:p>
    <w:p w14:paraId="6D0F59C2">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1.经颅磁刺激主机（单电源）1 组</w:t>
      </w:r>
    </w:p>
    <w:p w14:paraId="0AE9A3B5">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2.运动诱发电位模块   1 套</w:t>
      </w:r>
    </w:p>
    <w:p w14:paraId="03A1C381">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3.线圈支架  1 套</w:t>
      </w:r>
    </w:p>
    <w:p w14:paraId="2A68F59C">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4.线圈（8 字形或圆形）1 套</w:t>
      </w:r>
    </w:p>
    <w:p w14:paraId="728ADC15">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5.定位帽 1 套</w:t>
      </w:r>
    </w:p>
    <w:p w14:paraId="7C53B2F7">
      <w:pPr>
        <w:spacing w:before="286" w:line="224" w:lineRule="auto"/>
        <w:ind w:left="6"/>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6.肌电导联线   1 组</w:t>
      </w:r>
    </w:p>
    <w:p w14:paraId="17218BAC">
      <w:pPr>
        <w:spacing w:before="91" w:line="222" w:lineRule="auto"/>
        <w:ind w:left="3357"/>
        <w:outlineLvl w:val="0"/>
        <w:rPr>
          <w:rFonts w:hint="eastAsia" w:ascii="仿宋" w:hAnsi="仿宋" w:eastAsia="仿宋" w:cs="仿宋"/>
          <w:b/>
          <w:bCs/>
          <w:color w:val="auto"/>
          <w:spacing w:val="-4"/>
          <w:sz w:val="24"/>
          <w:szCs w:val="24"/>
          <w:highlight w:val="none"/>
          <w:lang w:val="en-US" w:eastAsia="zh-CN"/>
        </w:rPr>
      </w:pPr>
    </w:p>
    <w:p w14:paraId="0AB2567F">
      <w:pPr>
        <w:spacing w:before="91" w:line="222" w:lineRule="auto"/>
        <w:ind w:left="3357"/>
        <w:outlineLvl w:val="0"/>
        <w:rPr>
          <w:rFonts w:hint="eastAsia" w:ascii="仿宋" w:hAnsi="仿宋" w:eastAsia="仿宋" w:cs="仿宋"/>
          <w:b/>
          <w:bCs/>
          <w:color w:val="auto"/>
          <w:spacing w:val="-4"/>
          <w:sz w:val="24"/>
          <w:szCs w:val="24"/>
          <w:highlight w:val="none"/>
          <w:lang w:val="en-US" w:eastAsia="zh-CN"/>
        </w:rPr>
      </w:pPr>
    </w:p>
    <w:p w14:paraId="5BBBA1F4">
      <w:pPr>
        <w:spacing w:before="91" w:line="222" w:lineRule="auto"/>
        <w:ind w:left="3357"/>
        <w:outlineLvl w:val="0"/>
        <w:rPr>
          <w:rFonts w:hint="eastAsia" w:ascii="仿宋" w:hAnsi="仿宋" w:eastAsia="仿宋" w:cs="仿宋"/>
          <w:b/>
          <w:bCs/>
          <w:color w:val="auto"/>
          <w:spacing w:val="-4"/>
          <w:sz w:val="24"/>
          <w:szCs w:val="24"/>
          <w:highlight w:val="none"/>
          <w:lang w:val="en-US" w:eastAsia="zh-CN"/>
        </w:rPr>
      </w:pPr>
    </w:p>
    <w:p w14:paraId="07F31762">
      <w:pPr>
        <w:spacing w:before="91" w:line="222" w:lineRule="auto"/>
        <w:ind w:left="3357"/>
        <w:outlineLvl w:val="0"/>
        <w:rPr>
          <w:rFonts w:hint="eastAsia" w:ascii="仿宋" w:hAnsi="仿宋" w:eastAsia="仿宋" w:cs="仿宋"/>
          <w:b/>
          <w:bCs/>
          <w:color w:val="auto"/>
          <w:spacing w:val="-4"/>
          <w:sz w:val="24"/>
          <w:szCs w:val="24"/>
          <w:highlight w:val="none"/>
          <w:lang w:val="en-US" w:eastAsia="zh-CN"/>
        </w:rPr>
      </w:pPr>
    </w:p>
    <w:p w14:paraId="013F586E">
      <w:pPr>
        <w:spacing w:before="91" w:line="222" w:lineRule="auto"/>
        <w:ind w:left="3357"/>
        <w:outlineLvl w:val="0"/>
        <w:rPr>
          <w:rFonts w:hint="eastAsia" w:ascii="仿宋" w:hAnsi="仿宋" w:eastAsia="仿宋" w:cs="仿宋"/>
          <w:color w:val="auto"/>
          <w:sz w:val="24"/>
          <w:szCs w:val="24"/>
          <w:highlight w:val="none"/>
        </w:rPr>
      </w:pPr>
      <w:bookmarkStart w:id="685" w:name="_Toc23311"/>
      <w:bookmarkStart w:id="686" w:name="_Toc15763"/>
      <w:bookmarkStart w:id="687" w:name="_Toc719"/>
      <w:r>
        <w:rPr>
          <w:rFonts w:hint="eastAsia" w:ascii="仿宋" w:hAnsi="仿宋" w:eastAsia="仿宋" w:cs="仿宋"/>
          <w:b/>
          <w:bCs/>
          <w:color w:val="auto"/>
          <w:spacing w:val="-4"/>
          <w:sz w:val="24"/>
          <w:szCs w:val="24"/>
          <w:highlight w:val="none"/>
          <w:lang w:val="en-US" w:eastAsia="zh-CN"/>
        </w:rPr>
        <w:t>5.</w:t>
      </w:r>
      <w:r>
        <w:rPr>
          <w:rFonts w:hint="eastAsia" w:ascii="仿宋" w:hAnsi="仿宋" w:eastAsia="仿宋" w:cs="仿宋"/>
          <w:b/>
          <w:bCs/>
          <w:color w:val="auto"/>
          <w:spacing w:val="-4"/>
          <w:sz w:val="24"/>
          <w:szCs w:val="24"/>
          <w:highlight w:val="none"/>
        </w:rPr>
        <w:t>生物反馈仪技术参数</w:t>
      </w:r>
      <w:bookmarkEnd w:id="685"/>
      <w:bookmarkEnd w:id="686"/>
      <w:bookmarkEnd w:id="687"/>
    </w:p>
    <w:p w14:paraId="2BCAD781">
      <w:pPr>
        <w:pStyle w:val="11"/>
        <w:spacing w:line="314" w:lineRule="auto"/>
        <w:rPr>
          <w:rFonts w:hint="eastAsia" w:ascii="仿宋" w:hAnsi="仿宋" w:eastAsia="仿宋" w:cs="仿宋"/>
          <w:color w:val="auto"/>
          <w:sz w:val="24"/>
          <w:szCs w:val="24"/>
          <w:highlight w:val="none"/>
        </w:rPr>
      </w:pPr>
    </w:p>
    <w:p w14:paraId="76018B7F">
      <w:pPr>
        <w:keepNext w:val="0"/>
        <w:keepLines w:val="0"/>
        <w:pageBreakBefore w:val="0"/>
        <w:widowControl w:val="0"/>
        <w:kinsoku/>
        <w:wordWrap/>
        <w:overflowPunct/>
        <w:topLinePunct w:val="0"/>
        <w:autoSpaceDE/>
        <w:autoSpaceDN/>
        <w:bidi w:val="0"/>
        <w:adjustRightInd/>
        <w:snapToGrid/>
        <w:spacing w:before="91" w:line="360" w:lineRule="auto"/>
        <w:ind w:left="2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1、适用于焦虑症神经精神疾病（非神经衰弱）的生物反</w:t>
      </w:r>
      <w:r>
        <w:rPr>
          <w:rFonts w:hint="eastAsia" w:ascii="仿宋" w:hAnsi="仿宋" w:eastAsia="仿宋" w:cs="仿宋"/>
          <w:color w:val="auto"/>
          <w:spacing w:val="-2"/>
          <w:sz w:val="24"/>
          <w:szCs w:val="24"/>
          <w:highlight w:val="none"/>
        </w:rPr>
        <w:t>馈治疗。</w:t>
      </w:r>
    </w:p>
    <w:p w14:paraId="260340FD">
      <w:pPr>
        <w:keepNext w:val="0"/>
        <w:keepLines w:val="0"/>
        <w:pageBreakBefore w:val="0"/>
        <w:widowControl w:val="0"/>
        <w:kinsoku/>
        <w:wordWrap/>
        <w:overflowPunct/>
        <w:topLinePunct w:val="0"/>
        <w:autoSpaceDE/>
        <w:autoSpaceDN/>
        <w:bidi w:val="0"/>
        <w:adjustRightInd/>
        <w:snapToGrid/>
        <w:spacing w:before="289" w:line="360" w:lineRule="auto"/>
        <w:ind w:left="13" w:right="101" w:hanging="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2、采用无线传输方式技术，可实现</w:t>
      </w:r>
      <w:r>
        <w:rPr>
          <w:rFonts w:hint="eastAsia" w:ascii="仿宋" w:hAnsi="仿宋" w:eastAsia="仿宋" w:cs="仿宋"/>
          <w:color w:val="auto"/>
          <w:spacing w:val="-26"/>
          <w:sz w:val="24"/>
          <w:szCs w:val="24"/>
          <w:highlight w:val="none"/>
        </w:rPr>
        <w:t xml:space="preserve"> </w:t>
      </w:r>
      <w:r>
        <w:rPr>
          <w:rFonts w:hint="eastAsia" w:ascii="仿宋" w:hAnsi="仿宋" w:eastAsia="仿宋" w:cs="仿宋"/>
          <w:color w:val="auto"/>
          <w:spacing w:val="-1"/>
          <w:sz w:val="24"/>
          <w:szCs w:val="24"/>
          <w:highlight w:val="none"/>
        </w:rPr>
        <w:t>1</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1"/>
          <w:sz w:val="24"/>
          <w:szCs w:val="24"/>
          <w:highlight w:val="none"/>
        </w:rPr>
        <w:t>个团体处理器对应≥4</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1"/>
          <w:sz w:val="24"/>
          <w:szCs w:val="24"/>
          <w:highlight w:val="none"/>
        </w:rPr>
        <w:t>人信号采集器，对</w:t>
      </w:r>
      <w:r>
        <w:rPr>
          <w:rFonts w:hint="eastAsia" w:ascii="仿宋" w:hAnsi="仿宋" w:eastAsia="仿宋" w:cs="仿宋"/>
          <w:color w:val="auto"/>
          <w:spacing w:val="-2"/>
          <w:sz w:val="24"/>
          <w:szCs w:val="24"/>
          <w:highlight w:val="none"/>
        </w:rPr>
        <w:t>人员进行数据采集、分析、处理与交换。</w:t>
      </w:r>
    </w:p>
    <w:p w14:paraId="5C14BE55">
      <w:pPr>
        <w:keepNext w:val="0"/>
        <w:keepLines w:val="0"/>
        <w:pageBreakBefore w:val="0"/>
        <w:widowControl w:val="0"/>
        <w:kinsoku/>
        <w:wordWrap/>
        <w:overflowPunct/>
        <w:topLinePunct w:val="0"/>
        <w:autoSpaceDE/>
        <w:autoSpaceDN/>
        <w:bidi w:val="0"/>
        <w:adjustRightInd/>
        <w:snapToGrid/>
        <w:spacing w:line="360" w:lineRule="auto"/>
        <w:ind w:left="19" w:right="101" w:hanging="13"/>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3、无线数据传输性能要求：信号采集器和信号接收器相距≥10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3"/>
          <w:sz w:val="24"/>
          <w:szCs w:val="24"/>
          <w:highlight w:val="none"/>
        </w:rPr>
        <w:t>米时，无线传输</w:t>
      </w:r>
      <w:r>
        <w:rPr>
          <w:rFonts w:hint="eastAsia" w:ascii="仿宋" w:hAnsi="仿宋" w:eastAsia="仿宋" w:cs="仿宋"/>
          <w:color w:val="auto"/>
          <w:spacing w:val="-2"/>
          <w:sz w:val="24"/>
          <w:szCs w:val="24"/>
          <w:highlight w:val="none"/>
        </w:rPr>
        <w:t>丢包率≤3%，以检验报告为准。</w:t>
      </w:r>
    </w:p>
    <w:p w14:paraId="3C20E8A4">
      <w:pPr>
        <w:keepNext w:val="0"/>
        <w:keepLines w:val="0"/>
        <w:pageBreakBefore w:val="0"/>
        <w:widowControl w:val="0"/>
        <w:kinsoku/>
        <w:wordWrap/>
        <w:overflowPunct/>
        <w:topLinePunct w:val="0"/>
        <w:autoSpaceDE/>
        <w:autoSpaceDN/>
        <w:bidi w:val="0"/>
        <w:adjustRightInd/>
        <w:snapToGrid/>
        <w:spacing w:before="91" w:line="360" w:lineRule="auto"/>
        <w:ind w:left="21"/>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4、信号采集器：</w:t>
      </w:r>
    </w:p>
    <w:p w14:paraId="5D4189C4">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4.1、与患者接触的材料原发性刺激反应极轻微，无致敏性，细胞毒性分级为0 级、无细胞毒性作用。该材料通过生物相容性的试验或评价，以检验报告为准。</w:t>
      </w:r>
    </w:p>
    <w:p w14:paraId="3D0FA658">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4.2、实时采集脑电或者肌电等生理信号，AD 采样位数≥24bit，AD 采样率≥2000Hz。</w:t>
      </w:r>
    </w:p>
    <w:p w14:paraId="6CA6DEAE">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4.3、采集具备状态指示灯；具备耳畔提示音功能，一对一干预患者。</w:t>
      </w:r>
    </w:p>
    <w:p w14:paraId="0BB89BD7">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5、信号匹配</w:t>
      </w:r>
    </w:p>
    <w:p w14:paraId="6A9494B3">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5.1、通过人脸识别实现患者用户与信号采集器的匹配，以检验报告为准。</w:t>
      </w:r>
    </w:p>
    <w:p w14:paraId="1C850805">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5.2、支持在团体用户列表中选取特定的团体进行治疗、训练。</w:t>
      </w:r>
    </w:p>
    <w:p w14:paraId="28572043">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5.3、信号采集器充电方式采用无线充电。</w:t>
      </w:r>
    </w:p>
    <w:p w14:paraId="79AA4FB0">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5.4、主机采用NFC 技术读取无线信号接收器，并与人脸识别采取的患者信息相匹配。</w:t>
      </w:r>
    </w:p>
    <w:p w14:paraId="59C7C839">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6、治疗方案</w:t>
      </w:r>
    </w:p>
    <w:p w14:paraId="58413588">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6.1 提供静息评估、应激评估和特定评估方案对用户心理状态和生理状态进行评估。</w:t>
      </w:r>
    </w:p>
    <w:p w14:paraId="505457BB">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6.2 提供呼吸放松治疗、松弛治疗、暗示治疗、音乐治疗等对用户进行心理干预与治疗。</w:t>
      </w:r>
    </w:p>
    <w:p w14:paraId="66C466AE">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6.3 脑电参数可进行单独反馈，具备不同疾病团体的脑电生物反馈治疗方案。</w:t>
      </w:r>
    </w:p>
    <w:p w14:paraId="1CD4E0D6">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6.4 团体训练：提供支持性团体、动力取向团体、问题导向团体、活动团体治疗。</w:t>
      </w:r>
    </w:p>
    <w:p w14:paraId="1A8DDED6">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7、具备储运、无线充电、人脸识别、临时存放、工作平台、灵活移动等功能。</w:t>
      </w:r>
    </w:p>
    <w:p w14:paraId="69A6D1CA">
      <w:pPr>
        <w:rPr>
          <w:rFonts w:hint="eastAsia" w:ascii="仿宋" w:hAnsi="仿宋" w:eastAsia="仿宋" w:cs="仿宋"/>
          <w:b/>
          <w:bCs/>
          <w:color w:val="auto"/>
          <w:spacing w:val="-3"/>
          <w:sz w:val="24"/>
          <w:szCs w:val="24"/>
          <w:highlight w:val="none"/>
          <w:lang w:val="en-US" w:eastAsia="zh-CN"/>
        </w:rPr>
      </w:pPr>
    </w:p>
    <w:p w14:paraId="12760D33">
      <w:pPr>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br w:type="page"/>
      </w:r>
    </w:p>
    <w:p w14:paraId="59C059DF">
      <w:pPr>
        <w:jc w:val="center"/>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6.</w:t>
      </w:r>
      <w:r>
        <w:rPr>
          <w:rFonts w:hint="eastAsia" w:ascii="仿宋" w:hAnsi="仿宋" w:eastAsia="仿宋" w:cs="仿宋"/>
          <w:b/>
          <w:bCs/>
          <w:color w:val="auto"/>
          <w:spacing w:val="-3"/>
          <w:sz w:val="24"/>
          <w:szCs w:val="24"/>
          <w:highlight w:val="none"/>
        </w:rPr>
        <w:t>空气波压力循环治疗仪技术参数</w:t>
      </w:r>
    </w:p>
    <w:p w14:paraId="1E10EFEB">
      <w:pPr>
        <w:pStyle w:val="11"/>
        <w:spacing w:line="314" w:lineRule="auto"/>
        <w:rPr>
          <w:rFonts w:hint="eastAsia" w:ascii="仿宋" w:hAnsi="仿宋" w:eastAsia="仿宋" w:cs="仿宋"/>
          <w:color w:val="auto"/>
          <w:sz w:val="24"/>
          <w:szCs w:val="24"/>
          <w:highlight w:val="none"/>
        </w:rPr>
      </w:pPr>
    </w:p>
    <w:p w14:paraId="0592185B">
      <w:pPr>
        <w:spacing w:before="91" w:line="411" w:lineRule="auto"/>
        <w:ind w:left="26" w:hanging="1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一、适用范围：适用于脑血管意外、脑外伤、脑手术后、脊髓病变引起的肢体功</w:t>
      </w:r>
      <w:r>
        <w:rPr>
          <w:rFonts w:hint="eastAsia" w:ascii="仿宋" w:hAnsi="仿宋" w:eastAsia="仿宋" w:cs="仿宋"/>
          <w:color w:val="auto"/>
          <w:spacing w:val="-1"/>
          <w:sz w:val="24"/>
          <w:szCs w:val="24"/>
          <w:highlight w:val="none"/>
        </w:rPr>
        <w:t>能障碍的辅助治疗，以及预防手术后或长期卧床而引起的</w:t>
      </w:r>
      <w:r>
        <w:rPr>
          <w:rFonts w:hint="eastAsia" w:ascii="仿宋" w:hAnsi="仿宋" w:eastAsia="仿宋" w:cs="仿宋"/>
          <w:color w:val="auto"/>
          <w:spacing w:val="-2"/>
          <w:sz w:val="24"/>
          <w:szCs w:val="24"/>
          <w:highlight w:val="none"/>
        </w:rPr>
        <w:t>静脉血栓。</w:t>
      </w:r>
    </w:p>
    <w:p w14:paraId="5959B251">
      <w:pPr>
        <w:spacing w:before="1" w:line="220" w:lineRule="auto"/>
        <w:ind w:left="1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二、性能参数：</w:t>
      </w:r>
    </w:p>
    <w:p w14:paraId="4B1D94BE">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1.液晶触摸显示屏；</w:t>
      </w:r>
    </w:p>
    <w:p w14:paraId="0D137660">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 ≥9 种充气治疗模式可选；</w:t>
      </w:r>
    </w:p>
    <w:p w14:paraId="7A87A260">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3.具有单腔压力可调可关闭功能；</w:t>
      </w:r>
    </w:p>
    <w:p w14:paraId="750D1014">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4.气囊腔数：单侧8腔气囊，双侧16腔气囊，配备双下肢气囊、腰部气囊、上肢气囊；</w:t>
      </w:r>
    </w:p>
    <w:p w14:paraId="40F0F263">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5.特制叠加式双层结构气囊；</w:t>
      </w:r>
    </w:p>
    <w:p w14:paraId="7108B9EA">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6.设备压强可在 5-25Kpa（38-188mmHg）范围内连续可调，气压单位 Kpa 和 mmHg可进行转换；</w:t>
      </w:r>
    </w:p>
    <w:p w14:paraId="46C1DDA8">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7.时间设定模式：治疗时间最长为99h，范围内可连续可调；</w:t>
      </w:r>
    </w:p>
    <w:p w14:paraId="710EDA22">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8.仪器设备充气时，每腔压力实时监测，实时显示当前腔道压力；</w:t>
      </w:r>
    </w:p>
    <w:p w14:paraId="6037BDCF">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9.具有过压保护功能；</w:t>
      </w:r>
    </w:p>
    <w:p w14:paraId="403D856C">
      <w:pPr>
        <w:keepNext w:val="0"/>
        <w:keepLines w:val="0"/>
        <w:pageBreakBefore w:val="0"/>
        <w:widowControl w:val="0"/>
        <w:kinsoku/>
        <w:wordWrap/>
        <w:overflowPunct/>
        <w:topLinePunct w:val="0"/>
        <w:autoSpaceDE/>
        <w:autoSpaceDN/>
        <w:bidi w:val="0"/>
        <w:adjustRightInd/>
        <w:snapToGrid/>
        <w:spacing w:before="9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10.具有断电保护功能。</w:t>
      </w:r>
    </w:p>
    <w:p w14:paraId="273F5DBE">
      <w:pPr>
        <w:spacing w:before="288" w:line="223" w:lineRule="auto"/>
        <w:ind w:left="400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产品配置要求</w:t>
      </w:r>
    </w:p>
    <w:p w14:paraId="23BE1B71">
      <w:pPr>
        <w:spacing w:line="113" w:lineRule="exact"/>
        <w:rPr>
          <w:rFonts w:hint="eastAsia" w:ascii="仿宋" w:hAnsi="仿宋" w:eastAsia="仿宋" w:cs="仿宋"/>
          <w:color w:val="auto"/>
          <w:sz w:val="24"/>
          <w:szCs w:val="24"/>
          <w:highlight w:val="none"/>
        </w:rPr>
      </w:pPr>
    </w:p>
    <w:tbl>
      <w:tblPr>
        <w:tblStyle w:val="189"/>
        <w:tblW w:w="524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57"/>
        <w:gridCol w:w="4213"/>
      </w:tblGrid>
      <w:tr w14:paraId="4CCDA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2727" w:type="pct"/>
            <w:vAlign w:val="center"/>
          </w:tcPr>
          <w:p w14:paraId="583A9F07">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配置</w:t>
            </w:r>
          </w:p>
        </w:tc>
        <w:tc>
          <w:tcPr>
            <w:tcW w:w="2272" w:type="pct"/>
            <w:vAlign w:val="center"/>
          </w:tcPr>
          <w:p w14:paraId="6C1E845A">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备注</w:t>
            </w:r>
          </w:p>
        </w:tc>
      </w:tr>
      <w:tr w14:paraId="5089B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vAlign w:val="center"/>
          </w:tcPr>
          <w:p w14:paraId="5F5B68EE">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主机</w:t>
            </w:r>
          </w:p>
        </w:tc>
        <w:tc>
          <w:tcPr>
            <w:tcW w:w="2272" w:type="pct"/>
            <w:vAlign w:val="center"/>
          </w:tcPr>
          <w:p w14:paraId="3DDB0B58">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 台</w:t>
            </w:r>
          </w:p>
        </w:tc>
      </w:tr>
      <w:tr w14:paraId="1C5A7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vAlign w:val="center"/>
          </w:tcPr>
          <w:p w14:paraId="2B013799">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四腔上肢气套</w:t>
            </w:r>
          </w:p>
        </w:tc>
        <w:tc>
          <w:tcPr>
            <w:tcW w:w="2272" w:type="pct"/>
            <w:vAlign w:val="center"/>
          </w:tcPr>
          <w:p w14:paraId="17AC48E9">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 只</w:t>
            </w:r>
          </w:p>
        </w:tc>
      </w:tr>
      <w:tr w14:paraId="121AB6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vAlign w:val="center"/>
          </w:tcPr>
          <w:p w14:paraId="7BC12D47">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四腔下肢气套</w:t>
            </w:r>
          </w:p>
        </w:tc>
        <w:tc>
          <w:tcPr>
            <w:tcW w:w="2272" w:type="pct"/>
            <w:vAlign w:val="center"/>
          </w:tcPr>
          <w:p w14:paraId="09C5DC45">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2 只</w:t>
            </w:r>
          </w:p>
        </w:tc>
      </w:tr>
      <w:tr w14:paraId="6C08E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vAlign w:val="center"/>
          </w:tcPr>
          <w:p w14:paraId="791B4A64">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 分 1 充气导管</w:t>
            </w:r>
          </w:p>
        </w:tc>
        <w:tc>
          <w:tcPr>
            <w:tcW w:w="2272" w:type="pct"/>
            <w:vAlign w:val="center"/>
          </w:tcPr>
          <w:p w14:paraId="57193671">
            <w:pPr>
              <w:spacing w:before="288" w:line="223" w:lineRule="auto"/>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1 条</w:t>
            </w:r>
          </w:p>
        </w:tc>
      </w:tr>
      <w:tr w14:paraId="50927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052F2DF6">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分 2 充气导管</w:t>
            </w:r>
          </w:p>
        </w:tc>
        <w:tc>
          <w:tcPr>
            <w:tcW w:w="2272" w:type="pct"/>
            <w:shd w:val="clear" w:color="auto" w:fill="auto"/>
            <w:vAlign w:val="center"/>
          </w:tcPr>
          <w:p w14:paraId="619C6F51">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条</w:t>
            </w:r>
          </w:p>
        </w:tc>
      </w:tr>
      <w:tr w14:paraId="37537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748BFC39">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DVT8 转 6 导管（深灰）</w:t>
            </w:r>
          </w:p>
        </w:tc>
        <w:tc>
          <w:tcPr>
            <w:tcW w:w="2272" w:type="pct"/>
            <w:shd w:val="clear" w:color="auto" w:fill="auto"/>
            <w:vAlign w:val="center"/>
          </w:tcPr>
          <w:p w14:paraId="0E112906">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条</w:t>
            </w:r>
          </w:p>
        </w:tc>
      </w:tr>
      <w:tr w14:paraId="3F93F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763F9682">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DVT4 转 3 导管（深灰）</w:t>
            </w:r>
          </w:p>
        </w:tc>
        <w:tc>
          <w:tcPr>
            <w:tcW w:w="2272" w:type="pct"/>
            <w:shd w:val="clear" w:color="auto" w:fill="auto"/>
            <w:vAlign w:val="center"/>
          </w:tcPr>
          <w:p w14:paraId="39BDAE2E">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条</w:t>
            </w:r>
          </w:p>
        </w:tc>
      </w:tr>
      <w:tr w14:paraId="0DCE1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4BD4B1F2">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芯气座脚底气套</w:t>
            </w:r>
          </w:p>
        </w:tc>
        <w:tc>
          <w:tcPr>
            <w:tcW w:w="2272" w:type="pct"/>
            <w:shd w:val="clear" w:color="auto" w:fill="auto"/>
            <w:vAlign w:val="center"/>
          </w:tcPr>
          <w:p w14:paraId="6AA45A6C">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2 只</w:t>
            </w:r>
          </w:p>
        </w:tc>
      </w:tr>
      <w:tr w14:paraId="447E4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49F472D7">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2 芯气座小腿气套</w:t>
            </w:r>
          </w:p>
        </w:tc>
        <w:tc>
          <w:tcPr>
            <w:tcW w:w="2272" w:type="pct"/>
            <w:shd w:val="clear" w:color="auto" w:fill="auto"/>
            <w:vAlign w:val="center"/>
          </w:tcPr>
          <w:p w14:paraId="123C7367">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2 只</w:t>
            </w:r>
          </w:p>
        </w:tc>
      </w:tr>
      <w:tr w14:paraId="5D4ED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209CB223">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电源线</w:t>
            </w:r>
          </w:p>
        </w:tc>
        <w:tc>
          <w:tcPr>
            <w:tcW w:w="2272" w:type="pct"/>
            <w:shd w:val="clear" w:color="auto" w:fill="auto"/>
            <w:vAlign w:val="center"/>
          </w:tcPr>
          <w:p w14:paraId="70E07126">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条</w:t>
            </w:r>
          </w:p>
        </w:tc>
      </w:tr>
      <w:tr w14:paraId="3CA74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727" w:type="pct"/>
            <w:shd w:val="clear" w:color="auto" w:fill="auto"/>
            <w:vAlign w:val="center"/>
          </w:tcPr>
          <w:p w14:paraId="0C28957C">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台车</w:t>
            </w:r>
          </w:p>
        </w:tc>
        <w:tc>
          <w:tcPr>
            <w:tcW w:w="2272" w:type="pct"/>
            <w:shd w:val="clear" w:color="auto" w:fill="auto"/>
            <w:vAlign w:val="center"/>
          </w:tcPr>
          <w:p w14:paraId="792391B8">
            <w:pPr>
              <w:spacing w:before="288" w:line="223" w:lineRule="auto"/>
              <w:jc w:val="center"/>
              <w:rPr>
                <w:rFonts w:hint="eastAsia" w:ascii="仿宋" w:hAnsi="仿宋" w:eastAsia="仿宋" w:cs="仿宋"/>
                <w:color w:val="auto"/>
                <w:spacing w:val="-4"/>
                <w:sz w:val="24"/>
                <w:szCs w:val="24"/>
                <w:highlight w:val="none"/>
                <w:lang w:val="en-US" w:eastAsia="en-US"/>
              </w:rPr>
            </w:pPr>
            <w:r>
              <w:rPr>
                <w:rFonts w:hint="eastAsia" w:ascii="仿宋" w:hAnsi="仿宋" w:eastAsia="仿宋" w:cs="仿宋"/>
                <w:color w:val="auto"/>
                <w:spacing w:val="-4"/>
                <w:sz w:val="24"/>
                <w:szCs w:val="24"/>
                <w:highlight w:val="none"/>
              </w:rPr>
              <w:t>1 台</w:t>
            </w:r>
          </w:p>
        </w:tc>
      </w:tr>
    </w:tbl>
    <w:p w14:paraId="5EC5E6EA">
      <w:pPr>
        <w:pStyle w:val="11"/>
        <w:rPr>
          <w:rFonts w:hint="eastAsia" w:ascii="仿宋" w:hAnsi="仿宋" w:eastAsia="仿宋" w:cs="仿宋"/>
          <w:color w:val="auto"/>
          <w:sz w:val="24"/>
          <w:szCs w:val="24"/>
          <w:highlight w:val="none"/>
        </w:rPr>
      </w:pPr>
    </w:p>
    <w:p w14:paraId="35645945">
      <w:pPr>
        <w:spacing w:before="91" w:line="222" w:lineRule="auto"/>
        <w:ind w:left="21"/>
        <w:rPr>
          <w:rFonts w:hint="eastAsia" w:ascii="仿宋" w:hAnsi="仿宋" w:eastAsia="仿宋" w:cs="仿宋"/>
          <w:color w:val="auto"/>
          <w:spacing w:val="-1"/>
          <w:sz w:val="24"/>
          <w:szCs w:val="24"/>
          <w:highlight w:val="none"/>
          <w:lang w:val="en-US" w:eastAsia="zh-CN"/>
        </w:rPr>
      </w:pPr>
    </w:p>
    <w:p w14:paraId="4BB994DD">
      <w:pPr>
        <w:spacing w:before="91" w:line="222" w:lineRule="auto"/>
        <w:ind w:left="2944"/>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7.</w:t>
      </w:r>
      <w:r>
        <w:rPr>
          <w:rFonts w:hint="eastAsia" w:ascii="仿宋" w:hAnsi="仿宋" w:eastAsia="仿宋" w:cs="仿宋"/>
          <w:b/>
          <w:bCs/>
          <w:color w:val="auto"/>
          <w:spacing w:val="-3"/>
          <w:sz w:val="24"/>
          <w:szCs w:val="24"/>
          <w:highlight w:val="none"/>
        </w:rPr>
        <w:t>下肢关节康复器参数</w:t>
      </w:r>
    </w:p>
    <w:p w14:paraId="3DBA3E82">
      <w:pPr>
        <w:spacing w:before="91" w:line="221"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1.微电脑控制，彩色大屏显示运动角度、时间、速度等参数，</w:t>
      </w:r>
      <w:r>
        <w:rPr>
          <w:rFonts w:hint="eastAsia" w:ascii="仿宋" w:hAnsi="仿宋" w:eastAsia="仿宋" w:cs="仿宋"/>
          <w:color w:val="auto"/>
          <w:spacing w:val="-3"/>
          <w:sz w:val="24"/>
          <w:szCs w:val="24"/>
          <w:highlight w:val="none"/>
        </w:rPr>
        <w:t>操作简单。</w:t>
      </w:r>
    </w:p>
    <w:p w14:paraId="6906AEC3">
      <w:pPr>
        <w:spacing w:before="289"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2.膝、踝、髋关节均可运动。</w:t>
      </w:r>
    </w:p>
    <w:p w14:paraId="6D0C261A">
      <w:pPr>
        <w:spacing w:before="287" w:line="219"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3.具有“控制功率</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2"/>
          <w:sz w:val="24"/>
          <w:szCs w:val="24"/>
          <w:highlight w:val="none"/>
        </w:rPr>
        <w:t>”设定功能，并设计有过载自动反转保护功能。</w:t>
      </w:r>
    </w:p>
    <w:p w14:paraId="234467DA">
      <w:pPr>
        <w:spacing w:before="290"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4.定制高精度丝杆输出动力，有效机械运动行程≥50</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1"/>
          <w:sz w:val="24"/>
          <w:szCs w:val="24"/>
          <w:highlight w:val="none"/>
        </w:rPr>
        <w:t>厘米。</w:t>
      </w:r>
    </w:p>
    <w:p w14:paraId="7E260CFE">
      <w:pPr>
        <w:spacing w:before="288" w:line="22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5.康复器最长运动设置时间≥240</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分钟。</w:t>
      </w:r>
    </w:p>
    <w:p w14:paraId="3742F9B9">
      <w:pPr>
        <w:spacing w:before="28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6.康复器输入功率≥60VA。</w:t>
      </w:r>
    </w:p>
    <w:p w14:paraId="18EF6583">
      <w:pPr>
        <w:spacing w:before="285" w:line="224"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7.角度范围及允差</w:t>
      </w:r>
    </w:p>
    <w:p w14:paraId="3B0750A9">
      <w:pPr>
        <w:spacing w:before="286" w:line="222" w:lineRule="auto"/>
        <w:ind w:left="86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1）设备角度范围可调节，角度范围0～120°，级差3°</w:t>
      </w:r>
    </w:p>
    <w:p w14:paraId="7DC6745A">
      <w:pPr>
        <w:spacing w:before="288" w:line="411" w:lineRule="auto"/>
        <w:ind w:left="21" w:right="77" w:firstLine="82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2）角度范围允差：在可调节的角度范围内，角度≤</w:t>
      </w:r>
      <w:r>
        <w:rPr>
          <w:rFonts w:hint="eastAsia" w:ascii="仿宋" w:hAnsi="仿宋" w:eastAsia="仿宋" w:cs="仿宋"/>
          <w:color w:val="auto"/>
          <w:spacing w:val="-3"/>
          <w:sz w:val="24"/>
          <w:szCs w:val="24"/>
          <w:highlight w:val="none"/>
        </w:rPr>
        <w:t>50</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3"/>
          <w:sz w:val="24"/>
          <w:szCs w:val="24"/>
          <w:highlight w:val="none"/>
        </w:rPr>
        <w:t>时，允差</w:t>
      </w:r>
      <w:r>
        <w:rPr>
          <w:rFonts w:hint="eastAsia" w:ascii="仿宋" w:hAnsi="仿宋" w:eastAsia="仿宋" w:cs="仿宋"/>
          <w:color w:val="auto"/>
          <w:spacing w:val="-9"/>
          <w:sz w:val="24"/>
          <w:szCs w:val="24"/>
          <w:highlight w:val="none"/>
        </w:rPr>
        <w:t>≤±5</w:t>
      </w:r>
      <w:r>
        <w:rPr>
          <w:rFonts w:hint="eastAsia" w:ascii="仿宋" w:hAnsi="仿宋" w:eastAsia="仿宋" w:cs="仿宋"/>
          <w:color w:val="auto"/>
          <w:spacing w:val="-95"/>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9"/>
          <w:sz w:val="24"/>
          <w:szCs w:val="24"/>
          <w:highlight w:val="none"/>
        </w:rPr>
        <w:t>；角度＞50</w:t>
      </w:r>
      <w:r>
        <w:rPr>
          <w:rFonts w:hint="eastAsia" w:ascii="仿宋" w:hAnsi="仿宋" w:eastAsia="仿宋" w:cs="仿宋"/>
          <w:color w:val="auto"/>
          <w:spacing w:val="-104"/>
          <w:sz w:val="24"/>
          <w:szCs w:val="24"/>
          <w:highlight w:val="none"/>
        </w:rPr>
        <w:t xml:space="preserve"> </w:t>
      </w:r>
      <w:r>
        <w:rPr>
          <w:rFonts w:hint="eastAsia" w:ascii="仿宋" w:hAnsi="仿宋" w:eastAsia="仿宋" w:cs="仿宋"/>
          <w:color w:val="auto"/>
          <w:spacing w:val="-9"/>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9"/>
          <w:sz w:val="24"/>
          <w:szCs w:val="24"/>
          <w:highlight w:val="none"/>
        </w:rPr>
        <w:t>时，允差≤±10%。</w:t>
      </w:r>
    </w:p>
    <w:p w14:paraId="7C631C64">
      <w:pPr>
        <w:spacing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8.角速度可调节，最大角速度≥3.6°/s，允差士20%。</w:t>
      </w:r>
    </w:p>
    <w:p w14:paraId="4CD05D3E">
      <w:pPr>
        <w:spacing w:before="288" w:line="411" w:lineRule="auto"/>
        <w:ind w:left="21" w:right="79" w:hanging="19"/>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9.产品有定时装置，设定范围在 1~240min，级差1min，允差±10%，训练结束有提示音。</w:t>
      </w:r>
    </w:p>
    <w:p w14:paraId="2D731DB9">
      <w:pPr>
        <w:spacing w:before="2"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10.结构要求</w:t>
      </w:r>
    </w:p>
    <w:p w14:paraId="3530B4A9">
      <w:pPr>
        <w:spacing w:before="286" w:line="411" w:lineRule="auto"/>
        <w:ind w:left="8" w:right="77" w:firstLine="85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1）手持操作器：设备应具有供使用者操作的手</w:t>
      </w:r>
      <w:r>
        <w:rPr>
          <w:rFonts w:hint="eastAsia" w:ascii="仿宋" w:hAnsi="仿宋" w:eastAsia="仿宋" w:cs="仿宋"/>
          <w:color w:val="auto"/>
          <w:spacing w:val="-1"/>
          <w:sz w:val="24"/>
          <w:szCs w:val="24"/>
          <w:highlight w:val="none"/>
        </w:rPr>
        <w:t>持操作器，能控制设备的启动、停止，操作方便、可靠。</w:t>
      </w:r>
    </w:p>
    <w:p w14:paraId="2F9DED72">
      <w:pPr>
        <w:spacing w:before="2" w:line="411" w:lineRule="auto"/>
        <w:ind w:left="9" w:right="77" w:firstLine="8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2）固定肢体的支架：支架长度可调节，大腿支架最大有效可调节长度≥150mm，小腿支架最大有效使用长度≥260mm。</w:t>
      </w:r>
    </w:p>
    <w:p w14:paraId="54933B44">
      <w:pPr>
        <w:spacing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11.意外断电：电源中断及恢复通电后，固定肢体的支</w:t>
      </w:r>
      <w:r>
        <w:rPr>
          <w:rFonts w:hint="eastAsia" w:ascii="仿宋" w:hAnsi="仿宋" w:eastAsia="仿宋" w:cs="仿宋"/>
          <w:color w:val="auto"/>
          <w:spacing w:val="-1"/>
          <w:sz w:val="24"/>
          <w:szCs w:val="24"/>
          <w:highlight w:val="none"/>
        </w:rPr>
        <w:t>架应保持在停止时</w:t>
      </w:r>
    </w:p>
    <w:p w14:paraId="158D5381">
      <w:pPr>
        <w:spacing w:before="91" w:line="225" w:lineRule="auto"/>
        <w:ind w:left="16"/>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的状态。</w:t>
      </w:r>
    </w:p>
    <w:p w14:paraId="5FD8422F">
      <w:pPr>
        <w:spacing w:before="282" w:line="220"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12.承重载荷：额定载荷≥150N，在额定荷载内，设备应能正常运行。</w:t>
      </w:r>
    </w:p>
    <w:p w14:paraId="5DE76079">
      <w:pPr>
        <w:spacing w:before="289" w:line="221"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13.复合型双层绑带。</w:t>
      </w:r>
    </w:p>
    <w:p w14:paraId="1CBFF131">
      <w:pPr>
        <w:spacing w:before="289" w:line="221"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14.一次性注塑成模、ABS</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和太空铝材质。</w:t>
      </w:r>
    </w:p>
    <w:p w14:paraId="5D6B1BA0">
      <w:pPr>
        <w:spacing w:before="290" w:line="411" w:lineRule="auto"/>
        <w:ind w:firstLine="1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15.</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3"/>
          <w:sz w:val="24"/>
          <w:szCs w:val="24"/>
          <w:highlight w:val="none"/>
        </w:rPr>
        <w:t>自动记忆位置，显示上次运动的设置数值，可以根据患者运动需要调整相关数据。</w:t>
      </w:r>
    </w:p>
    <w:p w14:paraId="2D503132">
      <w:pPr>
        <w:spacing w:before="91" w:line="222" w:lineRule="auto"/>
        <w:ind w:left="21"/>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16.适用于</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1.5-1.85</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米正常平均高度的成人使用。</w:t>
      </w:r>
    </w:p>
    <w:p w14:paraId="5E654B38">
      <w:pPr>
        <w:spacing w:before="91" w:line="222" w:lineRule="auto"/>
        <w:ind w:left="21"/>
        <w:rPr>
          <w:rFonts w:hint="eastAsia" w:ascii="仿宋" w:hAnsi="仿宋" w:eastAsia="仿宋" w:cs="仿宋"/>
          <w:color w:val="auto"/>
          <w:spacing w:val="-3"/>
          <w:sz w:val="24"/>
          <w:szCs w:val="24"/>
          <w:highlight w:val="none"/>
        </w:rPr>
      </w:pPr>
    </w:p>
    <w:p w14:paraId="67DA88CF">
      <w:pPr>
        <w:spacing w:before="91" w:line="222" w:lineRule="auto"/>
        <w:ind w:left="21"/>
        <w:rPr>
          <w:rFonts w:hint="eastAsia" w:ascii="仿宋" w:hAnsi="仿宋" w:eastAsia="仿宋" w:cs="仿宋"/>
          <w:color w:val="auto"/>
          <w:spacing w:val="-3"/>
          <w:sz w:val="24"/>
          <w:szCs w:val="24"/>
          <w:highlight w:val="none"/>
        </w:rPr>
      </w:pPr>
    </w:p>
    <w:p w14:paraId="27B04F1D">
      <w:pPr>
        <w:spacing w:before="91" w:line="223" w:lineRule="auto"/>
        <w:ind w:left="3232"/>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lang w:val="en-US" w:eastAsia="zh-CN"/>
        </w:rPr>
        <w:t>8.</w:t>
      </w:r>
      <w:r>
        <w:rPr>
          <w:rFonts w:hint="eastAsia" w:ascii="仿宋" w:hAnsi="仿宋" w:eastAsia="仿宋" w:cs="仿宋"/>
          <w:b/>
          <w:bCs/>
          <w:color w:val="auto"/>
          <w:spacing w:val="-4"/>
          <w:sz w:val="24"/>
          <w:szCs w:val="24"/>
          <w:highlight w:val="none"/>
        </w:rPr>
        <w:t>红光治疗仪参数</w:t>
      </w:r>
    </w:p>
    <w:p w14:paraId="6FB41566">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1、光源类型：矩阵集成高功率半导体固态光源。</w:t>
      </w:r>
    </w:p>
    <w:p w14:paraId="39CF93B0">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2、灯珠数量及排列方式：每个治疗头≥100 颗灯珠，10×10 矩阵排布。</w:t>
      </w:r>
    </w:p>
    <w:p w14:paraId="3748675E">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3、治疗时间：1～60min 可调，步进 1min。</w:t>
      </w:r>
    </w:p>
    <w:p w14:paraId="521ACFAC">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4、具备智能化时间记忆功能。</w:t>
      </w:r>
    </w:p>
    <w:p w14:paraId="290829FD">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5、能量调节方式： ≥三档能量调节。</w:t>
      </w:r>
    </w:p>
    <w:p w14:paraId="491CDFBE">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6、波长：640nm±10nm。</w:t>
      </w:r>
    </w:p>
    <w:p w14:paraId="631036CA">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7、最大有效红光辐照度： ≥60mW/cm2（距离光杯 口 150mm）。</w:t>
      </w:r>
    </w:p>
    <w:p w14:paraId="54EAB8A8">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8、有效辐照面积： ≥250cm2。</w:t>
      </w:r>
    </w:p>
    <w:p w14:paraId="7395E237">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9、电容液晶触摸屏： ≥7 英寸。</w:t>
      </w:r>
    </w:p>
    <w:p w14:paraId="175A680C">
      <w:pPr>
        <w:spacing w:before="91" w:line="360" w:lineRule="auto"/>
        <w:ind w:left="23" w:firstLine="0"/>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10、辐照度均匀性：采用光学透镜式聚光设计，有效红光辐照度的均匀性≥0.7。</w:t>
      </w:r>
    </w:p>
    <w:p w14:paraId="54344C70">
      <w:pPr>
        <w:spacing w:before="91" w:line="360" w:lineRule="auto"/>
        <w:ind w:left="23" w:firstLine="0"/>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11、皮肤温度动态管理：内置无线测温模块，实时监测及显示治疗面皮肤温度。可自主设置报警阈值，高于阈值自动停止输出并发出提示报警声音。</w:t>
      </w:r>
    </w:p>
    <w:p w14:paraId="236DF6AC">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12、支臂结构：2 节支臂设计，可根据灯头重力无级调节支撑力度。</w:t>
      </w:r>
    </w:p>
    <w:p w14:paraId="64D4BFBA">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13、万向支架：万向支架水平旋转方向0～180° , 竖直转动角度30°～160° ,辐射器仰角变化≥90 °。</w:t>
      </w:r>
    </w:p>
    <w:p w14:paraId="71377706">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14、输出通道：单通道输出，采用三维立体灯头旋转设计。</w:t>
      </w:r>
    </w:p>
    <w:p w14:paraId="6E6B6372">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15、防倾倒设计，倾倒自动断电。</w:t>
      </w:r>
    </w:p>
    <w:p w14:paraId="54385868">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16、具有自动漏电保护功能。</w:t>
      </w:r>
    </w:p>
    <w:p w14:paraId="0BBA7102">
      <w:pPr>
        <w:spacing w:before="91" w:line="360" w:lineRule="auto"/>
        <w:ind w:left="23"/>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17、配置清单：主机 1 台、熔断器 2 个、支臂 2 个、辐射器 2 个、束光罩2 个、防护眼罩 2 个、防冲击护目镜2 副。</w:t>
      </w:r>
    </w:p>
    <w:p w14:paraId="59B4FAB5">
      <w:pPr>
        <w:spacing w:before="91" w:line="222" w:lineRule="auto"/>
        <w:ind w:left="21"/>
        <w:rPr>
          <w:rFonts w:hint="eastAsia" w:ascii="仿宋" w:hAnsi="仿宋" w:eastAsia="仿宋" w:cs="仿宋"/>
          <w:color w:val="auto"/>
          <w:spacing w:val="-3"/>
          <w:sz w:val="24"/>
          <w:szCs w:val="24"/>
          <w:highlight w:val="none"/>
          <w:lang w:val="en-US" w:eastAsia="zh-CN"/>
        </w:rPr>
      </w:pPr>
    </w:p>
    <w:p w14:paraId="162F31A0">
      <w:pPr>
        <w:spacing w:before="91" w:line="222" w:lineRule="auto"/>
        <w:ind w:left="21"/>
        <w:rPr>
          <w:rFonts w:hint="eastAsia" w:ascii="仿宋" w:hAnsi="仿宋" w:eastAsia="仿宋" w:cs="仿宋"/>
          <w:color w:val="auto"/>
          <w:spacing w:val="-3"/>
          <w:sz w:val="24"/>
          <w:szCs w:val="24"/>
          <w:highlight w:val="none"/>
          <w:lang w:val="en-US" w:eastAsia="zh-CN"/>
        </w:rPr>
      </w:pPr>
    </w:p>
    <w:p w14:paraId="25690792">
      <w:pPr>
        <w:spacing w:before="91" w:line="223" w:lineRule="auto"/>
        <w:ind w:left="2815"/>
        <w:outlineLvl w:val="0"/>
        <w:rPr>
          <w:rFonts w:hint="eastAsia" w:ascii="仿宋" w:hAnsi="仿宋" w:eastAsia="仿宋" w:cs="仿宋"/>
          <w:color w:val="auto"/>
          <w:sz w:val="24"/>
          <w:szCs w:val="24"/>
          <w:highlight w:val="none"/>
        </w:rPr>
      </w:pPr>
      <w:bookmarkStart w:id="688" w:name="_Toc13132"/>
      <w:bookmarkStart w:id="689" w:name="_Toc6496"/>
      <w:bookmarkStart w:id="690" w:name="_Toc5781"/>
      <w:r>
        <w:rPr>
          <w:rFonts w:hint="eastAsia" w:ascii="仿宋" w:hAnsi="仿宋" w:eastAsia="仿宋" w:cs="仿宋"/>
          <w:b/>
          <w:bCs/>
          <w:color w:val="auto"/>
          <w:spacing w:val="-3"/>
          <w:sz w:val="24"/>
          <w:szCs w:val="24"/>
          <w:highlight w:val="none"/>
          <w:lang w:val="en-US" w:eastAsia="zh-CN"/>
        </w:rPr>
        <w:t>9.</w:t>
      </w:r>
      <w:r>
        <w:rPr>
          <w:rFonts w:hint="eastAsia" w:ascii="仿宋" w:hAnsi="仿宋" w:eastAsia="仿宋" w:cs="仿宋"/>
          <w:b/>
          <w:bCs/>
          <w:color w:val="auto"/>
          <w:spacing w:val="-3"/>
          <w:sz w:val="24"/>
          <w:szCs w:val="24"/>
          <w:highlight w:val="none"/>
        </w:rPr>
        <w:t>短波紫外线治疗仪参数</w:t>
      </w:r>
      <w:bookmarkEnd w:id="688"/>
      <w:bookmarkEnd w:id="689"/>
      <w:bookmarkEnd w:id="690"/>
    </w:p>
    <w:p w14:paraId="7C6FAF98">
      <w:pPr>
        <w:spacing w:before="91" w:line="222" w:lineRule="auto"/>
        <w:ind w:left="2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1、紫外线辐射波长：辐射波峰值波长为</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1"/>
          <w:sz w:val="24"/>
          <w:szCs w:val="24"/>
          <w:highlight w:val="none"/>
        </w:rPr>
        <w:t>253.7nm，误差为±0</w:t>
      </w:r>
      <w:r>
        <w:rPr>
          <w:rFonts w:hint="eastAsia" w:ascii="仿宋" w:hAnsi="仿宋" w:eastAsia="仿宋" w:cs="仿宋"/>
          <w:color w:val="auto"/>
          <w:spacing w:val="-2"/>
          <w:sz w:val="24"/>
          <w:szCs w:val="24"/>
          <w:highlight w:val="none"/>
        </w:rPr>
        <w:t>.3nm；</w:t>
      </w:r>
    </w:p>
    <w:p w14:paraId="1AA677DB">
      <w:pPr>
        <w:spacing w:before="287" w:line="222" w:lineRule="auto"/>
        <w:ind w:left="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2、紫外线辐射强度：</w:t>
      </w:r>
    </w:p>
    <w:p w14:paraId="0F61E4B6">
      <w:pPr>
        <w:spacing w:before="287"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73"/>
          <w:sz w:val="24"/>
          <w:szCs w:val="24"/>
          <w:highlight w:val="none"/>
        </w:rPr>
        <w:t xml:space="preserve"> </w:t>
      </w:r>
      <w:r>
        <w:rPr>
          <w:rFonts w:hint="eastAsia" w:ascii="仿宋" w:hAnsi="仿宋" w:eastAsia="仿宋" w:cs="仿宋"/>
          <w:color w:val="auto"/>
          <w:spacing w:val="14"/>
          <w:sz w:val="24"/>
          <w:szCs w:val="24"/>
          <w:highlight w:val="none"/>
        </w:rPr>
        <w:t>）体表照射器距离照射面距离≤</w:t>
      </w:r>
      <w:r>
        <w:rPr>
          <w:rFonts w:hint="eastAsia" w:ascii="仿宋" w:hAnsi="仿宋" w:eastAsia="仿宋" w:cs="仿宋"/>
          <w:color w:val="auto"/>
          <w:spacing w:val="-86"/>
          <w:sz w:val="24"/>
          <w:szCs w:val="24"/>
          <w:highlight w:val="none"/>
        </w:rPr>
        <w:t xml:space="preserve"> </w:t>
      </w:r>
      <w:r>
        <w:rPr>
          <w:rFonts w:hint="eastAsia" w:ascii="仿宋" w:hAnsi="仿宋" w:eastAsia="仿宋" w:cs="仿宋"/>
          <w:color w:val="auto"/>
          <w:spacing w:val="14"/>
          <w:sz w:val="24"/>
          <w:szCs w:val="24"/>
          <w:highlight w:val="none"/>
        </w:rPr>
        <w:t>1</w:t>
      </w:r>
      <w:r>
        <w:rPr>
          <w:rFonts w:hint="eastAsia" w:ascii="仿宋" w:hAnsi="仿宋" w:eastAsia="仿宋" w:cs="仿宋"/>
          <w:color w:val="auto"/>
          <w:sz w:val="24"/>
          <w:szCs w:val="24"/>
          <w:highlight w:val="none"/>
        </w:rPr>
        <w:t>cm</w:t>
      </w:r>
      <w:r>
        <w:rPr>
          <w:rFonts w:hint="eastAsia" w:ascii="仿宋" w:hAnsi="仿宋" w:eastAsia="仿宋" w:cs="仿宋"/>
          <w:color w:val="auto"/>
          <w:spacing w:val="14"/>
          <w:sz w:val="24"/>
          <w:szCs w:val="24"/>
          <w:highlight w:val="none"/>
        </w:rPr>
        <w:t xml:space="preserve"> 时</w:t>
      </w:r>
      <w:r>
        <w:rPr>
          <w:rFonts w:hint="eastAsia" w:ascii="仿宋" w:hAnsi="仿宋" w:eastAsia="仿宋" w:cs="仿宋"/>
          <w:color w:val="auto"/>
          <w:spacing w:val="-75"/>
          <w:sz w:val="24"/>
          <w:szCs w:val="24"/>
          <w:highlight w:val="none"/>
        </w:rPr>
        <w:t xml:space="preserve"> </w:t>
      </w:r>
      <w:r>
        <w:rPr>
          <w:rFonts w:hint="eastAsia" w:ascii="仿宋" w:hAnsi="仿宋" w:eastAsia="仿宋" w:cs="仿宋"/>
          <w:color w:val="auto"/>
          <w:spacing w:val="14"/>
          <w:sz w:val="24"/>
          <w:szCs w:val="24"/>
          <w:highlight w:val="none"/>
        </w:rPr>
        <w:t>，开机辐射强度≥</w:t>
      </w:r>
    </w:p>
    <w:p w14:paraId="3FFB56EB">
      <w:pPr>
        <w:pStyle w:val="11"/>
        <w:spacing w:before="287" w:line="223" w:lineRule="auto"/>
        <w:ind w:left="27"/>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17.1mw/cm2；</w:t>
      </w:r>
    </w:p>
    <w:p w14:paraId="6AB6F25C">
      <w:pPr>
        <w:spacing w:before="285" w:line="22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rPr>
        <w:t>（2）直光导距离照射面距离≤1mm</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pacing w:val="-3"/>
          <w:sz w:val="24"/>
          <w:szCs w:val="24"/>
          <w:highlight w:val="none"/>
        </w:rPr>
        <w:t>时，紫外线辐射强度≥15mw/</w:t>
      </w:r>
      <w:r>
        <w:rPr>
          <w:rFonts w:hint="eastAsia" w:ascii="仿宋" w:hAnsi="仿宋" w:eastAsia="仿宋" w:cs="仿宋"/>
          <w:color w:val="auto"/>
          <w:spacing w:val="-4"/>
          <w:sz w:val="24"/>
          <w:szCs w:val="24"/>
          <w:highlight w:val="none"/>
        </w:rPr>
        <w:t>cm</w:t>
      </w:r>
      <w:r>
        <w:rPr>
          <w:rFonts w:hint="eastAsia" w:ascii="仿宋" w:hAnsi="仿宋" w:eastAsia="仿宋" w:cs="仿宋"/>
          <w:color w:val="auto"/>
          <w:position w:val="-2"/>
          <w:sz w:val="24"/>
          <w:szCs w:val="24"/>
          <w:highlight w:val="none"/>
        </w:rPr>
        <w:t>2</w:t>
      </w:r>
      <w:r>
        <w:rPr>
          <w:rFonts w:hint="eastAsia" w:ascii="仿宋" w:hAnsi="仿宋" w:eastAsia="仿宋" w:cs="仿宋"/>
          <w:color w:val="auto"/>
          <w:position w:val="-2"/>
          <w:sz w:val="24"/>
          <w:szCs w:val="24"/>
          <w:highlight w:val="none"/>
          <w:lang w:eastAsia="zh-CN"/>
        </w:rPr>
        <w:t>；</w:t>
      </w:r>
    </w:p>
    <w:p w14:paraId="40ADB4AB">
      <w:pPr>
        <w:pStyle w:val="11"/>
        <w:spacing w:before="293"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（3）弯光导距离照射面距离≤1mm</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9"/>
          <w:sz w:val="24"/>
          <w:szCs w:val="24"/>
          <w:highlight w:val="none"/>
        </w:rPr>
        <w:t>时，紫外线辐射强度</w:t>
      </w:r>
      <w:r>
        <w:rPr>
          <w:rFonts w:hint="eastAsia" w:ascii="仿宋" w:hAnsi="仿宋" w:eastAsia="仿宋" w:cs="仿宋"/>
          <w:color w:val="auto"/>
          <w:spacing w:val="-10"/>
          <w:sz w:val="24"/>
          <w:szCs w:val="24"/>
          <w:highlight w:val="none"/>
        </w:rPr>
        <w:t>≥4mw/cm2；</w:t>
      </w:r>
    </w:p>
    <w:p w14:paraId="77D1C211">
      <w:pPr>
        <w:pStyle w:val="11"/>
        <w:spacing w:before="289"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（4）鼻光导距离照射面距离≤1mm</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9"/>
          <w:sz w:val="24"/>
          <w:szCs w:val="24"/>
          <w:highlight w:val="none"/>
        </w:rPr>
        <w:t>时，紫外线辐射强度</w:t>
      </w:r>
      <w:r>
        <w:rPr>
          <w:rFonts w:hint="eastAsia" w:ascii="仿宋" w:hAnsi="仿宋" w:eastAsia="仿宋" w:cs="仿宋"/>
          <w:color w:val="auto"/>
          <w:spacing w:val="-10"/>
          <w:sz w:val="24"/>
          <w:szCs w:val="24"/>
          <w:highlight w:val="none"/>
        </w:rPr>
        <w:t>≥4mw/cm2；</w:t>
      </w:r>
      <w:r>
        <w:rPr>
          <w:rFonts w:hint="eastAsia" w:ascii="仿宋" w:hAnsi="仿宋" w:eastAsia="仿宋" w:cs="仿宋"/>
          <w:color w:val="auto"/>
          <w:spacing w:val="7"/>
          <w:sz w:val="24"/>
          <w:szCs w:val="24"/>
          <w:highlight w:val="none"/>
        </w:rPr>
        <w:t>连续使用</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7"/>
          <w:sz w:val="24"/>
          <w:szCs w:val="24"/>
          <w:highlight w:val="none"/>
        </w:rPr>
        <w:t>1000</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7"/>
          <w:sz w:val="24"/>
          <w:szCs w:val="24"/>
          <w:highlight w:val="none"/>
        </w:rPr>
        <w:t>小时后，各类型照射器紫外线辐照强度维持率≥</w:t>
      </w:r>
      <w:r>
        <w:rPr>
          <w:rFonts w:hint="eastAsia" w:ascii="仿宋" w:hAnsi="仿宋" w:eastAsia="仿宋" w:cs="仿宋"/>
          <w:color w:val="auto"/>
          <w:spacing w:val="-3"/>
          <w:sz w:val="24"/>
          <w:szCs w:val="24"/>
          <w:highlight w:val="none"/>
        </w:rPr>
        <w:t>95%；</w:t>
      </w:r>
    </w:p>
    <w:p w14:paraId="7ECF0B61">
      <w:pPr>
        <w:spacing w:before="285" w:line="222"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3.紫外线有效受照区：照射器对照射面进行垂直照射时，</w:t>
      </w:r>
    </w:p>
    <w:p w14:paraId="3D9A82E0">
      <w:pPr>
        <w:pStyle w:val="11"/>
        <w:spacing w:before="288"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（1）体表照射器距离照射面</w:t>
      </w:r>
      <w:r>
        <w:rPr>
          <w:rFonts w:hint="eastAsia" w:ascii="仿宋" w:hAnsi="仿宋" w:eastAsia="仿宋" w:cs="仿宋"/>
          <w:color w:val="auto"/>
          <w:spacing w:val="-38"/>
          <w:sz w:val="24"/>
          <w:szCs w:val="24"/>
          <w:highlight w:val="none"/>
        </w:rPr>
        <w:t xml:space="preserve"> </w:t>
      </w:r>
      <w:r>
        <w:rPr>
          <w:rFonts w:hint="eastAsia" w:ascii="仿宋" w:hAnsi="仿宋" w:eastAsia="仿宋" w:cs="仿宋"/>
          <w:color w:val="auto"/>
          <w:spacing w:val="-4"/>
          <w:sz w:val="24"/>
          <w:szCs w:val="24"/>
          <w:highlight w:val="none"/>
        </w:rPr>
        <w:t>1cm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4"/>
          <w:sz w:val="24"/>
          <w:szCs w:val="24"/>
          <w:highlight w:val="none"/>
        </w:rPr>
        <w:t>距离时，受照面积≥2400mm2；</w:t>
      </w:r>
    </w:p>
    <w:p w14:paraId="0F746556">
      <w:pPr>
        <w:spacing w:before="285"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（2）体腔照射器直光导距离照射面</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6"/>
          <w:sz w:val="24"/>
          <w:szCs w:val="24"/>
          <w:highlight w:val="none"/>
        </w:rPr>
        <w:t>1mm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6"/>
          <w:sz w:val="24"/>
          <w:szCs w:val="24"/>
          <w:highlight w:val="none"/>
        </w:rPr>
        <w:t>距离时，受照面积≥170</w:t>
      </w:r>
      <w:r>
        <w:rPr>
          <w:rFonts w:hint="eastAsia" w:ascii="仿宋" w:hAnsi="仿宋" w:eastAsia="仿宋" w:cs="仿宋"/>
          <w:color w:val="auto"/>
          <w:spacing w:val="-4"/>
          <w:sz w:val="24"/>
          <w:szCs w:val="24"/>
          <w:highlight w:val="none"/>
        </w:rPr>
        <w:t>mm2</w:t>
      </w:r>
    </w:p>
    <w:p w14:paraId="1C0A1739">
      <w:pPr>
        <w:spacing w:before="294"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（3）体腔照射器弯光导距离照射面</w:t>
      </w:r>
      <w:r>
        <w:rPr>
          <w:rFonts w:hint="eastAsia" w:ascii="仿宋" w:hAnsi="仿宋" w:eastAsia="仿宋" w:cs="仿宋"/>
          <w:color w:val="auto"/>
          <w:spacing w:val="-23"/>
          <w:sz w:val="24"/>
          <w:szCs w:val="24"/>
          <w:highlight w:val="none"/>
        </w:rPr>
        <w:t xml:space="preserve"> </w:t>
      </w:r>
      <w:r>
        <w:rPr>
          <w:rFonts w:hint="eastAsia" w:ascii="仿宋" w:hAnsi="仿宋" w:eastAsia="仿宋" w:cs="仿宋"/>
          <w:color w:val="auto"/>
          <w:spacing w:val="-6"/>
          <w:sz w:val="24"/>
          <w:szCs w:val="24"/>
          <w:highlight w:val="none"/>
        </w:rPr>
        <w:t>1mm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6"/>
          <w:sz w:val="24"/>
          <w:szCs w:val="24"/>
          <w:highlight w:val="none"/>
        </w:rPr>
        <w:t>距离时，受照面积≥180</w:t>
      </w:r>
      <w:r>
        <w:rPr>
          <w:rFonts w:hint="eastAsia" w:ascii="仿宋" w:hAnsi="仿宋" w:eastAsia="仿宋" w:cs="仿宋"/>
          <w:color w:val="auto"/>
          <w:spacing w:val="-12"/>
          <w:sz w:val="24"/>
          <w:szCs w:val="24"/>
          <w:highlight w:val="none"/>
        </w:rPr>
        <w:t>mm2</w:t>
      </w:r>
    </w:p>
    <w:p w14:paraId="3068B681">
      <w:pPr>
        <w:pStyle w:val="11"/>
        <w:spacing w:before="293" w:line="222" w:lineRule="auto"/>
        <w:jc w:val="both"/>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（4）体腔照射器鼻光导距离照射面</w:t>
      </w:r>
      <w:r>
        <w:rPr>
          <w:rFonts w:hint="eastAsia" w:ascii="仿宋" w:hAnsi="仿宋" w:eastAsia="仿宋" w:cs="仿宋"/>
          <w:color w:val="auto"/>
          <w:spacing w:val="-33"/>
          <w:sz w:val="24"/>
          <w:szCs w:val="24"/>
          <w:highlight w:val="none"/>
        </w:rPr>
        <w:t xml:space="preserve"> </w:t>
      </w:r>
      <w:r>
        <w:rPr>
          <w:rFonts w:hint="eastAsia" w:ascii="仿宋" w:hAnsi="仿宋" w:eastAsia="仿宋" w:cs="仿宋"/>
          <w:color w:val="auto"/>
          <w:spacing w:val="-12"/>
          <w:sz w:val="24"/>
          <w:szCs w:val="24"/>
          <w:highlight w:val="none"/>
        </w:rPr>
        <w:t>1mm</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12"/>
          <w:sz w:val="24"/>
          <w:szCs w:val="24"/>
          <w:highlight w:val="none"/>
        </w:rPr>
        <w:t>距离时，受照面积≥24mm2；</w:t>
      </w:r>
    </w:p>
    <w:p w14:paraId="4AB9CD02">
      <w:pPr>
        <w:pStyle w:val="11"/>
        <w:spacing w:before="293" w:line="222"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4.治疗时间：0s～100s</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可调，步长</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1s。</w:t>
      </w:r>
    </w:p>
    <w:p w14:paraId="0044A1D2">
      <w:pPr>
        <w:spacing w:before="285"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5.治疗结束时有音响提示；</w:t>
      </w:r>
    </w:p>
    <w:p w14:paraId="5733A6FE">
      <w:pPr>
        <w:spacing w:before="289" w:line="222"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6、具有治疗时间过量报警功能。</w:t>
      </w:r>
    </w:p>
    <w:p w14:paraId="0EFBCF8A">
      <w:pPr>
        <w:spacing w:before="287" w:line="222"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7.一键飞梭操控；</w:t>
      </w:r>
    </w:p>
    <w:p w14:paraId="48E93B23">
      <w:pPr>
        <w:spacing w:before="288" w:line="411" w:lineRule="auto"/>
        <w:ind w:left="8" w:hanging="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8.治疗状态下，体腔手柄（通风口处）的温度达</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35℃±5℃时，</w:t>
      </w:r>
      <w:r>
        <w:rPr>
          <w:rFonts w:hint="eastAsia" w:ascii="仿宋" w:hAnsi="仿宋" w:eastAsia="仿宋" w:cs="仿宋"/>
          <w:color w:val="auto"/>
          <w:spacing w:val="-80"/>
          <w:sz w:val="24"/>
          <w:szCs w:val="24"/>
          <w:highlight w:val="none"/>
        </w:rPr>
        <w:t xml:space="preserve"> </w:t>
      </w:r>
      <w:r>
        <w:rPr>
          <w:rFonts w:hint="eastAsia" w:ascii="仿宋" w:hAnsi="仿宋" w:eastAsia="仿宋" w:cs="仿宋"/>
          <w:color w:val="auto"/>
          <w:spacing w:val="-4"/>
          <w:sz w:val="24"/>
          <w:szCs w:val="24"/>
          <w:highlight w:val="none"/>
        </w:rPr>
        <w:t>自动通风</w:t>
      </w:r>
      <w:r>
        <w:rPr>
          <w:rFonts w:hint="eastAsia" w:ascii="仿宋" w:hAnsi="仿宋" w:eastAsia="仿宋" w:cs="仿宋"/>
          <w:color w:val="auto"/>
          <w:spacing w:val="-6"/>
          <w:sz w:val="24"/>
          <w:szCs w:val="24"/>
          <w:highlight w:val="none"/>
        </w:rPr>
        <w:t>散热；</w:t>
      </w:r>
    </w:p>
    <w:p w14:paraId="14C9B55F">
      <w:pPr>
        <w:spacing w:before="1"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9.冷热阴极增强型照射器：</w:t>
      </w:r>
    </w:p>
    <w:p w14:paraId="229AE43F">
      <w:pPr>
        <w:spacing w:before="286" w:line="223" w:lineRule="auto"/>
        <w:ind w:left="85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（1）低压、低臭氧；</w:t>
      </w:r>
    </w:p>
    <w:p w14:paraId="5C9411CD">
      <w:pPr>
        <w:spacing w:before="286" w:line="222" w:lineRule="auto"/>
        <w:ind w:left="850"/>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（2）智能温度控制</w:t>
      </w:r>
    </w:p>
    <w:p w14:paraId="1EA9037C">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10、具有专门用于口腔、肛周部位、深度创面治疗的照射光导装</w:t>
      </w:r>
      <w:r>
        <w:rPr>
          <w:rFonts w:hint="eastAsia" w:ascii="仿宋" w:hAnsi="仿宋" w:eastAsia="仿宋" w:cs="仿宋"/>
          <w:color w:val="auto"/>
          <w:spacing w:val="-2"/>
          <w:sz w:val="24"/>
          <w:szCs w:val="24"/>
          <w:highlight w:val="none"/>
        </w:rPr>
        <w:t>置；</w:t>
      </w:r>
    </w:p>
    <w:p w14:paraId="42BE7EE5">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11、紫外线输出光源纯度：253.7nm</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2"/>
          <w:sz w:val="24"/>
          <w:szCs w:val="24"/>
          <w:highlight w:val="none"/>
        </w:rPr>
        <w:t>的紫外线辐照强度≥90%；</w:t>
      </w:r>
    </w:p>
    <w:p w14:paraId="4F767EC6">
      <w:pPr>
        <w:pStyle w:val="11"/>
        <w:spacing w:before="290" w:line="411" w:lineRule="auto"/>
        <w:ind w:left="9" w:firstLine="1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12、防紫外辐射眼镜：佩戴墨色防紫外线辐射眼镜情况下：紫外线辐照强</w:t>
      </w:r>
      <w:r>
        <w:rPr>
          <w:rFonts w:hint="eastAsia" w:ascii="仿宋" w:hAnsi="仿宋" w:eastAsia="仿宋" w:cs="仿宋"/>
          <w:color w:val="auto"/>
          <w:spacing w:val="-1"/>
          <w:sz w:val="24"/>
          <w:szCs w:val="24"/>
          <w:highlight w:val="none"/>
        </w:rPr>
        <w:t>度透过&lt;0.01mW/cm2</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1"/>
          <w:sz w:val="24"/>
          <w:szCs w:val="24"/>
          <w:highlight w:val="none"/>
        </w:rPr>
        <w:t>；佩戴透明防紫</w:t>
      </w:r>
      <w:r>
        <w:rPr>
          <w:rFonts w:hint="eastAsia" w:ascii="仿宋" w:hAnsi="仿宋" w:eastAsia="仿宋" w:cs="仿宋"/>
          <w:color w:val="auto"/>
          <w:spacing w:val="-2"/>
          <w:sz w:val="24"/>
          <w:szCs w:val="24"/>
          <w:highlight w:val="none"/>
        </w:rPr>
        <w:t>外线辐射眼镜情况下：紫外线辐照强</w:t>
      </w:r>
      <w:r>
        <w:rPr>
          <w:rFonts w:hint="eastAsia" w:ascii="仿宋" w:hAnsi="仿宋" w:eastAsia="仿宋" w:cs="仿宋"/>
          <w:color w:val="auto"/>
          <w:spacing w:val="-6"/>
          <w:sz w:val="24"/>
          <w:szCs w:val="24"/>
          <w:highlight w:val="none"/>
        </w:rPr>
        <w:t>度透过&lt;0.02mW/cm2。</w:t>
      </w:r>
    </w:p>
    <w:p w14:paraId="5657BCC4">
      <w:pPr>
        <w:pStyle w:val="11"/>
        <w:spacing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13、紫外线辐射剂量：紫外线最大辐射剂量≤2J/cm2。</w:t>
      </w:r>
    </w:p>
    <w:p w14:paraId="0C0D14E6">
      <w:pPr>
        <w:spacing w:before="289" w:line="224" w:lineRule="auto"/>
        <w:ind w:left="8"/>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设备配置</w:t>
      </w:r>
    </w:p>
    <w:p w14:paraId="5175C763">
      <w:pPr>
        <w:spacing w:before="283"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3"/>
          <w:sz w:val="24"/>
          <w:szCs w:val="24"/>
          <w:highlight w:val="none"/>
        </w:rPr>
        <w:t>1、主机</w:t>
      </w:r>
      <w:r>
        <w:rPr>
          <w:rFonts w:hint="eastAsia" w:ascii="仿宋" w:hAnsi="仿宋" w:eastAsia="仿宋" w:cs="仿宋"/>
          <w:color w:val="auto"/>
          <w:spacing w:val="-30"/>
          <w:sz w:val="24"/>
          <w:szCs w:val="24"/>
          <w:highlight w:val="none"/>
        </w:rPr>
        <w:t xml:space="preserve"> </w:t>
      </w:r>
      <w:r>
        <w:rPr>
          <w:rFonts w:hint="eastAsia" w:ascii="仿宋" w:hAnsi="仿宋" w:eastAsia="仿宋" w:cs="仿宋"/>
          <w:color w:val="auto"/>
          <w:spacing w:val="-13"/>
          <w:sz w:val="24"/>
          <w:szCs w:val="24"/>
          <w:highlight w:val="none"/>
        </w:rPr>
        <w:t>1 台</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13"/>
          <w:sz w:val="24"/>
          <w:szCs w:val="24"/>
          <w:highlight w:val="none"/>
        </w:rPr>
        <w:t>2、电源线</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13"/>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3"/>
          <w:sz w:val="24"/>
          <w:szCs w:val="24"/>
          <w:highlight w:val="none"/>
        </w:rPr>
        <w:t>根</w:t>
      </w:r>
    </w:p>
    <w:p w14:paraId="6DE90375">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3.紫外线光导</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5"/>
          <w:sz w:val="24"/>
          <w:szCs w:val="24"/>
          <w:highlight w:val="none"/>
        </w:rPr>
        <w:t>3</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根</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5"/>
          <w:sz w:val="24"/>
          <w:szCs w:val="24"/>
          <w:highlight w:val="none"/>
        </w:rPr>
        <w:t>4、体表照射器</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5"/>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个</w:t>
      </w:r>
    </w:p>
    <w:p w14:paraId="7C05707E">
      <w:pPr>
        <w:spacing w:before="288"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5.体腔照射器</w:t>
      </w:r>
      <w:r>
        <w:rPr>
          <w:rFonts w:hint="eastAsia" w:ascii="仿宋" w:hAnsi="仿宋" w:eastAsia="仿宋" w:cs="仿宋"/>
          <w:color w:val="auto"/>
          <w:spacing w:val="-22"/>
          <w:sz w:val="24"/>
          <w:szCs w:val="24"/>
          <w:highlight w:val="none"/>
        </w:rPr>
        <w:t xml:space="preserve"> </w:t>
      </w: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6"/>
          <w:sz w:val="24"/>
          <w:szCs w:val="24"/>
          <w:highlight w:val="none"/>
        </w:rPr>
        <w:t>个</w:t>
      </w:r>
      <w:r>
        <w:rPr>
          <w:rFonts w:hint="eastAsia" w:ascii="仿宋" w:hAnsi="仿宋" w:eastAsia="仿宋" w:cs="仿宋"/>
          <w:color w:val="auto"/>
          <w:spacing w:val="-59"/>
          <w:sz w:val="24"/>
          <w:szCs w:val="24"/>
          <w:highlight w:val="none"/>
        </w:rPr>
        <w:t xml:space="preserve"> </w:t>
      </w:r>
      <w:r>
        <w:rPr>
          <w:rFonts w:hint="eastAsia" w:ascii="仿宋" w:hAnsi="仿宋" w:eastAsia="仿宋" w:cs="仿宋"/>
          <w:color w:val="auto"/>
          <w:spacing w:val="-6"/>
          <w:sz w:val="24"/>
          <w:szCs w:val="24"/>
          <w:highlight w:val="none"/>
        </w:rPr>
        <w:t>6、体表照射器连接线</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6"/>
          <w:sz w:val="24"/>
          <w:szCs w:val="24"/>
          <w:highlight w:val="none"/>
        </w:rPr>
        <w:t>根</w:t>
      </w:r>
    </w:p>
    <w:p w14:paraId="14A15F0E">
      <w:pPr>
        <w:spacing w:before="287" w:line="222" w:lineRule="auto"/>
        <w:ind w:left="7"/>
        <w:rPr>
          <w:rFonts w:hint="eastAsia" w:ascii="仿宋" w:hAnsi="仿宋" w:eastAsia="仿宋" w:cs="仿宋"/>
          <w:color w:val="auto"/>
          <w:spacing w:val="-59"/>
          <w:sz w:val="24"/>
          <w:szCs w:val="24"/>
          <w:highlight w:val="none"/>
        </w:rPr>
      </w:pPr>
      <w:r>
        <w:rPr>
          <w:rFonts w:hint="eastAsia" w:ascii="仿宋" w:hAnsi="仿宋" w:eastAsia="仿宋" w:cs="仿宋"/>
          <w:color w:val="auto"/>
          <w:spacing w:val="-4"/>
          <w:sz w:val="24"/>
          <w:szCs w:val="24"/>
          <w:highlight w:val="none"/>
        </w:rPr>
        <w:t>7.体腔照射器连接线</w:t>
      </w:r>
      <w:r>
        <w:rPr>
          <w:rFonts w:hint="eastAsia" w:ascii="仿宋" w:hAnsi="仿宋" w:eastAsia="仿宋" w:cs="仿宋"/>
          <w:color w:val="auto"/>
          <w:spacing w:val="-24"/>
          <w:sz w:val="24"/>
          <w:szCs w:val="24"/>
          <w:highlight w:val="none"/>
        </w:rPr>
        <w:t xml:space="preserve"> </w:t>
      </w: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根</w:t>
      </w:r>
      <w:r>
        <w:rPr>
          <w:rFonts w:hint="eastAsia" w:ascii="仿宋" w:hAnsi="仿宋" w:eastAsia="仿宋" w:cs="仿宋"/>
          <w:color w:val="auto"/>
          <w:spacing w:val="-59"/>
          <w:sz w:val="24"/>
          <w:szCs w:val="24"/>
          <w:highlight w:val="none"/>
        </w:rPr>
        <w:t xml:space="preserve"> </w:t>
      </w:r>
    </w:p>
    <w:p w14:paraId="6AE8072E">
      <w:pPr>
        <w:spacing w:before="287" w:line="222" w:lineRule="auto"/>
        <w:ind w:left="7"/>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8、紫外线防护镜（透明镜、墨镜）各</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个</w:t>
      </w:r>
    </w:p>
    <w:p w14:paraId="0AAF87F4">
      <w:pPr>
        <w:spacing w:before="287" w:line="222" w:lineRule="auto"/>
        <w:ind w:left="7"/>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9.使用说明书、合格证等</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4"/>
          <w:sz w:val="24"/>
          <w:szCs w:val="24"/>
          <w:highlight w:val="none"/>
        </w:rPr>
        <w:t>10、台车</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26"/>
          <w:sz w:val="24"/>
          <w:szCs w:val="24"/>
          <w:highlight w:val="none"/>
        </w:rPr>
        <w:t xml:space="preserve"> </w:t>
      </w:r>
      <w:r>
        <w:rPr>
          <w:rFonts w:hint="eastAsia" w:ascii="仿宋" w:hAnsi="仿宋" w:eastAsia="仿宋" w:cs="仿宋"/>
          <w:color w:val="auto"/>
          <w:spacing w:val="-4"/>
          <w:sz w:val="24"/>
          <w:szCs w:val="24"/>
          <w:highlight w:val="none"/>
        </w:rPr>
        <w:t>台</w:t>
      </w:r>
    </w:p>
    <w:p w14:paraId="2A36CDA7">
      <w:pPr>
        <w:spacing w:line="222" w:lineRule="auto"/>
        <w:rPr>
          <w:rFonts w:hint="eastAsia" w:ascii="仿宋" w:hAnsi="仿宋" w:eastAsia="仿宋" w:cs="仿宋"/>
          <w:color w:val="auto"/>
          <w:sz w:val="24"/>
          <w:szCs w:val="24"/>
          <w:highlight w:val="none"/>
        </w:rPr>
      </w:pPr>
    </w:p>
    <w:p w14:paraId="11936B64">
      <w:pPr>
        <w:spacing w:line="222" w:lineRule="auto"/>
        <w:rPr>
          <w:rFonts w:hint="eastAsia" w:ascii="仿宋" w:hAnsi="仿宋" w:eastAsia="仿宋" w:cs="仿宋"/>
          <w:color w:val="auto"/>
          <w:sz w:val="24"/>
          <w:szCs w:val="24"/>
          <w:highlight w:val="none"/>
        </w:rPr>
      </w:pPr>
    </w:p>
    <w:p w14:paraId="2B37B559">
      <w:pPr>
        <w:spacing w:before="91" w:line="223" w:lineRule="auto"/>
        <w:ind w:left="3087"/>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10.</w:t>
      </w:r>
      <w:r>
        <w:rPr>
          <w:rFonts w:hint="eastAsia" w:ascii="仿宋" w:hAnsi="仿宋" w:eastAsia="仿宋" w:cs="仿宋"/>
          <w:b/>
          <w:bCs/>
          <w:color w:val="auto"/>
          <w:spacing w:val="-3"/>
          <w:sz w:val="24"/>
          <w:szCs w:val="24"/>
          <w:highlight w:val="none"/>
        </w:rPr>
        <w:t>体外反搏装置参数</w:t>
      </w:r>
    </w:p>
    <w:p w14:paraId="6771E6CA">
      <w:pPr>
        <w:spacing w:before="91" w:line="217"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1.反搏装置的心率测量范围：35bpm～165bpm，误差≤±1bpm</w:t>
      </w:r>
    </w:p>
    <w:p w14:paraId="64CA8E74">
      <w:pPr>
        <w:spacing w:before="295" w:line="223"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2.具有水平扫描速度</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2"/>
          <w:sz w:val="24"/>
          <w:szCs w:val="24"/>
          <w:highlight w:val="none"/>
        </w:rPr>
        <w:t>25mm/s，50mm/s</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二档</w:t>
      </w:r>
    </w:p>
    <w:p w14:paraId="4DF5C74D">
      <w:pPr>
        <w:spacing w:before="285"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3.具备无创血压功能，参数符合</w:t>
      </w:r>
      <w:r>
        <w:rPr>
          <w:rFonts w:hint="eastAsia" w:ascii="仿宋" w:hAnsi="仿宋" w:eastAsia="仿宋" w:cs="仿宋"/>
          <w:color w:val="auto"/>
          <w:sz w:val="24"/>
          <w:szCs w:val="24"/>
          <w:highlight w:val="none"/>
        </w:rPr>
        <w:t>YY</w:t>
      </w:r>
      <w:r>
        <w:rPr>
          <w:rFonts w:hint="eastAsia" w:ascii="仿宋" w:hAnsi="仿宋" w:eastAsia="仿宋" w:cs="仿宋"/>
          <w:color w:val="auto"/>
          <w:spacing w:val="1"/>
          <w:sz w:val="24"/>
          <w:szCs w:val="24"/>
          <w:highlight w:val="none"/>
        </w:rPr>
        <w:t>0670—</w:t>
      </w:r>
      <w:r>
        <w:rPr>
          <w:rFonts w:hint="eastAsia" w:ascii="仿宋" w:hAnsi="仿宋" w:eastAsia="仿宋" w:cs="仿宋"/>
          <w:color w:val="auto"/>
          <w:sz w:val="24"/>
          <w:szCs w:val="24"/>
          <w:highlight w:val="none"/>
        </w:rPr>
        <w:t>2008</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z w:val="24"/>
          <w:szCs w:val="24"/>
          <w:highlight w:val="none"/>
        </w:rPr>
        <w:t>的要求</w:t>
      </w:r>
    </w:p>
    <w:p w14:paraId="4B6E292B">
      <w:pPr>
        <w:spacing w:before="287" w:line="409" w:lineRule="auto"/>
        <w:ind w:left="20" w:right="24" w:hanging="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4.静态压力测量范围：0mmHg（0kPa</w:t>
      </w:r>
      <w:r>
        <w:rPr>
          <w:rFonts w:hint="eastAsia" w:ascii="仿宋" w:hAnsi="仿宋" w:eastAsia="仿宋" w:cs="仿宋"/>
          <w:color w:val="auto"/>
          <w:spacing w:val="-2"/>
          <w:sz w:val="24"/>
          <w:szCs w:val="24"/>
          <w:highlight w:val="none"/>
        </w:rPr>
        <w:t>）～</w:t>
      </w:r>
      <w:r>
        <w:rPr>
          <w:rFonts w:hint="eastAsia" w:ascii="仿宋" w:hAnsi="仿宋" w:eastAsia="仿宋" w:cs="仿宋"/>
          <w:color w:val="auto"/>
          <w:sz w:val="24"/>
          <w:szCs w:val="24"/>
          <w:highlight w:val="none"/>
        </w:rPr>
        <w:t>300mmHg（40.0kPa</w:t>
      </w:r>
      <w:r>
        <w:rPr>
          <w:rFonts w:hint="eastAsia" w:ascii="仿宋" w:hAnsi="仿宋" w:eastAsia="仿宋" w:cs="仿宋"/>
          <w:color w:val="auto"/>
          <w:spacing w:val="-2"/>
          <w:sz w:val="24"/>
          <w:szCs w:val="24"/>
          <w:highlight w:val="none"/>
        </w:rPr>
        <w:t>），</w:t>
      </w:r>
      <w:r>
        <w:rPr>
          <w:rFonts w:hint="eastAsia" w:ascii="仿宋" w:hAnsi="仿宋" w:eastAsia="仿宋" w:cs="仿宋"/>
          <w:color w:val="auto"/>
          <w:sz w:val="24"/>
          <w:szCs w:val="24"/>
          <w:highlight w:val="none"/>
        </w:rPr>
        <w:t>误</w:t>
      </w:r>
      <w:r>
        <w:rPr>
          <w:rFonts w:hint="eastAsia" w:ascii="仿宋" w:hAnsi="仿宋" w:eastAsia="仿宋" w:cs="仿宋"/>
          <w:color w:val="auto"/>
          <w:spacing w:val="-1"/>
          <w:sz w:val="24"/>
          <w:szCs w:val="24"/>
          <w:highlight w:val="none"/>
        </w:rPr>
        <w:t>差≤±</w:t>
      </w:r>
      <w:r>
        <w:rPr>
          <w:rFonts w:hint="eastAsia" w:ascii="仿宋" w:hAnsi="仿宋" w:eastAsia="仿宋" w:cs="仿宋"/>
          <w:color w:val="auto"/>
          <w:spacing w:val="1"/>
          <w:sz w:val="24"/>
          <w:szCs w:val="24"/>
          <w:highlight w:val="none"/>
        </w:rPr>
        <w:t xml:space="preserve"> </w:t>
      </w:r>
      <w:r>
        <w:rPr>
          <w:rFonts w:hint="eastAsia" w:ascii="仿宋" w:hAnsi="仿宋" w:eastAsia="仿宋" w:cs="仿宋"/>
          <w:color w:val="auto"/>
          <w:spacing w:val="-7"/>
          <w:sz w:val="24"/>
          <w:szCs w:val="24"/>
          <w:highlight w:val="none"/>
        </w:rPr>
        <w:t>1mmHg</w:t>
      </w:r>
    </w:p>
    <w:p w14:paraId="6874B941">
      <w:pPr>
        <w:spacing w:before="7" w:line="221"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5.正常工作时反搏装置触发符合以下要求：</w:t>
      </w:r>
    </w:p>
    <w:p w14:paraId="6494DD37">
      <w:pPr>
        <w:spacing w:before="288" w:line="224" w:lineRule="auto"/>
        <w:ind w:left="84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a）反搏装置对触发波响应反搏</w:t>
      </w:r>
    </w:p>
    <w:p w14:paraId="1E8463D0">
      <w:pPr>
        <w:spacing w:before="284" w:line="224" w:lineRule="auto"/>
        <w:ind w:left="83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b）反搏装置不对触发波以外的波形响应反搏</w:t>
      </w:r>
    </w:p>
    <w:p w14:paraId="32552BA1">
      <w:pPr>
        <w:spacing w:before="285" w:line="224"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6.反搏比率为</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8"/>
          <w:sz w:val="24"/>
          <w:szCs w:val="24"/>
          <w:highlight w:val="none"/>
        </w:rPr>
        <w:t>1-1</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8"/>
          <w:sz w:val="24"/>
          <w:szCs w:val="24"/>
          <w:highlight w:val="none"/>
        </w:rPr>
        <w:t>或</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8"/>
          <w:sz w:val="24"/>
          <w:szCs w:val="24"/>
          <w:highlight w:val="none"/>
        </w:rPr>
        <w:t>1-2</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8"/>
          <w:sz w:val="24"/>
          <w:szCs w:val="24"/>
          <w:highlight w:val="none"/>
        </w:rPr>
        <w:t>可调</w:t>
      </w:r>
    </w:p>
    <w:p w14:paraId="7A74C63E">
      <w:pPr>
        <w:spacing w:before="285"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7.实际工作压力保持在设定值±1kPa</w:t>
      </w:r>
      <w:r>
        <w:rPr>
          <w:rFonts w:hint="eastAsia" w:ascii="仿宋" w:hAnsi="仿宋" w:eastAsia="仿宋" w:cs="仿宋"/>
          <w:color w:val="auto"/>
          <w:spacing w:val="-22"/>
          <w:sz w:val="24"/>
          <w:szCs w:val="24"/>
          <w:highlight w:val="none"/>
        </w:rPr>
        <w:t xml:space="preserve"> </w:t>
      </w:r>
      <w:r>
        <w:rPr>
          <w:rFonts w:hint="eastAsia" w:ascii="仿宋" w:hAnsi="仿宋" w:eastAsia="仿宋" w:cs="仿宋"/>
          <w:color w:val="auto"/>
          <w:spacing w:val="-3"/>
          <w:sz w:val="24"/>
          <w:szCs w:val="24"/>
          <w:highlight w:val="none"/>
        </w:rPr>
        <w:t>范围内</w:t>
      </w:r>
    </w:p>
    <w:p w14:paraId="2015269F">
      <w:pPr>
        <w:spacing w:before="291" w:line="411" w:lineRule="auto"/>
        <w:ind w:left="10" w:hanging="8"/>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8.具备早搏保护：早搏信号能触发排气，在早搏信号中R</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11"/>
          <w:sz w:val="24"/>
          <w:szCs w:val="24"/>
          <w:highlight w:val="none"/>
        </w:rPr>
        <w:t>波的顶点之前（含</w:t>
      </w:r>
      <w:r>
        <w:rPr>
          <w:rFonts w:hint="eastAsia" w:ascii="仿宋" w:hAnsi="仿宋" w:eastAsia="仿宋" w:cs="仿宋"/>
          <w:color w:val="auto"/>
          <w:spacing w:val="-8"/>
          <w:sz w:val="24"/>
          <w:szCs w:val="24"/>
          <w:highlight w:val="none"/>
        </w:rPr>
        <w:t>顶点</w:t>
      </w:r>
      <w:r>
        <w:rPr>
          <w:rFonts w:hint="eastAsia" w:ascii="仿宋" w:hAnsi="仿宋" w:eastAsia="仿宋" w:cs="仿宋"/>
          <w:color w:val="auto"/>
          <w:spacing w:val="18"/>
          <w:sz w:val="24"/>
          <w:szCs w:val="24"/>
          <w:highlight w:val="none"/>
        </w:rPr>
        <w:t>），</w:t>
      </w:r>
      <w:r>
        <w:rPr>
          <w:rFonts w:hint="eastAsia" w:ascii="仿宋" w:hAnsi="仿宋" w:eastAsia="仿宋" w:cs="仿宋"/>
          <w:color w:val="auto"/>
          <w:spacing w:val="-8"/>
          <w:sz w:val="24"/>
          <w:szCs w:val="24"/>
          <w:highlight w:val="none"/>
        </w:rPr>
        <w:t>能触发排气</w:t>
      </w:r>
    </w:p>
    <w:p w14:paraId="3BB6551A">
      <w:pPr>
        <w:spacing w:before="1" w:line="22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9.反搏装置具备语音播报功能、演示功能。</w:t>
      </w:r>
    </w:p>
    <w:p w14:paraId="5F1F2E5F">
      <w:pPr>
        <w:spacing w:before="287"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10.治疗过程中床体具备升降功能</w:t>
      </w:r>
    </w:p>
    <w:p w14:paraId="5C989F6A">
      <w:pPr>
        <w:spacing w:before="286" w:line="224"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11.电磁阀响应时间≤50ms</w:t>
      </w:r>
    </w:p>
    <w:p w14:paraId="28FA20C6">
      <w:pPr>
        <w:spacing w:before="285"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12</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4"/>
          <w:sz w:val="24"/>
          <w:szCs w:val="24"/>
          <w:highlight w:val="none"/>
        </w:rPr>
        <w:t>压缩机功率≧2000VA</w:t>
      </w:r>
    </w:p>
    <w:p w14:paraId="030A6434">
      <w:pPr>
        <w:spacing w:before="287"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13.显示内容：正常工作时，显示屏能实时显示以下</w:t>
      </w:r>
      <w:r>
        <w:rPr>
          <w:rFonts w:hint="eastAsia" w:ascii="仿宋" w:hAnsi="仿宋" w:eastAsia="仿宋" w:cs="仿宋"/>
          <w:color w:val="auto"/>
          <w:spacing w:val="-2"/>
          <w:sz w:val="24"/>
          <w:szCs w:val="24"/>
          <w:highlight w:val="none"/>
        </w:rPr>
        <w:t>内容：</w:t>
      </w:r>
    </w:p>
    <w:p w14:paraId="36F40088">
      <w:pPr>
        <w:spacing w:before="289" w:line="223" w:lineRule="auto"/>
        <w:ind w:left="84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a）血氧值和血氧波形；</w:t>
      </w:r>
    </w:p>
    <w:p w14:paraId="133D9E3E">
      <w:pPr>
        <w:spacing w:before="286" w:line="223" w:lineRule="auto"/>
        <w:ind w:left="836"/>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b）D/S</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4"/>
          <w:sz w:val="24"/>
          <w:szCs w:val="24"/>
          <w:highlight w:val="none"/>
        </w:rPr>
        <w:t>峰值比；</w:t>
      </w:r>
    </w:p>
    <w:p w14:paraId="71F03F38">
      <w:pPr>
        <w:spacing w:before="286" w:line="223" w:lineRule="auto"/>
        <w:ind w:left="83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c）心率值和心电波形；</w:t>
      </w:r>
    </w:p>
    <w:p w14:paraId="73EF8A66">
      <w:pPr>
        <w:spacing w:before="285" w:line="223" w:lineRule="auto"/>
        <w:ind w:left="82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d）充气时间和排气时间；</w:t>
      </w:r>
    </w:p>
    <w:p w14:paraId="77C689B4">
      <w:pPr>
        <w:spacing w:before="285" w:line="221" w:lineRule="auto"/>
        <w:ind w:left="81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b）治疗压力和工作时间；</w:t>
      </w:r>
    </w:p>
    <w:p w14:paraId="11869415">
      <w:pPr>
        <w:spacing w:before="289" w:line="223" w:lineRule="auto"/>
        <w:ind w:left="82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f）早搏；</w:t>
      </w:r>
    </w:p>
    <w:p w14:paraId="0EEF6093">
      <w:pPr>
        <w:spacing w:before="285" w:line="216" w:lineRule="auto"/>
        <w:ind w:left="823"/>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g）</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12"/>
          <w:sz w:val="24"/>
          <w:szCs w:val="24"/>
          <w:highlight w:val="none"/>
        </w:rPr>
        <w:t>日期和时间；</w:t>
      </w:r>
    </w:p>
    <w:p w14:paraId="1E21A224">
      <w:pPr>
        <w:spacing w:before="297" w:line="223" w:lineRule="auto"/>
        <w:ind w:left="815"/>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h）血压值；</w:t>
      </w:r>
    </w:p>
    <w:p w14:paraId="3DD317A2">
      <w:pPr>
        <w:spacing w:before="286" w:line="222" w:lineRule="auto"/>
        <w:ind w:left="838"/>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i）病员信息</w:t>
      </w:r>
    </w:p>
    <w:p w14:paraId="2A82DAAE">
      <w:pPr>
        <w:spacing w:before="287" w:line="221"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12.具备工作压力保护功能</w:t>
      </w:r>
    </w:p>
    <w:p w14:paraId="6C48ADC4">
      <w:pPr>
        <w:spacing w:before="287" w:line="221"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13.使用年限≥8 年</w:t>
      </w:r>
    </w:p>
    <w:p w14:paraId="778B72B4">
      <w:pPr>
        <w:spacing w:before="287" w:line="221"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14.心电部分：反搏装置对高大 T 波具有抑制能力</w:t>
      </w:r>
    </w:p>
    <w:p w14:paraId="0D98BEFC">
      <w:pPr>
        <w:spacing w:before="287" w:line="221"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15.血氧饱和度检测精度范围误差≤±2%</w:t>
      </w:r>
    </w:p>
    <w:p w14:paraId="5B854B6E">
      <w:pPr>
        <w:spacing w:before="287" w:line="221"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16.触控平板电脑： ≥18.5 英寸</w:t>
      </w:r>
    </w:p>
    <w:p w14:paraId="3F407C67">
      <w:pPr>
        <w:spacing w:before="287" w:line="221" w:lineRule="auto"/>
        <w:rPr>
          <w:rFonts w:hint="eastAsia" w:ascii="仿宋" w:hAnsi="仿宋" w:eastAsia="仿宋" w:cs="仿宋"/>
          <w:color w:val="auto"/>
          <w:spacing w:val="-3"/>
          <w:sz w:val="24"/>
          <w:szCs w:val="24"/>
          <w:highlight w:val="none"/>
        </w:rPr>
        <w:sectPr>
          <w:pgSz w:w="11906" w:h="16839"/>
          <w:pgMar w:top="1247" w:right="1473" w:bottom="1247" w:left="1597" w:header="0" w:footer="567" w:gutter="0"/>
          <w:pgNumType w:fmt="decimal"/>
          <w:cols w:space="720" w:num="1"/>
        </w:sectPr>
      </w:pPr>
      <w:r>
        <w:rPr>
          <w:rFonts w:hint="eastAsia" w:ascii="仿宋" w:hAnsi="仿宋" w:eastAsia="仿宋" w:cs="仿宋"/>
          <w:color w:val="auto"/>
          <w:spacing w:val="-3"/>
          <w:sz w:val="24"/>
          <w:szCs w:val="24"/>
          <w:highlight w:val="none"/>
        </w:rPr>
        <w:t>17.压缩机最大流量≥45m3/h</w:t>
      </w:r>
    </w:p>
    <w:p w14:paraId="49BDBCE9">
      <w:pPr>
        <w:spacing w:before="91" w:line="221" w:lineRule="auto"/>
        <w:ind w:left="2517"/>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11.</w:t>
      </w:r>
      <w:r>
        <w:rPr>
          <w:rFonts w:hint="eastAsia" w:ascii="仿宋" w:hAnsi="仿宋" w:eastAsia="仿宋" w:cs="仿宋"/>
          <w:b/>
          <w:bCs/>
          <w:color w:val="auto"/>
          <w:spacing w:val="-3"/>
          <w:sz w:val="24"/>
          <w:szCs w:val="24"/>
          <w:highlight w:val="none"/>
        </w:rPr>
        <w:t>语言功能检测处理系统参数</w:t>
      </w:r>
    </w:p>
    <w:p w14:paraId="0DA11D1C">
      <w:pPr>
        <w:spacing w:before="91" w:line="224"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一、产品组成</w:t>
      </w:r>
    </w:p>
    <w:p w14:paraId="6D16110C">
      <w:pPr>
        <w:spacing w:before="285" w:line="411" w:lineRule="auto"/>
        <w:ind w:left="1" w:firstLine="7"/>
        <w:jc w:val="both"/>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主要由单通道低通滤波器、隔离变压器（内置）、麦克风、电脑主机（内</w:t>
      </w:r>
      <w:r>
        <w:rPr>
          <w:rFonts w:hint="eastAsia" w:ascii="仿宋" w:hAnsi="仿宋" w:eastAsia="仿宋" w:cs="仿宋"/>
          <w:color w:val="auto"/>
          <w:spacing w:val="-4"/>
          <w:sz w:val="24"/>
          <w:szCs w:val="24"/>
          <w:highlight w:val="none"/>
        </w:rPr>
        <w:t>置）、触摸式显示器、宽屏显示器、打印机、音箱、键</w:t>
      </w:r>
      <w:r>
        <w:rPr>
          <w:rFonts w:hint="eastAsia" w:ascii="仿宋" w:hAnsi="仿宋" w:eastAsia="仿宋" w:cs="仿宋"/>
          <w:color w:val="auto"/>
          <w:spacing w:val="-5"/>
          <w:sz w:val="24"/>
          <w:szCs w:val="24"/>
          <w:highlight w:val="none"/>
        </w:rPr>
        <w:t>盘、鼠标、工作台</w:t>
      </w:r>
      <w:r>
        <w:rPr>
          <w:rFonts w:hint="eastAsia" w:ascii="仿宋" w:hAnsi="仿宋" w:eastAsia="仿宋" w:cs="仿宋"/>
          <w:color w:val="auto"/>
          <w:spacing w:val="-2"/>
          <w:sz w:val="24"/>
          <w:szCs w:val="24"/>
          <w:highlight w:val="none"/>
        </w:rPr>
        <w:t>和通讯电缆线组成。</w:t>
      </w:r>
    </w:p>
    <w:p w14:paraId="5FF313B1">
      <w:pPr>
        <w:spacing w:line="222" w:lineRule="auto"/>
        <w:ind w:left="1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二、计算机硬件配置</w:t>
      </w:r>
    </w:p>
    <w:p w14:paraId="1C85D37B">
      <w:pPr>
        <w:spacing w:before="287" w:line="223" w:lineRule="auto"/>
        <w:ind w:left="85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1)CPU：Corei3</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4"/>
          <w:sz w:val="24"/>
          <w:szCs w:val="24"/>
          <w:highlight w:val="none"/>
        </w:rPr>
        <w:t>或以上；</w:t>
      </w:r>
    </w:p>
    <w:p w14:paraId="5832D12A">
      <w:pPr>
        <w:spacing w:before="286" w:line="220" w:lineRule="auto"/>
        <w:ind w:left="83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2)内存：4GB</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4"/>
          <w:sz w:val="24"/>
          <w:szCs w:val="24"/>
          <w:highlight w:val="none"/>
        </w:rPr>
        <w:t>或以上；</w:t>
      </w:r>
    </w:p>
    <w:p w14:paraId="748355E2">
      <w:pPr>
        <w:spacing w:before="290" w:line="223" w:lineRule="auto"/>
        <w:ind w:left="838"/>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3)硬盘：160GB</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或以上；</w:t>
      </w:r>
    </w:p>
    <w:p w14:paraId="47935EA8">
      <w:pPr>
        <w:spacing w:before="286" w:line="222" w:lineRule="auto"/>
        <w:ind w:left="83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4)显卡：集成显卡或以上；</w:t>
      </w:r>
    </w:p>
    <w:p w14:paraId="0B277769">
      <w:pPr>
        <w:spacing w:before="288" w:line="222" w:lineRule="auto"/>
        <w:ind w:left="83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5)声卡：集成声卡或以上；</w:t>
      </w:r>
    </w:p>
    <w:p w14:paraId="4EA81FF4">
      <w:pPr>
        <w:spacing w:before="286" w:line="221" w:lineRule="auto"/>
        <w:ind w:left="835"/>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6)操作系统：Windows7</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2"/>
          <w:sz w:val="24"/>
          <w:szCs w:val="24"/>
          <w:highlight w:val="none"/>
        </w:rPr>
        <w:t>或以上。</w:t>
      </w:r>
    </w:p>
    <w:p w14:paraId="4EC85FC2">
      <w:pPr>
        <w:spacing w:before="289" w:line="223" w:lineRule="auto"/>
        <w:ind w:left="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三、主要技术指标和参数</w:t>
      </w:r>
    </w:p>
    <w:p w14:paraId="4C76256D">
      <w:pPr>
        <w:spacing w:before="285" w:line="222" w:lineRule="auto"/>
        <w:ind w:left="85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1)单通道低通滤波器</w:t>
      </w:r>
    </w:p>
    <w:p w14:paraId="550BBF2F">
      <w:pPr>
        <w:spacing w:before="290" w:line="411" w:lineRule="auto"/>
        <w:ind w:right="28" w:firstLine="1112"/>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a)增益/dB，分四档：20、25、30、35</w:t>
      </w:r>
      <w:r>
        <w:rPr>
          <w:rFonts w:hint="eastAsia" w:ascii="仿宋" w:hAnsi="仿宋" w:eastAsia="仿宋" w:cs="仿宋"/>
          <w:color w:val="auto"/>
          <w:spacing w:val="-18"/>
          <w:sz w:val="24"/>
          <w:szCs w:val="24"/>
          <w:highlight w:val="none"/>
        </w:rPr>
        <w:t>，每档误差：≤±1dB（100Hz~</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4"/>
          <w:sz w:val="24"/>
          <w:szCs w:val="24"/>
          <w:highlight w:val="none"/>
        </w:rPr>
        <w:t>700Hz</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4"/>
          <w:sz w:val="24"/>
          <w:szCs w:val="24"/>
          <w:highlight w:val="none"/>
        </w:rPr>
        <w:t>基频范围内）</w:t>
      </w:r>
    </w:p>
    <w:p w14:paraId="05F0E5A9">
      <w:pPr>
        <w:spacing w:before="1" w:line="222" w:lineRule="auto"/>
        <w:ind w:left="110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b)低通滤波/KHz，分四档：5、10、15、20，每档误</w:t>
      </w:r>
      <w:r>
        <w:rPr>
          <w:rFonts w:hint="eastAsia" w:ascii="仿宋" w:hAnsi="仿宋" w:eastAsia="仿宋" w:cs="仿宋"/>
          <w:color w:val="auto"/>
          <w:spacing w:val="-1"/>
          <w:sz w:val="24"/>
          <w:szCs w:val="24"/>
          <w:highlight w:val="none"/>
        </w:rPr>
        <w:t>差：≤4%</w:t>
      </w:r>
    </w:p>
    <w:p w14:paraId="234B1C61">
      <w:pPr>
        <w:spacing w:before="286" w:line="222" w:lineRule="auto"/>
        <w:ind w:left="111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c)当无信号输入时，静止噪声≤1mV，</w:t>
      </w:r>
    </w:p>
    <w:p w14:paraId="5A608B48">
      <w:pPr>
        <w:spacing w:before="288" w:line="222" w:lineRule="auto"/>
        <w:ind w:left="111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d)信号频率误差：≤±4%，</w:t>
      </w:r>
    </w:p>
    <w:p w14:paraId="37195C6B">
      <w:pPr>
        <w:spacing w:before="287" w:line="224" w:lineRule="auto"/>
        <w:ind w:left="111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e)电压误差：≤±5%。</w:t>
      </w:r>
    </w:p>
    <w:p w14:paraId="7AF0C06A">
      <w:pPr>
        <w:spacing w:before="91" w:line="224" w:lineRule="auto"/>
        <w:ind w:left="83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2)输入功率：≤1000VA</w:t>
      </w:r>
    </w:p>
    <w:p w14:paraId="51FD8DC1">
      <w:pPr>
        <w:spacing w:before="284" w:line="411" w:lineRule="auto"/>
        <w:ind w:left="2" w:right="69" w:firstLine="83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3)供医疗机构耳鼻喉科、儿科、康复科、神经科使用，对语音信号</w:t>
      </w:r>
      <w:r>
        <w:rPr>
          <w:rFonts w:hint="eastAsia" w:ascii="仿宋" w:hAnsi="仿宋" w:eastAsia="仿宋" w:cs="仿宋"/>
          <w:color w:val="auto"/>
          <w:spacing w:val="-1"/>
          <w:sz w:val="24"/>
          <w:szCs w:val="24"/>
          <w:highlight w:val="none"/>
        </w:rPr>
        <w:t>进行检测、处理、编辑和储存，供语音障碍诊断康复用。</w:t>
      </w:r>
    </w:p>
    <w:p w14:paraId="097982C1">
      <w:pPr>
        <w:spacing w:before="4" w:line="411" w:lineRule="auto"/>
        <w:ind w:left="3" w:firstLine="826"/>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4)系统可提供儿童早期语言能力的评估，评估涉及词</w:t>
      </w:r>
      <w:r>
        <w:rPr>
          <w:rFonts w:hint="eastAsia" w:ascii="仿宋" w:hAnsi="仿宋" w:eastAsia="仿宋" w:cs="仿宋"/>
          <w:color w:val="auto"/>
          <w:spacing w:val="-5"/>
          <w:sz w:val="24"/>
          <w:szCs w:val="24"/>
          <w:highlight w:val="none"/>
        </w:rPr>
        <w:t>语、词组、句</w:t>
      </w:r>
      <w:r>
        <w:rPr>
          <w:rFonts w:hint="eastAsia" w:ascii="仿宋" w:hAnsi="仿宋" w:eastAsia="仿宋" w:cs="仿宋"/>
          <w:color w:val="auto"/>
          <w:spacing w:val="-2"/>
          <w:sz w:val="24"/>
          <w:szCs w:val="24"/>
          <w:highlight w:val="none"/>
        </w:rPr>
        <w:t>子、短文各方面。系统按照儿童语言发育规律设计了词语、词</w:t>
      </w:r>
      <w:r>
        <w:rPr>
          <w:rFonts w:hint="eastAsia" w:ascii="仿宋" w:hAnsi="仿宋" w:eastAsia="仿宋" w:cs="仿宋"/>
          <w:color w:val="auto"/>
          <w:spacing w:val="-3"/>
          <w:sz w:val="24"/>
          <w:szCs w:val="24"/>
          <w:highlight w:val="none"/>
        </w:rPr>
        <w:t>组、句子、</w:t>
      </w:r>
      <w:r>
        <w:rPr>
          <w:rFonts w:hint="eastAsia" w:ascii="仿宋" w:hAnsi="仿宋" w:eastAsia="仿宋" w:cs="仿宋"/>
          <w:color w:val="auto"/>
          <w:spacing w:val="-4"/>
          <w:sz w:val="24"/>
          <w:szCs w:val="24"/>
          <w:highlight w:val="none"/>
        </w:rPr>
        <w:t>短文及表达各阶段的训练，可对儿童进行无意识</w:t>
      </w:r>
      <w:r>
        <w:rPr>
          <w:rFonts w:hint="eastAsia" w:ascii="仿宋" w:hAnsi="仿宋" w:eastAsia="仿宋" w:cs="仿宋"/>
          <w:color w:val="auto"/>
          <w:spacing w:val="-5"/>
          <w:sz w:val="24"/>
          <w:szCs w:val="24"/>
          <w:highlight w:val="none"/>
        </w:rPr>
        <w:t>交流的唤醒训练、有意识交流训练和短句、短文表达交流训练等。训练内容分为多个主题，含有大</w:t>
      </w:r>
      <w:r>
        <w:rPr>
          <w:rFonts w:hint="eastAsia" w:ascii="仿宋" w:hAnsi="仿宋" w:eastAsia="仿宋" w:cs="仿宋"/>
          <w:color w:val="auto"/>
          <w:spacing w:val="-4"/>
          <w:sz w:val="24"/>
          <w:szCs w:val="24"/>
          <w:highlight w:val="none"/>
        </w:rPr>
        <w:t>量词汇、句子和短文素材，便于对儿童进行个性</w:t>
      </w:r>
      <w:r>
        <w:rPr>
          <w:rFonts w:hint="eastAsia" w:ascii="仿宋" w:hAnsi="仿宋" w:eastAsia="仿宋" w:cs="仿宋"/>
          <w:color w:val="auto"/>
          <w:spacing w:val="-5"/>
          <w:sz w:val="24"/>
          <w:szCs w:val="24"/>
          <w:highlight w:val="none"/>
        </w:rPr>
        <w:t>化教学训练。系统包括系</w:t>
      </w:r>
      <w:r>
        <w:rPr>
          <w:rFonts w:hint="eastAsia" w:ascii="仿宋" w:hAnsi="仿宋" w:eastAsia="仿宋" w:cs="仿宋"/>
          <w:color w:val="auto"/>
          <w:spacing w:val="-1"/>
          <w:sz w:val="24"/>
          <w:szCs w:val="24"/>
          <w:highlight w:val="none"/>
        </w:rPr>
        <w:t>统介绍、学生管理、语言评估、语言训练和生态教学平台。</w:t>
      </w:r>
    </w:p>
    <w:p w14:paraId="02B12F8A">
      <w:pPr>
        <w:spacing w:before="3" w:line="411" w:lineRule="auto"/>
        <w:ind w:left="2" w:firstLine="83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5)系统介绍对语音的发展、词汇的发展、词汇语义的发展、句子语</w:t>
      </w:r>
      <w:r>
        <w:rPr>
          <w:rFonts w:hint="eastAsia" w:ascii="仿宋" w:hAnsi="仿宋" w:eastAsia="仿宋" w:cs="仿宋"/>
          <w:color w:val="auto"/>
          <w:spacing w:val="-2"/>
          <w:sz w:val="24"/>
          <w:szCs w:val="24"/>
          <w:highlight w:val="none"/>
        </w:rPr>
        <w:t>法发展、比较句的发展、给字句的发展、把字句的发展、被字句</w:t>
      </w:r>
      <w:r>
        <w:rPr>
          <w:rFonts w:hint="eastAsia" w:ascii="仿宋" w:hAnsi="仿宋" w:eastAsia="仿宋" w:cs="仿宋"/>
          <w:color w:val="auto"/>
          <w:spacing w:val="-3"/>
          <w:sz w:val="24"/>
          <w:szCs w:val="24"/>
          <w:highlight w:val="none"/>
        </w:rPr>
        <w:t>的发展、</w:t>
      </w:r>
      <w:r>
        <w:rPr>
          <w:rFonts w:hint="eastAsia" w:ascii="仿宋" w:hAnsi="仿宋" w:eastAsia="仿宋" w:cs="仿宋"/>
          <w:color w:val="auto"/>
          <w:spacing w:val="2"/>
          <w:sz w:val="24"/>
          <w:szCs w:val="24"/>
          <w:highlight w:val="none"/>
        </w:rPr>
        <w:t>方所句的发展、主谓结构句的发展≥10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2"/>
          <w:sz w:val="24"/>
          <w:szCs w:val="24"/>
          <w:highlight w:val="none"/>
        </w:rPr>
        <w:t>个</w:t>
      </w:r>
      <w:r>
        <w:rPr>
          <w:rFonts w:hint="eastAsia" w:ascii="仿宋" w:hAnsi="仿宋" w:eastAsia="仿宋" w:cs="仿宋"/>
          <w:color w:val="auto"/>
          <w:spacing w:val="1"/>
          <w:sz w:val="24"/>
          <w:szCs w:val="24"/>
          <w:highlight w:val="none"/>
        </w:rPr>
        <w:t>儿童语言发育过程及年龄段进</w:t>
      </w:r>
      <w:r>
        <w:rPr>
          <w:rFonts w:hint="eastAsia" w:ascii="仿宋" w:hAnsi="仿宋" w:eastAsia="仿宋" w:cs="仿宋"/>
          <w:color w:val="auto"/>
          <w:spacing w:val="-4"/>
          <w:sz w:val="24"/>
          <w:szCs w:val="24"/>
          <w:highlight w:val="none"/>
        </w:rPr>
        <w:t>行详细解说。</w:t>
      </w:r>
    </w:p>
    <w:p w14:paraId="4F3543DC">
      <w:pPr>
        <w:spacing w:before="1" w:line="411" w:lineRule="auto"/>
        <w:ind w:left="4" w:right="13" w:firstLine="82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6)可进行用户资料的修改、删除、打印、重新查找、统计、帮助，</w:t>
      </w:r>
      <w:r>
        <w:rPr>
          <w:rFonts w:hint="eastAsia" w:ascii="仿宋" w:hAnsi="仿宋" w:eastAsia="仿宋" w:cs="仿宋"/>
          <w:color w:val="auto"/>
          <w:spacing w:val="-4"/>
          <w:sz w:val="24"/>
          <w:szCs w:val="24"/>
          <w:highlight w:val="none"/>
        </w:rPr>
        <w:t>可对同一位受训者的多次评估结果进行比较，</w:t>
      </w:r>
      <w:r>
        <w:rPr>
          <w:rFonts w:hint="eastAsia" w:ascii="仿宋" w:hAnsi="仿宋" w:eastAsia="仿宋" w:cs="仿宋"/>
          <w:color w:val="auto"/>
          <w:spacing w:val="-5"/>
          <w:sz w:val="24"/>
          <w:szCs w:val="24"/>
          <w:highlight w:val="none"/>
        </w:rPr>
        <w:t>前后对照分析，显示出直方</w:t>
      </w:r>
      <w:r>
        <w:rPr>
          <w:rFonts w:hint="eastAsia" w:ascii="仿宋" w:hAnsi="仿宋" w:eastAsia="仿宋" w:cs="仿宋"/>
          <w:color w:val="auto"/>
          <w:spacing w:val="-3"/>
          <w:sz w:val="24"/>
          <w:szCs w:val="24"/>
          <w:highlight w:val="none"/>
        </w:rPr>
        <w:t>图，跟踪训练效果。</w:t>
      </w:r>
    </w:p>
    <w:p w14:paraId="156CBEA2">
      <w:pPr>
        <w:spacing w:before="3" w:line="411" w:lineRule="auto"/>
        <w:ind w:right="69" w:firstLine="838"/>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7)能实现阶段评估和即时训练评估两种评估形式；可进行词语、词</w:t>
      </w:r>
      <w:r>
        <w:rPr>
          <w:rFonts w:hint="eastAsia" w:ascii="仿宋" w:hAnsi="仿宋" w:eastAsia="仿宋" w:cs="仿宋"/>
          <w:color w:val="auto"/>
          <w:spacing w:val="-4"/>
          <w:sz w:val="24"/>
          <w:szCs w:val="24"/>
          <w:highlight w:val="none"/>
        </w:rPr>
        <w:t>组、句子、短文各个阶段的评估。并能根据评估结果，</w:t>
      </w:r>
      <w:r>
        <w:rPr>
          <w:rFonts w:hint="eastAsia" w:ascii="仿宋" w:hAnsi="仿宋" w:eastAsia="仿宋" w:cs="仿宋"/>
          <w:color w:val="auto"/>
          <w:spacing w:val="-5"/>
          <w:sz w:val="24"/>
          <w:szCs w:val="24"/>
          <w:highlight w:val="none"/>
        </w:rPr>
        <w:t>设定早期语言干预</w:t>
      </w:r>
      <w:r>
        <w:rPr>
          <w:rFonts w:hint="eastAsia" w:ascii="仿宋" w:hAnsi="仿宋" w:eastAsia="仿宋" w:cs="仿宋"/>
          <w:color w:val="auto"/>
          <w:spacing w:val="1"/>
          <w:sz w:val="24"/>
          <w:szCs w:val="24"/>
          <w:highlight w:val="none"/>
        </w:rPr>
        <w:t>的目标，干预的具体手段，提供≥8000</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1"/>
          <w:sz w:val="24"/>
          <w:szCs w:val="24"/>
          <w:highlight w:val="none"/>
        </w:rPr>
        <w:t>个干预内容，使学生从无意识交</w:t>
      </w:r>
      <w:r>
        <w:rPr>
          <w:rFonts w:hint="eastAsia" w:ascii="仿宋" w:hAnsi="仿宋" w:eastAsia="仿宋" w:cs="仿宋"/>
          <w:color w:val="auto"/>
          <w:spacing w:val="-1"/>
          <w:sz w:val="24"/>
          <w:szCs w:val="24"/>
          <w:highlight w:val="none"/>
        </w:rPr>
        <w:t>流的唤醒训练、有意识交流训练，直到能进行短句、短文的表达交流。</w:t>
      </w:r>
    </w:p>
    <w:p w14:paraId="3BE6B250">
      <w:pPr>
        <w:spacing w:before="91" w:line="411" w:lineRule="auto"/>
        <w:ind w:right="69" w:firstLine="83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8)根据并遵循有关语言发展的规律、理论，甄选</w:t>
      </w:r>
      <w:r>
        <w:rPr>
          <w:rFonts w:hint="eastAsia" w:ascii="仿宋" w:hAnsi="仿宋" w:eastAsia="仿宋" w:cs="仿宋"/>
          <w:color w:val="auto"/>
          <w:spacing w:val="-5"/>
          <w:sz w:val="24"/>
          <w:szCs w:val="24"/>
          <w:highlight w:val="none"/>
        </w:rPr>
        <w:t>语言发育不同阶段</w:t>
      </w:r>
      <w:r>
        <w:rPr>
          <w:rFonts w:hint="eastAsia" w:ascii="仿宋" w:hAnsi="仿宋" w:eastAsia="仿宋" w:cs="仿宋"/>
          <w:color w:val="auto"/>
          <w:spacing w:val="-4"/>
          <w:sz w:val="24"/>
          <w:szCs w:val="24"/>
          <w:highlight w:val="none"/>
        </w:rPr>
        <w:t>的大量重要、关键的基础词语、词组、句子和短文；包括</w:t>
      </w:r>
      <w:r>
        <w:rPr>
          <w:rFonts w:hint="eastAsia" w:ascii="仿宋" w:hAnsi="仿宋" w:eastAsia="仿宋" w:cs="仿宋"/>
          <w:color w:val="auto"/>
          <w:spacing w:val="-5"/>
          <w:sz w:val="24"/>
          <w:szCs w:val="24"/>
          <w:highlight w:val="none"/>
        </w:rPr>
        <w:t>词语学习、词组</w:t>
      </w:r>
      <w:r>
        <w:rPr>
          <w:rFonts w:hint="eastAsia" w:ascii="仿宋" w:hAnsi="仿宋" w:eastAsia="仿宋" w:cs="仿宋"/>
          <w:color w:val="auto"/>
          <w:spacing w:val="-4"/>
          <w:sz w:val="24"/>
          <w:szCs w:val="24"/>
          <w:highlight w:val="none"/>
        </w:rPr>
        <w:t>学习、句子学习、短文学习、童谣吟诵、音悦厅训练六个</w:t>
      </w:r>
      <w:r>
        <w:rPr>
          <w:rFonts w:hint="eastAsia" w:ascii="仿宋" w:hAnsi="仿宋" w:eastAsia="仿宋" w:cs="仿宋"/>
          <w:color w:val="auto"/>
          <w:spacing w:val="-5"/>
          <w:sz w:val="24"/>
          <w:szCs w:val="24"/>
          <w:highlight w:val="none"/>
        </w:rPr>
        <w:t>训练阶段。通过</w:t>
      </w:r>
      <w:r>
        <w:rPr>
          <w:rFonts w:hint="eastAsia" w:ascii="仿宋" w:hAnsi="仿宋" w:eastAsia="仿宋" w:cs="仿宋"/>
          <w:color w:val="auto"/>
          <w:spacing w:val="-4"/>
          <w:sz w:val="24"/>
          <w:szCs w:val="24"/>
          <w:highlight w:val="none"/>
        </w:rPr>
        <w:t>辨认，识别，语言韵律测量，情景运用，语句综合应用等</w:t>
      </w:r>
      <w:r>
        <w:rPr>
          <w:rFonts w:hint="eastAsia" w:ascii="仿宋" w:hAnsi="仿宋" w:eastAsia="仿宋" w:cs="仿宋"/>
          <w:color w:val="auto"/>
          <w:spacing w:val="-5"/>
          <w:sz w:val="24"/>
          <w:szCs w:val="24"/>
          <w:highlight w:val="none"/>
        </w:rPr>
        <w:t>不同形式题型的</w:t>
      </w:r>
      <w:r>
        <w:rPr>
          <w:rFonts w:hint="eastAsia" w:ascii="仿宋" w:hAnsi="仿宋" w:eastAsia="仿宋" w:cs="仿宋"/>
          <w:color w:val="auto"/>
          <w:spacing w:val="-2"/>
          <w:sz w:val="24"/>
          <w:szCs w:val="24"/>
          <w:highlight w:val="none"/>
        </w:rPr>
        <w:t>设置激发儿童的训练兴趣。</w:t>
      </w:r>
    </w:p>
    <w:p w14:paraId="6F86544E">
      <w:pPr>
        <w:spacing w:before="1" w:line="411" w:lineRule="auto"/>
        <w:ind w:left="1" w:right="69" w:firstLine="83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9)生态教学平台(开放式、可自行编辑的教学平台)：老师</w:t>
      </w:r>
      <w:r>
        <w:rPr>
          <w:rFonts w:hint="eastAsia" w:ascii="仿宋" w:hAnsi="仿宋" w:eastAsia="仿宋" w:cs="仿宋"/>
          <w:color w:val="auto"/>
          <w:spacing w:val="-5"/>
          <w:sz w:val="24"/>
          <w:szCs w:val="24"/>
          <w:highlight w:val="none"/>
        </w:rPr>
        <w:t>可根据不</w:t>
      </w:r>
      <w:r>
        <w:rPr>
          <w:rFonts w:hint="eastAsia" w:ascii="仿宋" w:hAnsi="仿宋" w:eastAsia="仿宋" w:cs="仿宋"/>
          <w:color w:val="auto"/>
          <w:spacing w:val="-4"/>
          <w:sz w:val="24"/>
          <w:szCs w:val="24"/>
          <w:highlight w:val="none"/>
        </w:rPr>
        <w:t>同受训者的实际水平及教学需要，自行设计、编辑、建</w:t>
      </w:r>
      <w:r>
        <w:rPr>
          <w:rFonts w:hint="eastAsia" w:ascii="仿宋" w:hAnsi="仿宋" w:eastAsia="仿宋" w:cs="仿宋"/>
          <w:color w:val="auto"/>
          <w:spacing w:val="-5"/>
          <w:sz w:val="24"/>
          <w:szCs w:val="24"/>
          <w:highlight w:val="none"/>
        </w:rPr>
        <w:t>立大型的训练题库</w:t>
      </w:r>
      <w:r>
        <w:rPr>
          <w:rFonts w:hint="eastAsia" w:ascii="仿宋" w:hAnsi="仿宋" w:eastAsia="仿宋" w:cs="仿宋"/>
          <w:color w:val="auto"/>
          <w:spacing w:val="-2"/>
          <w:sz w:val="24"/>
          <w:szCs w:val="24"/>
          <w:highlight w:val="none"/>
        </w:rPr>
        <w:t>（训练语音、图片、视频、奖励等</w:t>
      </w:r>
      <w:r>
        <w:rPr>
          <w:rFonts w:hint="eastAsia" w:ascii="仿宋" w:hAnsi="仿宋" w:eastAsia="仿宋" w:cs="仿宋"/>
          <w:color w:val="auto"/>
          <w:spacing w:val="19"/>
          <w:sz w:val="24"/>
          <w:szCs w:val="24"/>
          <w:highlight w:val="none"/>
        </w:rPr>
        <w:t>），</w:t>
      </w:r>
      <w:r>
        <w:rPr>
          <w:rFonts w:hint="eastAsia" w:ascii="仿宋" w:hAnsi="仿宋" w:eastAsia="仿宋" w:cs="仿宋"/>
          <w:color w:val="auto"/>
          <w:spacing w:val="-2"/>
          <w:sz w:val="24"/>
          <w:szCs w:val="24"/>
          <w:highlight w:val="none"/>
        </w:rPr>
        <w:t>进行各阶段的强化个体化训练。</w:t>
      </w:r>
    </w:p>
    <w:p w14:paraId="73432985">
      <w:pPr>
        <w:spacing w:before="1" w:line="411" w:lineRule="auto"/>
        <w:ind w:left="11" w:right="69" w:firstLine="8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10)精细化用户管理系统，统一用户基础属性、</w:t>
      </w:r>
      <w:r>
        <w:rPr>
          <w:rFonts w:hint="eastAsia" w:ascii="仿宋" w:hAnsi="仿宋" w:eastAsia="仿宋" w:cs="仿宋"/>
          <w:color w:val="auto"/>
          <w:spacing w:val="-1"/>
          <w:sz w:val="24"/>
          <w:szCs w:val="24"/>
          <w:highlight w:val="none"/>
        </w:rPr>
        <w:t>形成结构化管理框</w:t>
      </w:r>
      <w:r>
        <w:rPr>
          <w:rFonts w:hint="eastAsia" w:ascii="仿宋" w:hAnsi="仿宋" w:eastAsia="仿宋" w:cs="仿宋"/>
          <w:color w:val="auto"/>
          <w:spacing w:val="-5"/>
          <w:sz w:val="24"/>
          <w:szCs w:val="24"/>
          <w:highlight w:val="none"/>
        </w:rPr>
        <w:t>架，包含管理员、医生、治疗师、患者四种用户角色，实现系统数据分层</w:t>
      </w:r>
      <w:r>
        <w:rPr>
          <w:rFonts w:hint="eastAsia" w:ascii="仿宋" w:hAnsi="仿宋" w:eastAsia="仿宋" w:cs="仿宋"/>
          <w:color w:val="auto"/>
          <w:spacing w:val="-10"/>
          <w:sz w:val="24"/>
          <w:szCs w:val="24"/>
          <w:highlight w:val="none"/>
        </w:rPr>
        <w:t>管理；</w:t>
      </w:r>
    </w:p>
    <w:p w14:paraId="2179E67D">
      <w:pPr>
        <w:spacing w:before="2" w:line="411" w:lineRule="auto"/>
        <w:ind w:firstLine="715" w:firstLineChars="303"/>
        <w:rPr>
          <w:rFonts w:hint="eastAsia" w:ascii="仿宋" w:hAnsi="仿宋" w:eastAsia="仿宋" w:cs="仿宋"/>
          <w:color w:val="auto"/>
          <w:spacing w:val="-1"/>
          <w:sz w:val="24"/>
          <w:szCs w:val="24"/>
          <w:highlight w:val="none"/>
        </w:rPr>
      </w:pPr>
      <w:r>
        <w:rPr>
          <w:rFonts w:hint="eastAsia" w:ascii="仿宋" w:hAnsi="仿宋" w:eastAsia="仿宋" w:cs="仿宋"/>
          <w:color w:val="auto"/>
          <w:spacing w:val="-2"/>
          <w:sz w:val="24"/>
          <w:szCs w:val="24"/>
          <w:highlight w:val="none"/>
        </w:rPr>
        <w:t>11)适用于语言发育迟缓、精神发育迟滞</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3"/>
          <w:sz w:val="24"/>
          <w:szCs w:val="24"/>
          <w:highlight w:val="none"/>
        </w:rPr>
        <w:t>自闭症、脑瘫、唐氏综合征等</w:t>
      </w:r>
      <w:r>
        <w:rPr>
          <w:rFonts w:hint="eastAsia" w:ascii="仿宋" w:hAnsi="仿宋" w:eastAsia="仿宋" w:cs="仿宋"/>
          <w:color w:val="auto"/>
          <w:spacing w:val="-2"/>
          <w:sz w:val="24"/>
          <w:szCs w:val="24"/>
          <w:highlight w:val="none"/>
        </w:rPr>
        <w:t>语言障碍患者，可用于各大医院康复科、儿童医院、各级残联康复机构、</w:t>
      </w:r>
      <w:r>
        <w:rPr>
          <w:rFonts w:hint="eastAsia" w:ascii="仿宋" w:hAnsi="仿宋" w:eastAsia="仿宋" w:cs="仿宋"/>
          <w:color w:val="auto"/>
          <w:spacing w:val="-1"/>
          <w:sz w:val="24"/>
          <w:szCs w:val="24"/>
          <w:highlight w:val="none"/>
        </w:rPr>
        <w:t>各级特殊教育机构、各类儿童康复训练机构等。</w:t>
      </w:r>
    </w:p>
    <w:p w14:paraId="18008EC2">
      <w:pPr>
        <w:spacing w:before="2" w:line="411" w:lineRule="auto"/>
        <w:ind w:firstLine="721" w:firstLineChars="303"/>
        <w:rPr>
          <w:rFonts w:hint="eastAsia" w:ascii="仿宋" w:hAnsi="仿宋" w:eastAsia="仿宋" w:cs="仿宋"/>
          <w:color w:val="auto"/>
          <w:spacing w:val="-1"/>
          <w:sz w:val="24"/>
          <w:szCs w:val="24"/>
          <w:highlight w:val="none"/>
        </w:rPr>
      </w:pPr>
    </w:p>
    <w:p w14:paraId="114BDA2B">
      <w:pPr>
        <w:rPr>
          <w:rFonts w:hint="eastAsia" w:ascii="仿宋" w:hAnsi="仿宋" w:eastAsia="仿宋" w:cs="仿宋"/>
          <w:b/>
          <w:bCs/>
          <w:color w:val="auto"/>
          <w:spacing w:val="-4"/>
          <w:sz w:val="24"/>
          <w:szCs w:val="24"/>
          <w:highlight w:val="none"/>
          <w:lang w:val="en-US" w:eastAsia="zh-CN"/>
        </w:rPr>
      </w:pPr>
      <w:r>
        <w:rPr>
          <w:rFonts w:hint="eastAsia" w:ascii="仿宋" w:hAnsi="仿宋" w:eastAsia="仿宋" w:cs="仿宋"/>
          <w:b/>
          <w:bCs/>
          <w:color w:val="auto"/>
          <w:spacing w:val="-4"/>
          <w:sz w:val="24"/>
          <w:szCs w:val="24"/>
          <w:highlight w:val="none"/>
          <w:lang w:val="en-US" w:eastAsia="zh-CN"/>
        </w:rPr>
        <w:br w:type="page"/>
      </w:r>
    </w:p>
    <w:p w14:paraId="04E6EA00">
      <w:pPr>
        <w:spacing w:before="91" w:line="222" w:lineRule="auto"/>
        <w:ind w:left="2959"/>
        <w:outlineLvl w:val="0"/>
        <w:rPr>
          <w:rFonts w:hint="eastAsia" w:ascii="仿宋" w:hAnsi="仿宋" w:eastAsia="仿宋" w:cs="仿宋"/>
          <w:color w:val="auto"/>
          <w:sz w:val="24"/>
          <w:szCs w:val="24"/>
          <w:highlight w:val="none"/>
        </w:rPr>
      </w:pPr>
      <w:bookmarkStart w:id="691" w:name="_Toc14786"/>
      <w:bookmarkStart w:id="692" w:name="_Toc30802"/>
      <w:bookmarkStart w:id="693" w:name="_Toc10127"/>
      <w:r>
        <w:rPr>
          <w:rFonts w:hint="eastAsia" w:ascii="仿宋" w:hAnsi="仿宋" w:eastAsia="仿宋" w:cs="仿宋"/>
          <w:b/>
          <w:bCs/>
          <w:color w:val="auto"/>
          <w:spacing w:val="-4"/>
          <w:sz w:val="24"/>
          <w:szCs w:val="24"/>
          <w:highlight w:val="none"/>
          <w:lang w:val="en-US" w:eastAsia="zh-CN"/>
        </w:rPr>
        <w:t>12.</w:t>
      </w:r>
      <w:r>
        <w:rPr>
          <w:rFonts w:hint="eastAsia" w:ascii="仿宋" w:hAnsi="仿宋" w:eastAsia="仿宋" w:cs="仿宋"/>
          <w:b/>
          <w:bCs/>
          <w:color w:val="auto"/>
          <w:spacing w:val="-4"/>
          <w:sz w:val="24"/>
          <w:szCs w:val="24"/>
          <w:highlight w:val="none"/>
        </w:rPr>
        <w:t>全自动微生物质谱系统参数</w:t>
      </w:r>
      <w:bookmarkEnd w:id="691"/>
      <w:bookmarkEnd w:id="692"/>
      <w:bookmarkEnd w:id="693"/>
    </w:p>
    <w:p w14:paraId="598348A5">
      <w:pPr>
        <w:spacing w:before="91" w:line="223" w:lineRule="auto"/>
        <w:ind w:left="21"/>
        <w:outlineLvl w:val="1"/>
        <w:rPr>
          <w:rFonts w:hint="eastAsia" w:ascii="仿宋" w:hAnsi="仿宋" w:eastAsia="仿宋" w:cs="仿宋"/>
          <w:color w:val="auto"/>
          <w:sz w:val="24"/>
          <w:szCs w:val="24"/>
          <w:highlight w:val="none"/>
        </w:rPr>
      </w:pPr>
      <w:bookmarkStart w:id="694" w:name="_Toc30331"/>
      <w:bookmarkStart w:id="695" w:name="_Toc25100"/>
      <w:bookmarkStart w:id="696" w:name="_Toc5833"/>
      <w:r>
        <w:rPr>
          <w:rFonts w:hint="eastAsia" w:ascii="仿宋" w:hAnsi="仿宋" w:eastAsia="仿宋" w:cs="仿宋"/>
          <w:b/>
          <w:bCs/>
          <w:color w:val="auto"/>
          <w:spacing w:val="-4"/>
          <w:sz w:val="24"/>
          <w:szCs w:val="24"/>
          <w:highlight w:val="none"/>
        </w:rPr>
        <w:t>一、设备主要用途及基本要求</w:t>
      </w:r>
      <w:bookmarkEnd w:id="694"/>
      <w:bookmarkEnd w:id="695"/>
      <w:bookmarkEnd w:id="696"/>
    </w:p>
    <w:p w14:paraId="45E4731B">
      <w:pPr>
        <w:spacing w:before="91" w:line="223" w:lineRule="auto"/>
        <w:ind w:left="29"/>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1、应用范围应包括对细菌、真菌的鉴定；</w:t>
      </w:r>
    </w:p>
    <w:p w14:paraId="2A26C432">
      <w:pPr>
        <w:spacing w:before="285" w:line="220" w:lineRule="auto"/>
        <w:ind w:left="1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2、可进行不同种类的化合物研究，包括蛋白质、核酸、脂质等样本。</w:t>
      </w:r>
    </w:p>
    <w:p w14:paraId="3DAC1DD9">
      <w:pPr>
        <w:spacing w:before="91" w:line="223" w:lineRule="auto"/>
        <w:ind w:left="26"/>
        <w:outlineLvl w:val="1"/>
        <w:rPr>
          <w:rFonts w:hint="eastAsia" w:ascii="仿宋" w:hAnsi="仿宋" w:eastAsia="仿宋" w:cs="仿宋"/>
          <w:color w:val="auto"/>
          <w:sz w:val="24"/>
          <w:szCs w:val="24"/>
          <w:highlight w:val="none"/>
        </w:rPr>
      </w:pPr>
      <w:bookmarkStart w:id="697" w:name="_Toc26116"/>
      <w:bookmarkStart w:id="698" w:name="_Toc25154"/>
      <w:bookmarkStart w:id="699" w:name="_Toc5277"/>
      <w:r>
        <w:rPr>
          <w:rFonts w:hint="eastAsia" w:ascii="仿宋" w:hAnsi="仿宋" w:eastAsia="仿宋" w:cs="仿宋"/>
          <w:b/>
          <w:bCs/>
          <w:color w:val="auto"/>
          <w:spacing w:val="-6"/>
          <w:sz w:val="24"/>
          <w:szCs w:val="24"/>
          <w:highlight w:val="none"/>
        </w:rPr>
        <w:t>二、技术参数要求</w:t>
      </w:r>
      <w:bookmarkEnd w:id="697"/>
      <w:bookmarkEnd w:id="698"/>
      <w:bookmarkEnd w:id="699"/>
    </w:p>
    <w:p w14:paraId="31457B31">
      <w:pPr>
        <w:spacing w:before="91" w:line="221" w:lineRule="auto"/>
        <w:ind w:left="2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1、质谱仪硬件性能规格要求</w:t>
      </w:r>
    </w:p>
    <w:p w14:paraId="3F4B67CA">
      <w:pPr>
        <w:spacing w:before="289"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1.1</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3"/>
          <w:sz w:val="24"/>
          <w:szCs w:val="24"/>
          <w:highlight w:val="none"/>
        </w:rPr>
        <w:t>采用直线形不锈钢飞行管，飞行管长度≥1</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米；</w:t>
      </w:r>
    </w:p>
    <w:p w14:paraId="1980F79B">
      <w:pPr>
        <w:spacing w:before="288"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1.2</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5"/>
          <w:sz w:val="24"/>
          <w:szCs w:val="24"/>
          <w:highlight w:val="none"/>
        </w:rPr>
        <w:t>具备温度补偿功能；</w:t>
      </w:r>
    </w:p>
    <w:p w14:paraId="7C30ABC5">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7"/>
          <w:sz w:val="24"/>
          <w:szCs w:val="24"/>
          <w:highlight w:val="none"/>
        </w:rPr>
        <w:t>1.3</w:t>
      </w:r>
      <w:r>
        <w:rPr>
          <w:rFonts w:hint="eastAsia" w:ascii="仿宋" w:hAnsi="仿宋" w:eastAsia="仿宋" w:cs="仿宋"/>
          <w:color w:val="auto"/>
          <w:spacing w:val="-36"/>
          <w:sz w:val="24"/>
          <w:szCs w:val="24"/>
          <w:highlight w:val="none"/>
        </w:rPr>
        <w:t xml:space="preserve"> </w:t>
      </w:r>
      <w:r>
        <w:rPr>
          <w:rFonts w:hint="eastAsia" w:ascii="仿宋" w:hAnsi="仿宋" w:eastAsia="仿宋" w:cs="仿宋"/>
          <w:color w:val="auto"/>
          <w:spacing w:val="-7"/>
          <w:sz w:val="24"/>
          <w:szCs w:val="24"/>
          <w:highlight w:val="none"/>
        </w:rPr>
        <w:t>检测器：配置</w:t>
      </w:r>
      <w:r>
        <w:rPr>
          <w:rFonts w:hint="eastAsia" w:ascii="仿宋" w:hAnsi="仿宋" w:eastAsia="仿宋" w:cs="仿宋"/>
          <w:color w:val="auto"/>
          <w:spacing w:val="-72"/>
          <w:sz w:val="24"/>
          <w:szCs w:val="24"/>
          <w:highlight w:val="none"/>
        </w:rPr>
        <w:t xml:space="preserve"> </w:t>
      </w:r>
      <w:r>
        <w:rPr>
          <w:rFonts w:hint="eastAsia" w:ascii="仿宋" w:hAnsi="仿宋" w:eastAsia="仿宋" w:cs="仿宋"/>
          <w:color w:val="auto"/>
          <w:spacing w:val="-7"/>
          <w:sz w:val="24"/>
          <w:szCs w:val="24"/>
          <w:highlight w:val="none"/>
        </w:rPr>
        <w:t>MCP</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7"/>
          <w:sz w:val="24"/>
          <w:szCs w:val="24"/>
          <w:highlight w:val="none"/>
        </w:rPr>
        <w:t>检测器，检测微通道数≥10</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7"/>
          <w:sz w:val="24"/>
          <w:szCs w:val="24"/>
          <w:highlight w:val="none"/>
        </w:rPr>
        <w:t>万，保障高分辨率，提</w:t>
      </w:r>
      <w:r>
        <w:rPr>
          <w:rFonts w:hint="eastAsia" w:ascii="仿宋" w:hAnsi="仿宋" w:eastAsia="仿宋" w:cs="仿宋"/>
          <w:color w:val="auto"/>
          <w:spacing w:val="-3"/>
          <w:sz w:val="24"/>
          <w:szCs w:val="24"/>
          <w:highlight w:val="none"/>
        </w:rPr>
        <w:t>供</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3"/>
          <w:sz w:val="24"/>
          <w:szCs w:val="24"/>
          <w:highlight w:val="none"/>
        </w:rPr>
        <w:t>MCP</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3"/>
          <w:sz w:val="24"/>
          <w:szCs w:val="24"/>
          <w:highlight w:val="none"/>
        </w:rPr>
        <w:t>检测器生产厂商说明书；</w:t>
      </w:r>
    </w:p>
    <w:p w14:paraId="1334DEF5">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1.4 激光器：采用固体激光器，波长 355nm，频率在 1-2000Hz 且可调，发射次数≥90 亿次</w:t>
      </w:r>
    </w:p>
    <w:p w14:paraId="488E9F5A">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1.5 配备负离子检测模块 ，可进行脂质分析 ，可检测大肠杆菌脂质Am/z1796，相对示值误差≤500ppm；</w:t>
      </w:r>
    </w:p>
    <w:p w14:paraId="75A8DF2A">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1.6 前级泵为内置无油隔膜泵，无机油污染，维护时无需添加或更换机油；</w:t>
      </w:r>
    </w:p>
    <w:p w14:paraId="10159422">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1.7 分子泵为复合型涡轮分子泵，具有叶片级和拖拽级，拖拽级≥10L/S,分子泵抽速≥300L/S；</w:t>
      </w:r>
    </w:p>
    <w:p w14:paraId="4FAC902D">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1.8 质谱仪从样品靶板放入质谱仪后到真空抽到3 × 10-6mbar 以下所需时间≤50s；</w:t>
      </w:r>
    </w:p>
    <w:p w14:paraId="4D69E035">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1.9 满足应急车载使用：设备需为桌面台式机型，1150mm≤高度≤1370mm。</w:t>
      </w:r>
    </w:p>
    <w:p w14:paraId="44BBDD32">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2、软件系统</w:t>
      </w:r>
    </w:p>
    <w:p w14:paraId="3D1004E8">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2.1 全中文集成软件，支持单界面完成从谱图采集到鉴定报告生成的全流程操作，鉴定结果微生物名称中文和拉丁文同时给出，无需切换。</w:t>
      </w:r>
    </w:p>
    <w:p w14:paraId="5B927F98">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2.2 对于布鲁氏菌、脑膜炎奈瑟菌等软件具有高危致病菌标识，提供软件界面截图；</w:t>
      </w:r>
    </w:p>
    <w:p w14:paraId="262DAE6C">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2.3 鉴定结果：标配检索鉴定软件给出质谱鉴定结果的同时还可给出国家级出版社提供的的微生物形态学（平板菌落图及染色图）形态图，以辅助对鉴定结果进行判读；</w:t>
      </w:r>
    </w:p>
    <w:p w14:paraId="4AEF4BE8">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2.4 软件配套专业微生物知识库，包含菌种的形态学、生物特性、核糖体蛋白信息等，支持用户上传形态图，提供软件界面截图。</w:t>
      </w:r>
    </w:p>
    <w:p w14:paraId="7B2B180B">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2.5 能通过智能算法，对系统进行大样本量训练，构建微生物鉴定区分模型，进行李斯特复合群鉴定。提供系列产品发表的分型相关文章。</w:t>
      </w:r>
    </w:p>
    <w:p w14:paraId="7A03130F">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3、数据库：</w:t>
      </w:r>
    </w:p>
    <w:p w14:paraId="5E011E83">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3.1 蛋白指纹图谱数据库：必须具备本地微生物菌种数据库，鉴定菌种≥ 5000 种,包括苛氧菌、厌氧菌、分枝杆菌等传统方法难以鉴定的疑难菌种；</w:t>
      </w:r>
    </w:p>
    <w:p w14:paraId="5DE63563">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3.2 丝状真菌数据库≥500 种，菌种鉴定属正确率≥95%；</w:t>
      </w:r>
    </w:p>
    <w:p w14:paraId="73D77E5D">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3.3 特色数据库：具备≥20 种以上施万菌数据库；分枝杆菌数据库≥170种；</w:t>
      </w:r>
    </w:p>
    <w:p w14:paraId="29FAAE79">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4、检测性能</w:t>
      </w:r>
    </w:p>
    <w:p w14:paraId="272956DF">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4.1 鉴定质量范围：1-500kDa；</w:t>
      </w:r>
    </w:p>
    <w:p w14:paraId="2C969DA7">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4.2 质量分辨率（线性模式）： ≥5000(FWHM)@Angiotensin；</w:t>
      </w:r>
    </w:p>
    <w:p w14:paraId="22CF7826">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4.3 鉴定灵敏度：1fmol/uL 人纤维蛋白肽 B（信噪比≥10∶1）；</w:t>
      </w:r>
    </w:p>
    <w:p w14:paraId="3F0EED86">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4.4 质量准确度：≤150ppm (外校准)质量准确度：≤100ppm（内校准）；</w:t>
      </w:r>
    </w:p>
    <w:p w14:paraId="264A465D">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5、相关试剂耗材：</w:t>
      </w:r>
    </w:p>
    <w:p w14:paraId="793E2C61">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5.1 配套同品牌微生物质谱基质试剂盒、霉菌样本预处理试剂盒及同品牌校准品，均取得临床注册证或备案凭证；</w:t>
      </w:r>
    </w:p>
    <w:p w14:paraId="67CD5D94">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5.2 霉菌样本预处理试剂盒包含甲酸、乙腈等成分，操作时间≤3 分钟，且取得临床注册证；</w:t>
      </w:r>
    </w:p>
    <w:p w14:paraId="7AAB4093">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5.3 提供蛋白提取试剂盒，采用全自动微生物提取仪进行菌体富集，简化阳性血培养样本前处理工作流程，10 分钟可同时处理≥8 个阳性血培养样本，得到纯净的菌体用于MALDI-TOFMS 质谱鉴定；</w:t>
      </w:r>
    </w:p>
    <w:p w14:paraId="5F9C0EF7">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5.4 可提供同品牌一次性硅基靶板和重复使用不锈钢靶板，重复性靶板为一体式靶板，具备激光彩印条码；</w:t>
      </w:r>
    </w:p>
    <w:p w14:paraId="5662AEBD">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6、可选配小分子耐药检测研究功能：支持β 内酰胺酶活性检测，以判断菌株的耐药性，可检测氟康唑、哌拉西林等抗生素，提供省市级仪器检验所出具的检测报告。</w:t>
      </w:r>
    </w:p>
    <w:p w14:paraId="4977C586">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三、配置清单</w:t>
      </w:r>
    </w:p>
    <w:p w14:paraId="78C09430">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1、微生物鉴定质谱系统主机：1 台；</w:t>
      </w:r>
    </w:p>
    <w:p w14:paraId="21B3A11B">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2、工作站：专用电脑 1 台，Windows10 以上操作系统，3.0GHzCPU 四核处理器，≥16GB，≥1TB 硬盘，液晶显示屏，条码扫描器 1 套；</w:t>
      </w:r>
    </w:p>
    <w:p w14:paraId="5C5130D0">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3、≥5KVAUPS1 台；</w:t>
      </w:r>
    </w:p>
    <w:p w14:paraId="49C5EA14">
      <w:pPr>
        <w:spacing w:before="289" w:line="22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4、配备一体式靶板2 块；</w:t>
      </w:r>
    </w:p>
    <w:p w14:paraId="0BC64944">
      <w:pPr>
        <w:spacing w:before="289" w:line="222"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5、配套离心机 1 台，移液枪 1 把，超声清洗机 1 台，枪头 1 包，点靶台 1 个。</w:t>
      </w:r>
    </w:p>
    <w:p w14:paraId="46F7B27E">
      <w:pPr>
        <w:spacing w:before="91" w:line="222" w:lineRule="auto"/>
        <w:ind w:left="36"/>
        <w:outlineLvl w:val="1"/>
        <w:rPr>
          <w:rFonts w:hint="eastAsia" w:ascii="仿宋" w:hAnsi="仿宋" w:eastAsia="仿宋" w:cs="仿宋"/>
          <w:color w:val="auto"/>
          <w:sz w:val="24"/>
          <w:szCs w:val="24"/>
          <w:highlight w:val="none"/>
        </w:rPr>
      </w:pPr>
      <w:bookmarkStart w:id="700" w:name="_Toc29623"/>
      <w:bookmarkStart w:id="701" w:name="_Toc3264"/>
      <w:bookmarkStart w:id="702" w:name="_Toc16988"/>
      <w:r>
        <w:rPr>
          <w:rFonts w:hint="eastAsia" w:ascii="仿宋" w:hAnsi="仿宋" w:eastAsia="仿宋" w:cs="仿宋"/>
          <w:b/>
          <w:bCs/>
          <w:color w:val="auto"/>
          <w:spacing w:val="-16"/>
          <w:sz w:val="24"/>
          <w:szCs w:val="24"/>
          <w:highlight w:val="none"/>
        </w:rPr>
        <w:t>四、校准</w:t>
      </w:r>
      <w:bookmarkEnd w:id="700"/>
      <w:bookmarkEnd w:id="701"/>
      <w:bookmarkEnd w:id="702"/>
    </w:p>
    <w:p w14:paraId="2DC8358C">
      <w:pPr>
        <w:spacing w:before="2" w:line="411" w:lineRule="auto"/>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pacing w:val="-4"/>
          <w:sz w:val="24"/>
          <w:szCs w:val="24"/>
          <w:highlight w:val="none"/>
        </w:rPr>
        <w:t>1.质保期内每年仪器校准一次，并提供检测证书。</w:t>
      </w:r>
    </w:p>
    <w:p w14:paraId="25B8996F">
      <w:pPr>
        <w:spacing w:before="91" w:line="222" w:lineRule="auto"/>
        <w:ind w:left="3093"/>
        <w:outlineLvl w:val="0"/>
        <w:rPr>
          <w:rFonts w:hint="eastAsia" w:ascii="仿宋" w:hAnsi="仿宋" w:eastAsia="仿宋" w:cs="仿宋"/>
          <w:b/>
          <w:bCs/>
          <w:color w:val="auto"/>
          <w:spacing w:val="-5"/>
          <w:sz w:val="24"/>
          <w:szCs w:val="24"/>
          <w:highlight w:val="none"/>
          <w:lang w:val="en-US" w:eastAsia="zh-CN"/>
        </w:rPr>
      </w:pPr>
    </w:p>
    <w:p w14:paraId="25BB4B80">
      <w:pPr>
        <w:spacing w:before="91" w:line="222" w:lineRule="auto"/>
        <w:ind w:left="3093"/>
        <w:outlineLvl w:val="0"/>
        <w:rPr>
          <w:rFonts w:hint="eastAsia" w:ascii="仿宋" w:hAnsi="仿宋" w:eastAsia="仿宋" w:cs="仿宋"/>
          <w:b/>
          <w:bCs/>
          <w:color w:val="auto"/>
          <w:spacing w:val="-5"/>
          <w:sz w:val="24"/>
          <w:szCs w:val="24"/>
          <w:highlight w:val="none"/>
          <w:lang w:val="en-US" w:eastAsia="zh-CN"/>
        </w:rPr>
      </w:pPr>
    </w:p>
    <w:p w14:paraId="19ADB36B">
      <w:pPr>
        <w:spacing w:before="91" w:line="222" w:lineRule="auto"/>
        <w:ind w:left="3093"/>
        <w:outlineLvl w:val="0"/>
        <w:rPr>
          <w:rFonts w:hint="eastAsia" w:ascii="仿宋" w:hAnsi="仿宋" w:eastAsia="仿宋" w:cs="仿宋"/>
          <w:color w:val="auto"/>
          <w:sz w:val="24"/>
          <w:szCs w:val="24"/>
          <w:highlight w:val="none"/>
        </w:rPr>
      </w:pPr>
      <w:bookmarkStart w:id="703" w:name="_Toc29996"/>
      <w:bookmarkStart w:id="704" w:name="_Toc22992"/>
      <w:bookmarkStart w:id="705" w:name="_Toc19422"/>
      <w:r>
        <w:rPr>
          <w:rFonts w:hint="eastAsia" w:ascii="仿宋" w:hAnsi="仿宋" w:eastAsia="仿宋" w:cs="仿宋"/>
          <w:b/>
          <w:bCs/>
          <w:color w:val="auto"/>
          <w:spacing w:val="-5"/>
          <w:sz w:val="24"/>
          <w:szCs w:val="24"/>
          <w:highlight w:val="none"/>
          <w:lang w:val="en-US" w:eastAsia="zh-CN"/>
        </w:rPr>
        <w:t>13.</w:t>
      </w:r>
      <w:r>
        <w:rPr>
          <w:rFonts w:hint="eastAsia" w:ascii="仿宋" w:hAnsi="仿宋" w:eastAsia="仿宋" w:cs="仿宋"/>
          <w:b/>
          <w:bCs/>
          <w:color w:val="auto"/>
          <w:spacing w:val="-5"/>
          <w:sz w:val="24"/>
          <w:szCs w:val="24"/>
          <w:highlight w:val="none"/>
        </w:rPr>
        <w:t>血气分析仪产品技术参数</w:t>
      </w:r>
      <w:bookmarkEnd w:id="703"/>
      <w:bookmarkEnd w:id="704"/>
      <w:bookmarkEnd w:id="705"/>
    </w:p>
    <w:p w14:paraId="0A27811D">
      <w:pPr>
        <w:spacing w:before="91" w:line="411" w:lineRule="auto"/>
        <w:ind w:left="14" w:right="101" w:firstLine="7"/>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1、实测参数：pH,pCO2,pO2，cCa2+,cCl</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102"/>
          <w:sz w:val="24"/>
          <w:szCs w:val="24"/>
          <w:highlight w:val="none"/>
        </w:rPr>
        <w:t xml:space="preserve"> </w:t>
      </w:r>
      <w:r>
        <w:rPr>
          <w:rFonts w:hint="eastAsia" w:ascii="仿宋" w:hAnsi="仿宋" w:eastAsia="仿宋" w:cs="仿宋"/>
          <w:color w:val="auto"/>
          <w:spacing w:val="-4"/>
          <w:sz w:val="24"/>
          <w:szCs w:val="24"/>
          <w:highlight w:val="none"/>
        </w:rPr>
        <w:t>,cK+,c</w:t>
      </w:r>
      <w:r>
        <w:rPr>
          <w:rFonts w:hint="eastAsia" w:ascii="仿宋" w:hAnsi="仿宋" w:eastAsia="仿宋" w:cs="仿宋"/>
          <w:color w:val="auto"/>
          <w:spacing w:val="-5"/>
          <w:sz w:val="24"/>
          <w:szCs w:val="24"/>
          <w:highlight w:val="none"/>
        </w:rPr>
        <w:t>Na+，cGlu,cLac，ctHb,sO2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5"/>
          <w:sz w:val="24"/>
          <w:szCs w:val="24"/>
          <w:highlight w:val="none"/>
        </w:rPr>
        <w:t>等</w:t>
      </w:r>
      <w:r>
        <w:rPr>
          <w:rFonts w:hint="eastAsia" w:ascii="仿宋" w:hAnsi="仿宋" w:eastAsia="仿宋" w:cs="仿宋"/>
          <w:color w:val="auto"/>
          <w:spacing w:val="-11"/>
          <w:sz w:val="24"/>
          <w:szCs w:val="24"/>
          <w:highlight w:val="none"/>
        </w:rPr>
        <w:t>参数</w:t>
      </w:r>
    </w:p>
    <w:p w14:paraId="0F20E06C">
      <w:pPr>
        <w:spacing w:before="1" w:line="411" w:lineRule="auto"/>
        <w:ind w:left="13" w:right="101" w:hanging="9"/>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2、计算参数：</w:t>
      </w:r>
      <w:r>
        <w:rPr>
          <w:rFonts w:hint="eastAsia" w:ascii="仿宋" w:hAnsi="仿宋" w:eastAsia="仿宋" w:cs="仿宋"/>
          <w:color w:val="auto"/>
          <w:sz w:val="24"/>
          <w:szCs w:val="24"/>
          <w:highlight w:val="none"/>
        </w:rPr>
        <w:t>cBase</w:t>
      </w:r>
      <w:r>
        <w:rPr>
          <w:rFonts w:hint="eastAsia" w:ascii="仿宋" w:hAnsi="仿宋" w:eastAsia="仿宋" w:cs="仿宋"/>
          <w:color w:val="auto"/>
          <w:spacing w:val="1"/>
          <w:sz w:val="24"/>
          <w:szCs w:val="24"/>
          <w:highlight w:val="none"/>
        </w:rPr>
        <w:t>(B)或</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z w:val="24"/>
          <w:szCs w:val="24"/>
          <w:highlight w:val="none"/>
        </w:rPr>
        <w:t>ABE</w:t>
      </w:r>
      <w:r>
        <w:rPr>
          <w:rFonts w:hint="eastAsia" w:ascii="仿宋" w:hAnsi="仿宋" w:eastAsia="仿宋" w:cs="仿宋"/>
          <w:color w:val="auto"/>
          <w:spacing w:val="1"/>
          <w:sz w:val="24"/>
          <w:szCs w:val="24"/>
          <w:highlight w:val="none"/>
        </w:rPr>
        <w:t>，p50，</w:t>
      </w:r>
      <w:r>
        <w:rPr>
          <w:rFonts w:hint="eastAsia" w:ascii="仿宋" w:hAnsi="仿宋" w:eastAsia="仿宋" w:cs="仿宋"/>
          <w:color w:val="auto"/>
          <w:sz w:val="24"/>
          <w:szCs w:val="24"/>
          <w:highlight w:val="none"/>
        </w:rPr>
        <w:t>ctO</w:t>
      </w:r>
      <w:r>
        <w:rPr>
          <w:rFonts w:hint="eastAsia" w:ascii="仿宋" w:hAnsi="仿宋" w:eastAsia="仿宋" w:cs="仿宋"/>
          <w:color w:val="auto"/>
          <w:spacing w:val="1"/>
          <w:sz w:val="24"/>
          <w:szCs w:val="24"/>
          <w:highlight w:val="none"/>
        </w:rPr>
        <w:t>2(B)</w:t>
      </w:r>
      <w:r>
        <w:rPr>
          <w:rFonts w:hint="eastAsia" w:ascii="仿宋" w:hAnsi="仿宋" w:eastAsia="仿宋" w:cs="仿宋"/>
          <w:color w:val="auto"/>
          <w:sz w:val="24"/>
          <w:szCs w:val="24"/>
          <w:highlight w:val="none"/>
        </w:rPr>
        <w:t>，D  O2，阴离子间隙</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z w:val="24"/>
          <w:szCs w:val="24"/>
          <w:highlight w:val="none"/>
        </w:rPr>
        <w:t>Ag</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z w:val="24"/>
          <w:szCs w:val="24"/>
          <w:highlight w:val="none"/>
        </w:rPr>
        <w:t>等计算</w:t>
      </w:r>
      <w:r>
        <w:rPr>
          <w:rFonts w:hint="eastAsia" w:ascii="仿宋" w:hAnsi="仿宋" w:eastAsia="仿宋" w:cs="仿宋"/>
          <w:color w:val="auto"/>
          <w:spacing w:val="-4"/>
          <w:sz w:val="24"/>
          <w:szCs w:val="24"/>
          <w:highlight w:val="none"/>
        </w:rPr>
        <w:t>参数≥48</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项</w:t>
      </w:r>
    </w:p>
    <w:p w14:paraId="4C21F97B">
      <w:pPr>
        <w:spacing w:line="216"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3、方法学：电位测定法、电流测定法、pO</w:t>
      </w:r>
      <w:r>
        <w:rPr>
          <w:rFonts w:hint="eastAsia" w:ascii="仿宋" w:hAnsi="仿宋" w:eastAsia="仿宋" w:cs="仿宋"/>
          <w:color w:val="auto"/>
          <w:spacing w:val="-2"/>
          <w:sz w:val="24"/>
          <w:szCs w:val="24"/>
          <w:highlight w:val="none"/>
        </w:rPr>
        <w:t>2</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光学测量和分光光度法</w:t>
      </w:r>
    </w:p>
    <w:p w14:paraId="4FC6140F">
      <w:pPr>
        <w:spacing w:before="295" w:line="2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4、进样方式：设备可直接连接样本进样，无需其他插件</w:t>
      </w:r>
      <w:r>
        <w:rPr>
          <w:rFonts w:hint="eastAsia" w:ascii="仿宋" w:hAnsi="仿宋" w:eastAsia="仿宋" w:cs="仿宋"/>
          <w:color w:val="auto"/>
          <w:spacing w:val="-1"/>
          <w:sz w:val="24"/>
          <w:szCs w:val="24"/>
          <w:highlight w:val="none"/>
        </w:rPr>
        <w:t>/连接件/适配器</w:t>
      </w:r>
    </w:p>
    <w:p w14:paraId="0511399D">
      <w:pPr>
        <w:pStyle w:val="11"/>
        <w:spacing w:before="290" w:line="213"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5、样本体积（全参数）：≥65μl</w:t>
      </w:r>
    </w:p>
    <w:p w14:paraId="52783700">
      <w:pPr>
        <w:spacing w:before="302" w:line="220"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6、测试速度（全参数</w:t>
      </w:r>
      <w:r>
        <w:rPr>
          <w:rFonts w:hint="eastAsia" w:ascii="仿宋" w:hAnsi="仿宋" w:eastAsia="仿宋" w:cs="仿宋"/>
          <w:color w:val="auto"/>
          <w:spacing w:val="23"/>
          <w:sz w:val="24"/>
          <w:szCs w:val="24"/>
          <w:highlight w:val="none"/>
        </w:rPr>
        <w:t>）：</w:t>
      </w:r>
      <w:r>
        <w:rPr>
          <w:rFonts w:hint="eastAsia" w:ascii="仿宋" w:hAnsi="仿宋" w:eastAsia="仿宋" w:cs="仿宋"/>
          <w:color w:val="auto"/>
          <w:spacing w:val="-4"/>
          <w:sz w:val="24"/>
          <w:szCs w:val="24"/>
          <w:highlight w:val="none"/>
        </w:rPr>
        <w:t>≤35</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4"/>
          <w:sz w:val="24"/>
          <w:szCs w:val="24"/>
          <w:highlight w:val="none"/>
        </w:rPr>
        <w:t>秒，每小时≥44</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4"/>
          <w:sz w:val="24"/>
          <w:szCs w:val="24"/>
          <w:highlight w:val="none"/>
        </w:rPr>
        <w:t>个样本</w:t>
      </w:r>
    </w:p>
    <w:p w14:paraId="616E81E6">
      <w:pPr>
        <w:spacing w:before="289" w:line="221"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7、规格/测试数：根据科室需要自由选择，多种测试规格</w:t>
      </w:r>
    </w:p>
    <w:p w14:paraId="51CBA26D">
      <w:pPr>
        <w:spacing w:before="290" w:line="223"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8、试剂包上机效期≥30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天</w:t>
      </w:r>
    </w:p>
    <w:p w14:paraId="239EC906">
      <w:pPr>
        <w:spacing w:before="285" w:line="223" w:lineRule="auto"/>
        <w:jc w:val="both"/>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9、质控要求：内置自动质控系统和每天至少做3</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1"/>
          <w:sz w:val="24"/>
          <w:szCs w:val="24"/>
          <w:highlight w:val="none"/>
        </w:rPr>
        <w:t>个水平</w:t>
      </w:r>
      <w:r>
        <w:rPr>
          <w:rFonts w:hint="eastAsia" w:ascii="仿宋" w:hAnsi="仿宋" w:eastAsia="仿宋" w:cs="仿宋"/>
          <w:color w:val="auto"/>
          <w:spacing w:val="-12"/>
          <w:sz w:val="24"/>
          <w:szCs w:val="24"/>
          <w:highlight w:val="none"/>
        </w:rPr>
        <w:t>质控（质控品有注册证）。</w:t>
      </w:r>
    </w:p>
    <w:p w14:paraId="3211A32D">
      <w:pPr>
        <w:spacing w:before="288" w:line="411" w:lineRule="auto"/>
        <w:ind w:left="10" w:right="101" w:firstLine="1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10、自动质量管理，可通过自动定标、自动质控以及系统内部检测实时监控整个检测体系和随即发生的错误；全自动、持续、所有相关和必须的检查，保证检测</w:t>
      </w:r>
      <w:r>
        <w:rPr>
          <w:rFonts w:hint="eastAsia" w:ascii="仿宋" w:hAnsi="仿宋" w:eastAsia="仿宋" w:cs="仿宋"/>
          <w:color w:val="auto"/>
          <w:spacing w:val="-2"/>
          <w:sz w:val="24"/>
          <w:szCs w:val="24"/>
          <w:highlight w:val="none"/>
        </w:rPr>
        <w:t>体系处于正常状态，结果精准可靠。</w:t>
      </w:r>
    </w:p>
    <w:p w14:paraId="0F20DAF2">
      <w:pPr>
        <w:spacing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11、数据存储：患者检测结果：≥2000；活动</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6"/>
          <w:sz w:val="24"/>
          <w:szCs w:val="24"/>
          <w:highlight w:val="none"/>
        </w:rPr>
        <w:t>日志：≥5000；定标日志：≥1000</w:t>
      </w:r>
    </w:p>
    <w:p w14:paraId="05EE3D84">
      <w:pPr>
        <w:spacing w:before="290" w:line="222"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12、网络连接能力：有单向、双向连接外</w:t>
      </w:r>
      <w:r>
        <w:rPr>
          <w:rFonts w:hint="eastAsia" w:ascii="仿宋" w:hAnsi="仿宋" w:eastAsia="仿宋" w:cs="仿宋"/>
          <w:color w:val="auto"/>
          <w:sz w:val="24"/>
          <w:szCs w:val="24"/>
          <w:highlight w:val="none"/>
        </w:rPr>
        <w:t>部Lis</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z w:val="24"/>
          <w:szCs w:val="24"/>
          <w:highlight w:val="none"/>
        </w:rPr>
        <w:t>软件或网络的能力。</w:t>
      </w:r>
    </w:p>
    <w:p w14:paraId="5CE4523F">
      <w:pPr>
        <w:pStyle w:val="11"/>
        <w:spacing w:line="27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13、</w:t>
      </w:r>
      <w:r>
        <w:rPr>
          <w:rFonts w:hint="eastAsia" w:ascii="仿宋" w:hAnsi="仿宋" w:eastAsia="仿宋" w:cs="仿宋"/>
          <w:color w:val="auto"/>
          <w:spacing w:val="-69"/>
          <w:sz w:val="24"/>
          <w:szCs w:val="24"/>
          <w:highlight w:val="none"/>
        </w:rPr>
        <w:t xml:space="preserve"> </w:t>
      </w:r>
      <w:r>
        <w:rPr>
          <w:rFonts w:hint="eastAsia" w:ascii="仿宋" w:hAnsi="仿宋" w:eastAsia="仿宋" w:cs="仿宋"/>
          <w:color w:val="auto"/>
          <w:spacing w:val="-3"/>
          <w:sz w:val="24"/>
          <w:szCs w:val="24"/>
          <w:highlight w:val="none"/>
        </w:rPr>
        <w:t>自动提供酸碱平衡图，根据血气检测结果对病患做出简</w:t>
      </w:r>
      <w:r>
        <w:rPr>
          <w:rFonts w:hint="eastAsia" w:ascii="仿宋" w:hAnsi="仿宋" w:eastAsia="仿宋" w:cs="仿宋"/>
          <w:color w:val="auto"/>
          <w:spacing w:val="-4"/>
          <w:sz w:val="24"/>
          <w:szCs w:val="24"/>
          <w:highlight w:val="none"/>
        </w:rPr>
        <w:t>单直接判断。</w:t>
      </w:r>
    </w:p>
    <w:p w14:paraId="53ACCD53">
      <w:pP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br w:type="page"/>
      </w:r>
    </w:p>
    <w:p w14:paraId="0C351E3F">
      <w:pPr>
        <w:spacing w:before="91" w:line="222" w:lineRule="auto"/>
        <w:ind w:left="2249"/>
        <w:outlineLvl w:val="0"/>
        <w:rPr>
          <w:rFonts w:hint="eastAsia" w:ascii="仿宋" w:hAnsi="仿宋" w:eastAsia="仿宋" w:cs="仿宋"/>
          <w:color w:val="auto"/>
          <w:sz w:val="24"/>
          <w:szCs w:val="24"/>
          <w:highlight w:val="none"/>
        </w:rPr>
      </w:pPr>
      <w:bookmarkStart w:id="706" w:name="_Toc27409"/>
      <w:bookmarkStart w:id="707" w:name="_Toc27334"/>
      <w:bookmarkStart w:id="708" w:name="_Toc25416"/>
      <w:r>
        <w:rPr>
          <w:rFonts w:hint="eastAsia" w:ascii="仿宋" w:hAnsi="仿宋" w:eastAsia="仿宋" w:cs="仿宋"/>
          <w:b/>
          <w:bCs/>
          <w:color w:val="auto"/>
          <w:spacing w:val="-10"/>
          <w:sz w:val="24"/>
          <w:szCs w:val="24"/>
          <w:highlight w:val="none"/>
          <w:lang w:val="en-US" w:eastAsia="zh-CN"/>
        </w:rPr>
        <w:t>14.</w:t>
      </w:r>
      <w:r>
        <w:rPr>
          <w:rFonts w:hint="eastAsia" w:ascii="仿宋" w:hAnsi="仿宋" w:eastAsia="仿宋" w:cs="仿宋"/>
          <w:b/>
          <w:bCs/>
          <w:color w:val="auto"/>
          <w:spacing w:val="-10"/>
          <w:sz w:val="24"/>
          <w:szCs w:val="24"/>
          <w:highlight w:val="none"/>
        </w:rPr>
        <w:t>微生物滤膜过滤器（</w:t>
      </w:r>
      <w:r>
        <w:rPr>
          <w:rFonts w:hint="eastAsia" w:ascii="仿宋" w:hAnsi="仿宋" w:eastAsia="仿宋" w:cs="仿宋"/>
          <w:color w:val="auto"/>
          <w:spacing w:val="-10"/>
          <w:sz w:val="24"/>
          <w:szCs w:val="24"/>
          <w:highlight w:val="none"/>
        </w:rPr>
        <w:t xml:space="preserve"> </w:t>
      </w:r>
      <w:r>
        <w:rPr>
          <w:rFonts w:hint="eastAsia" w:ascii="仿宋" w:hAnsi="仿宋" w:eastAsia="仿宋" w:cs="仿宋"/>
          <w:b/>
          <w:bCs/>
          <w:color w:val="auto"/>
          <w:spacing w:val="-10"/>
          <w:sz w:val="24"/>
          <w:szCs w:val="24"/>
          <w:highlight w:val="none"/>
        </w:rPr>
        <w:t>自动抽滤机）参数</w:t>
      </w:r>
      <w:bookmarkEnd w:id="706"/>
      <w:bookmarkEnd w:id="707"/>
      <w:bookmarkEnd w:id="708"/>
    </w:p>
    <w:p w14:paraId="31A20425">
      <w:pPr>
        <w:spacing w:before="91" w:line="411" w:lineRule="auto"/>
        <w:ind w:left="10" w:firstLine="1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1.抽滤环境：使用配套带有污染防护盖（含有空气过滤膜）的抽滤杯时，可在一</w:t>
      </w:r>
      <w:r>
        <w:rPr>
          <w:rFonts w:hint="eastAsia" w:ascii="仿宋" w:hAnsi="仿宋" w:eastAsia="仿宋" w:cs="仿宋"/>
          <w:color w:val="auto"/>
          <w:spacing w:val="-3"/>
          <w:sz w:val="24"/>
          <w:szCs w:val="24"/>
          <w:highlight w:val="none"/>
        </w:rPr>
        <w:t>般环境下抽滤；</w:t>
      </w:r>
    </w:p>
    <w:p w14:paraId="66DA4A60">
      <w:pPr>
        <w:spacing w:line="222"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2.抽滤抽滤流量：</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2"/>
          <w:sz w:val="24"/>
          <w:szCs w:val="24"/>
          <w:highlight w:val="none"/>
        </w:rPr>
        <w:t>≥1000mL/min（无滤膜阻挡的情况下</w:t>
      </w:r>
      <w:r>
        <w:rPr>
          <w:rFonts w:hint="eastAsia" w:ascii="仿宋" w:hAnsi="仿宋" w:eastAsia="仿宋" w:cs="仿宋"/>
          <w:color w:val="auto"/>
          <w:spacing w:val="3"/>
          <w:sz w:val="24"/>
          <w:szCs w:val="24"/>
          <w:highlight w:val="none"/>
        </w:rPr>
        <w:t>）；</w:t>
      </w:r>
    </w:p>
    <w:p w14:paraId="1024980D">
      <w:pPr>
        <w:spacing w:before="287" w:line="222"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3.抽滤速度：100mL 自来水≤35</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5"/>
          <w:sz w:val="24"/>
          <w:szCs w:val="24"/>
          <w:highlight w:val="none"/>
        </w:rPr>
        <w:t>秒</w:t>
      </w:r>
      <w:r>
        <w:rPr>
          <w:rFonts w:hint="eastAsia" w:ascii="仿宋" w:hAnsi="仿宋" w:eastAsia="仿宋" w:cs="仿宋"/>
          <w:strike/>
          <w:color w:val="auto"/>
          <w:spacing w:val="-5"/>
          <w:sz w:val="24"/>
          <w:szCs w:val="24"/>
          <w:highlight w:val="none"/>
        </w:rPr>
        <w:t>内</w:t>
      </w:r>
      <w:r>
        <w:rPr>
          <w:rFonts w:hint="eastAsia" w:ascii="仿宋" w:hAnsi="仿宋" w:eastAsia="仿宋" w:cs="仿宋"/>
          <w:color w:val="auto"/>
          <w:spacing w:val="-5"/>
          <w:sz w:val="24"/>
          <w:szCs w:val="24"/>
          <w:highlight w:val="none"/>
        </w:rPr>
        <w:t>完成；</w:t>
      </w:r>
    </w:p>
    <w:p w14:paraId="63B40E64">
      <w:pPr>
        <w:spacing w:before="286" w:line="223"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4.抽滤噪声：≤60dB；</w:t>
      </w:r>
    </w:p>
    <w:p w14:paraId="7C381E15">
      <w:pPr>
        <w:spacing w:before="285" w:line="217"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5.真空泵：真空负压≤80Kpa，功率：≤6W×2；</w:t>
      </w:r>
    </w:p>
    <w:p w14:paraId="2198B1B3">
      <w:pPr>
        <w:spacing w:before="296" w:line="223" w:lineRule="auto"/>
        <w:ind w:left="3"/>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6.输出软管：外径≥10mm，内径≥6mm；</w:t>
      </w:r>
    </w:p>
    <w:p w14:paraId="721EF805">
      <w:pPr>
        <w:pStyle w:val="11"/>
        <w:spacing w:line="27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7.杯座卡槽：</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≥2</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5"/>
          <w:sz w:val="24"/>
          <w:szCs w:val="24"/>
          <w:highlight w:val="none"/>
        </w:rPr>
        <w:t>个，杯座卡槽直径：</w:t>
      </w:r>
      <w:r>
        <w:rPr>
          <w:rFonts w:hint="eastAsia" w:ascii="仿宋" w:hAnsi="仿宋" w:eastAsia="仿宋" w:cs="仿宋"/>
          <w:color w:val="auto"/>
          <w:spacing w:val="-101"/>
          <w:sz w:val="24"/>
          <w:szCs w:val="24"/>
          <w:highlight w:val="none"/>
        </w:rPr>
        <w:t xml:space="preserve"> </w:t>
      </w:r>
      <w:r>
        <w:rPr>
          <w:rFonts w:hint="eastAsia" w:ascii="仿宋" w:hAnsi="仿宋" w:eastAsia="仿宋" w:cs="仿宋"/>
          <w:color w:val="auto"/>
          <w:spacing w:val="-5"/>
          <w:sz w:val="24"/>
          <w:szCs w:val="24"/>
          <w:highlight w:val="none"/>
        </w:rPr>
        <w:t>≥68mm×2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6"/>
          <w:sz w:val="24"/>
          <w:szCs w:val="24"/>
          <w:highlight w:val="none"/>
        </w:rPr>
        <w:t>卡槽。</w:t>
      </w:r>
    </w:p>
    <w:p w14:paraId="09643DE8">
      <w:pPr>
        <w:pStyle w:val="11"/>
        <w:spacing w:line="276" w:lineRule="auto"/>
        <w:rPr>
          <w:rFonts w:hint="eastAsia" w:ascii="仿宋" w:hAnsi="仿宋" w:eastAsia="仿宋" w:cs="仿宋"/>
          <w:color w:val="auto"/>
          <w:sz w:val="24"/>
          <w:szCs w:val="24"/>
          <w:highlight w:val="none"/>
        </w:rPr>
      </w:pPr>
    </w:p>
    <w:p w14:paraId="06F518A8">
      <w:pPr>
        <w:spacing w:before="91" w:line="222" w:lineRule="auto"/>
        <w:ind w:left="3093"/>
        <w:outlineLvl w:val="0"/>
        <w:rPr>
          <w:rFonts w:hint="eastAsia" w:ascii="仿宋" w:hAnsi="仿宋" w:eastAsia="仿宋" w:cs="仿宋"/>
          <w:b/>
          <w:bCs/>
          <w:color w:val="auto"/>
          <w:spacing w:val="-5"/>
          <w:sz w:val="24"/>
          <w:szCs w:val="24"/>
          <w:highlight w:val="none"/>
          <w:lang w:val="en-US" w:eastAsia="zh-CN"/>
        </w:rPr>
      </w:pPr>
    </w:p>
    <w:p w14:paraId="20B3FD3E">
      <w:pPr>
        <w:spacing w:before="91" w:line="222" w:lineRule="auto"/>
        <w:ind w:left="3093"/>
        <w:outlineLvl w:val="0"/>
        <w:rPr>
          <w:rFonts w:hint="eastAsia" w:ascii="仿宋" w:hAnsi="仿宋" w:eastAsia="仿宋" w:cs="仿宋"/>
          <w:b/>
          <w:bCs/>
          <w:color w:val="auto"/>
          <w:spacing w:val="-5"/>
          <w:sz w:val="24"/>
          <w:szCs w:val="24"/>
          <w:highlight w:val="none"/>
          <w:lang w:val="en-US" w:eastAsia="zh-CN"/>
        </w:rPr>
      </w:pPr>
      <w:bookmarkStart w:id="709" w:name="_Toc1874"/>
      <w:bookmarkStart w:id="710" w:name="_Toc28835"/>
      <w:bookmarkStart w:id="711" w:name="_Toc6038"/>
      <w:r>
        <w:rPr>
          <w:rFonts w:hint="eastAsia" w:ascii="仿宋" w:hAnsi="仿宋" w:eastAsia="仿宋" w:cs="仿宋"/>
          <w:b/>
          <w:bCs/>
          <w:color w:val="auto"/>
          <w:spacing w:val="-5"/>
          <w:sz w:val="24"/>
          <w:szCs w:val="24"/>
          <w:highlight w:val="none"/>
          <w:lang w:val="en-US" w:eastAsia="zh-CN"/>
        </w:rPr>
        <w:t>15.全自动生化分析仪参数</w:t>
      </w:r>
      <w:bookmarkEnd w:id="709"/>
      <w:bookmarkEnd w:id="710"/>
      <w:bookmarkEnd w:id="711"/>
    </w:p>
    <w:p w14:paraId="19D11374">
      <w:pPr>
        <w:spacing w:before="91" w:line="220" w:lineRule="auto"/>
        <w:ind w:left="14"/>
        <w:outlineLvl w:val="1"/>
        <w:rPr>
          <w:rFonts w:hint="eastAsia" w:ascii="仿宋" w:hAnsi="仿宋" w:eastAsia="仿宋" w:cs="仿宋"/>
          <w:color w:val="auto"/>
          <w:sz w:val="24"/>
          <w:szCs w:val="24"/>
          <w:highlight w:val="none"/>
        </w:rPr>
      </w:pPr>
      <w:bookmarkStart w:id="712" w:name="_Toc24701"/>
      <w:bookmarkStart w:id="713" w:name="_Toc27965"/>
      <w:bookmarkStart w:id="714" w:name="_Toc32240"/>
      <w:r>
        <w:rPr>
          <w:rFonts w:hint="eastAsia" w:ascii="仿宋" w:hAnsi="仿宋" w:eastAsia="仿宋" w:cs="仿宋"/>
          <w:b/>
          <w:bCs/>
          <w:color w:val="auto"/>
          <w:spacing w:val="-4"/>
          <w:sz w:val="24"/>
          <w:szCs w:val="24"/>
          <w:highlight w:val="none"/>
        </w:rPr>
        <w:t>一、样本处理模块基本参数</w:t>
      </w:r>
      <w:bookmarkEnd w:id="712"/>
      <w:bookmarkEnd w:id="713"/>
      <w:bookmarkEnd w:id="714"/>
    </w:p>
    <w:p w14:paraId="36F266E7">
      <w:pPr>
        <w:spacing w:before="91" w:line="220"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1.样本架进样模式≥3</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2"/>
          <w:sz w:val="24"/>
          <w:szCs w:val="24"/>
          <w:highlight w:val="none"/>
        </w:rPr>
        <w:t>种：顺序、样本架号、条码模式；</w:t>
      </w:r>
    </w:p>
    <w:p w14:paraId="51FD8627">
      <w:pPr>
        <w:spacing w:before="290" w:line="220" w:lineRule="auto"/>
        <w:ind w:left="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2.样本容量：同时装载≥30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2"/>
          <w:sz w:val="24"/>
          <w:szCs w:val="24"/>
          <w:highlight w:val="none"/>
        </w:rPr>
        <w:t>个样本架，即≥300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2"/>
          <w:sz w:val="24"/>
          <w:szCs w:val="24"/>
          <w:highlight w:val="none"/>
        </w:rPr>
        <w:t>个样本；</w:t>
      </w:r>
    </w:p>
    <w:p w14:paraId="16138C8E">
      <w:pPr>
        <w:spacing w:before="290" w:line="220"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3.样本缓冲：样本缓冲能力和样本输出≥290</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2"/>
          <w:sz w:val="24"/>
          <w:szCs w:val="24"/>
          <w:highlight w:val="none"/>
        </w:rPr>
        <w:t>个样本；</w:t>
      </w:r>
    </w:p>
    <w:p w14:paraId="418E53DC">
      <w:pPr>
        <w:spacing w:before="290"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4.处理速度：最大上载与下载速度≥100</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2"/>
          <w:sz w:val="24"/>
          <w:szCs w:val="24"/>
          <w:highlight w:val="none"/>
        </w:rPr>
        <w:t>架/小时 (≥1000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2"/>
          <w:sz w:val="24"/>
          <w:szCs w:val="24"/>
          <w:highlight w:val="none"/>
        </w:rPr>
        <w:t>样本/小时</w:t>
      </w:r>
      <w:r>
        <w:rPr>
          <w:rFonts w:hint="eastAsia" w:ascii="仿宋" w:hAnsi="仿宋" w:eastAsia="仿宋" w:cs="仿宋"/>
          <w:color w:val="auto"/>
          <w:spacing w:val="6"/>
          <w:sz w:val="24"/>
          <w:szCs w:val="24"/>
          <w:highlight w:val="none"/>
        </w:rPr>
        <w:t>）；</w:t>
      </w:r>
    </w:p>
    <w:p w14:paraId="613A4E6E">
      <w:pPr>
        <w:spacing w:before="291" w:line="411" w:lineRule="auto"/>
        <w:ind w:left="11" w:hanging="5"/>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5.急诊样本处理：按键控制插入急诊样本，快捷急</w:t>
      </w:r>
      <w:r>
        <w:rPr>
          <w:rFonts w:hint="eastAsia" w:ascii="仿宋" w:hAnsi="仿宋" w:eastAsia="仿宋" w:cs="仿宋"/>
          <w:color w:val="auto"/>
          <w:spacing w:val="-5"/>
          <w:sz w:val="24"/>
          <w:szCs w:val="24"/>
          <w:highlight w:val="none"/>
        </w:rPr>
        <w:t>诊轨道：按键控制急中急样本</w:t>
      </w:r>
      <w:r>
        <w:rPr>
          <w:rFonts w:hint="eastAsia" w:ascii="仿宋" w:hAnsi="仿宋" w:eastAsia="仿宋" w:cs="仿宋"/>
          <w:color w:val="auto"/>
          <w:spacing w:val="-7"/>
          <w:sz w:val="24"/>
          <w:szCs w:val="24"/>
          <w:highlight w:val="none"/>
        </w:rPr>
        <w:t>输入；</w:t>
      </w:r>
    </w:p>
    <w:p w14:paraId="16E9363A">
      <w:pPr>
        <w:spacing w:before="3" w:line="410" w:lineRule="auto"/>
        <w:ind w:left="8" w:hanging="5"/>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6.急诊样本启动检测能力：在待机、校准质控、维护保养等</w:t>
      </w:r>
      <w:r>
        <w:rPr>
          <w:rFonts w:hint="eastAsia" w:ascii="仿宋" w:hAnsi="仿宋" w:eastAsia="仿宋" w:cs="仿宋"/>
          <w:color w:val="auto"/>
          <w:spacing w:val="-5"/>
          <w:sz w:val="24"/>
          <w:szCs w:val="24"/>
          <w:highlight w:val="none"/>
        </w:rPr>
        <w:t>任意状态下，均可实</w:t>
      </w:r>
      <w:r>
        <w:rPr>
          <w:rFonts w:hint="eastAsia" w:ascii="仿宋" w:hAnsi="仿宋" w:eastAsia="仿宋" w:cs="仿宋"/>
          <w:color w:val="auto"/>
          <w:spacing w:val="-4"/>
          <w:sz w:val="24"/>
          <w:szCs w:val="24"/>
          <w:highlight w:val="none"/>
        </w:rPr>
        <w:t>现</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4"/>
          <w:sz w:val="24"/>
          <w:szCs w:val="24"/>
          <w:highlight w:val="none"/>
        </w:rPr>
        <w:t>1</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4"/>
          <w:sz w:val="24"/>
          <w:szCs w:val="24"/>
          <w:highlight w:val="none"/>
        </w:rPr>
        <w:t>分钟针对急诊样本第一试剂加注；</w:t>
      </w:r>
    </w:p>
    <w:p w14:paraId="77950004">
      <w:pPr>
        <w:spacing w:before="2" w:line="220"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7.条码扫描：支持</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3"/>
          <w:sz w:val="24"/>
          <w:szCs w:val="24"/>
          <w:highlight w:val="none"/>
        </w:rPr>
        <w:t>CCD 自动对样本进行条码扫描，并识别样本管类型。</w:t>
      </w:r>
    </w:p>
    <w:p w14:paraId="0B8F6590">
      <w:pPr>
        <w:spacing w:before="91" w:line="223" w:lineRule="auto"/>
        <w:ind w:left="18"/>
        <w:outlineLvl w:val="1"/>
        <w:rPr>
          <w:rFonts w:hint="eastAsia" w:ascii="仿宋" w:hAnsi="仿宋" w:eastAsia="仿宋" w:cs="仿宋"/>
          <w:color w:val="auto"/>
          <w:sz w:val="24"/>
          <w:szCs w:val="24"/>
          <w:highlight w:val="none"/>
        </w:rPr>
      </w:pPr>
      <w:bookmarkStart w:id="715" w:name="_Toc10339"/>
      <w:bookmarkStart w:id="716" w:name="_Toc3207"/>
      <w:bookmarkStart w:id="717" w:name="_Toc27403"/>
      <w:r>
        <w:rPr>
          <w:rFonts w:hint="eastAsia" w:ascii="仿宋" w:hAnsi="仿宋" w:eastAsia="仿宋" w:cs="仿宋"/>
          <w:b/>
          <w:bCs/>
          <w:color w:val="auto"/>
          <w:spacing w:val="-5"/>
          <w:sz w:val="24"/>
          <w:szCs w:val="24"/>
          <w:highlight w:val="none"/>
        </w:rPr>
        <w:t>二、生化模块基本参数</w:t>
      </w:r>
      <w:bookmarkEnd w:id="715"/>
      <w:bookmarkEnd w:id="716"/>
      <w:bookmarkEnd w:id="717"/>
    </w:p>
    <w:p w14:paraId="5030F084">
      <w:pPr>
        <w:spacing w:before="91" w:line="411" w:lineRule="auto"/>
        <w:ind w:left="9" w:right="1" w:firstLine="1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1.处理能力：生化测试，单、双试剂项目恒速≥2000</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
          <w:sz w:val="24"/>
          <w:szCs w:val="24"/>
          <w:highlight w:val="none"/>
        </w:rPr>
        <w:t>测试/小时；ISE</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5"/>
          <w:sz w:val="24"/>
          <w:szCs w:val="24"/>
          <w:highlight w:val="none"/>
        </w:rPr>
        <w:t>测试</w:t>
      </w:r>
      <w:r>
        <w:rPr>
          <w:rFonts w:hint="eastAsia" w:ascii="仿宋" w:hAnsi="仿宋" w:eastAsia="仿宋" w:cs="仿宋"/>
          <w:color w:val="auto"/>
          <w:spacing w:val="-6"/>
          <w:sz w:val="24"/>
          <w:szCs w:val="24"/>
          <w:highlight w:val="none"/>
        </w:rPr>
        <w:t>≥600</w:t>
      </w:r>
      <w:r>
        <w:rPr>
          <w:rFonts w:hint="eastAsia" w:ascii="仿宋" w:hAnsi="仿宋" w:eastAsia="仿宋" w:cs="仿宋"/>
          <w:color w:val="auto"/>
          <w:spacing w:val="-2"/>
          <w:sz w:val="24"/>
          <w:szCs w:val="24"/>
          <w:highlight w:val="none"/>
        </w:rPr>
        <w:t>测试/小时；单模块生化+ISE</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2"/>
          <w:sz w:val="24"/>
          <w:szCs w:val="24"/>
          <w:highlight w:val="none"/>
        </w:rPr>
        <w:t>综合测试≥2400</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2"/>
          <w:sz w:val="24"/>
          <w:szCs w:val="24"/>
          <w:highlight w:val="none"/>
        </w:rPr>
        <w:t>测试/小时；</w:t>
      </w:r>
    </w:p>
    <w:p w14:paraId="4B71A6B4">
      <w:pPr>
        <w:spacing w:before="2" w:line="411" w:lineRule="auto"/>
        <w:ind w:left="8" w:hanging="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2.生化分析方法：终点法，速率法，固定时间法；支持单/双、三</w:t>
      </w:r>
      <w:r>
        <w:rPr>
          <w:rFonts w:hint="eastAsia" w:ascii="仿宋" w:hAnsi="仿宋" w:eastAsia="仿宋" w:cs="仿宋"/>
          <w:color w:val="auto"/>
          <w:spacing w:val="-5"/>
          <w:sz w:val="24"/>
          <w:szCs w:val="24"/>
          <w:highlight w:val="none"/>
        </w:rPr>
        <w:t>/四试剂测试和双波长；</w:t>
      </w:r>
    </w:p>
    <w:p w14:paraId="22CDBB2C">
      <w:pPr>
        <w:spacing w:before="1" w:line="220" w:lineRule="auto"/>
        <w:ind w:left="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3.检测原理：包括比色法、比浊法、间接离子选择电极法；</w:t>
      </w:r>
    </w:p>
    <w:p w14:paraId="605387C4">
      <w:pPr>
        <w:spacing w:before="289" w:line="415" w:lineRule="auto"/>
        <w:ind w:left="4" w:hanging="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4.试剂系统：</w:t>
      </w:r>
      <w:r>
        <w:rPr>
          <w:rFonts w:hint="eastAsia" w:ascii="仿宋" w:hAnsi="仿宋" w:eastAsia="仿宋" w:cs="仿宋"/>
          <w:color w:val="auto"/>
          <w:spacing w:val="-89"/>
          <w:sz w:val="24"/>
          <w:szCs w:val="24"/>
          <w:highlight w:val="none"/>
        </w:rPr>
        <w:t xml:space="preserve"> </w:t>
      </w:r>
      <w:r>
        <w:rPr>
          <w:rFonts w:hint="eastAsia" w:ascii="仿宋" w:hAnsi="仿宋" w:eastAsia="仿宋" w:cs="仿宋"/>
          <w:color w:val="auto"/>
          <w:spacing w:val="1"/>
          <w:sz w:val="24"/>
          <w:szCs w:val="24"/>
          <w:highlight w:val="none"/>
        </w:rPr>
        <w:t>≥144</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个试剂位；具备24</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1"/>
          <w:sz w:val="24"/>
          <w:szCs w:val="24"/>
          <w:highlight w:val="none"/>
        </w:rPr>
        <w:t>小时不间断冷藏功能，试剂仓冷藏温度</w:t>
      </w:r>
      <w:r>
        <w:rPr>
          <w:rFonts w:hint="eastAsia" w:ascii="仿宋" w:hAnsi="仿宋" w:eastAsia="仿宋" w:cs="仿宋"/>
          <w:color w:val="auto"/>
          <w:spacing w:val="21"/>
          <w:sz w:val="24"/>
          <w:szCs w:val="24"/>
          <w:highlight w:val="none"/>
        </w:rPr>
        <w:t>2℃~8℃;</w:t>
      </w:r>
    </w:p>
    <w:p w14:paraId="092F9AF5">
      <w:pPr>
        <w:spacing w:before="91" w:line="411" w:lineRule="auto"/>
        <w:ind w:left="9" w:hanging="5"/>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5.最小试剂量：</w:t>
      </w:r>
      <w:r>
        <w:rPr>
          <w:rFonts w:hint="eastAsia" w:ascii="仿宋" w:hAnsi="仿宋" w:eastAsia="仿宋" w:cs="仿宋"/>
          <w:color w:val="auto"/>
          <w:spacing w:val="-106"/>
          <w:sz w:val="24"/>
          <w:szCs w:val="24"/>
          <w:highlight w:val="none"/>
        </w:rPr>
        <w:t xml:space="preserve"> </w:t>
      </w:r>
      <w:r>
        <w:rPr>
          <w:rFonts w:hint="eastAsia" w:ascii="仿宋" w:hAnsi="仿宋" w:eastAsia="仿宋" w:cs="仿宋"/>
          <w:color w:val="auto"/>
          <w:spacing w:val="-5"/>
          <w:sz w:val="24"/>
          <w:szCs w:val="24"/>
          <w:highlight w:val="none"/>
        </w:rPr>
        <w:t>≤10</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5"/>
          <w:sz w:val="24"/>
          <w:szCs w:val="24"/>
          <w:highlight w:val="none"/>
        </w:rPr>
        <w:t>μL，0.5</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5"/>
          <w:sz w:val="24"/>
          <w:szCs w:val="24"/>
          <w:highlight w:val="none"/>
        </w:rPr>
        <w:t>μL</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5"/>
          <w:sz w:val="24"/>
          <w:szCs w:val="24"/>
          <w:highlight w:val="none"/>
        </w:rPr>
        <w:t>递增，支持</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5"/>
          <w:sz w:val="24"/>
          <w:szCs w:val="24"/>
          <w:highlight w:val="none"/>
        </w:rPr>
        <w:t>30</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6"/>
          <w:sz w:val="24"/>
          <w:szCs w:val="24"/>
          <w:highlight w:val="none"/>
        </w:rPr>
        <w:t>分钟内补充试剂后样本自动再</w:t>
      </w:r>
      <w:r>
        <w:rPr>
          <w:rFonts w:hint="eastAsia" w:ascii="仿宋" w:hAnsi="仿宋" w:eastAsia="仿宋" w:cs="仿宋"/>
          <w:color w:val="auto"/>
          <w:spacing w:val="-4"/>
          <w:sz w:val="24"/>
          <w:szCs w:val="24"/>
          <w:highlight w:val="none"/>
        </w:rPr>
        <w:t>检测功能；</w:t>
      </w:r>
    </w:p>
    <w:p w14:paraId="20FB7896">
      <w:pPr>
        <w:spacing w:line="222" w:lineRule="auto"/>
        <w:ind w:left="1"/>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6.具有独立的试剂</w:t>
      </w:r>
      <w:r>
        <w:rPr>
          <w:rFonts w:hint="eastAsia" w:ascii="仿宋" w:hAnsi="仿宋" w:eastAsia="仿宋" w:cs="仿宋"/>
          <w:color w:val="auto"/>
          <w:sz w:val="24"/>
          <w:szCs w:val="24"/>
          <w:highlight w:val="none"/>
        </w:rPr>
        <w:t>PAD</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1"/>
          <w:sz w:val="24"/>
          <w:szCs w:val="24"/>
          <w:highlight w:val="none"/>
        </w:rPr>
        <w:t>可分屏显示及控制试剂盘；</w:t>
      </w:r>
    </w:p>
    <w:p w14:paraId="3DC2C430">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7.具有试剂在线装载功能，具有试剂添加量智能预估功能；</w:t>
      </w:r>
    </w:p>
    <w:p w14:paraId="077615A8">
      <w:pPr>
        <w:spacing w:before="91" w:line="360" w:lineRule="auto"/>
        <w:ind w:left="11" w:firstLine="0"/>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8.仪器可同时支持在线分析项目数：≥72 个项目，可支持 1～4 试剂项目，支持浓缩试剂自动稀释，支持试剂扩容，同项目放置多瓶试剂；</w:t>
      </w:r>
    </w:p>
    <w:p w14:paraId="7A250FCB">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9.最小样本量：≤1.5 μL，0.1 μL 递增；</w:t>
      </w:r>
    </w:p>
    <w:p w14:paraId="460F9AAD">
      <w:pPr>
        <w:spacing w:before="91" w:line="360" w:lineRule="auto"/>
        <w:ind w:left="11" w:firstLine="0"/>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10.样本质量分析：可定量分析脂血、溶血、黄疸指数，并支持关联到具体检测项目同时给出干扰方向提示；</w:t>
      </w:r>
    </w:p>
    <w:p w14:paraId="757AD2D8">
      <w:pPr>
        <w:spacing w:before="91" w:line="360" w:lineRule="auto"/>
        <w:ind w:left="11" w:firstLine="0"/>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11.样本针清洗：具有机内样本针超声波清洗功能，具有堵针检测、 自动清洗与再尝试功能；样本针携带污染率≤0.05%</w:t>
      </w:r>
    </w:p>
    <w:p w14:paraId="2CCCADE3">
      <w:pPr>
        <w:spacing w:before="91" w:line="360" w:lineRule="auto"/>
        <w:ind w:left="11" w:firstLine="0"/>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12.样本探针功能：具有动态液面检测、气泡检测、空吸检测及横、纵向保护功能,堵针检测、随量跟踪功能；</w:t>
      </w:r>
    </w:p>
    <w:p w14:paraId="0EAA0A85">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13.支持样本稀释重测，具有样本自动增量、减量及预稀释重测功能；</w:t>
      </w:r>
    </w:p>
    <w:p w14:paraId="5BEE0BAB">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14.支持稀释重测时预设多档稀释倍数；</w:t>
      </w:r>
    </w:p>
    <w:p w14:paraId="6C914E8B">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15.具备前带检测功能；</w:t>
      </w:r>
    </w:p>
    <w:p w14:paraId="1BE9FF87">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16.模块化设计，可与同型号生化分析仪或同品牌化学发光分析仪级联升级；</w:t>
      </w:r>
    </w:p>
    <w:p w14:paraId="290DF8B8">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17.最小反应体积：≤80ul；</w:t>
      </w:r>
    </w:p>
    <w:p w14:paraId="3B6E9510">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18.反应时间：0~20min42s 内任意设定；</w:t>
      </w:r>
    </w:p>
    <w:p w14:paraId="717A1DEE">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19.比色杯：≥400 个永久石英比色杯，光径 5mm；可重复使用，支持单个比色杯更换，≥9 阶自动清洗；</w:t>
      </w:r>
    </w:p>
    <w:p w14:paraId="3B661A2D">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20.光学系统：光栅后分光，≥16 个波长，340～850nm，光纤光路传输；</w:t>
      </w:r>
    </w:p>
    <w:p w14:paraId="0157CDA3">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21.吸光度线性范围 0-3.5Abs；</w:t>
      </w:r>
    </w:p>
    <w:p w14:paraId="5937766F">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22.温控系统：固体直热，温度控制在 37 °C±0.1 °C，无需添加抑菌剂等，免除日常维护保养；</w:t>
      </w:r>
    </w:p>
    <w:p w14:paraId="5A2EFCDE">
      <w:pPr>
        <w:keepNext w:val="0"/>
        <w:keepLines w:val="0"/>
        <w:pageBreakBefore w:val="0"/>
        <w:widowControl/>
        <w:kinsoku/>
        <w:wordWrap/>
        <w:overflowPunct/>
        <w:topLinePunct w:val="0"/>
        <w:autoSpaceDE/>
        <w:autoSpaceDN/>
        <w:bidi w:val="0"/>
        <w:adjustRightInd/>
        <w:snapToGrid/>
        <w:spacing w:before="91" w:line="360" w:lineRule="auto"/>
        <w:ind w:left="11"/>
        <w:textAlignment w:val="auto"/>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23.环境检测功能：具有水质、大气压力、测量环境中 CO₂浓度监测功能，CO2监测功能可实现修正血清CO2 检测结果；</w:t>
      </w:r>
    </w:p>
    <w:p w14:paraId="1E82D265">
      <w:pPr>
        <w:spacing w:before="91" w:line="360" w:lineRule="auto"/>
        <w:ind w:left="11"/>
        <w:outlineLvl w:val="1"/>
        <w:rPr>
          <w:rFonts w:hint="eastAsia" w:ascii="仿宋" w:hAnsi="仿宋" w:eastAsia="仿宋" w:cs="仿宋"/>
          <w:b/>
          <w:bCs/>
          <w:color w:val="auto"/>
          <w:spacing w:val="-4"/>
          <w:sz w:val="24"/>
          <w:szCs w:val="24"/>
          <w:highlight w:val="none"/>
        </w:rPr>
      </w:pPr>
      <w:bookmarkStart w:id="718" w:name="_Toc2972"/>
      <w:bookmarkStart w:id="719" w:name="_Toc27861"/>
      <w:bookmarkStart w:id="720" w:name="_Toc31809"/>
      <w:r>
        <w:rPr>
          <w:rFonts w:hint="eastAsia" w:ascii="仿宋" w:hAnsi="仿宋" w:eastAsia="仿宋" w:cs="仿宋"/>
          <w:b/>
          <w:bCs/>
          <w:color w:val="auto"/>
          <w:spacing w:val="-4"/>
          <w:sz w:val="24"/>
          <w:szCs w:val="24"/>
          <w:highlight w:val="none"/>
        </w:rPr>
        <w:t>三、操作系统参数</w:t>
      </w:r>
      <w:bookmarkEnd w:id="718"/>
      <w:bookmarkEnd w:id="719"/>
      <w:bookmarkEnd w:id="720"/>
    </w:p>
    <w:p w14:paraId="1630BBE8">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1.操作系统：≥23 吋液晶触摸显示屏；</w:t>
      </w:r>
    </w:p>
    <w:p w14:paraId="4F996B55">
      <w:pPr>
        <w:spacing w:before="91" w:line="360" w:lineRule="auto"/>
        <w:ind w:left="11" w:firstLine="0"/>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2.软件功能：具备定时开机、双项同测、自动重测和关联重测、项目遮蔽、水质检测、酶线性扩展（生化项目）、底物耗尽检测、异常反应曲线监控功能、血清指数、前带检测和远程诊断、试剂有效期管理能等功能，可汇总、存储、查询病人信息等；</w:t>
      </w:r>
    </w:p>
    <w:p w14:paraId="393E7A48">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3.网络连接：可单向双向连接外部LIS 软件；</w:t>
      </w:r>
    </w:p>
    <w:p w14:paraId="1BEA5599">
      <w:pPr>
        <w:spacing w:before="91" w:line="360" w:lineRule="auto"/>
        <w:ind w:left="11"/>
        <w:outlineLvl w:val="1"/>
        <w:rPr>
          <w:rFonts w:hint="eastAsia" w:ascii="仿宋" w:hAnsi="仿宋" w:eastAsia="仿宋" w:cs="仿宋"/>
          <w:b w:val="0"/>
          <w:bCs w:val="0"/>
          <w:color w:val="auto"/>
          <w:spacing w:val="-4"/>
          <w:sz w:val="24"/>
          <w:szCs w:val="24"/>
          <w:highlight w:val="none"/>
        </w:rPr>
      </w:pPr>
      <w:bookmarkStart w:id="721" w:name="_Toc32373"/>
      <w:bookmarkStart w:id="722" w:name="_Toc18444"/>
      <w:bookmarkStart w:id="723" w:name="_Toc14446"/>
      <w:r>
        <w:rPr>
          <w:rFonts w:hint="eastAsia" w:ascii="仿宋" w:hAnsi="仿宋" w:eastAsia="仿宋" w:cs="仿宋"/>
          <w:b w:val="0"/>
          <w:bCs w:val="0"/>
          <w:color w:val="auto"/>
          <w:spacing w:val="-4"/>
          <w:sz w:val="24"/>
          <w:szCs w:val="24"/>
          <w:highlight w:val="none"/>
        </w:rPr>
        <w:t>四、设备校验</w:t>
      </w:r>
      <w:bookmarkEnd w:id="721"/>
      <w:bookmarkEnd w:id="722"/>
      <w:bookmarkEnd w:id="723"/>
    </w:p>
    <w:p w14:paraId="31210655">
      <w:pPr>
        <w:spacing w:before="91" w:line="360" w:lineRule="auto"/>
        <w:ind w:left="11"/>
        <w:outlineLvl w:val="1"/>
        <w:rPr>
          <w:rFonts w:hint="eastAsia" w:ascii="仿宋" w:hAnsi="仿宋" w:eastAsia="仿宋" w:cs="仿宋"/>
          <w:b w:val="0"/>
          <w:bCs w:val="0"/>
          <w:color w:val="auto"/>
          <w:spacing w:val="-4"/>
          <w:sz w:val="24"/>
          <w:szCs w:val="24"/>
          <w:highlight w:val="none"/>
        </w:rPr>
      </w:pPr>
      <w:r>
        <w:rPr>
          <w:rFonts w:hint="eastAsia" w:ascii="仿宋" w:hAnsi="仿宋" w:eastAsia="仿宋" w:cs="仿宋"/>
          <w:b w:val="0"/>
          <w:bCs w:val="0"/>
          <w:color w:val="auto"/>
          <w:spacing w:val="-4"/>
          <w:sz w:val="24"/>
          <w:szCs w:val="24"/>
          <w:highlight w:val="none"/>
        </w:rPr>
        <w:t>1.质保期内每年仪器校准一次，并提供检测证书。</w:t>
      </w:r>
    </w:p>
    <w:p w14:paraId="1FF89CD8">
      <w:pPr>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br w:type="page"/>
      </w:r>
    </w:p>
    <w:p w14:paraId="2178F807">
      <w:pPr>
        <w:spacing w:before="91" w:line="222" w:lineRule="auto"/>
        <w:ind w:left="2940"/>
        <w:outlineLvl w:val="0"/>
        <w:rPr>
          <w:rFonts w:hint="eastAsia" w:ascii="仿宋" w:hAnsi="仿宋" w:eastAsia="仿宋" w:cs="仿宋"/>
          <w:color w:val="auto"/>
          <w:sz w:val="24"/>
          <w:szCs w:val="24"/>
          <w:highlight w:val="none"/>
        </w:rPr>
      </w:pPr>
      <w:bookmarkStart w:id="724" w:name="_Toc17770"/>
      <w:bookmarkStart w:id="725" w:name="_Toc10384"/>
      <w:bookmarkStart w:id="726" w:name="_Toc8435"/>
      <w:r>
        <w:rPr>
          <w:rFonts w:hint="eastAsia" w:ascii="仿宋" w:hAnsi="仿宋" w:eastAsia="仿宋" w:cs="仿宋"/>
          <w:b/>
          <w:bCs/>
          <w:color w:val="auto"/>
          <w:spacing w:val="-3"/>
          <w:sz w:val="24"/>
          <w:szCs w:val="24"/>
          <w:highlight w:val="none"/>
          <w:lang w:val="en-US" w:eastAsia="zh-CN"/>
        </w:rPr>
        <w:t>16.</w:t>
      </w:r>
      <w:r>
        <w:rPr>
          <w:rFonts w:hint="eastAsia" w:ascii="仿宋" w:hAnsi="仿宋" w:eastAsia="仿宋" w:cs="仿宋"/>
          <w:b/>
          <w:bCs/>
          <w:color w:val="auto"/>
          <w:spacing w:val="-3"/>
          <w:sz w:val="24"/>
          <w:szCs w:val="24"/>
          <w:highlight w:val="none"/>
        </w:rPr>
        <w:t>心率变异分析系统技术参数</w:t>
      </w:r>
      <w:bookmarkEnd w:id="724"/>
      <w:bookmarkEnd w:id="725"/>
      <w:bookmarkEnd w:id="726"/>
    </w:p>
    <w:p w14:paraId="78797EC7">
      <w:pPr>
        <w:spacing w:before="91" w:line="411" w:lineRule="auto"/>
        <w:ind w:left="20" w:right="93" w:firstLine="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1.产品适用范围:用于测量患者做静息平衡、深呼吸、Valsalva</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3"/>
          <w:sz w:val="24"/>
          <w:szCs w:val="24"/>
          <w:highlight w:val="none"/>
        </w:rPr>
        <w:t>动作、站立</w:t>
      </w:r>
      <w:r>
        <w:rPr>
          <w:rFonts w:hint="eastAsia" w:ascii="仿宋" w:hAnsi="仿宋" w:eastAsia="仿宋" w:cs="仿宋"/>
          <w:color w:val="auto"/>
          <w:spacing w:val="-4"/>
          <w:sz w:val="24"/>
          <w:szCs w:val="24"/>
          <w:highlight w:val="none"/>
        </w:rPr>
        <w:t>时的</w:t>
      </w:r>
      <w:r>
        <w:rPr>
          <w:rFonts w:hint="eastAsia" w:ascii="仿宋" w:hAnsi="仿宋" w:eastAsia="仿宋" w:cs="仿宋"/>
          <w:color w:val="auto"/>
          <w:spacing w:val="-1"/>
          <w:sz w:val="24"/>
          <w:szCs w:val="24"/>
          <w:highlight w:val="none"/>
        </w:rPr>
        <w:t>心率和脉搏波速率，分析患者的心率变异性及评估患者的血流状况。</w:t>
      </w:r>
    </w:p>
    <w:p w14:paraId="2D17CC95">
      <w:pPr>
        <w:spacing w:before="2" w:line="411" w:lineRule="auto"/>
        <w:ind w:right="93" w:firstLine="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2.测试参数：包含</w:t>
      </w:r>
      <w:r>
        <w:rPr>
          <w:rFonts w:hint="eastAsia" w:ascii="仿宋" w:hAnsi="仿宋" w:eastAsia="仿宋" w:cs="仿宋"/>
          <w:color w:val="auto"/>
          <w:spacing w:val="-66"/>
          <w:sz w:val="24"/>
          <w:szCs w:val="24"/>
          <w:highlight w:val="none"/>
        </w:rPr>
        <w:t xml:space="preserve"> </w:t>
      </w:r>
      <w:r>
        <w:rPr>
          <w:rFonts w:hint="eastAsia" w:ascii="仿宋" w:hAnsi="仿宋" w:eastAsia="仿宋" w:cs="仿宋"/>
          <w:color w:val="auto"/>
          <w:spacing w:val="-3"/>
          <w:sz w:val="24"/>
          <w:szCs w:val="24"/>
          <w:highlight w:val="none"/>
        </w:rPr>
        <w:t>HR</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3"/>
          <w:sz w:val="24"/>
          <w:szCs w:val="24"/>
          <w:highlight w:val="none"/>
        </w:rPr>
        <w:t>平均心率、SDNN、pNN50、RMSSD、SDSD</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等时域参数，包括</w:t>
      </w:r>
      <w:r>
        <w:rPr>
          <w:rFonts w:hint="eastAsia" w:ascii="仿宋" w:hAnsi="仿宋" w:eastAsia="仿宋" w:cs="仿宋"/>
          <w:color w:val="auto"/>
          <w:spacing w:val="-2"/>
          <w:sz w:val="24"/>
          <w:szCs w:val="24"/>
          <w:highlight w:val="none"/>
        </w:rPr>
        <w:t>VLF</w:t>
      </w:r>
      <w:r>
        <w:rPr>
          <w:rFonts w:hint="eastAsia" w:ascii="仿宋" w:hAnsi="仿宋" w:eastAsia="仿宋" w:cs="仿宋"/>
          <w:color w:val="auto"/>
          <w:spacing w:val="-35"/>
          <w:sz w:val="24"/>
          <w:szCs w:val="24"/>
          <w:highlight w:val="none"/>
        </w:rPr>
        <w:t xml:space="preserve"> </w:t>
      </w:r>
      <w:r>
        <w:rPr>
          <w:rFonts w:hint="eastAsia" w:ascii="仿宋" w:hAnsi="仿宋" w:eastAsia="仿宋" w:cs="仿宋"/>
          <w:color w:val="auto"/>
          <w:spacing w:val="-2"/>
          <w:sz w:val="24"/>
          <w:szCs w:val="24"/>
          <w:highlight w:val="none"/>
        </w:rPr>
        <w:t>功率、LF</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功率、HF</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2"/>
          <w:sz w:val="24"/>
          <w:szCs w:val="24"/>
          <w:highlight w:val="none"/>
        </w:rPr>
        <w:t>功率、TP</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2"/>
          <w:sz w:val="24"/>
          <w:szCs w:val="24"/>
          <w:highlight w:val="none"/>
        </w:rPr>
        <w:t>总功率、LF/HF</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2"/>
          <w:sz w:val="24"/>
          <w:szCs w:val="24"/>
          <w:highlight w:val="none"/>
        </w:rPr>
        <w:t>等频域参数，非线性参数包括</w:t>
      </w:r>
      <w:r>
        <w:rPr>
          <w:rFonts w:hint="eastAsia" w:ascii="仿宋" w:hAnsi="仿宋" w:eastAsia="仿宋" w:cs="仿宋"/>
          <w:color w:val="auto"/>
          <w:spacing w:val="-1"/>
          <w:sz w:val="24"/>
          <w:szCs w:val="24"/>
          <w:highlight w:val="none"/>
        </w:rPr>
        <w:t>SD1、SD2、SD1/SD2。</w:t>
      </w:r>
    </w:p>
    <w:p w14:paraId="43122545">
      <w:pPr>
        <w:spacing w:before="1" w:line="411" w:lineRule="auto"/>
        <w:ind w:left="18" w:right="93" w:hanging="6"/>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3.图表分析：图表分析图包括心率趋势图、频谱图、直方图、散点图、ECG</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饼状</w:t>
      </w:r>
      <w:r>
        <w:rPr>
          <w:rFonts w:hint="eastAsia" w:ascii="仿宋" w:hAnsi="仿宋" w:eastAsia="仿宋" w:cs="仿宋"/>
          <w:color w:val="auto"/>
          <w:spacing w:val="-6"/>
          <w:sz w:val="24"/>
          <w:szCs w:val="24"/>
          <w:highlight w:val="none"/>
        </w:rPr>
        <w:t>分析图、</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6"/>
          <w:sz w:val="24"/>
          <w:szCs w:val="24"/>
          <w:highlight w:val="none"/>
        </w:rPr>
        <w:t>自主神经功能七分类图等。</w:t>
      </w:r>
    </w:p>
    <w:p w14:paraId="656D897A">
      <w:pPr>
        <w:spacing w:before="1" w:line="411" w:lineRule="auto"/>
        <w:ind w:left="47" w:right="93" w:hanging="42"/>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4.信号采集模块：数据采集模块的</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pacing w:val="-3"/>
          <w:sz w:val="24"/>
          <w:szCs w:val="24"/>
          <w:highlight w:val="none"/>
        </w:rPr>
        <w:t>LCD</w:t>
      </w:r>
      <w:r>
        <w:rPr>
          <w:rFonts w:hint="eastAsia" w:ascii="仿宋" w:hAnsi="仿宋" w:eastAsia="仿宋" w:cs="仿宋"/>
          <w:color w:val="auto"/>
          <w:spacing w:val="-47"/>
          <w:sz w:val="24"/>
          <w:szCs w:val="24"/>
          <w:highlight w:val="none"/>
        </w:rPr>
        <w:t xml:space="preserve"> </w:t>
      </w:r>
      <w:r>
        <w:rPr>
          <w:rFonts w:hint="eastAsia" w:ascii="仿宋" w:hAnsi="仿宋" w:eastAsia="仿宋" w:cs="仿宋"/>
          <w:color w:val="auto"/>
          <w:spacing w:val="-3"/>
          <w:sz w:val="24"/>
          <w:szCs w:val="24"/>
          <w:highlight w:val="none"/>
        </w:rPr>
        <w:t>屏尺寸≥10</w:t>
      </w:r>
      <w:r>
        <w:rPr>
          <w:rFonts w:hint="eastAsia" w:ascii="仿宋" w:hAnsi="仿宋" w:eastAsia="仿宋" w:cs="仿宋"/>
          <w:color w:val="auto"/>
          <w:spacing w:val="-53"/>
          <w:sz w:val="24"/>
          <w:szCs w:val="24"/>
          <w:highlight w:val="none"/>
        </w:rPr>
        <w:t xml:space="preserve"> </w:t>
      </w:r>
      <w:r>
        <w:rPr>
          <w:rFonts w:hint="eastAsia" w:ascii="仿宋" w:hAnsi="仿宋" w:eastAsia="仿宋" w:cs="仿宋"/>
          <w:color w:val="auto"/>
          <w:spacing w:val="-4"/>
          <w:sz w:val="24"/>
          <w:szCs w:val="24"/>
          <w:highlight w:val="none"/>
        </w:rPr>
        <w:t>英寸,可通过锂电池供电，可</w:t>
      </w:r>
      <w:r>
        <w:rPr>
          <w:rFonts w:hint="eastAsia" w:ascii="仿宋" w:hAnsi="仿宋" w:eastAsia="仿宋" w:cs="仿宋"/>
          <w:color w:val="auto"/>
          <w:spacing w:val="-2"/>
          <w:sz w:val="24"/>
          <w:szCs w:val="24"/>
          <w:highlight w:val="none"/>
        </w:rPr>
        <w:t>同步显示患者信息、连接状态、心率等，可调</w:t>
      </w:r>
      <w:r>
        <w:rPr>
          <w:rFonts w:hint="eastAsia" w:ascii="仿宋" w:hAnsi="仿宋" w:eastAsia="仿宋" w:cs="仿宋"/>
          <w:color w:val="auto"/>
          <w:spacing w:val="-3"/>
          <w:sz w:val="24"/>
          <w:szCs w:val="24"/>
          <w:highlight w:val="none"/>
        </w:rPr>
        <w:t>节音量。</w:t>
      </w:r>
    </w:p>
    <w:p w14:paraId="64556625">
      <w:pPr>
        <w:spacing w:before="4" w:line="409" w:lineRule="auto"/>
        <w:ind w:left="16" w:right="93" w:hanging="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5.双通道信号采集模块：可采集心电(ECG)信</w:t>
      </w:r>
      <w:r>
        <w:rPr>
          <w:rFonts w:hint="eastAsia" w:ascii="仿宋" w:hAnsi="仿宋" w:eastAsia="仿宋" w:cs="仿宋"/>
          <w:color w:val="auto"/>
          <w:spacing w:val="-1"/>
          <w:sz w:val="24"/>
          <w:szCs w:val="24"/>
          <w:highlight w:val="none"/>
        </w:rPr>
        <w:t>号和光电体积体积描记（PPG)信号各一组</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1"/>
          <w:sz w:val="24"/>
          <w:szCs w:val="24"/>
          <w:highlight w:val="none"/>
        </w:rPr>
        <w:t>；ECG 的心</w:t>
      </w:r>
      <w:r>
        <w:rPr>
          <w:rFonts w:hint="eastAsia" w:ascii="仿宋" w:hAnsi="仿宋" w:eastAsia="仿宋" w:cs="仿宋"/>
          <w:color w:val="auto"/>
          <w:spacing w:val="-84"/>
          <w:sz w:val="24"/>
          <w:szCs w:val="24"/>
          <w:highlight w:val="none"/>
        </w:rPr>
        <w:t xml:space="preserve"> </w:t>
      </w:r>
      <w:r>
        <w:rPr>
          <w:rFonts w:hint="eastAsia" w:ascii="仿宋" w:hAnsi="仿宋" w:eastAsia="仿宋" w:cs="仿宋"/>
          <w:color w:val="auto"/>
          <w:spacing w:val="-1"/>
          <w:sz w:val="24"/>
          <w:szCs w:val="24"/>
          <w:highlight w:val="none"/>
        </w:rPr>
        <w:t>率测量</w:t>
      </w:r>
      <w:r>
        <w:rPr>
          <w:rFonts w:hint="eastAsia" w:ascii="仿宋" w:hAnsi="仿宋" w:eastAsia="仿宋" w:cs="仿宋"/>
          <w:color w:val="auto"/>
          <w:spacing w:val="-75"/>
          <w:sz w:val="24"/>
          <w:szCs w:val="24"/>
          <w:highlight w:val="none"/>
        </w:rPr>
        <w:t xml:space="preserve"> </w:t>
      </w:r>
      <w:r>
        <w:rPr>
          <w:rFonts w:hint="eastAsia" w:ascii="仿宋" w:hAnsi="仿宋" w:eastAsia="仿宋" w:cs="仿宋"/>
          <w:color w:val="auto"/>
          <w:spacing w:val="-1"/>
          <w:sz w:val="24"/>
          <w:szCs w:val="24"/>
          <w:highlight w:val="none"/>
        </w:rPr>
        <w:t>范</w:t>
      </w:r>
      <w:r>
        <w:rPr>
          <w:rFonts w:hint="eastAsia" w:ascii="仿宋" w:hAnsi="仿宋" w:eastAsia="仿宋" w:cs="仿宋"/>
          <w:color w:val="auto"/>
          <w:spacing w:val="-64"/>
          <w:sz w:val="24"/>
          <w:szCs w:val="24"/>
          <w:highlight w:val="none"/>
        </w:rPr>
        <w:t xml:space="preserve"> </w:t>
      </w:r>
      <w:r>
        <w:rPr>
          <w:rFonts w:hint="eastAsia" w:ascii="仿宋" w:hAnsi="仿宋" w:eastAsia="仿宋" w:cs="仿宋"/>
          <w:color w:val="auto"/>
          <w:spacing w:val="-1"/>
          <w:sz w:val="24"/>
          <w:szCs w:val="24"/>
          <w:highlight w:val="none"/>
        </w:rPr>
        <w:t>围</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
          <w:sz w:val="24"/>
          <w:szCs w:val="24"/>
          <w:highlight w:val="none"/>
        </w:rPr>
        <w:t>≥</w:t>
      </w:r>
      <w:r>
        <w:rPr>
          <w:rFonts w:hint="eastAsia" w:ascii="仿宋" w:hAnsi="仿宋" w:eastAsia="仿宋" w:cs="仿宋"/>
          <w:color w:val="auto"/>
          <w:spacing w:val="-96"/>
          <w:sz w:val="24"/>
          <w:szCs w:val="24"/>
          <w:highlight w:val="none"/>
        </w:rPr>
        <w:t xml:space="preserve"> </w:t>
      </w:r>
      <w:r>
        <w:rPr>
          <w:rFonts w:hint="eastAsia" w:ascii="仿宋" w:hAnsi="仿宋" w:eastAsia="仿宋" w:cs="仿宋"/>
          <w:color w:val="auto"/>
          <w:spacing w:val="-1"/>
          <w:sz w:val="24"/>
          <w:szCs w:val="24"/>
          <w:highlight w:val="none"/>
        </w:rPr>
        <w:t>30bpm～</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1"/>
          <w:sz w:val="24"/>
          <w:szCs w:val="24"/>
          <w:highlight w:val="none"/>
        </w:rPr>
        <w:t>250bpm;呼</w:t>
      </w:r>
      <w:r>
        <w:rPr>
          <w:rFonts w:hint="eastAsia" w:ascii="仿宋" w:hAnsi="仿宋" w:eastAsia="仿宋" w:cs="仿宋"/>
          <w:color w:val="auto"/>
          <w:spacing w:val="-81"/>
          <w:sz w:val="24"/>
          <w:szCs w:val="24"/>
          <w:highlight w:val="none"/>
        </w:rPr>
        <w:t xml:space="preserve"> </w:t>
      </w:r>
      <w:r>
        <w:rPr>
          <w:rFonts w:hint="eastAsia" w:ascii="仿宋" w:hAnsi="仿宋" w:eastAsia="仿宋" w:cs="仿宋"/>
          <w:color w:val="auto"/>
          <w:spacing w:val="-1"/>
          <w:sz w:val="24"/>
          <w:szCs w:val="24"/>
          <w:highlight w:val="none"/>
        </w:rPr>
        <w:t>吸</w:t>
      </w:r>
      <w:r>
        <w:rPr>
          <w:rFonts w:hint="eastAsia" w:ascii="仿宋" w:hAnsi="仿宋" w:eastAsia="仿宋" w:cs="仿宋"/>
          <w:color w:val="auto"/>
          <w:spacing w:val="-81"/>
          <w:sz w:val="24"/>
          <w:szCs w:val="24"/>
          <w:highlight w:val="none"/>
        </w:rPr>
        <w:t xml:space="preserve"> </w:t>
      </w:r>
      <w:r>
        <w:rPr>
          <w:rFonts w:hint="eastAsia" w:ascii="仿宋" w:hAnsi="仿宋" w:eastAsia="仿宋" w:cs="仿宋"/>
          <w:color w:val="auto"/>
          <w:spacing w:val="-1"/>
          <w:sz w:val="24"/>
          <w:szCs w:val="24"/>
          <w:highlight w:val="none"/>
        </w:rPr>
        <w:t>率测量</w:t>
      </w:r>
      <w:r>
        <w:rPr>
          <w:rFonts w:hint="eastAsia" w:ascii="仿宋" w:hAnsi="仿宋" w:eastAsia="仿宋" w:cs="仿宋"/>
          <w:color w:val="auto"/>
          <w:spacing w:val="-77"/>
          <w:sz w:val="24"/>
          <w:szCs w:val="24"/>
          <w:highlight w:val="none"/>
        </w:rPr>
        <w:t xml:space="preserve"> </w:t>
      </w:r>
      <w:r>
        <w:rPr>
          <w:rFonts w:hint="eastAsia" w:ascii="仿宋" w:hAnsi="仿宋" w:eastAsia="仿宋" w:cs="仿宋"/>
          <w:color w:val="auto"/>
          <w:spacing w:val="-1"/>
          <w:sz w:val="24"/>
          <w:szCs w:val="24"/>
          <w:highlight w:val="none"/>
        </w:rPr>
        <w:t>范</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1"/>
          <w:sz w:val="24"/>
          <w:szCs w:val="24"/>
          <w:highlight w:val="none"/>
        </w:rPr>
        <w:t>围</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1"/>
          <w:sz w:val="24"/>
          <w:szCs w:val="24"/>
          <w:highlight w:val="none"/>
        </w:rPr>
        <w:t>≥</w:t>
      </w:r>
      <w:r>
        <w:rPr>
          <w:rFonts w:hint="eastAsia" w:ascii="仿宋" w:hAnsi="仿宋" w:eastAsia="仿宋" w:cs="仿宋"/>
          <w:color w:val="auto"/>
          <w:spacing w:val="-97"/>
          <w:sz w:val="24"/>
          <w:szCs w:val="24"/>
          <w:highlight w:val="none"/>
        </w:rPr>
        <w:t xml:space="preserve"> </w:t>
      </w:r>
      <w:r>
        <w:rPr>
          <w:rFonts w:hint="eastAsia" w:ascii="仿宋" w:hAnsi="仿宋" w:eastAsia="仿宋" w:cs="仿宋"/>
          <w:color w:val="auto"/>
          <w:spacing w:val="-1"/>
          <w:sz w:val="24"/>
          <w:szCs w:val="24"/>
          <w:highlight w:val="none"/>
        </w:rPr>
        <w:t>0rpm~</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120rpm；脉率测量范围≥30bpm～250bpm。</w:t>
      </w:r>
    </w:p>
    <w:p w14:paraId="3CB75F7E">
      <w:pPr>
        <w:spacing w:before="8" w:line="411" w:lineRule="auto"/>
        <w:ind w:left="15" w:right="95" w:hanging="7"/>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6.检测模式:检测模式≥6</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6"/>
          <w:sz w:val="24"/>
          <w:szCs w:val="24"/>
          <w:highlight w:val="none"/>
        </w:rPr>
        <w:t>种，包括自主功能评估、心率变异(HRV)健康评估、PPG</w:t>
      </w:r>
      <w:r>
        <w:rPr>
          <w:rFonts w:hint="eastAsia" w:ascii="仿宋" w:hAnsi="仿宋" w:eastAsia="仿宋" w:cs="仿宋"/>
          <w:color w:val="auto"/>
          <w:spacing w:val="-1"/>
          <w:sz w:val="24"/>
          <w:szCs w:val="24"/>
          <w:highlight w:val="none"/>
        </w:rPr>
        <w:t>评估、ECG</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评估、脉搏波速度分析、量表评估等多</w:t>
      </w:r>
      <w:r>
        <w:rPr>
          <w:rFonts w:hint="eastAsia" w:ascii="仿宋" w:hAnsi="仿宋" w:eastAsia="仿宋" w:cs="仿宋"/>
          <w:color w:val="auto"/>
          <w:spacing w:val="-2"/>
          <w:sz w:val="24"/>
          <w:szCs w:val="24"/>
          <w:highlight w:val="none"/>
        </w:rPr>
        <w:t>种模式可供选择。</w:t>
      </w:r>
    </w:p>
    <w:p w14:paraId="55EC7EA6">
      <w:pPr>
        <w:spacing w:before="2" w:line="411" w:lineRule="auto"/>
        <w:ind w:left="2" w:right="60" w:firstLine="1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7.报告种类：报告种类≥7</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10"/>
          <w:sz w:val="24"/>
          <w:szCs w:val="24"/>
          <w:highlight w:val="none"/>
        </w:rPr>
        <w:t>种，报告支持分别出具概览报告、自主功能评估报告、</w:t>
      </w:r>
      <w:r>
        <w:rPr>
          <w:rFonts w:hint="eastAsia" w:ascii="仿宋" w:hAnsi="仿宋" w:eastAsia="仿宋" w:cs="仿宋"/>
          <w:color w:val="auto"/>
          <w:sz w:val="24"/>
          <w:szCs w:val="24"/>
          <w:highlight w:val="none"/>
        </w:rPr>
        <w:t xml:space="preserve"> PPG</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z w:val="24"/>
          <w:szCs w:val="24"/>
          <w:highlight w:val="none"/>
        </w:rPr>
        <w:t>分析报告、ECG</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z w:val="24"/>
          <w:szCs w:val="24"/>
          <w:highlight w:val="none"/>
        </w:rPr>
        <w:t>分析报告、HRV</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z w:val="24"/>
          <w:szCs w:val="24"/>
          <w:highlight w:val="none"/>
        </w:rPr>
        <w:t>健康评估报告、脉搏波速度分析报告、量表</w:t>
      </w:r>
      <w:r>
        <w:rPr>
          <w:rFonts w:hint="eastAsia" w:ascii="仿宋" w:hAnsi="仿宋" w:eastAsia="仿宋" w:cs="仿宋"/>
          <w:color w:val="auto"/>
          <w:spacing w:val="-1"/>
          <w:sz w:val="24"/>
          <w:szCs w:val="24"/>
          <w:highlight w:val="none"/>
        </w:rPr>
        <w:t>评估报告。</w:t>
      </w:r>
    </w:p>
    <w:p w14:paraId="04F379A1">
      <w:pPr>
        <w:spacing w:before="2" w:line="412" w:lineRule="auto"/>
        <w:ind w:left="3" w:firstLine="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8.基于心电(ECG)信号和光电体积描记（PPG)信号评估受试者的的身体压力指数、</w:t>
      </w:r>
      <w:r>
        <w:rPr>
          <w:rFonts w:hint="eastAsia" w:ascii="仿宋" w:hAnsi="仿宋" w:eastAsia="仿宋" w:cs="仿宋"/>
          <w:color w:val="auto"/>
          <w:spacing w:val="-9"/>
          <w:sz w:val="24"/>
          <w:szCs w:val="24"/>
          <w:highlight w:val="none"/>
        </w:rPr>
        <w:t>心理压力指数、抗压能力、自主活性、自主神经平衡、心脏稳定性、30/15 比值、</w:t>
      </w:r>
      <w:r>
        <w:rPr>
          <w:rFonts w:hint="eastAsia" w:ascii="仿宋" w:hAnsi="仿宋" w:eastAsia="仿宋" w:cs="仿宋"/>
          <w:color w:val="auto"/>
          <w:spacing w:val="17"/>
          <w:sz w:val="24"/>
          <w:szCs w:val="24"/>
          <w:highlight w:val="none"/>
        </w:rPr>
        <w:t xml:space="preserve"> </w:t>
      </w:r>
      <w:r>
        <w:rPr>
          <w:rFonts w:hint="eastAsia" w:ascii="仿宋" w:hAnsi="仿宋" w:eastAsia="仿宋" w:cs="仿宋"/>
          <w:color w:val="auto"/>
          <w:spacing w:val="-7"/>
          <w:sz w:val="24"/>
          <w:szCs w:val="24"/>
          <w:highlight w:val="none"/>
        </w:rPr>
        <w:t>E/I 比值、Valsalva</w:t>
      </w:r>
      <w:r>
        <w:rPr>
          <w:rFonts w:hint="eastAsia" w:ascii="仿宋" w:hAnsi="仿宋" w:eastAsia="仿宋" w:cs="仿宋"/>
          <w:color w:val="auto"/>
          <w:spacing w:val="-20"/>
          <w:sz w:val="24"/>
          <w:szCs w:val="24"/>
          <w:highlight w:val="none"/>
        </w:rPr>
        <w:t xml:space="preserve"> </w:t>
      </w:r>
      <w:r>
        <w:rPr>
          <w:rFonts w:hint="eastAsia" w:ascii="仿宋" w:hAnsi="仿宋" w:eastAsia="仿宋" w:cs="仿宋"/>
          <w:color w:val="auto"/>
          <w:spacing w:val="-7"/>
          <w:sz w:val="24"/>
          <w:szCs w:val="24"/>
          <w:highlight w:val="none"/>
        </w:rPr>
        <w:t>比值。</w:t>
      </w:r>
    </w:p>
    <w:p w14:paraId="61E0D904">
      <w:pPr>
        <w:spacing w:before="91" w:line="411" w:lineRule="auto"/>
        <w:ind w:firstLine="4"/>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9.基于光电体积描记（</w:t>
      </w:r>
      <w:r>
        <w:rPr>
          <w:rFonts w:hint="eastAsia" w:ascii="仿宋" w:hAnsi="仿宋" w:eastAsia="仿宋" w:cs="仿宋"/>
          <w:color w:val="auto"/>
          <w:sz w:val="24"/>
          <w:szCs w:val="24"/>
          <w:highlight w:val="none"/>
        </w:rPr>
        <w:t>PPG</w:t>
      </w:r>
      <w:r>
        <w:rPr>
          <w:rFonts w:hint="eastAsia" w:ascii="仿宋" w:hAnsi="仿宋" w:eastAsia="仿宋" w:cs="仿宋"/>
          <w:color w:val="auto"/>
          <w:spacing w:val="3"/>
          <w:sz w:val="24"/>
          <w:szCs w:val="24"/>
          <w:highlight w:val="none"/>
        </w:rPr>
        <w:t>)信号分析血流状况，包括</w:t>
      </w:r>
      <w:r>
        <w:rPr>
          <w:rFonts w:hint="eastAsia" w:ascii="仿宋" w:hAnsi="仿宋" w:eastAsia="仿宋" w:cs="仿宋"/>
          <w:color w:val="auto"/>
          <w:spacing w:val="-63"/>
          <w:sz w:val="24"/>
          <w:szCs w:val="24"/>
          <w:highlight w:val="none"/>
        </w:rPr>
        <w:t xml:space="preserve"> </w:t>
      </w:r>
      <w:r>
        <w:rPr>
          <w:rFonts w:hint="eastAsia" w:ascii="仿宋" w:hAnsi="仿宋" w:eastAsia="仿宋" w:cs="仿宋"/>
          <w:color w:val="auto"/>
          <w:sz w:val="24"/>
          <w:szCs w:val="24"/>
          <w:highlight w:val="none"/>
        </w:rPr>
        <w:t>APG</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类型、射血弹性指数</w:t>
      </w:r>
      <w:r>
        <w:rPr>
          <w:rFonts w:hint="eastAsia" w:ascii="仿宋" w:hAnsi="仿宋" w:eastAsia="仿宋" w:cs="仿宋"/>
          <w:color w:val="auto"/>
          <w:sz w:val="24"/>
          <w:szCs w:val="24"/>
          <w:highlight w:val="none"/>
        </w:rPr>
        <w:t>EEI</w:t>
      </w:r>
      <w:r>
        <w:rPr>
          <w:rFonts w:hint="eastAsia" w:ascii="仿宋" w:hAnsi="仿宋" w:eastAsia="仿宋" w:cs="仿宋"/>
          <w:color w:val="auto"/>
          <w:spacing w:val="7"/>
          <w:sz w:val="24"/>
          <w:szCs w:val="24"/>
          <w:highlight w:val="none"/>
        </w:rPr>
        <w:t>、重博扩张指数</w:t>
      </w:r>
      <w:r>
        <w:rPr>
          <w:rFonts w:hint="eastAsia" w:ascii="仿宋" w:hAnsi="仿宋" w:eastAsia="仿宋" w:cs="仿宋"/>
          <w:color w:val="auto"/>
          <w:sz w:val="24"/>
          <w:szCs w:val="24"/>
          <w:highlight w:val="none"/>
        </w:rPr>
        <w:t>DDI</w:t>
      </w:r>
      <w:r>
        <w:rPr>
          <w:rFonts w:hint="eastAsia" w:ascii="仿宋" w:hAnsi="仿宋" w:eastAsia="仿宋" w:cs="仿宋"/>
          <w:color w:val="auto"/>
          <w:spacing w:val="7"/>
          <w:sz w:val="24"/>
          <w:szCs w:val="24"/>
          <w:highlight w:val="none"/>
        </w:rPr>
        <w:t>、重博弹性指数</w:t>
      </w:r>
      <w:r>
        <w:rPr>
          <w:rFonts w:hint="eastAsia" w:ascii="仿宋" w:hAnsi="仿宋" w:eastAsia="仿宋" w:cs="仿宋"/>
          <w:color w:val="auto"/>
          <w:sz w:val="24"/>
          <w:szCs w:val="24"/>
          <w:highlight w:val="none"/>
        </w:rPr>
        <w:t>DEI</w:t>
      </w:r>
      <w:r>
        <w:rPr>
          <w:rFonts w:hint="eastAsia" w:ascii="仿宋" w:hAnsi="仿宋" w:eastAsia="仿宋" w:cs="仿宋"/>
          <w:color w:val="auto"/>
          <w:spacing w:val="7"/>
          <w:sz w:val="24"/>
          <w:szCs w:val="24"/>
          <w:highlight w:val="none"/>
        </w:rPr>
        <w:t>、增强指数</w:t>
      </w:r>
      <w:r>
        <w:rPr>
          <w:rFonts w:hint="eastAsia" w:ascii="仿宋" w:hAnsi="仿宋" w:eastAsia="仿宋" w:cs="仿宋"/>
          <w:color w:val="auto"/>
          <w:sz w:val="24"/>
          <w:szCs w:val="24"/>
          <w:highlight w:val="none"/>
        </w:rPr>
        <w:t>AI</w:t>
      </w:r>
      <w:r>
        <w:rPr>
          <w:rFonts w:hint="eastAsia" w:ascii="仿宋" w:hAnsi="仿宋" w:eastAsia="仿宋" w:cs="仿宋"/>
          <w:color w:val="auto"/>
          <w:spacing w:val="7"/>
          <w:sz w:val="24"/>
          <w:szCs w:val="24"/>
          <w:highlight w:val="none"/>
        </w:rPr>
        <w:t>、反射指数</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z w:val="24"/>
          <w:szCs w:val="24"/>
          <w:highlight w:val="none"/>
        </w:rPr>
        <w:t>RI</w:t>
      </w:r>
      <w:r>
        <w:rPr>
          <w:rFonts w:hint="eastAsia" w:ascii="仿宋" w:hAnsi="仿宋" w:eastAsia="仿宋" w:cs="仿宋"/>
          <w:color w:val="auto"/>
          <w:spacing w:val="7"/>
          <w:sz w:val="24"/>
          <w:szCs w:val="24"/>
          <w:highlight w:val="none"/>
        </w:rPr>
        <w:t>、硬度</w:t>
      </w:r>
      <w:r>
        <w:rPr>
          <w:rFonts w:hint="eastAsia" w:ascii="仿宋" w:hAnsi="仿宋" w:eastAsia="仿宋" w:cs="仿宋"/>
          <w:color w:val="auto"/>
          <w:spacing w:val="-3"/>
          <w:sz w:val="24"/>
          <w:szCs w:val="24"/>
          <w:highlight w:val="none"/>
        </w:rPr>
        <w:t>指数</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3"/>
          <w:sz w:val="24"/>
          <w:szCs w:val="24"/>
          <w:highlight w:val="none"/>
        </w:rPr>
        <w:t>SI。</w:t>
      </w:r>
    </w:p>
    <w:p w14:paraId="3BE2D614">
      <w:pPr>
        <w:spacing w:before="1" w:line="411" w:lineRule="auto"/>
        <w:ind w:left="15" w:firstLine="8"/>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10.</w:t>
      </w:r>
      <w:r>
        <w:rPr>
          <w:rFonts w:hint="eastAsia" w:ascii="仿宋" w:hAnsi="仿宋" w:eastAsia="仿宋" w:cs="仿宋"/>
          <w:color w:val="auto"/>
          <w:sz w:val="24"/>
          <w:szCs w:val="24"/>
          <w:highlight w:val="none"/>
        </w:rPr>
        <w:t>ECG</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6"/>
          <w:sz w:val="24"/>
          <w:szCs w:val="24"/>
          <w:highlight w:val="none"/>
        </w:rPr>
        <w:t>和</w:t>
      </w:r>
      <w:r>
        <w:rPr>
          <w:rFonts w:hint="eastAsia" w:ascii="仿宋" w:hAnsi="仿宋" w:eastAsia="仿宋" w:cs="仿宋"/>
          <w:color w:val="auto"/>
          <w:sz w:val="24"/>
          <w:szCs w:val="24"/>
          <w:highlight w:val="none"/>
        </w:rPr>
        <w:t>PPG</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6"/>
          <w:sz w:val="24"/>
          <w:szCs w:val="24"/>
          <w:highlight w:val="none"/>
        </w:rPr>
        <w:t>数据回放和分析：软件可以对测试过程的</w:t>
      </w:r>
      <w:r>
        <w:rPr>
          <w:rFonts w:hint="eastAsia" w:ascii="仿宋" w:hAnsi="仿宋" w:eastAsia="仿宋" w:cs="仿宋"/>
          <w:color w:val="auto"/>
          <w:sz w:val="24"/>
          <w:szCs w:val="24"/>
          <w:highlight w:val="none"/>
        </w:rPr>
        <w:t>ECG</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6"/>
          <w:sz w:val="24"/>
          <w:szCs w:val="24"/>
          <w:highlight w:val="none"/>
        </w:rPr>
        <w:t>和</w:t>
      </w:r>
      <w:r>
        <w:rPr>
          <w:rFonts w:hint="eastAsia" w:ascii="仿宋" w:hAnsi="仿宋" w:eastAsia="仿宋" w:cs="仿宋"/>
          <w:color w:val="auto"/>
          <w:sz w:val="24"/>
          <w:szCs w:val="24"/>
          <w:highlight w:val="none"/>
        </w:rPr>
        <w:t>PPG</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6"/>
          <w:sz w:val="24"/>
          <w:szCs w:val="24"/>
          <w:highlight w:val="none"/>
        </w:rPr>
        <w:t>数据进行手</w:t>
      </w:r>
      <w:r>
        <w:rPr>
          <w:rFonts w:hint="eastAsia" w:ascii="仿宋" w:hAnsi="仿宋" w:eastAsia="仿宋" w:cs="仿宋"/>
          <w:color w:val="auto"/>
          <w:spacing w:val="-3"/>
          <w:sz w:val="24"/>
          <w:szCs w:val="24"/>
          <w:highlight w:val="none"/>
        </w:rPr>
        <w:t>动和自动地回放。</w:t>
      </w:r>
    </w:p>
    <w:p w14:paraId="5A5E901F">
      <w:pPr>
        <w:spacing w:before="1" w:line="411" w:lineRule="auto"/>
        <w:ind w:left="11" w:firstLine="1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11.心电波形分析：根据对心电波形的分析，可预测室性和室上性期前收缩及心</w:t>
      </w:r>
      <w:r>
        <w:rPr>
          <w:rFonts w:hint="eastAsia" w:ascii="仿宋" w:hAnsi="仿宋" w:eastAsia="仿宋" w:cs="仿宋"/>
          <w:color w:val="auto"/>
          <w:spacing w:val="-2"/>
          <w:sz w:val="24"/>
          <w:szCs w:val="24"/>
          <w:highlight w:val="none"/>
        </w:rPr>
        <w:t>律不齐出现的次数。</w:t>
      </w:r>
    </w:p>
    <w:p w14:paraId="758C8041">
      <w:pPr>
        <w:spacing w:before="2" w:line="411" w:lineRule="auto"/>
        <w:ind w:left="14" w:firstLine="9"/>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w:t>
      </w:r>
      <w:r>
        <w:rPr>
          <w:rFonts w:hint="eastAsia" w:ascii="仿宋" w:hAnsi="仿宋" w:eastAsia="仿宋" w:cs="仿宋"/>
          <w:color w:val="auto"/>
          <w:spacing w:val="-68"/>
          <w:sz w:val="24"/>
          <w:szCs w:val="24"/>
          <w:highlight w:val="none"/>
        </w:rPr>
        <w:t xml:space="preserve"> </w:t>
      </w:r>
      <w:r>
        <w:rPr>
          <w:rFonts w:hint="eastAsia" w:ascii="仿宋" w:hAnsi="仿宋" w:eastAsia="仿宋" w:cs="仿宋"/>
          <w:color w:val="auto"/>
          <w:spacing w:val="-1"/>
          <w:sz w:val="24"/>
          <w:szCs w:val="24"/>
          <w:highlight w:val="none"/>
        </w:rPr>
        <w:t>自主功能评估:通过对受试者在静息、深呼吸、</w:t>
      </w:r>
      <w:r>
        <w:rPr>
          <w:rFonts w:hint="eastAsia" w:ascii="仿宋" w:hAnsi="仿宋" w:eastAsia="仿宋" w:cs="仿宋"/>
          <w:color w:val="auto"/>
          <w:spacing w:val="-2"/>
          <w:sz w:val="24"/>
          <w:szCs w:val="24"/>
          <w:highlight w:val="none"/>
        </w:rPr>
        <w:t>Valsalva</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2"/>
          <w:sz w:val="24"/>
          <w:szCs w:val="24"/>
          <w:highlight w:val="none"/>
        </w:rPr>
        <w:t>和站立状态下的生</w:t>
      </w:r>
      <w:r>
        <w:rPr>
          <w:rFonts w:hint="eastAsia" w:ascii="仿宋" w:hAnsi="仿宋" w:eastAsia="仿宋" w:cs="仿宋"/>
          <w:color w:val="auto"/>
          <w:spacing w:val="-5"/>
          <w:sz w:val="24"/>
          <w:szCs w:val="24"/>
          <w:highlight w:val="none"/>
        </w:rPr>
        <w:t>理信号进行分析，评估静息状态下的自主神经系统所处在的七种状态，评估副交</w:t>
      </w:r>
      <w:r>
        <w:rPr>
          <w:rFonts w:hint="eastAsia" w:ascii="仿宋" w:hAnsi="仿宋" w:eastAsia="仿宋" w:cs="仿宋"/>
          <w:color w:val="auto"/>
          <w:spacing w:val="-1"/>
          <w:sz w:val="24"/>
          <w:szCs w:val="24"/>
          <w:highlight w:val="none"/>
        </w:rPr>
        <w:t>感神经对深呼吸的反应，评估交感神经对</w:t>
      </w:r>
      <w:r>
        <w:rPr>
          <w:rFonts w:hint="eastAsia" w:ascii="仿宋" w:hAnsi="仿宋" w:eastAsia="仿宋" w:cs="仿宋"/>
          <w:color w:val="auto"/>
          <w:spacing w:val="-67"/>
          <w:sz w:val="24"/>
          <w:szCs w:val="24"/>
          <w:highlight w:val="none"/>
        </w:rPr>
        <w:t xml:space="preserve"> </w:t>
      </w:r>
      <w:r>
        <w:rPr>
          <w:rFonts w:hint="eastAsia" w:ascii="仿宋" w:hAnsi="仿宋" w:eastAsia="仿宋" w:cs="仿宋"/>
          <w:color w:val="auto"/>
          <w:spacing w:val="-1"/>
          <w:sz w:val="24"/>
          <w:szCs w:val="24"/>
          <w:highlight w:val="none"/>
        </w:rPr>
        <w:t>Valsalva</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动作的反应</w:t>
      </w:r>
      <w:r>
        <w:rPr>
          <w:rFonts w:hint="eastAsia" w:ascii="仿宋" w:hAnsi="仿宋" w:eastAsia="仿宋" w:cs="仿宋"/>
          <w:color w:val="auto"/>
          <w:spacing w:val="-2"/>
          <w:sz w:val="24"/>
          <w:szCs w:val="24"/>
          <w:highlight w:val="none"/>
        </w:rPr>
        <w:t>和评估自主神经</w:t>
      </w:r>
      <w:r>
        <w:rPr>
          <w:rFonts w:hint="eastAsia" w:ascii="仿宋" w:hAnsi="仿宋" w:eastAsia="仿宋" w:cs="仿宋"/>
          <w:color w:val="auto"/>
          <w:spacing w:val="-3"/>
          <w:sz w:val="24"/>
          <w:szCs w:val="24"/>
          <w:highlight w:val="none"/>
        </w:rPr>
        <w:t>系统对站立的反应。</w:t>
      </w:r>
    </w:p>
    <w:p w14:paraId="5CB6A02E">
      <w:pPr>
        <w:spacing w:line="411" w:lineRule="auto"/>
        <w:ind w:left="14" w:right="58" w:firstLine="9"/>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13.</w:t>
      </w:r>
      <w:r>
        <w:rPr>
          <w:rFonts w:hint="eastAsia" w:ascii="仿宋" w:hAnsi="仿宋" w:eastAsia="仿宋" w:cs="仿宋"/>
          <w:color w:val="auto"/>
          <w:spacing w:val="-70"/>
          <w:sz w:val="24"/>
          <w:szCs w:val="24"/>
          <w:highlight w:val="none"/>
        </w:rPr>
        <w:t xml:space="preserve"> </w:t>
      </w:r>
      <w:r>
        <w:rPr>
          <w:rFonts w:hint="eastAsia" w:ascii="仿宋" w:hAnsi="仿宋" w:eastAsia="仿宋" w:cs="仿宋"/>
          <w:color w:val="auto"/>
          <w:spacing w:val="-3"/>
          <w:sz w:val="24"/>
          <w:szCs w:val="24"/>
          <w:highlight w:val="none"/>
        </w:rPr>
        <w:t>自主功能评估任务态时长，静息≥3min，</w:t>
      </w:r>
      <w:r>
        <w:rPr>
          <w:rFonts w:hint="eastAsia" w:ascii="仿宋" w:hAnsi="仿宋" w:eastAsia="仿宋" w:cs="仿宋"/>
          <w:color w:val="auto"/>
          <w:spacing w:val="-4"/>
          <w:sz w:val="24"/>
          <w:szCs w:val="24"/>
          <w:highlight w:val="none"/>
        </w:rPr>
        <w:t>深呼吸≥1min，Valsalva≥1min，</w:t>
      </w:r>
      <w:r>
        <w:rPr>
          <w:rFonts w:hint="eastAsia" w:ascii="仿宋" w:hAnsi="仿宋" w:eastAsia="仿宋" w:cs="仿宋"/>
          <w:color w:val="auto"/>
          <w:spacing w:val="-2"/>
          <w:sz w:val="24"/>
          <w:szCs w:val="24"/>
          <w:highlight w:val="none"/>
        </w:rPr>
        <w:t>站立≥2min；静息姿态可选择坐姿或卧姿；站立时长可选择</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2"/>
          <w:sz w:val="24"/>
          <w:szCs w:val="24"/>
          <w:highlight w:val="none"/>
        </w:rPr>
        <w:t>2min</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2"/>
          <w:sz w:val="24"/>
          <w:szCs w:val="24"/>
          <w:highlight w:val="none"/>
        </w:rPr>
        <w:t>或者</w:t>
      </w:r>
      <w:r>
        <w:rPr>
          <w:rFonts w:hint="eastAsia" w:ascii="仿宋" w:hAnsi="仿宋" w:eastAsia="仿宋" w:cs="仿宋"/>
          <w:color w:val="auto"/>
          <w:spacing w:val="-58"/>
          <w:sz w:val="24"/>
          <w:szCs w:val="24"/>
          <w:highlight w:val="none"/>
        </w:rPr>
        <w:t xml:space="preserve"> </w:t>
      </w:r>
      <w:r>
        <w:rPr>
          <w:rFonts w:hint="eastAsia" w:ascii="仿宋" w:hAnsi="仿宋" w:eastAsia="仿宋" w:cs="仿宋"/>
          <w:color w:val="auto"/>
          <w:spacing w:val="-2"/>
          <w:sz w:val="24"/>
          <w:szCs w:val="24"/>
          <w:highlight w:val="none"/>
        </w:rPr>
        <w:t>5min。</w:t>
      </w:r>
    </w:p>
    <w:p w14:paraId="6B14C53D">
      <w:pPr>
        <w:spacing w:before="1" w:line="222" w:lineRule="auto"/>
        <w:ind w:left="2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14.心率变异分析软件具有病人管理、结果管理、数据统计等功能.</w:t>
      </w:r>
    </w:p>
    <w:p w14:paraId="59FF29F7">
      <w:pPr>
        <w:spacing w:before="288" w:line="411" w:lineRule="auto"/>
        <w:ind w:left="28" w:hanging="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15.数据统计：支持对同一项目下不同患者的结果进行统计对比，也可以对同一</w:t>
      </w:r>
      <w:r>
        <w:rPr>
          <w:rFonts w:hint="eastAsia" w:ascii="仿宋" w:hAnsi="仿宋" w:eastAsia="仿宋" w:cs="仿宋"/>
          <w:color w:val="auto"/>
          <w:spacing w:val="-2"/>
          <w:sz w:val="24"/>
          <w:szCs w:val="24"/>
          <w:highlight w:val="none"/>
        </w:rPr>
        <w:t>患者不同时间的检查结果进行统计对比。</w:t>
      </w:r>
    </w:p>
    <w:p w14:paraId="7476A17A">
      <w:pPr>
        <w:spacing w:line="221" w:lineRule="auto"/>
        <w:ind w:left="24"/>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16.软件支持检查数据一键导入导出和患者信息一键导入功</w:t>
      </w:r>
      <w:r>
        <w:rPr>
          <w:rFonts w:hint="eastAsia" w:ascii="仿宋" w:hAnsi="仿宋" w:eastAsia="仿宋" w:cs="仿宋"/>
          <w:color w:val="auto"/>
          <w:spacing w:val="-2"/>
          <w:sz w:val="24"/>
          <w:szCs w:val="24"/>
          <w:highlight w:val="none"/>
        </w:rPr>
        <w:t>能。</w:t>
      </w:r>
    </w:p>
    <w:p w14:paraId="0BB8748A">
      <w:pPr>
        <w:spacing w:before="289" w:line="222" w:lineRule="auto"/>
        <w:ind w:left="2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17.心率变异分析软件满足</w:t>
      </w:r>
      <w:r>
        <w:rPr>
          <w:rFonts w:hint="eastAsia" w:ascii="仿宋" w:hAnsi="仿宋" w:eastAsia="仿宋" w:cs="仿宋"/>
          <w:color w:val="auto"/>
          <w:spacing w:val="-65"/>
          <w:sz w:val="24"/>
          <w:szCs w:val="24"/>
          <w:highlight w:val="none"/>
        </w:rPr>
        <w:t xml:space="preserve"> </w:t>
      </w:r>
      <w:r>
        <w:rPr>
          <w:rFonts w:hint="eastAsia" w:ascii="仿宋" w:hAnsi="仿宋" w:eastAsia="仿宋" w:cs="仿宋"/>
          <w:color w:val="auto"/>
          <w:spacing w:val="-2"/>
          <w:sz w:val="24"/>
          <w:szCs w:val="24"/>
          <w:highlight w:val="none"/>
        </w:rPr>
        <w:t>GB/T25000.51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的质量要求和评价要求。</w:t>
      </w:r>
    </w:p>
    <w:p w14:paraId="4E4B92CB">
      <w:pPr>
        <w:spacing w:before="287" w:line="220" w:lineRule="auto"/>
        <w:ind w:left="24"/>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18.数据采集模块生理信号采样频率≥500Hz。</w:t>
      </w:r>
    </w:p>
    <w:p w14:paraId="6F034BC5">
      <w:pPr>
        <w:spacing w:before="292" w:line="411" w:lineRule="auto"/>
        <w:ind w:left="13" w:firstLine="1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19.传输数据性能要求:软件可通过有线</w:t>
      </w:r>
      <w:r>
        <w:rPr>
          <w:rFonts w:hint="eastAsia" w:ascii="仿宋" w:hAnsi="仿宋" w:eastAsia="仿宋" w:cs="仿宋"/>
          <w:color w:val="auto"/>
          <w:sz w:val="24"/>
          <w:szCs w:val="24"/>
          <w:highlight w:val="none"/>
        </w:rPr>
        <w:t>或WiFi</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z w:val="24"/>
          <w:szCs w:val="24"/>
          <w:highlight w:val="none"/>
        </w:rPr>
        <w:t>在心率变异分析软件和数据采集</w:t>
      </w:r>
      <w:r>
        <w:rPr>
          <w:rFonts w:hint="eastAsia" w:ascii="仿宋" w:hAnsi="仿宋" w:eastAsia="仿宋" w:cs="仿宋"/>
          <w:color w:val="auto"/>
          <w:spacing w:val="-2"/>
          <w:sz w:val="24"/>
          <w:szCs w:val="24"/>
          <w:highlight w:val="none"/>
        </w:rPr>
        <w:t>软件之间进行传输。</w:t>
      </w:r>
    </w:p>
    <w:p w14:paraId="3475C657">
      <w:pPr>
        <w:spacing w:line="222" w:lineRule="auto"/>
        <w:jc w:val="left"/>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20.心率变异分析软件可扩展升级，可支持连接≥5</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个信号采集模块，实现对≥5</w:t>
      </w:r>
      <w:r>
        <w:rPr>
          <w:rFonts w:hint="eastAsia" w:ascii="仿宋" w:hAnsi="仿宋" w:eastAsia="仿宋" w:cs="仿宋"/>
          <w:color w:val="auto"/>
          <w:spacing w:val="-1"/>
          <w:sz w:val="24"/>
          <w:szCs w:val="24"/>
          <w:highlight w:val="none"/>
        </w:rPr>
        <w:t>人同步数据采集、分析、处理，并生成评估报</w:t>
      </w:r>
      <w:r>
        <w:rPr>
          <w:rFonts w:hint="eastAsia" w:ascii="仿宋" w:hAnsi="仿宋" w:eastAsia="仿宋" w:cs="仿宋"/>
          <w:color w:val="auto"/>
          <w:spacing w:val="-2"/>
          <w:sz w:val="24"/>
          <w:szCs w:val="24"/>
          <w:highlight w:val="none"/>
        </w:rPr>
        <w:t>告。</w:t>
      </w:r>
    </w:p>
    <w:p w14:paraId="52A9B18A">
      <w:pPr>
        <w:spacing w:before="288" w:line="224" w:lineRule="auto"/>
        <w:ind w:left="5"/>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21.测试时间可选</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1"/>
          <w:sz w:val="24"/>
          <w:szCs w:val="24"/>
          <w:highlight w:val="none"/>
        </w:rPr>
        <w:t>3/5/10/15</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1"/>
          <w:sz w:val="24"/>
          <w:szCs w:val="24"/>
          <w:highlight w:val="none"/>
        </w:rPr>
        <w:t>分钟和手动模式，病</w:t>
      </w:r>
      <w:r>
        <w:rPr>
          <w:rFonts w:hint="eastAsia" w:ascii="仿宋" w:hAnsi="仿宋" w:eastAsia="仿宋" w:cs="仿宋"/>
          <w:color w:val="auto"/>
          <w:spacing w:val="-2"/>
          <w:sz w:val="24"/>
          <w:szCs w:val="24"/>
          <w:highlight w:val="none"/>
        </w:rPr>
        <w:t>人类型可选成人/儿童。</w:t>
      </w:r>
    </w:p>
    <w:p w14:paraId="6CDC9772">
      <w:pPr>
        <w:spacing w:before="285" w:line="411"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22.软件带有≥4</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种的量表评估,包含汉密尔顿焦虑量表(HAMA)、汉密尔顿抑</w:t>
      </w:r>
      <w:r>
        <w:rPr>
          <w:rFonts w:hint="eastAsia" w:ascii="仿宋" w:hAnsi="仿宋" w:eastAsia="仿宋" w:cs="仿宋"/>
          <w:color w:val="auto"/>
          <w:spacing w:val="-1"/>
          <w:sz w:val="24"/>
          <w:szCs w:val="24"/>
          <w:highlight w:val="none"/>
        </w:rPr>
        <w:t>郁量表(HAMD)、疲劳量表(FS-14)、匹兹堡睡眠质量指数量表(PSQI)｡</w:t>
      </w:r>
    </w:p>
    <w:p w14:paraId="112E67E6">
      <w:pPr>
        <w:spacing w:before="1" w:line="411" w:lineRule="auto"/>
        <w:ind w:firstLine="5"/>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23.数据管理:需采用</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pacing w:val="4"/>
          <w:sz w:val="24"/>
          <w:szCs w:val="24"/>
          <w:highlight w:val="none"/>
        </w:rPr>
        <w:t>服务形式提供接口,数据编码格式</w:t>
      </w:r>
      <w:r>
        <w:rPr>
          <w:rFonts w:hint="eastAsia" w:ascii="仿宋" w:hAnsi="仿宋" w:eastAsia="仿宋" w:cs="仿宋"/>
          <w:color w:val="auto"/>
          <w:spacing w:val="3"/>
          <w:sz w:val="24"/>
          <w:szCs w:val="24"/>
          <w:highlight w:val="none"/>
        </w:rPr>
        <w:t>为</w:t>
      </w:r>
      <w:r>
        <w:rPr>
          <w:rFonts w:hint="eastAsia" w:ascii="仿宋" w:hAnsi="仿宋" w:eastAsia="仿宋" w:cs="仿宋"/>
          <w:color w:val="auto"/>
          <w:sz w:val="24"/>
          <w:szCs w:val="24"/>
          <w:highlight w:val="none"/>
        </w:rPr>
        <w:t>JSON</w:t>
      </w:r>
      <w:r>
        <w:rPr>
          <w:rFonts w:hint="eastAsia" w:ascii="仿宋" w:hAnsi="仿宋" w:eastAsia="仿宋" w:cs="仿宋"/>
          <w:color w:val="auto"/>
          <w:spacing w:val="3"/>
          <w:sz w:val="24"/>
          <w:szCs w:val="24"/>
          <w:highlight w:val="none"/>
        </w:rPr>
        <w:t>格式,标准的</w:t>
      </w:r>
      <w:r>
        <w:rPr>
          <w:rFonts w:hint="eastAsia" w:ascii="仿宋" w:hAnsi="仿宋" w:eastAsia="仿宋" w:cs="仿宋"/>
          <w:color w:val="auto"/>
          <w:spacing w:val="-1"/>
          <w:sz w:val="24"/>
          <w:szCs w:val="24"/>
          <w:highlight w:val="none"/>
        </w:rPr>
        <w:t>restfulAPI</w:t>
      </w:r>
      <w:r>
        <w:rPr>
          <w:rFonts w:hint="eastAsia" w:ascii="仿宋" w:hAnsi="仿宋" w:eastAsia="仿宋" w:cs="仿宋"/>
          <w:color w:val="auto"/>
          <w:spacing w:val="-52"/>
          <w:sz w:val="24"/>
          <w:szCs w:val="24"/>
          <w:highlight w:val="none"/>
        </w:rPr>
        <w:t xml:space="preserve"> </w:t>
      </w:r>
      <w:r>
        <w:rPr>
          <w:rFonts w:hint="eastAsia" w:ascii="仿宋" w:hAnsi="仿宋" w:eastAsia="仿宋" w:cs="仿宋"/>
          <w:color w:val="auto"/>
          <w:spacing w:val="-1"/>
          <w:sz w:val="24"/>
          <w:szCs w:val="24"/>
          <w:highlight w:val="none"/>
        </w:rPr>
        <w:t>接口方便调用,使用标准的</w:t>
      </w:r>
      <w:r>
        <w:rPr>
          <w:rFonts w:hint="eastAsia" w:ascii="仿宋" w:hAnsi="仿宋" w:eastAsia="仿宋" w:cs="仿宋"/>
          <w:color w:val="auto"/>
          <w:spacing w:val="-62"/>
          <w:sz w:val="24"/>
          <w:szCs w:val="24"/>
          <w:highlight w:val="none"/>
        </w:rPr>
        <w:t xml:space="preserve"> </w:t>
      </w:r>
      <w:r>
        <w:rPr>
          <w:rFonts w:hint="eastAsia" w:ascii="仿宋" w:hAnsi="仿宋" w:eastAsia="仿宋" w:cs="仿宋"/>
          <w:color w:val="auto"/>
          <w:spacing w:val="-1"/>
          <w:sz w:val="24"/>
          <w:szCs w:val="24"/>
          <w:highlight w:val="none"/>
        </w:rPr>
        <w:t>OAut</w:t>
      </w:r>
      <w:r>
        <w:rPr>
          <w:rFonts w:hint="eastAsia" w:ascii="仿宋" w:hAnsi="仿宋" w:eastAsia="仿宋" w:cs="仿宋"/>
          <w:color w:val="auto"/>
          <w:spacing w:val="-2"/>
          <w:sz w:val="24"/>
          <w:szCs w:val="24"/>
          <w:highlight w:val="none"/>
        </w:rPr>
        <w:t>h2.0</w:t>
      </w:r>
      <w:r>
        <w:rPr>
          <w:rFonts w:hint="eastAsia" w:ascii="仿宋" w:hAnsi="仿宋" w:eastAsia="仿宋" w:cs="仿宋"/>
          <w:color w:val="auto"/>
          <w:spacing w:val="-49"/>
          <w:sz w:val="24"/>
          <w:szCs w:val="24"/>
          <w:highlight w:val="none"/>
        </w:rPr>
        <w:t xml:space="preserve"> </w:t>
      </w:r>
      <w:r>
        <w:rPr>
          <w:rFonts w:hint="eastAsia" w:ascii="仿宋" w:hAnsi="仿宋" w:eastAsia="仿宋" w:cs="仿宋"/>
          <w:color w:val="auto"/>
          <w:spacing w:val="-2"/>
          <w:sz w:val="24"/>
          <w:szCs w:val="24"/>
          <w:highlight w:val="none"/>
        </w:rPr>
        <w:t>鉴权确保信息传输安全。</w:t>
      </w:r>
    </w:p>
    <w:p w14:paraId="5D4699C7">
      <w:pPr>
        <w:pStyle w:val="11"/>
        <w:spacing w:line="276" w:lineRule="auto"/>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24.设备使用年限：</w:t>
      </w:r>
      <w:r>
        <w:rPr>
          <w:rFonts w:hint="eastAsia" w:ascii="仿宋" w:hAnsi="仿宋" w:eastAsia="仿宋" w:cs="仿宋"/>
          <w:color w:val="auto"/>
          <w:spacing w:val="-94"/>
          <w:sz w:val="24"/>
          <w:szCs w:val="24"/>
          <w:highlight w:val="none"/>
        </w:rPr>
        <w:t xml:space="preserve"> </w:t>
      </w:r>
      <w:r>
        <w:rPr>
          <w:rFonts w:hint="eastAsia" w:ascii="仿宋" w:hAnsi="仿宋" w:eastAsia="仿宋" w:cs="仿宋"/>
          <w:color w:val="auto"/>
          <w:spacing w:val="-6"/>
          <w:sz w:val="24"/>
          <w:szCs w:val="24"/>
          <w:highlight w:val="none"/>
        </w:rPr>
        <w:t>≥9</w:t>
      </w:r>
      <w:r>
        <w:rPr>
          <w:rFonts w:hint="eastAsia" w:ascii="仿宋" w:hAnsi="仿宋" w:eastAsia="仿宋" w:cs="仿宋"/>
          <w:color w:val="auto"/>
          <w:spacing w:val="-48"/>
          <w:sz w:val="24"/>
          <w:szCs w:val="24"/>
          <w:highlight w:val="none"/>
        </w:rPr>
        <w:t xml:space="preserve"> </w:t>
      </w:r>
      <w:r>
        <w:rPr>
          <w:rFonts w:hint="eastAsia" w:ascii="仿宋" w:hAnsi="仿宋" w:eastAsia="仿宋" w:cs="仿宋"/>
          <w:color w:val="auto"/>
          <w:spacing w:val="-6"/>
          <w:sz w:val="24"/>
          <w:szCs w:val="24"/>
          <w:highlight w:val="none"/>
        </w:rPr>
        <w:t>年。</w:t>
      </w:r>
    </w:p>
    <w:p w14:paraId="3E8AAA9D">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FC738A6">
      <w:pPr>
        <w:spacing w:before="91" w:line="222" w:lineRule="auto"/>
        <w:ind w:left="2940" w:firstLine="940" w:firstLineChars="400"/>
        <w:outlineLvl w:val="0"/>
        <w:rPr>
          <w:rFonts w:hint="eastAsia" w:ascii="仿宋" w:hAnsi="仿宋" w:eastAsia="仿宋" w:cs="仿宋"/>
          <w:b/>
          <w:bCs/>
          <w:color w:val="auto"/>
          <w:spacing w:val="-3"/>
          <w:sz w:val="24"/>
          <w:szCs w:val="24"/>
          <w:highlight w:val="none"/>
          <w:lang w:val="en-US" w:eastAsia="zh-CN"/>
        </w:rPr>
      </w:pPr>
      <w:bookmarkStart w:id="727" w:name="_Toc26998"/>
      <w:bookmarkStart w:id="728" w:name="_Toc26401"/>
      <w:bookmarkStart w:id="729" w:name="_Toc27140"/>
      <w:r>
        <w:rPr>
          <w:rFonts w:hint="eastAsia" w:ascii="仿宋" w:hAnsi="仿宋" w:eastAsia="仿宋" w:cs="仿宋"/>
          <w:b/>
          <w:bCs/>
          <w:color w:val="auto"/>
          <w:spacing w:val="-3"/>
          <w:sz w:val="24"/>
          <w:szCs w:val="24"/>
          <w:highlight w:val="none"/>
          <w:lang w:val="en-US" w:eastAsia="zh-CN"/>
        </w:rPr>
        <w:t>17.离心机</w:t>
      </w:r>
      <w:bookmarkEnd w:id="727"/>
      <w:bookmarkEnd w:id="728"/>
      <w:bookmarkEnd w:id="729"/>
    </w:p>
    <w:p w14:paraId="3E71750D">
      <w:pPr>
        <w:spacing w:before="91" w:line="222" w:lineRule="auto"/>
        <w:ind w:left="2940"/>
        <w:outlineLvl w:val="0"/>
        <w:rPr>
          <w:rFonts w:hint="eastAsia" w:ascii="仿宋" w:hAnsi="仿宋" w:eastAsia="仿宋" w:cs="仿宋"/>
          <w:b/>
          <w:bCs/>
          <w:color w:val="auto"/>
          <w:spacing w:val="-3"/>
          <w:sz w:val="24"/>
          <w:szCs w:val="24"/>
          <w:highlight w:val="none"/>
          <w:lang w:val="en-US" w:eastAsia="zh-CN"/>
        </w:rPr>
      </w:pPr>
      <w:bookmarkStart w:id="730" w:name="_Toc16490"/>
      <w:bookmarkStart w:id="731" w:name="_Toc6449"/>
      <w:bookmarkStart w:id="732" w:name="_Toc21389"/>
      <w:r>
        <w:rPr>
          <w:rFonts w:hint="eastAsia" w:ascii="仿宋" w:hAnsi="仿宋" w:eastAsia="仿宋" w:cs="仿宋"/>
          <w:b/>
          <w:bCs/>
          <w:color w:val="auto"/>
          <w:spacing w:val="-3"/>
          <w:sz w:val="24"/>
          <w:szCs w:val="24"/>
          <w:highlight w:val="none"/>
          <w:lang w:val="en-US" w:eastAsia="zh-CN"/>
        </w:rPr>
        <w:t>17.1低速冷冻离心机技术参数</w:t>
      </w:r>
      <w:bookmarkEnd w:id="730"/>
      <w:bookmarkEnd w:id="731"/>
      <w:bookmarkEnd w:id="732"/>
    </w:p>
    <w:p w14:paraId="06BC14B7">
      <w:pPr>
        <w:pStyle w:val="11"/>
        <w:spacing w:line="312" w:lineRule="auto"/>
        <w:rPr>
          <w:rFonts w:hint="eastAsia" w:ascii="仿宋" w:hAnsi="仿宋" w:eastAsia="仿宋" w:cs="仿宋"/>
          <w:color w:val="auto"/>
          <w:highlight w:val="none"/>
        </w:rPr>
      </w:pPr>
    </w:p>
    <w:p w14:paraId="724D6010">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1、交流变频电机驱动</w:t>
      </w:r>
    </w:p>
    <w:p w14:paraId="75F14E03">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2、压缩机，高效无氟环保制冷剂</w:t>
      </w:r>
    </w:p>
    <w:p w14:paraId="2896A825">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3、微电脑控制，触摸键设定参数，液晶屏同步显示设定参数和实时运行参数及运行状态</w:t>
      </w:r>
    </w:p>
    <w:p w14:paraId="6B0B2143">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 ≥10 种升、降速率选择，可根据样品特性选择升降速度</w:t>
      </w:r>
    </w:p>
    <w:p w14:paraId="7C95E708">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 ≥10 种工作程序设定，可自由编程离心参数</w:t>
      </w:r>
    </w:p>
    <w:p w14:paraId="7F59E407">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6、转速、离心力相互设定，同步显示， 自动计算 RCF 值</w:t>
      </w:r>
    </w:p>
    <w:p w14:paraId="31240E8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7、可设定两种计时模式：启动计时、定速计时☆瞬时离心功能，可快速处理样品</w:t>
      </w:r>
    </w:p>
    <w:p w14:paraId="1FA233B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8、快速预制冷功能：从室温降到4℃≤6 分钟</w:t>
      </w:r>
    </w:p>
    <w:p w14:paraId="614D346A">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9、门盖采用双锁杆设计，磁感应门锁，启动后自动锁紧门盖</w:t>
      </w:r>
    </w:p>
    <w:p w14:paraId="199D141B">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10、一键电动开门，断电有应急开锁装置</w:t>
      </w:r>
    </w:p>
    <w:p w14:paraId="7E7F272D">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11、内腔底部带排水孔</w:t>
      </w:r>
    </w:p>
    <w:p w14:paraId="4503448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12、无需专门配平，离心最大允许偏差 30 克</w:t>
      </w:r>
    </w:p>
    <w:p w14:paraId="3038B703">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13、运行中可随时更改参数，无需停机</w:t>
      </w:r>
    </w:p>
    <w:p w14:paraId="6C0B54F1">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14、有门锁、不平衡、超速、过流等多重保护功能，有异常会报警停转</w:t>
      </w:r>
    </w:p>
    <w:p w14:paraId="29A1B927">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 吊杯采用专利防脱设计，提篮采用三层插片组合</w:t>
      </w:r>
    </w:p>
    <w:p w14:paraId="0F219F70">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16、可选配真空管脱帽器，脱帽率：＞95％ ，离心结束有声音提示</w:t>
      </w:r>
    </w:p>
    <w:p w14:paraId="13AD3997">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17、最高转速： ≥4200rpm</w:t>
      </w:r>
    </w:p>
    <w:p w14:paraId="776578C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18、最大相对离心力： ≥3826×g</w:t>
      </w:r>
    </w:p>
    <w:p w14:paraId="6F594C3D">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19、转速精度：≤±10rpm</w:t>
      </w:r>
    </w:p>
    <w:p w14:paraId="6E95D152">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20、转子最大容量：750ml×4</w:t>
      </w:r>
    </w:p>
    <w:p w14:paraId="0C0B0716">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21、噪音：≤60dB</w:t>
      </w:r>
    </w:p>
    <w:p w14:paraId="1C40E1CA">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22、定时范围：1sec～99h59min59sec</w:t>
      </w:r>
    </w:p>
    <w:p w14:paraId="0DDA3CF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23、水平转子 750mlx4 圆吊杯一套（最高转速≥4200rpm,最大离心力≥3800xg）；真空采血管x96 三套</w:t>
      </w:r>
    </w:p>
    <w:p w14:paraId="1C28151C">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sectPr>
          <w:pgSz w:w="11906" w:h="16839"/>
          <w:pgMar w:top="1247" w:right="987" w:bottom="1247" w:left="1194" w:header="0" w:footer="567" w:gutter="0"/>
          <w:pgNumType w:fmt="decimal"/>
          <w:cols w:space="720" w:num="1"/>
        </w:sectPr>
      </w:pPr>
    </w:p>
    <w:p w14:paraId="13E66340">
      <w:pPr>
        <w:spacing w:before="91" w:line="222" w:lineRule="auto"/>
        <w:ind w:left="2940"/>
        <w:outlineLvl w:val="0"/>
        <w:rPr>
          <w:rFonts w:hint="eastAsia" w:ascii="仿宋" w:hAnsi="仿宋" w:eastAsia="仿宋" w:cs="仿宋"/>
          <w:b/>
          <w:bCs/>
          <w:color w:val="auto"/>
          <w:spacing w:val="-3"/>
          <w:sz w:val="24"/>
          <w:szCs w:val="24"/>
          <w:highlight w:val="none"/>
          <w:lang w:val="en-US" w:eastAsia="zh-CN"/>
        </w:rPr>
      </w:pPr>
      <w:bookmarkStart w:id="733" w:name="_Toc28662"/>
      <w:bookmarkStart w:id="734" w:name="_Toc7037"/>
      <w:bookmarkStart w:id="735" w:name="_Toc3999"/>
      <w:r>
        <w:rPr>
          <w:rFonts w:hint="eastAsia" w:ascii="仿宋" w:hAnsi="仿宋" w:eastAsia="仿宋" w:cs="仿宋"/>
          <w:b/>
          <w:bCs/>
          <w:color w:val="auto"/>
          <w:spacing w:val="-3"/>
          <w:sz w:val="24"/>
          <w:szCs w:val="24"/>
          <w:highlight w:val="none"/>
          <w:lang w:val="en-US" w:eastAsia="zh-CN"/>
        </w:rPr>
        <w:t>17.2低速离心机</w:t>
      </w:r>
      <w:bookmarkEnd w:id="733"/>
      <w:bookmarkEnd w:id="734"/>
      <w:bookmarkEnd w:id="735"/>
    </w:p>
    <w:p w14:paraId="2C5E2CD1">
      <w:pPr>
        <w:pStyle w:val="11"/>
        <w:spacing w:line="312" w:lineRule="auto"/>
        <w:rPr>
          <w:rFonts w:hint="eastAsia" w:ascii="仿宋" w:hAnsi="仿宋" w:eastAsia="仿宋" w:cs="仿宋"/>
          <w:color w:val="auto"/>
          <w:highlight w:val="none"/>
        </w:rPr>
      </w:pPr>
    </w:p>
    <w:p w14:paraId="0EE2C4CE">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1.交流变频电机驱动；</w:t>
      </w:r>
    </w:p>
    <w:p w14:paraId="089478D0">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2.微电脑控制,触摸键设定参数，LCD 液晶同时显示设定参数和实际运行参数及运行状态；</w:t>
      </w:r>
    </w:p>
    <w:p w14:paraId="3FB5FDBC">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 ≥10 个升、降速档位选择，可根据样品特性选择升降速度；</w:t>
      </w:r>
    </w:p>
    <w:p w14:paraId="484B66BB">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 ≥15 种工作程序设定，可自由编程；</w:t>
      </w:r>
    </w:p>
    <w:p w14:paraId="4231D02B">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5.转速、离心力相互设定，同步显示， 自动计算 RCF 值；</w:t>
      </w:r>
    </w:p>
    <w:p w14:paraId="56716D93">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6.两种计时模式：启动计时和定速计时；</w:t>
      </w:r>
    </w:p>
    <w:p w14:paraId="4A6D3B2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7.瞬时离心功能，可快速处理样品；</w:t>
      </w:r>
    </w:p>
    <w:p w14:paraId="324CF1D2">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8.门盖采用双锁杆设计、磁感应安全门锁，启动后自动锁闭门盖；</w:t>
      </w:r>
    </w:p>
    <w:p w14:paraId="45FBADC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9.一键电动开门，断电有应急开锁装置；</w:t>
      </w:r>
    </w:p>
    <w:p w14:paraId="32352B91">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 目视平衡,无需专门配平，最大偏重≥30 克；</w:t>
      </w:r>
    </w:p>
    <w:p w14:paraId="07A32EDD">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11.运行中可随时更改参数,无需停机；</w:t>
      </w:r>
    </w:p>
    <w:p w14:paraId="721A24E8">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12.有门锁、不平衡、超速、过流等多重保护功能，出现异常会报警停转；</w:t>
      </w:r>
    </w:p>
    <w:p w14:paraId="5D51867D">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13.具备风冷排风设计；</w:t>
      </w:r>
    </w:p>
    <w:p w14:paraId="3DFFE95F">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14.提篮采用三层插片式设计；</w:t>
      </w:r>
    </w:p>
    <w:p w14:paraId="140F7930">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15.离心结束有声音提示；</w:t>
      </w:r>
    </w:p>
    <w:p w14:paraId="1726DD38">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16.最高转速：≥6000rpm；</w:t>
      </w:r>
    </w:p>
    <w:p w14:paraId="765436C9">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17.最大相对离心力：≥5400×g；</w:t>
      </w:r>
    </w:p>
    <w:p w14:paraId="4F5D9906">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18.转头最大容量： ≥4×500ml；配水平转头：68×真空采血管，配脱帽器；4×250ml；12×50ml；角转头：12× 15ml；酶标板转头：96 孔×2；96 孔×4；</w:t>
      </w:r>
    </w:p>
    <w:p w14:paraId="4946C1C3">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19.转速精度：≤±10rpm；</w:t>
      </w:r>
    </w:p>
    <w:p w14:paraId="51845920">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20.噪音：≤58dB；</w:t>
      </w:r>
    </w:p>
    <w:p w14:paraId="771CCFFE">
      <w:pPr>
        <w:keepNext w:val="0"/>
        <w:keepLines w:val="0"/>
        <w:pageBreakBefore w:val="0"/>
        <w:widowControl w:val="0"/>
        <w:kinsoku/>
        <w:wordWrap/>
        <w:overflowPunct/>
        <w:topLinePunct w:val="0"/>
        <w:autoSpaceDE/>
        <w:autoSpaceDN/>
        <w:bidi w:val="0"/>
        <w:adjustRightInd/>
        <w:snapToGrid/>
        <w:spacing w:before="1" w:line="360" w:lineRule="auto"/>
        <w:ind w:left="23"/>
        <w:textAlignment w:val="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1"/>
          <w:sz w:val="24"/>
          <w:szCs w:val="24"/>
          <w:highlight w:val="none"/>
        </w:rPr>
        <w:t>21.定时范围：0～99h59min59sec。</w:t>
      </w:r>
      <w:r>
        <w:rPr>
          <w:rFonts w:hint="eastAsia" w:ascii="仿宋" w:hAnsi="仿宋" w:eastAsia="仿宋" w:cs="仿宋"/>
          <w:color w:val="auto"/>
          <w:spacing w:val="-6"/>
          <w:sz w:val="24"/>
          <w:szCs w:val="24"/>
          <w:highlight w:val="none"/>
          <w:lang w:val="en-US" w:eastAsia="zh-CN"/>
        </w:rPr>
        <w:br w:type="page"/>
      </w:r>
    </w:p>
    <w:p w14:paraId="6E3C0CCC">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合同包7</w:t>
      </w:r>
    </w:p>
    <w:p w14:paraId="39CAE447">
      <w:pPr>
        <w:spacing w:before="91" w:line="222" w:lineRule="auto"/>
        <w:ind w:left="3350"/>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w:t>
      </w:r>
      <w:r>
        <w:rPr>
          <w:rFonts w:hint="eastAsia" w:ascii="仿宋" w:hAnsi="仿宋" w:eastAsia="仿宋" w:cs="仿宋"/>
          <w:b/>
          <w:bCs/>
          <w:color w:val="auto"/>
          <w:spacing w:val="-3"/>
          <w:sz w:val="24"/>
          <w:szCs w:val="24"/>
          <w:highlight w:val="none"/>
        </w:rPr>
        <w:t>空气消毒机技术参数</w:t>
      </w:r>
    </w:p>
    <w:p w14:paraId="20A7E527">
      <w:pPr>
        <w:pStyle w:val="11"/>
        <w:spacing w:line="313" w:lineRule="auto"/>
        <w:rPr>
          <w:rFonts w:hint="eastAsia" w:ascii="仿宋" w:hAnsi="仿宋" w:eastAsia="仿宋" w:cs="仿宋"/>
          <w:color w:val="auto"/>
          <w:sz w:val="24"/>
          <w:szCs w:val="24"/>
          <w:highlight w:val="none"/>
        </w:rPr>
      </w:pPr>
    </w:p>
    <w:p w14:paraId="3C8B83C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1、基本要求</w:t>
      </w:r>
    </w:p>
    <w:p w14:paraId="6B7785F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 人机共存；动态消毒机,人机共存使用；</w:t>
      </w:r>
    </w:p>
    <w:p w14:paraId="15A5D10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 采用微电脑程序控制，大屏幕中文液晶显示，触摸式按键操作，触摸式控制面板临时消毒功能及程控自动运行消毒设定，任意设置开关机时间；一键锁定功能，屏幕上显示温度，湿度，PM2.5 数值；</w:t>
      </w:r>
    </w:p>
    <w:p w14:paraId="46EE15D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 按键式触控面板，一键式遥控器远程操控；</w:t>
      </w:r>
    </w:p>
    <w:p w14:paraId="6EAE8FD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 提供手动、自动、程控定时工作模式供用户自由选择；用户可自由选择消毒时间段, 自动开机,消毒完成后自动关闭；</w:t>
      </w:r>
    </w:p>
    <w:p w14:paraId="5EE1D84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 风速可调节；</w:t>
      </w:r>
    </w:p>
    <w:p w14:paraId="0799C5A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 智能故障提示； 自动判断风机、等离子体电源是否正常工作；</w:t>
      </w:r>
    </w:p>
    <w:p w14:paraId="154514A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 可过滤空气中的尘埃及微生物；</w:t>
      </w:r>
    </w:p>
    <w:p w14:paraId="7E76F49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 对空气中 自然菌平均的消亡率≥90%,对空气中白葡萄菌杀灭率≥ 99%；</w:t>
      </w:r>
    </w:p>
    <w:p w14:paraId="72DF251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2、主要性能参数</w:t>
      </w:r>
    </w:p>
    <w:p w14:paraId="6F45F06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2.1 移动式；</w:t>
      </w:r>
    </w:p>
    <w:p w14:paraId="351E3F9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2.2 输入功率：≤150W；</w:t>
      </w:r>
    </w:p>
    <w:p w14:paraId="11C140F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2.3 循环风量： ≥800m3/h；</w:t>
      </w:r>
    </w:p>
    <w:p w14:paraId="2F1FAFA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2.4 噪声：≤60dB（A）；</w:t>
      </w:r>
    </w:p>
    <w:p w14:paraId="7D03467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 工作环境中臭氧残留量：≤0.037mg/m3；</w:t>
      </w:r>
    </w:p>
    <w:p w14:paraId="215C858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2.6 等离子体密度分布：4.27×1017～5.16×1018m-3；</w:t>
      </w:r>
    </w:p>
    <w:p w14:paraId="2F8AAD6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2.7 消毒后平均菌数：≤100cfu/m3；</w:t>
      </w:r>
    </w:p>
    <w:p w14:paraId="68112C7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2.8 等离子体发生器寿命： ≥30000 小时；</w:t>
      </w:r>
    </w:p>
    <w:p w14:paraId="6DBA5C3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2.9 负离子浓度： ≥2.38×107 个/cm3。</w:t>
      </w:r>
    </w:p>
    <w:p w14:paraId="7B1662C4">
      <w:pPr>
        <w:spacing w:before="1" w:line="411" w:lineRule="auto"/>
        <w:ind w:left="11" w:firstLine="12"/>
        <w:rPr>
          <w:rFonts w:hint="eastAsia" w:ascii="仿宋" w:hAnsi="仿宋" w:eastAsia="仿宋" w:cs="仿宋"/>
          <w:color w:val="auto"/>
          <w:spacing w:val="-1"/>
          <w:sz w:val="24"/>
          <w:szCs w:val="24"/>
          <w:highlight w:val="none"/>
        </w:rPr>
      </w:pPr>
    </w:p>
    <w:p w14:paraId="5554299D">
      <w:pPr>
        <w:spacing w:before="91" w:line="222" w:lineRule="auto"/>
        <w:ind w:left="14"/>
        <w:jc w:val="center"/>
        <w:outlineLvl w:val="1"/>
        <w:rPr>
          <w:rFonts w:hint="eastAsia" w:ascii="仿宋" w:hAnsi="仿宋" w:eastAsia="仿宋" w:cs="仿宋"/>
          <w:b/>
          <w:bCs/>
          <w:color w:val="auto"/>
          <w:spacing w:val="-6"/>
          <w:sz w:val="24"/>
          <w:szCs w:val="24"/>
          <w:highlight w:val="none"/>
          <w:lang w:val="en-US" w:eastAsia="zh-CN"/>
        </w:rPr>
      </w:pPr>
    </w:p>
    <w:p w14:paraId="6895DF92">
      <w:pPr>
        <w:spacing w:before="91" w:line="222" w:lineRule="auto"/>
        <w:ind w:left="14"/>
        <w:jc w:val="center"/>
        <w:outlineLvl w:val="1"/>
        <w:rPr>
          <w:rFonts w:hint="eastAsia" w:ascii="仿宋" w:hAnsi="仿宋" w:eastAsia="仿宋" w:cs="仿宋"/>
          <w:b/>
          <w:bCs/>
          <w:color w:val="auto"/>
          <w:spacing w:val="-6"/>
          <w:sz w:val="24"/>
          <w:szCs w:val="24"/>
          <w:highlight w:val="none"/>
          <w:lang w:val="en-US" w:eastAsia="zh-CN"/>
        </w:rPr>
      </w:pPr>
    </w:p>
    <w:p w14:paraId="00C0721A">
      <w:pPr>
        <w:spacing w:before="91" w:line="222" w:lineRule="auto"/>
        <w:ind w:left="14"/>
        <w:jc w:val="center"/>
        <w:outlineLvl w:val="1"/>
        <w:rPr>
          <w:rFonts w:hint="eastAsia" w:ascii="仿宋" w:hAnsi="仿宋" w:eastAsia="仿宋" w:cs="仿宋"/>
          <w:color w:val="auto"/>
          <w:sz w:val="24"/>
          <w:szCs w:val="24"/>
          <w:highlight w:val="none"/>
        </w:rPr>
      </w:pPr>
      <w:bookmarkStart w:id="736" w:name="_Toc2831"/>
      <w:bookmarkStart w:id="737" w:name="_Toc6223"/>
      <w:bookmarkStart w:id="738" w:name="_Toc10836"/>
      <w:r>
        <w:rPr>
          <w:rFonts w:hint="eastAsia" w:ascii="仿宋" w:hAnsi="仿宋" w:eastAsia="仿宋" w:cs="仿宋"/>
          <w:b/>
          <w:bCs/>
          <w:color w:val="auto"/>
          <w:spacing w:val="-6"/>
          <w:sz w:val="24"/>
          <w:szCs w:val="24"/>
          <w:highlight w:val="none"/>
          <w:lang w:val="en-US" w:eastAsia="zh-CN"/>
        </w:rPr>
        <w:t>2.</w:t>
      </w:r>
      <w:r>
        <w:rPr>
          <w:rFonts w:hint="eastAsia" w:ascii="仿宋" w:hAnsi="仿宋" w:eastAsia="仿宋" w:cs="仿宋"/>
          <w:b/>
          <w:bCs/>
          <w:color w:val="auto"/>
          <w:spacing w:val="-6"/>
          <w:sz w:val="24"/>
          <w:szCs w:val="24"/>
          <w:highlight w:val="none"/>
        </w:rPr>
        <w:t>防辐射裙</w:t>
      </w:r>
      <w:bookmarkEnd w:id="736"/>
      <w:bookmarkEnd w:id="737"/>
      <w:bookmarkEnd w:id="738"/>
    </w:p>
    <w:p w14:paraId="72ECF804">
      <w:pPr>
        <w:spacing w:before="1" w:line="411" w:lineRule="auto"/>
        <w:ind w:left="11" w:right="0"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1）防护服采用多层制作工艺，前面采用四层0.125mmp 进口材料超轻超柔超薄防护材料组合成 0.5mmpb，背面采用二层0.125mmpb 组合0.25mmpb；</w:t>
      </w:r>
    </w:p>
    <w:p w14:paraId="33F03DD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2）铅当量：前面≥0.5mmPb，后面及袖子≥0.25mmPb</w:t>
      </w:r>
    </w:p>
    <w:p w14:paraId="51ABFA1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3）表面面料为防水指数≥1000 的射线防护服专用设计</w:t>
      </w:r>
    </w:p>
    <w:p w14:paraId="36D37C2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4）表面材料有≥50 种颜色、图案可供选择。</w:t>
      </w:r>
    </w:p>
    <w:p w14:paraId="2987746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5）防护衣可根据每位医生的身高腰围肩宽提供量身定做服务。</w:t>
      </w:r>
    </w:p>
    <w:p w14:paraId="094081B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6）防护衣可提供半袖和无袖选择，一体式和分体式选择。</w:t>
      </w:r>
    </w:p>
    <w:p w14:paraId="3315430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7）铅衣配备有口袋。</w:t>
      </w:r>
    </w:p>
    <w:p w14:paraId="233FFB2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8）每件铅衣绣上医生名字或绣上名字加日期。</w:t>
      </w:r>
    </w:p>
    <w:p w14:paraId="2322EBD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9）铅衣选择对人体安全无害的材料，采用优质魔术贴、缝线。</w:t>
      </w:r>
    </w:p>
    <w:p w14:paraId="6ECBC5E9">
      <w:pPr>
        <w:spacing w:before="92" w:line="222" w:lineRule="auto"/>
        <w:ind w:left="18"/>
        <w:jc w:val="center"/>
        <w:outlineLvl w:val="1"/>
        <w:rPr>
          <w:rFonts w:hint="eastAsia" w:ascii="仿宋" w:hAnsi="仿宋" w:eastAsia="仿宋" w:cs="仿宋"/>
          <w:b/>
          <w:bCs/>
          <w:color w:val="auto"/>
          <w:spacing w:val="-6"/>
          <w:sz w:val="24"/>
          <w:szCs w:val="24"/>
          <w:highlight w:val="none"/>
          <w:lang w:val="en-US" w:eastAsia="zh-CN"/>
        </w:rPr>
      </w:pPr>
    </w:p>
    <w:p w14:paraId="11722233">
      <w:pPr>
        <w:spacing w:before="92" w:line="222" w:lineRule="auto"/>
        <w:ind w:left="18"/>
        <w:jc w:val="center"/>
        <w:outlineLvl w:val="1"/>
        <w:rPr>
          <w:rFonts w:hint="eastAsia" w:ascii="仿宋" w:hAnsi="仿宋" w:eastAsia="仿宋" w:cs="仿宋"/>
          <w:color w:val="auto"/>
          <w:sz w:val="24"/>
          <w:szCs w:val="24"/>
          <w:highlight w:val="none"/>
        </w:rPr>
      </w:pPr>
      <w:bookmarkStart w:id="739" w:name="_Toc29602"/>
      <w:bookmarkStart w:id="740" w:name="_Toc26810"/>
      <w:bookmarkStart w:id="741" w:name="_Toc15653"/>
      <w:r>
        <w:rPr>
          <w:rFonts w:hint="eastAsia" w:ascii="仿宋" w:hAnsi="仿宋" w:eastAsia="仿宋" w:cs="仿宋"/>
          <w:b/>
          <w:bCs/>
          <w:color w:val="auto"/>
          <w:spacing w:val="-6"/>
          <w:sz w:val="24"/>
          <w:szCs w:val="24"/>
          <w:highlight w:val="none"/>
          <w:lang w:val="en-US" w:eastAsia="zh-CN"/>
        </w:rPr>
        <w:t>3.</w:t>
      </w:r>
      <w:r>
        <w:rPr>
          <w:rFonts w:hint="eastAsia" w:ascii="仿宋" w:hAnsi="仿宋" w:eastAsia="仿宋" w:cs="仿宋"/>
          <w:b/>
          <w:bCs/>
          <w:color w:val="auto"/>
          <w:spacing w:val="-6"/>
          <w:sz w:val="24"/>
          <w:szCs w:val="24"/>
          <w:highlight w:val="none"/>
        </w:rPr>
        <w:t>防辐射围领</w:t>
      </w:r>
      <w:bookmarkEnd w:id="739"/>
      <w:bookmarkEnd w:id="740"/>
      <w:bookmarkEnd w:id="741"/>
    </w:p>
    <w:p w14:paraId="2251B58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1）里面由四层≥0.125mmPb 进口材料防护材料组成</w:t>
      </w:r>
    </w:p>
    <w:p w14:paraId="3B44294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2）表面面料为防水指数≥1000</w:t>
      </w:r>
    </w:p>
    <w:p w14:paraId="047E313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3）铅当量≥0.5mmPb，可提供≥20 种颜色，可按医护人员需求量身定制，每个大领围脖配 1 个棉衬。</w:t>
      </w:r>
    </w:p>
    <w:p w14:paraId="58F0C3E8">
      <w:pPr>
        <w:spacing w:before="278" w:line="223" w:lineRule="auto"/>
        <w:ind w:left="17"/>
        <w:jc w:val="center"/>
        <w:outlineLvl w:val="1"/>
        <w:rPr>
          <w:rFonts w:hint="eastAsia" w:ascii="仿宋" w:hAnsi="仿宋" w:eastAsia="仿宋" w:cs="仿宋"/>
          <w:color w:val="auto"/>
          <w:sz w:val="24"/>
          <w:szCs w:val="24"/>
          <w:highlight w:val="none"/>
        </w:rPr>
      </w:pPr>
      <w:bookmarkStart w:id="742" w:name="_Toc30946"/>
      <w:bookmarkStart w:id="743" w:name="_Toc18800"/>
      <w:bookmarkStart w:id="744" w:name="_Toc32321"/>
      <w:r>
        <w:rPr>
          <w:rFonts w:hint="eastAsia" w:ascii="仿宋" w:hAnsi="仿宋" w:eastAsia="仿宋" w:cs="仿宋"/>
          <w:b/>
          <w:bCs/>
          <w:color w:val="auto"/>
          <w:spacing w:val="-6"/>
          <w:sz w:val="24"/>
          <w:szCs w:val="24"/>
          <w:highlight w:val="none"/>
          <w:lang w:val="en-US" w:eastAsia="zh-CN"/>
        </w:rPr>
        <w:t>4.</w:t>
      </w:r>
      <w:r>
        <w:rPr>
          <w:rFonts w:hint="eastAsia" w:ascii="仿宋" w:hAnsi="仿宋" w:eastAsia="仿宋" w:cs="仿宋"/>
          <w:b/>
          <w:bCs/>
          <w:color w:val="auto"/>
          <w:spacing w:val="-6"/>
          <w:sz w:val="24"/>
          <w:szCs w:val="24"/>
          <w:highlight w:val="none"/>
        </w:rPr>
        <w:t>铅衣专用衣架</w:t>
      </w:r>
      <w:bookmarkEnd w:id="742"/>
      <w:bookmarkEnd w:id="743"/>
      <w:bookmarkEnd w:id="744"/>
    </w:p>
    <w:p w14:paraId="6F5E5D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1）墙壁固定式、落地可移动式衣架。</w:t>
      </w:r>
    </w:p>
    <w:p w14:paraId="0D4E6CA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2）可挂≥10 件铅衣。</w:t>
      </w:r>
    </w:p>
    <w:p w14:paraId="33FDAD1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3）配带移动可刹车静音轮。</w:t>
      </w:r>
    </w:p>
    <w:p w14:paraId="425E9CA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4）挂衣架为不锈钢设计。</w:t>
      </w:r>
    </w:p>
    <w:p w14:paraId="169F4ACD">
      <w:pPr>
        <w:pStyle w:val="11"/>
        <w:spacing w:line="472" w:lineRule="auto"/>
        <w:rPr>
          <w:rFonts w:hint="eastAsia" w:ascii="仿宋" w:hAnsi="仿宋" w:eastAsia="仿宋" w:cs="仿宋"/>
          <w:color w:val="auto"/>
          <w:sz w:val="24"/>
          <w:szCs w:val="24"/>
          <w:highlight w:val="none"/>
        </w:rPr>
      </w:pPr>
    </w:p>
    <w:p w14:paraId="6A3DF7F1">
      <w:pPr>
        <w:spacing w:before="91" w:line="222" w:lineRule="auto"/>
        <w:ind w:left="42"/>
        <w:jc w:val="center"/>
        <w:outlineLvl w:val="1"/>
        <w:rPr>
          <w:rFonts w:hint="eastAsia" w:ascii="仿宋" w:hAnsi="仿宋" w:eastAsia="仿宋" w:cs="仿宋"/>
          <w:color w:val="auto"/>
          <w:sz w:val="24"/>
          <w:szCs w:val="24"/>
          <w:highlight w:val="none"/>
        </w:rPr>
      </w:pPr>
      <w:bookmarkStart w:id="745" w:name="_Toc32084"/>
      <w:bookmarkStart w:id="746" w:name="_Toc16324"/>
      <w:bookmarkStart w:id="747" w:name="_Toc13755"/>
      <w:r>
        <w:rPr>
          <w:rFonts w:hint="eastAsia" w:ascii="仿宋" w:hAnsi="仿宋" w:eastAsia="仿宋" w:cs="仿宋"/>
          <w:b/>
          <w:bCs/>
          <w:color w:val="auto"/>
          <w:spacing w:val="-6"/>
          <w:sz w:val="24"/>
          <w:szCs w:val="24"/>
          <w:highlight w:val="none"/>
          <w:lang w:val="en-US" w:eastAsia="zh-CN"/>
        </w:rPr>
        <w:t>5.</w:t>
      </w:r>
      <w:r>
        <w:rPr>
          <w:rFonts w:hint="eastAsia" w:ascii="仿宋" w:hAnsi="仿宋" w:eastAsia="仿宋" w:cs="仿宋"/>
          <w:b/>
          <w:bCs/>
          <w:color w:val="auto"/>
          <w:spacing w:val="-6"/>
          <w:sz w:val="24"/>
          <w:szCs w:val="24"/>
          <w:highlight w:val="none"/>
        </w:rPr>
        <w:t>三联半透明移动式防护屏</w:t>
      </w:r>
      <w:bookmarkEnd w:id="745"/>
      <w:bookmarkEnd w:id="746"/>
      <w:bookmarkEnd w:id="747"/>
    </w:p>
    <w:p w14:paraId="677A988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1）透明部分采用带防划覆膜高透光率铅玻璃材料。</w:t>
      </w:r>
    </w:p>
    <w:p w14:paraId="30CDC42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2）不透明部分内部≥15mm 厚铅复合板，表面为拉丝不锈钢板材料。</w:t>
      </w:r>
    </w:p>
    <w:p w14:paraId="7587E67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3）屏风配有带刹车功能的静音脚轮。</w:t>
      </w:r>
    </w:p>
    <w:p w14:paraId="34CE22B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4）屏风尺寸：H1800* (500+900+500)mm±10mm</w:t>
      </w:r>
    </w:p>
    <w:p w14:paraId="2CA764B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5）中间一联带铅玻璃尺寸：H600*W900mm±10mm</w:t>
      </w:r>
    </w:p>
    <w:p w14:paraId="6D802F08">
      <w:pPr>
        <w:pStyle w:val="11"/>
        <w:spacing w:line="473" w:lineRule="auto"/>
        <w:rPr>
          <w:rFonts w:hint="eastAsia" w:ascii="仿宋" w:hAnsi="仿宋" w:eastAsia="仿宋" w:cs="仿宋"/>
          <w:color w:val="auto"/>
          <w:sz w:val="24"/>
          <w:szCs w:val="24"/>
          <w:highlight w:val="none"/>
        </w:rPr>
      </w:pPr>
    </w:p>
    <w:p w14:paraId="578D3F88">
      <w:pPr>
        <w:spacing w:before="92" w:line="223" w:lineRule="auto"/>
        <w:ind w:left="14"/>
        <w:jc w:val="center"/>
        <w:outlineLvl w:val="1"/>
        <w:rPr>
          <w:rFonts w:hint="eastAsia" w:ascii="仿宋" w:hAnsi="仿宋" w:eastAsia="仿宋" w:cs="仿宋"/>
          <w:color w:val="auto"/>
          <w:sz w:val="24"/>
          <w:szCs w:val="24"/>
          <w:highlight w:val="none"/>
        </w:rPr>
      </w:pPr>
      <w:bookmarkStart w:id="748" w:name="_Toc1902"/>
      <w:bookmarkStart w:id="749" w:name="_Toc3041"/>
      <w:bookmarkStart w:id="750" w:name="_Toc19547"/>
      <w:r>
        <w:rPr>
          <w:rFonts w:hint="eastAsia" w:ascii="仿宋" w:hAnsi="仿宋" w:eastAsia="仿宋" w:cs="仿宋"/>
          <w:b/>
          <w:bCs/>
          <w:color w:val="auto"/>
          <w:spacing w:val="-4"/>
          <w:sz w:val="24"/>
          <w:szCs w:val="24"/>
          <w:highlight w:val="none"/>
          <w:lang w:val="en-US" w:eastAsia="zh-CN"/>
        </w:rPr>
        <w:t>6.</w:t>
      </w:r>
      <w:r>
        <w:rPr>
          <w:rFonts w:hint="eastAsia" w:ascii="仿宋" w:hAnsi="仿宋" w:eastAsia="仿宋" w:cs="仿宋"/>
          <w:b/>
          <w:bCs/>
          <w:color w:val="auto"/>
          <w:spacing w:val="-4"/>
          <w:sz w:val="24"/>
          <w:szCs w:val="24"/>
          <w:highlight w:val="none"/>
        </w:rPr>
        <w:t>医用射线防护悬吊屏风</w:t>
      </w:r>
      <w:bookmarkEnd w:id="748"/>
      <w:bookmarkEnd w:id="749"/>
      <w:bookmarkEnd w:id="750"/>
    </w:p>
    <w:p w14:paraId="49FB759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1）悬挂装置由平衡臂、旋转臂和固定座构成；防护屏由透明铅有机玻璃和含铅防护软帘构成。</w:t>
      </w:r>
    </w:p>
    <w:p w14:paraId="1EBB79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2）铅有机玻璃尺寸 400mm（高）x600mm（宽）±10mm，铅当量≥0.50mmPb；</w:t>
      </w:r>
    </w:p>
    <w:p w14:paraId="765E113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3）防护软帘采用超轻、超薄、超柔软型铅橡塑（铅橡胶）防护材料；防护帘尺寸 350mm（高）x600mm（宽） ±10mm，铅当量≥0.50mmPb。</w:t>
      </w:r>
    </w:p>
    <w:p w14:paraId="0E1FC80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4）平衡臂长 800mm±5mm，旋转臂长 900mm±5mm。</w:t>
      </w:r>
    </w:p>
    <w:p w14:paraId="3039F5D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5）防护屏可轻松全方位移动，平衡定位，允许活动最大半径≥1700mm。</w:t>
      </w:r>
    </w:p>
    <w:p w14:paraId="36EA68B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6）医用射线防护悬吊屏风与现使用的塔吊匹配，现使用的塔吊为华仁牌HR系列防护吊架。</w:t>
      </w:r>
    </w:p>
    <w:p w14:paraId="05A431AD">
      <w:pPr>
        <w:numPr>
          <w:ilvl w:val="0"/>
          <w:numId w:val="6"/>
        </w:num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负责安装。</w:t>
      </w:r>
    </w:p>
    <w:p w14:paraId="3246AD6C">
      <w:pPr>
        <w:widowControl w:val="0"/>
        <w:numPr>
          <w:ilvl w:val="0"/>
          <w:numId w:val="0"/>
        </w:numPr>
        <w:spacing w:before="1" w:line="411" w:lineRule="auto"/>
        <w:jc w:val="both"/>
        <w:rPr>
          <w:rFonts w:hint="eastAsia" w:ascii="仿宋" w:hAnsi="仿宋" w:eastAsia="仿宋" w:cs="仿宋"/>
          <w:color w:val="auto"/>
          <w:spacing w:val="-1"/>
          <w:sz w:val="24"/>
          <w:szCs w:val="24"/>
          <w:highlight w:val="none"/>
        </w:rPr>
      </w:pPr>
    </w:p>
    <w:p w14:paraId="510A4E8F">
      <w:pPr>
        <w:spacing w:before="91" w:line="222" w:lineRule="auto"/>
        <w:ind w:left="3076"/>
        <w:outlineLvl w:val="0"/>
        <w:rPr>
          <w:rFonts w:hint="eastAsia" w:ascii="仿宋" w:hAnsi="仿宋" w:eastAsia="仿宋" w:cs="仿宋"/>
          <w:color w:val="auto"/>
          <w:sz w:val="24"/>
          <w:szCs w:val="24"/>
          <w:highlight w:val="none"/>
        </w:rPr>
      </w:pPr>
      <w:bookmarkStart w:id="751" w:name="_Toc31789"/>
      <w:bookmarkStart w:id="752" w:name="_Toc16227"/>
      <w:bookmarkStart w:id="753" w:name="_Toc28877"/>
      <w:r>
        <w:rPr>
          <w:rFonts w:hint="eastAsia" w:ascii="仿宋" w:hAnsi="仿宋" w:eastAsia="仿宋" w:cs="仿宋"/>
          <w:b/>
          <w:bCs/>
          <w:color w:val="auto"/>
          <w:spacing w:val="-3"/>
          <w:sz w:val="24"/>
          <w:szCs w:val="24"/>
          <w:highlight w:val="none"/>
          <w:lang w:val="en-US" w:eastAsia="zh-CN"/>
        </w:rPr>
        <w:t>7.</w:t>
      </w:r>
      <w:r>
        <w:rPr>
          <w:rFonts w:hint="eastAsia" w:ascii="仿宋" w:hAnsi="仿宋" w:eastAsia="仿宋" w:cs="仿宋"/>
          <w:b/>
          <w:bCs/>
          <w:color w:val="auto"/>
          <w:spacing w:val="-3"/>
          <w:sz w:val="24"/>
          <w:szCs w:val="24"/>
          <w:highlight w:val="none"/>
        </w:rPr>
        <w:t>扫频生物测量仪技术参数</w:t>
      </w:r>
      <w:bookmarkEnd w:id="751"/>
      <w:bookmarkEnd w:id="752"/>
      <w:bookmarkEnd w:id="753"/>
    </w:p>
    <w:p w14:paraId="10C1E40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适用范围：用于眼部结构的可视化和断层成像，以及角膜曲率及厚度、瞳孔直径、前房深度、晶体厚度、人眼角膜直径和眼轴长度的测量，并对拟植入人工晶体优选，人工晶状体度数进行计算</w:t>
      </w:r>
    </w:p>
    <w:p w14:paraId="0703E63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1.光源类型：扫频激光，光源波长： ≥1050nm</w:t>
      </w:r>
    </w:p>
    <w:p w14:paraId="41E3038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2.扫描速度≥3 万次/秒；</w:t>
      </w:r>
    </w:p>
    <w:p w14:paraId="1A841A6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3.眼轴长度：14-39mm；</w:t>
      </w:r>
    </w:p>
    <w:p w14:paraId="3C44D11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4.角膜曲率半径：5-11mm，前房深度：0.7-8mm， 白-白直径：8-16mm</w:t>
      </w:r>
    </w:p>
    <w:p w14:paraId="784087E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5.中央角膜厚度：0.2-1.2mm，晶状体厚度：1-10mm，瞳孔大小：1.5mm-9.8mm</w:t>
      </w:r>
    </w:p>
    <w:p w14:paraId="3BACE5C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6.眼底断层成像范围≥4mm</w:t>
      </w:r>
    </w:p>
    <w:p w14:paraId="1FF0D28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7.眼轴长度：≤0.01mm，角膜曲率半径： ≤0.01mm，前房深度：≤0.01mm</w:t>
      </w:r>
    </w:p>
    <w:p w14:paraId="0E0CC8F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 白-白角膜直径：≤0.1mm，晶体厚度：≤0.01mm，中央角膜厚度： ≤1 μm</w:t>
      </w:r>
    </w:p>
    <w:p w14:paraId="60633EB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9.全景眼底可视化测量模式：可呈现角膜顶点至视网膜层的全程图像，实时显示≥9mm 眼底影像</w:t>
      </w:r>
    </w:p>
    <w:p w14:paraId="01A7B4E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10.实时固视确认：扫描界面实时显示黄斑中心凹判断固视状态</w:t>
      </w:r>
    </w:p>
    <w:p w14:paraId="0A00148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11.具备全角膜地形图功能，包含：角膜厚度地形图、角膜前/后表面轴向/切向曲率地形图、角膜前/后表面高度地形图、全角膜屈光力分布地形图等功能</w:t>
      </w:r>
    </w:p>
    <w:p w14:paraId="2E33041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12.具备 alpha 角、kappa 角测量功能</w:t>
      </w:r>
    </w:p>
    <w:p w14:paraId="727B1E0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13.具备晶状体偏心倾斜量化功能</w:t>
      </w:r>
    </w:p>
    <w:p w14:paraId="5867DC8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14.具有全角膜屈光力分布图，可评估视觉质量，直观分析角膜聚焦性；基于角膜光学特性优选人工晶状体软件</w:t>
      </w:r>
    </w:p>
    <w:p w14:paraId="112012D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15.全角膜地形图测量范围≥6mm</w:t>
      </w:r>
    </w:p>
    <w:p w14:paraId="5B06C9D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16.全角膜地形图信息点位≥2.5 万点</w:t>
      </w:r>
    </w:p>
    <w:p w14:paraId="419C6E2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17.具备高阶相差定量分析功能；具备球差定量分析功能</w:t>
      </w:r>
    </w:p>
    <w:p w14:paraId="39ADA43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18.人工晶体常数库： ≥260 种，可自定义添加最新晶体数据；个性化光学人工晶体常数优化功能；人工晶状体计算公式：SRK/T、Holladay1、Haig is、Hoffer®Q、 Kane 等</w:t>
      </w:r>
    </w:p>
    <w:p w14:paraId="562C742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19.配置：主机 1 套、工作站 1 套（CPU：I7 及以上，内存≥32G，硬盘≥1T，显示器≥32 吋，激光彩色打印机 1 台。）、电动升降桌 1 套。</w:t>
      </w:r>
    </w:p>
    <w:p w14:paraId="24925109">
      <w:pPr>
        <w:spacing w:before="1" w:line="411" w:lineRule="auto"/>
        <w:ind w:left="11" w:firstLine="12"/>
        <w:rPr>
          <w:rFonts w:hint="eastAsia" w:ascii="仿宋" w:hAnsi="仿宋" w:eastAsia="仿宋" w:cs="仿宋"/>
          <w:color w:val="auto"/>
          <w:spacing w:val="-1"/>
          <w:sz w:val="24"/>
          <w:szCs w:val="24"/>
          <w:highlight w:val="none"/>
        </w:rPr>
      </w:pPr>
    </w:p>
    <w:p w14:paraId="3870BB11">
      <w:pPr>
        <w:spacing w:before="91" w:line="223" w:lineRule="auto"/>
        <w:ind w:left="3498"/>
        <w:outlineLvl w:val="0"/>
        <w:rPr>
          <w:rFonts w:hint="eastAsia" w:ascii="仿宋" w:hAnsi="仿宋" w:eastAsia="仿宋" w:cs="仿宋"/>
          <w:color w:val="auto"/>
          <w:sz w:val="24"/>
          <w:szCs w:val="24"/>
          <w:highlight w:val="none"/>
        </w:rPr>
      </w:pPr>
      <w:bookmarkStart w:id="754" w:name="_Toc21848"/>
      <w:bookmarkStart w:id="755" w:name="_Toc9828"/>
      <w:bookmarkStart w:id="756" w:name="_Toc13494"/>
      <w:r>
        <w:rPr>
          <w:rFonts w:hint="eastAsia" w:ascii="仿宋" w:hAnsi="仿宋" w:eastAsia="仿宋" w:cs="仿宋"/>
          <w:b/>
          <w:bCs/>
          <w:color w:val="auto"/>
          <w:spacing w:val="-4"/>
          <w:sz w:val="24"/>
          <w:szCs w:val="24"/>
          <w:highlight w:val="none"/>
          <w:lang w:val="en-US" w:eastAsia="zh-CN"/>
        </w:rPr>
        <w:t>8.</w:t>
      </w:r>
      <w:r>
        <w:rPr>
          <w:rFonts w:hint="eastAsia" w:ascii="仿宋" w:hAnsi="仿宋" w:eastAsia="仿宋" w:cs="仿宋"/>
          <w:b/>
          <w:bCs/>
          <w:color w:val="auto"/>
          <w:spacing w:val="-4"/>
          <w:sz w:val="24"/>
          <w:szCs w:val="24"/>
          <w:highlight w:val="none"/>
        </w:rPr>
        <w:t>胰岛素泵技术参数</w:t>
      </w:r>
      <w:bookmarkEnd w:id="754"/>
      <w:bookmarkEnd w:id="755"/>
      <w:bookmarkEnd w:id="756"/>
    </w:p>
    <w:p w14:paraId="69E393B4">
      <w:pPr>
        <w:spacing w:before="91" w:line="221" w:lineRule="auto"/>
        <w:ind w:left="2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1、基础率操作系统</w:t>
      </w:r>
      <w:r>
        <w:rPr>
          <w:rFonts w:hint="eastAsia" w:ascii="仿宋" w:hAnsi="仿宋" w:eastAsia="仿宋" w:cs="仿宋"/>
          <w:color w:val="auto"/>
          <w:spacing w:val="-10"/>
          <w:sz w:val="24"/>
          <w:szCs w:val="24"/>
          <w:highlight w:val="none"/>
          <w:lang w:eastAsia="zh-CN"/>
        </w:rPr>
        <w:t>：</w:t>
      </w:r>
      <w:r>
        <w:rPr>
          <w:rFonts w:hint="eastAsia" w:ascii="仿宋" w:hAnsi="仿宋" w:eastAsia="仿宋" w:cs="仿宋"/>
          <w:color w:val="auto"/>
          <w:spacing w:val="-10"/>
          <w:sz w:val="24"/>
          <w:szCs w:val="24"/>
          <w:highlight w:val="none"/>
        </w:rPr>
        <w:t>24</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0"/>
          <w:sz w:val="24"/>
          <w:szCs w:val="24"/>
          <w:highlight w:val="none"/>
        </w:rPr>
        <w:t>段系统、48</w:t>
      </w:r>
      <w:r>
        <w:rPr>
          <w:rFonts w:hint="eastAsia" w:ascii="仿宋" w:hAnsi="仿宋" w:eastAsia="仿宋" w:cs="仿宋"/>
          <w:color w:val="auto"/>
          <w:spacing w:val="-51"/>
          <w:sz w:val="24"/>
          <w:szCs w:val="24"/>
          <w:highlight w:val="none"/>
        </w:rPr>
        <w:t xml:space="preserve"> </w:t>
      </w:r>
      <w:r>
        <w:rPr>
          <w:rFonts w:hint="eastAsia" w:ascii="仿宋" w:hAnsi="仿宋" w:eastAsia="仿宋" w:cs="仿宋"/>
          <w:color w:val="auto"/>
          <w:spacing w:val="-10"/>
          <w:sz w:val="24"/>
          <w:szCs w:val="24"/>
          <w:highlight w:val="none"/>
        </w:rPr>
        <w:t>段系统</w:t>
      </w:r>
    </w:p>
    <w:p w14:paraId="6AE45F0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2、螺杆复位排气</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螺杆自动复位、 自动推进排气、 自动计算剩余药量</w:t>
      </w:r>
    </w:p>
    <w:p w14:paraId="7D6FEB3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3、基础率智能分配：总量快设模式， ≥4 种数据库</w:t>
      </w:r>
    </w:p>
    <w:p w14:paraId="6988CBE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4、装药量</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≥318U</w:t>
      </w:r>
    </w:p>
    <w:p w14:paraId="518AA59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5、基础率分段类型</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6 段、24 段、48 段， ≥3 种可选</w:t>
      </w:r>
    </w:p>
    <w:p w14:paraId="11FDEA7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 日总量限制</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0-100U，医生可设 0-210U</w:t>
      </w:r>
    </w:p>
    <w:p w14:paraId="0E3A3BD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7、基础率增幅步长</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0.1u、0.01U、0.01U 智能切换</w:t>
      </w:r>
    </w:p>
    <w:p w14:paraId="7FC9434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8、胰岛素类型：支持U40 与 U100 浓度胰岛素自动换算</w:t>
      </w:r>
    </w:p>
    <w:p w14:paraId="4B1247D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9、基础率设置范围</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0.1-4U/H，医生可设 0-31U/H</w:t>
      </w:r>
    </w:p>
    <w:p w14:paraId="31D4096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10、给药精准度误差</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 xml:space="preserve"> ≤±1%</w:t>
      </w:r>
    </w:p>
    <w:p w14:paraId="33D2275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11、大剂量输注方式</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立即输注、方波、双波</w:t>
      </w:r>
    </w:p>
    <w:p w14:paraId="57236B9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12、提醒功能类型</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测糖提醒、用餐提醒</w:t>
      </w:r>
    </w:p>
    <w:p w14:paraId="1861E5F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13、大剂量设置范围</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1-21U，医生可设 0.1-88u</w:t>
      </w:r>
    </w:p>
    <w:p w14:paraId="57E2ADF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14、报警功能类型：阻塞、无信号、低电、低药、无药</w:t>
      </w:r>
    </w:p>
    <w:p w14:paraId="656994A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15、可调大剂量输注速度</w:t>
      </w:r>
    </w:p>
    <w:p w14:paraId="512AED2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16、可调阻塞报警敏感度</w:t>
      </w:r>
    </w:p>
    <w:p w14:paraId="627C251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17、具有大剂量预设功能</w:t>
      </w:r>
    </w:p>
    <w:p w14:paraId="049CFBE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18、可调低药量报警阈值</w:t>
      </w:r>
    </w:p>
    <w:p w14:paraId="5812DC2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19、具有大剂量安全模式</w:t>
      </w:r>
    </w:p>
    <w:p w14:paraId="1E7A3DE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20、具有参数锁定功能</w:t>
      </w:r>
    </w:p>
    <w:p w14:paraId="6C5C179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21、具有大剂量向导功能</w:t>
      </w:r>
    </w:p>
    <w:p w14:paraId="668A41B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22、具有键盘保护功能</w:t>
      </w:r>
    </w:p>
    <w:p w14:paraId="4349380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23、大剂量便捷模式：三餐大剂量预设、一键快捷操作</w:t>
      </w:r>
    </w:p>
    <w:p w14:paraId="615BFB3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24、具有参数记忆功能</w:t>
      </w:r>
    </w:p>
    <w:p w14:paraId="5FD2305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25、屏幕显示：全中文菜单显示</w:t>
      </w:r>
    </w:p>
    <w:p w14:paraId="1D812F2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26、历史回顾内容：基础率、大剂量、 日总量、排气，报警等</w:t>
      </w:r>
    </w:p>
    <w:p w14:paraId="400F3C1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27、屏幕亮度</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支持自由调整</w:t>
      </w:r>
    </w:p>
    <w:p w14:paraId="6A7DADE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28、历史回顾数量</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≥泵内 10 条，云端无限制</w:t>
      </w:r>
    </w:p>
    <w:p w14:paraId="46016FF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29、安全保护：双 CPU 互检每天数百万次</w:t>
      </w:r>
    </w:p>
    <w:p w14:paraId="7DEB726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30、数据传输功能</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远程云端传输和近距离蓝牙传输相结合</w:t>
      </w:r>
    </w:p>
    <w:p w14:paraId="2FEE96F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31、电源：AAA 电池</w:t>
      </w:r>
    </w:p>
    <w:p w14:paraId="5BD1255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32、耗材接口：标准鲁尔接口</w:t>
      </w:r>
    </w:p>
    <w:p w14:paraId="017F0F19">
      <w:pPr>
        <w:spacing w:before="1" w:line="411" w:lineRule="auto"/>
        <w:ind w:left="11" w:firstLine="12"/>
        <w:rPr>
          <w:rFonts w:hint="eastAsia" w:ascii="仿宋" w:hAnsi="仿宋" w:eastAsia="仿宋" w:cs="仿宋"/>
          <w:color w:val="auto"/>
          <w:spacing w:val="-1"/>
          <w:sz w:val="24"/>
          <w:szCs w:val="24"/>
          <w:highlight w:val="none"/>
        </w:rPr>
      </w:pPr>
    </w:p>
    <w:p w14:paraId="4BA7697A">
      <w:pPr>
        <w:spacing w:before="91" w:line="222" w:lineRule="auto"/>
        <w:ind w:left="3078"/>
        <w:outlineLvl w:val="0"/>
        <w:rPr>
          <w:rFonts w:hint="eastAsia" w:ascii="仿宋" w:hAnsi="仿宋" w:eastAsia="仿宋" w:cs="仿宋"/>
          <w:color w:val="auto"/>
          <w:sz w:val="24"/>
          <w:szCs w:val="24"/>
          <w:highlight w:val="none"/>
        </w:rPr>
      </w:pPr>
      <w:bookmarkStart w:id="757" w:name="_Toc20423"/>
      <w:bookmarkStart w:id="758" w:name="_Toc1236"/>
      <w:bookmarkStart w:id="759" w:name="_Toc26018"/>
      <w:r>
        <w:rPr>
          <w:rFonts w:hint="eastAsia" w:ascii="仿宋" w:hAnsi="仿宋" w:eastAsia="仿宋" w:cs="仿宋"/>
          <w:b/>
          <w:bCs/>
          <w:color w:val="auto"/>
          <w:spacing w:val="-4"/>
          <w:sz w:val="24"/>
          <w:szCs w:val="24"/>
          <w:highlight w:val="none"/>
          <w:lang w:val="en-US" w:eastAsia="zh-CN"/>
        </w:rPr>
        <w:t>9.</w:t>
      </w:r>
      <w:r>
        <w:rPr>
          <w:rFonts w:hint="eastAsia" w:ascii="仿宋" w:hAnsi="仿宋" w:eastAsia="仿宋" w:cs="仿宋"/>
          <w:b/>
          <w:bCs/>
          <w:color w:val="auto"/>
          <w:spacing w:val="-4"/>
          <w:sz w:val="24"/>
          <w:szCs w:val="24"/>
          <w:highlight w:val="none"/>
        </w:rPr>
        <w:t>婴儿辐射保暖台技术参数</w:t>
      </w:r>
      <w:bookmarkEnd w:id="757"/>
      <w:bookmarkEnd w:id="758"/>
      <w:bookmarkEnd w:id="759"/>
    </w:p>
    <w:p w14:paraId="417451E7">
      <w:pPr>
        <w:pStyle w:val="11"/>
        <w:spacing w:line="315" w:lineRule="auto"/>
        <w:rPr>
          <w:rFonts w:hint="eastAsia" w:ascii="仿宋" w:hAnsi="仿宋" w:eastAsia="仿宋" w:cs="仿宋"/>
          <w:color w:val="auto"/>
          <w:sz w:val="24"/>
          <w:szCs w:val="24"/>
          <w:highlight w:val="none"/>
        </w:rPr>
      </w:pPr>
    </w:p>
    <w:p w14:paraId="1FE20BB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1.功率：1000VA±50VA；</w:t>
      </w:r>
    </w:p>
    <w:p w14:paraId="62942A4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2.温控方式：微电脑高精度伺服控温；</w:t>
      </w:r>
    </w:p>
    <w:p w14:paraId="5E3807B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3.温控模式：预热，手动等；</w:t>
      </w:r>
    </w:p>
    <w:p w14:paraId="4E576E7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4.温控范围：32℃~38℃；温控扩充范围：21℃~38℃;</w:t>
      </w:r>
    </w:p>
    <w:p w14:paraId="7F6A332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5.温度显示范围：21℃~42℃;</w:t>
      </w:r>
    </w:p>
    <w:p w14:paraId="2FFCB3C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6.温控精确度：≤0.1℃;</w:t>
      </w:r>
    </w:p>
    <w:p w14:paraId="7F41DEF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7.床面温度均匀度： ≤2℃;</w:t>
      </w:r>
    </w:p>
    <w:p w14:paraId="7880BBC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8.温度显示精确度： ≤0.1℃;</w:t>
      </w:r>
    </w:p>
    <w:p w14:paraId="4DA6E40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9.温度传感器精确度：≤0.3℃;</w:t>
      </w:r>
    </w:p>
    <w:p w14:paraId="276F67C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10.温度波动范围： ±0.1℃;</w:t>
      </w:r>
    </w:p>
    <w:p w14:paraId="0F5744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11.升温时间：≤41min；</w:t>
      </w:r>
    </w:p>
    <w:p w14:paraId="7C8480A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12.设置温度、肤温、计时、加热功率百分比实时 LED 分屏显示；</w:t>
      </w:r>
    </w:p>
    <w:p w14:paraId="315CDCF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13.具有断电、偏差、超温、传感器故障、手动五种声光报警和自检功能；</w:t>
      </w:r>
    </w:p>
    <w:p w14:paraId="5F561B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14.温度偏差可在前面板修正；</w:t>
      </w:r>
    </w:p>
    <w:p w14:paraId="323B994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15.具备双 CPU 控制系统、独立热切断装置等多重超温保护；</w:t>
      </w:r>
    </w:p>
    <w:p w14:paraId="6D15E52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16.肤温传感器具有防脱落保护装置；</w:t>
      </w:r>
    </w:p>
    <w:p w14:paraId="04442EE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17.婴儿床下置 X 光拍片板，可直接进行 X 光拍片；</w:t>
      </w:r>
    </w:p>
    <w:p w14:paraId="2EBFFF2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18.婴儿床面倾斜：电动倾斜、 ≥±12 °无级可调，四周有机玻璃挡板可向下翻转可拆卸；</w:t>
      </w:r>
    </w:p>
    <w:p w14:paraId="4AF2868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19.LED 照明灯：照明方向、亮度无级可调。</w:t>
      </w:r>
      <w:bookmarkStart w:id="760" w:name="_Toc22834"/>
    </w:p>
    <w:p w14:paraId="42DBD418">
      <w:pPr>
        <w:spacing w:before="91" w:line="222" w:lineRule="auto"/>
        <w:ind w:left="3359"/>
        <w:outlineLvl w:val="0"/>
        <w:rPr>
          <w:rFonts w:hint="eastAsia" w:ascii="仿宋" w:hAnsi="仿宋" w:eastAsia="仿宋" w:cs="仿宋"/>
          <w:b/>
          <w:bCs/>
          <w:color w:val="auto"/>
          <w:spacing w:val="-4"/>
          <w:sz w:val="24"/>
          <w:szCs w:val="24"/>
          <w:highlight w:val="none"/>
          <w:lang w:val="en-US" w:eastAsia="zh-CN"/>
        </w:rPr>
      </w:pPr>
    </w:p>
    <w:p w14:paraId="68FEA964">
      <w:pPr>
        <w:spacing w:before="91" w:line="222" w:lineRule="auto"/>
        <w:ind w:left="3359"/>
        <w:outlineLvl w:val="0"/>
        <w:rPr>
          <w:rFonts w:hint="eastAsia" w:ascii="仿宋" w:hAnsi="仿宋" w:eastAsia="仿宋" w:cs="仿宋"/>
          <w:b/>
          <w:bCs/>
          <w:color w:val="auto"/>
          <w:spacing w:val="-4"/>
          <w:sz w:val="24"/>
          <w:szCs w:val="24"/>
          <w:highlight w:val="none"/>
          <w:lang w:val="en-US" w:eastAsia="zh-CN"/>
        </w:rPr>
      </w:pPr>
    </w:p>
    <w:p w14:paraId="75A6AC0D">
      <w:pPr>
        <w:spacing w:before="91" w:line="222" w:lineRule="auto"/>
        <w:ind w:left="3359"/>
        <w:outlineLvl w:val="0"/>
        <w:rPr>
          <w:rFonts w:hint="eastAsia" w:ascii="仿宋" w:hAnsi="仿宋" w:eastAsia="仿宋" w:cs="仿宋"/>
          <w:color w:val="auto"/>
          <w:sz w:val="24"/>
          <w:szCs w:val="24"/>
          <w:highlight w:val="none"/>
        </w:rPr>
      </w:pPr>
      <w:bookmarkStart w:id="761" w:name="_Toc7894"/>
      <w:bookmarkStart w:id="762" w:name="_Toc25049"/>
      <w:bookmarkStart w:id="763" w:name="_Toc7253"/>
      <w:r>
        <w:rPr>
          <w:rFonts w:hint="eastAsia" w:ascii="仿宋" w:hAnsi="仿宋" w:eastAsia="仿宋" w:cs="仿宋"/>
          <w:b/>
          <w:bCs/>
          <w:color w:val="auto"/>
          <w:spacing w:val="-4"/>
          <w:sz w:val="24"/>
          <w:szCs w:val="24"/>
          <w:highlight w:val="none"/>
          <w:lang w:val="en-US" w:eastAsia="zh-CN"/>
        </w:rPr>
        <w:t>10.</w:t>
      </w:r>
      <w:r>
        <w:rPr>
          <w:rFonts w:hint="eastAsia" w:ascii="仿宋" w:hAnsi="仿宋" w:eastAsia="仿宋" w:cs="仿宋"/>
          <w:b/>
          <w:bCs/>
          <w:color w:val="auto"/>
          <w:spacing w:val="-4"/>
          <w:sz w:val="24"/>
          <w:szCs w:val="24"/>
          <w:highlight w:val="none"/>
        </w:rPr>
        <w:t>婴儿培养箱技术参数</w:t>
      </w:r>
      <w:bookmarkEnd w:id="761"/>
      <w:bookmarkEnd w:id="762"/>
      <w:bookmarkEnd w:id="763"/>
    </w:p>
    <w:p w14:paraId="41DE47C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1.输入功率：≤650VA</w:t>
      </w:r>
    </w:p>
    <w:p w14:paraId="7EFA07B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2.温度控制方式：双 CPU 高精度伺服控温</w:t>
      </w:r>
    </w:p>
    <w:p w14:paraId="1971E2F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3.温度控制模式：箱温和肤温两种温度控制</w:t>
      </w:r>
    </w:p>
    <w:p w14:paraId="27968F8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4.箱温控温范围：25℃~37℃；37.1℃~38℃</w:t>
      </w:r>
    </w:p>
    <w:p w14:paraId="06DCB45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5.肤温控温范围：32℃~37℃；37.1℃~38℃</w:t>
      </w:r>
    </w:p>
    <w:p w14:paraId="08CE490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6.箱温显示范围：10℃~42℃</w:t>
      </w:r>
    </w:p>
    <w:p w14:paraId="0955C02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7.肤温显示范围：10℃~42℃</w:t>
      </w:r>
    </w:p>
    <w:p w14:paraId="401E878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8.温度波动范围： ±0.5℃</w:t>
      </w:r>
    </w:p>
    <w:p w14:paraId="67EF1D8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9.婴儿床温度均匀度：≤0.8℃</w:t>
      </w:r>
    </w:p>
    <w:p w14:paraId="733FCA0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10.温度显示精度：≤±0.1℃</w:t>
      </w:r>
    </w:p>
    <w:p w14:paraId="4B60F8B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11.皮肤温度传感器测量精度： ≤±0.3℃</w:t>
      </w:r>
    </w:p>
    <w:p w14:paraId="466FE9A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12.加湿方式：蒸汽式加湿方式</w:t>
      </w:r>
    </w:p>
    <w:p w14:paraId="0F6F54D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13.封闭水箱：旋转式密封水箱，抑制细菌生长</w:t>
      </w:r>
    </w:p>
    <w:p w14:paraId="10F778D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14.湿度显示范围：0%RH～99%RH</w:t>
      </w:r>
    </w:p>
    <w:p w14:paraId="24770CC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15.湿度控制范围：20%RH～90%RH</w:t>
      </w:r>
    </w:p>
    <w:p w14:paraId="25A8EC0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16.湿度控制精度：≤±10%RH</w:t>
      </w:r>
    </w:p>
    <w:p w14:paraId="3BC2DF2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17.湿度显示精度：≤±5%RH</w:t>
      </w:r>
    </w:p>
    <w:p w14:paraId="73A12DC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18.婴儿床倾斜角度： ≥±10 °无级可调</w:t>
      </w:r>
    </w:p>
    <w:p w14:paraId="5D5380C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19.箱内噪音：≤45dB（A）</w:t>
      </w:r>
    </w:p>
    <w:p w14:paraId="789B32D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20.升温时间：≤30min</w:t>
      </w:r>
    </w:p>
    <w:p w14:paraId="071F727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21.具有断电、超温、偏差、传感器故障、缺水、风机故障声光报警和消音、开机自检功能</w:t>
      </w:r>
    </w:p>
    <w:p w14:paraId="7F24593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22.显示方式：箱温、肤温、湿度、计时、加热功率百分比实时 LED 分屏显示</w:t>
      </w:r>
    </w:p>
    <w:p w14:paraId="11AAACB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23.具有独立的第二热切断装置</w:t>
      </w:r>
    </w:p>
    <w:p w14:paraId="023F088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24. ≥37℃温度设定功能</w:t>
      </w:r>
    </w:p>
    <w:p w14:paraId="6FF3BD7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25.蓝光治疗装置</w:t>
      </w:r>
    </w:p>
    <w:p w14:paraId="00DFFBF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25.1.上蓝光辐照度强弱≥3 档可调</w:t>
      </w:r>
    </w:p>
    <w:p w14:paraId="7CF8B90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25.2.上蓝光有效表面内的胆红素总辐照度平均值：2000 μW/cm2</w:t>
      </w:r>
    </w:p>
    <w:p w14:paraId="1682F81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25.3.下蓝光有效表面内的胆红素总辐照度平均值：1500 μW/cm2</w:t>
      </w:r>
    </w:p>
    <w:p w14:paraId="1B07ED0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25.4.下蓝光采用LED 冷光源，具有独立空气循环散热装置</w:t>
      </w:r>
    </w:p>
    <w:p w14:paraId="4F7BB7D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25.5.蓝光波长：425nm～475nm</w:t>
      </w:r>
    </w:p>
    <w:p w14:paraId="0F4F7F2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25.6.采用 LED 大灯珠</w:t>
      </w:r>
    </w:p>
    <w:p w14:paraId="7FF1A53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26.插拔风机：可插拔轴流式直流风机，无需工具拆卸</w:t>
      </w:r>
    </w:p>
    <w:p w14:paraId="38F68DA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27.铝镁合金控制柜和底座，氟喷涂工艺</w:t>
      </w:r>
    </w:p>
    <w:p w14:paraId="443B32D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28.具有正门独立自锁装置</w:t>
      </w:r>
    </w:p>
    <w:p w14:paraId="34F4C1D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29.一机两用，可做培养箱使用，也可做光疗箱使用</w:t>
      </w:r>
    </w:p>
    <w:p w14:paraId="31D656C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30.每台设备配置清单：</w:t>
      </w:r>
    </w:p>
    <w:p w14:paraId="6A5F049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30.1.主机（恒温罩、控制柜、机箱）、温度设定功能、RS-232 接 口、氧气输入接 口</w:t>
      </w:r>
    </w:p>
    <w:p w14:paraId="54ADA1E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30.2.输液支架及托盘、底座、超静音脚轮、手轮摇床、蒸汽式加湿装置、肤温传感器</w:t>
      </w:r>
    </w:p>
    <w:p w14:paraId="50DA0A2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30.3.上蓝光治疗装置、下蓝光治疗装置</w:t>
      </w:r>
    </w:p>
    <w:p w14:paraId="57106B56">
      <w:pPr>
        <w:spacing w:before="91" w:line="223" w:lineRule="auto"/>
        <w:ind w:left="3359"/>
        <w:outlineLvl w:val="0"/>
        <w:rPr>
          <w:rFonts w:hint="eastAsia" w:ascii="仿宋" w:hAnsi="仿宋" w:eastAsia="仿宋" w:cs="仿宋"/>
          <w:b/>
          <w:bCs/>
          <w:color w:val="auto"/>
          <w:spacing w:val="-4"/>
          <w:sz w:val="24"/>
          <w:szCs w:val="24"/>
          <w:highlight w:val="none"/>
          <w:lang w:val="en-US" w:eastAsia="zh-CN"/>
        </w:rPr>
      </w:pPr>
    </w:p>
    <w:p w14:paraId="4ECB9A65">
      <w:pPr>
        <w:spacing w:before="91" w:line="223" w:lineRule="auto"/>
        <w:ind w:left="3359"/>
        <w:outlineLvl w:val="0"/>
        <w:rPr>
          <w:rFonts w:hint="eastAsia" w:ascii="仿宋" w:hAnsi="仿宋" w:eastAsia="仿宋" w:cs="仿宋"/>
          <w:b/>
          <w:bCs/>
          <w:color w:val="auto"/>
          <w:spacing w:val="-4"/>
          <w:sz w:val="24"/>
          <w:szCs w:val="24"/>
          <w:highlight w:val="none"/>
          <w:lang w:val="en-US" w:eastAsia="zh-CN"/>
        </w:rPr>
      </w:pPr>
    </w:p>
    <w:p w14:paraId="7867C44E">
      <w:pPr>
        <w:spacing w:before="91" w:line="223" w:lineRule="auto"/>
        <w:ind w:left="3359"/>
        <w:outlineLvl w:val="0"/>
        <w:rPr>
          <w:rFonts w:hint="eastAsia" w:ascii="仿宋" w:hAnsi="仿宋" w:eastAsia="仿宋" w:cs="仿宋"/>
          <w:color w:val="auto"/>
          <w:sz w:val="24"/>
          <w:szCs w:val="24"/>
          <w:highlight w:val="none"/>
        </w:rPr>
      </w:pPr>
      <w:bookmarkStart w:id="764" w:name="_Toc29451"/>
      <w:bookmarkStart w:id="765" w:name="_Toc28855"/>
      <w:bookmarkStart w:id="766" w:name="_Toc2431"/>
      <w:r>
        <w:rPr>
          <w:rFonts w:hint="eastAsia" w:ascii="仿宋" w:hAnsi="仿宋" w:eastAsia="仿宋" w:cs="仿宋"/>
          <w:b/>
          <w:bCs/>
          <w:color w:val="auto"/>
          <w:spacing w:val="-4"/>
          <w:sz w:val="24"/>
          <w:szCs w:val="24"/>
          <w:highlight w:val="none"/>
          <w:lang w:val="en-US" w:eastAsia="zh-CN"/>
        </w:rPr>
        <w:t>11.</w:t>
      </w:r>
      <w:r>
        <w:rPr>
          <w:rFonts w:hint="eastAsia" w:ascii="仿宋" w:hAnsi="仿宋" w:eastAsia="仿宋" w:cs="仿宋"/>
          <w:b/>
          <w:bCs/>
          <w:color w:val="auto"/>
          <w:spacing w:val="-4"/>
          <w:sz w:val="24"/>
          <w:szCs w:val="24"/>
          <w:highlight w:val="none"/>
        </w:rPr>
        <w:t>牙科综合治疗椅参数</w:t>
      </w:r>
      <w:bookmarkEnd w:id="764"/>
      <w:bookmarkEnd w:id="765"/>
      <w:bookmarkEnd w:id="766"/>
    </w:p>
    <w:p w14:paraId="4D649A2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一、工作条件：</w:t>
      </w:r>
    </w:p>
    <w:p w14:paraId="5D8F90B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1、额定电压：频率：220V，50Hz。</w:t>
      </w:r>
    </w:p>
    <w:p w14:paraId="6B85500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2、气源气压：0.6Mpa-0.8Mpa。</w:t>
      </w:r>
    </w:p>
    <w:p w14:paraId="4DEA592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3、水源水压：0.2Mpa-0.4Mpa。</w:t>
      </w:r>
    </w:p>
    <w:p w14:paraId="4A94465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4、环境温度：1℃~40℃。</w:t>
      </w:r>
    </w:p>
    <w:p w14:paraId="27B2175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5、大气压力：700hPa～1060hPa。</w:t>
      </w:r>
    </w:p>
    <w:p w14:paraId="66F454D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6、内置式地箱，下挂式器械盘。</w:t>
      </w:r>
    </w:p>
    <w:p w14:paraId="6FC0A15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二、功能参数：</w:t>
      </w:r>
    </w:p>
    <w:p w14:paraId="4C3B7C4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1、配备光纤高速手机 1 支：机头需采用数控加工一体结构，带光快换接头式，具有水路“ 防回吸 ”功能。端面四孔喷雾，接头后置式 LED 光源，配合石英光导棒，光照度≥21000lux，且不会因为高温消毒而衰减，可进行≥131℃高温高压蒸汽灭菌。</w:t>
      </w:r>
    </w:p>
    <w:p w14:paraId="050CFFA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2、气动高速手机 1 支：头部规格：标准型。材质及处理方式：机身、头部均采用不锈钢材质，喷砂处理。连接形式：4 孔、快换接头式，具有水路“ 防回吸 ”功能。空载转速：321000rpm~391000rpm。可进行≥131℃高温高压蒸汽灭菌。</w:t>
      </w:r>
    </w:p>
    <w:p w14:paraId="339A16A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3、气动低速手机 1 套：含直、弯机，转速≥20000 转/分钟，可进行≥131℃高温和真空灭菌消毒。</w:t>
      </w:r>
    </w:p>
    <w:p w14:paraId="3190B2A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4、三用枪 2 支：可喷水、气、雾，枪头可进行≥131℃高温和真空灭菌消毒。</w:t>
      </w:r>
    </w:p>
    <w:p w14:paraId="6F2BD55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5、医生操作台：</w:t>
      </w:r>
    </w:p>
    <w:p w14:paraId="04D8FA6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5.1、全电脑感应触摸式控制键，包括：复位键、水杯加热键、口腔灯键、漱口水键、冲盂水键、牙椅升、降、俯、仰键、3 组医生椅位记忆按键（椅位记忆 1、椅位记忆 2、椅位记忆 3，每组可独立设置 3 个记忆椅位）、痰位键、锁屏键、急救位键。</w:t>
      </w:r>
    </w:p>
    <w:p w14:paraId="03D0C70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5.2、医生操作台需配有触摸式液晶显示屏，具有系统参数设置键、医生位选择键、管路消毒键、辅助键盘选择键、呼叫铃键，可同步显示冲盂、漱口状态、水杯加热状态；具有故障数字代码显示、当前用户显示等。</w:t>
      </w:r>
    </w:p>
    <w:p w14:paraId="6A5CE60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5.3、具备痰位冲盂联动、灯椅联动、漱口冲盂联动设置，有效提高医生工作效率。</w:t>
      </w:r>
    </w:p>
    <w:p w14:paraId="3203773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5.4、具备一键锁屏功能。</w:t>
      </w:r>
    </w:p>
    <w:p w14:paraId="6B5DACB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5.5、具备一键急救功能。</w:t>
      </w:r>
    </w:p>
    <w:p w14:paraId="2D10CAB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6、助手操作台：</w:t>
      </w:r>
    </w:p>
    <w:p w14:paraId="0ADD951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6.1、多关节旋转式助手架。</w:t>
      </w:r>
    </w:p>
    <w:p w14:paraId="2E1CDAB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6.2、助手位设有感应触摸按键：具有下班位键、 口腔灯键、急救位键、冲盂水键、漱口水键、锁屏键、复位键、痰位键以及牙科椅升、降、俯、仰按键。</w:t>
      </w:r>
    </w:p>
    <w:p w14:paraId="138FBEC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6.3、助手单元有≥5个器械挂架：三用枪、强吸、弱吸、升级位 2 个（光固化、洁牙等预留），采用光电开关无接触控制。</w:t>
      </w:r>
    </w:p>
    <w:p w14:paraId="02586F8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6.4、助手操作台上方需设有置物台，承重≥1 千克，配有硅胶垫，可≥131℃高温高压蒸汽灭菌。</w:t>
      </w:r>
    </w:p>
    <w:p w14:paraId="60FB9A6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7、感应式 LED 口腔灯：</w:t>
      </w:r>
    </w:p>
    <w:p w14:paraId="6C07330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7.1、操作模式： 自动感应。</w:t>
      </w:r>
    </w:p>
    <w:p w14:paraId="3AA02DC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7.2、 口腔灯控制键位于灯的上部、医生控制台、助手控制台、脚控开关四个位置。</w:t>
      </w:r>
    </w:p>
    <w:p w14:paraId="01710AB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7.3、 口腔灯采用无级调光，光照柔和。</w:t>
      </w:r>
    </w:p>
    <w:p w14:paraId="694BAA0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7.4、口腔灯电压：AC12V-24V；功率：≥8W；照度：3000lux-350001ux；色温： ≥1000K；光斑:150X80mm。</w:t>
      </w:r>
    </w:p>
    <w:p w14:paraId="56E437F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7.5、 口腔灯把手方便拉伸、锁定和拆卸，可高温消毒。</w:t>
      </w:r>
    </w:p>
    <w:p w14:paraId="4AAD896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8、痰盂：</w:t>
      </w:r>
    </w:p>
    <w:p w14:paraId="27A6C29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8.1、一体式碗式陶瓷漱口盆，易清洁消毒。可向患者位旋转≥10度。</w:t>
      </w:r>
    </w:p>
    <w:p w14:paraId="43B5C38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8.2、痰盂可插拔拆装。</w:t>
      </w:r>
    </w:p>
    <w:p w14:paraId="2FA5B4A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8.3、漱口水具有手动出水和感应出水两种方式。</w:t>
      </w:r>
    </w:p>
    <w:p w14:paraId="28252A4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9、器械盘：</w:t>
      </w:r>
    </w:p>
    <w:p w14:paraId="7C90916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9.1、尺寸：400mm（长）X325mm（宽） ±5mm，可承载≥1 千克。配有硅胶垫，可≥131℃高温高压蒸汽灭菌。</w:t>
      </w:r>
    </w:p>
    <w:p w14:paraId="2D129B9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9.2、具备感应刹车控制。</w:t>
      </w:r>
    </w:p>
    <w:p w14:paraId="33FC33F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9.3、设有总气开关，可轻松控制治疗机水、气、电。</w:t>
      </w:r>
    </w:p>
    <w:p w14:paraId="700F77E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9.4、一体式五联枪架，预留洁牙机升级位，采用光电开关无接触控制，枪架可旋转≥30 °。</w:t>
      </w:r>
    </w:p>
    <w:p w14:paraId="744A9D7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10、主箱体：</w:t>
      </w:r>
    </w:p>
    <w:p w14:paraId="468D85C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10.1、采用注塑工艺，抗黄变设计。主箱体可向外旋转≥90度。</w:t>
      </w:r>
    </w:p>
    <w:p w14:paraId="529ECCD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10.2、主箱体有配有≥2 个 USB 数据接 口，可用于手机等电子产品充电。</w:t>
      </w:r>
    </w:p>
    <w:p w14:paraId="606C538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10.3、主箱体侧门开启方式采用铰链结构，可大角度开启。</w:t>
      </w:r>
    </w:p>
    <w:p w14:paraId="5564E06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10.4、主箱体配有≥3.2 吋液晶感应触摸式显示屏，具有漱口水温度显示，可触摸取水。</w:t>
      </w:r>
    </w:p>
    <w:p w14:paraId="4E7D374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11、强、弱吸唾系统：外置式强、弱吸插拔装置，配有强、弱吸清洗过滤网。</w:t>
      </w:r>
    </w:p>
    <w:p w14:paraId="4CA1B65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12、净化水系统：采用手动泻压与增压，可灵活选择自来水或纯净水；加注口外置于主箱体上部。</w:t>
      </w:r>
    </w:p>
    <w:p w14:paraId="1CB95E1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13、冲盂漱口定量给水自动控制系统：进 口品牌电磁阀控制冲盂、漱口水，可设定给水时间，漱口水配有可自动加热恒温系统。</w:t>
      </w:r>
    </w:p>
    <w:p w14:paraId="07536EE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14、牙科（患者）椅：</w:t>
      </w:r>
    </w:p>
    <w:p w14:paraId="705BE29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14.1、直流电机驱动。</w:t>
      </w:r>
    </w:p>
    <w:p w14:paraId="2299E4A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14.2、靠背背板为优质钢材，整体注塑框架工艺制成，靠背背板与牙椅框架整体连接。</w:t>
      </w:r>
    </w:p>
    <w:p w14:paraId="5043158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14.3、采用搭扣形式连接的靠背和座垫。</w:t>
      </w:r>
    </w:p>
    <w:p w14:paraId="59E3B23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14.4、患者椅具有角度传感器。</w:t>
      </w:r>
    </w:p>
    <w:p w14:paraId="44CFC5E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14.5、患者椅采用变频防抖技术，牙椅运行平稳。座椅和靠背联动设计，避免患者背部牵拉及搓背感，靠背运动0 °—70 °。</w:t>
      </w:r>
    </w:p>
    <w:p w14:paraId="5EFDA27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14.6、患者椅运行平稳，启停柔和。牙椅具有水平运动补偿结构，最低椅位：≤370mm，最高椅位：≥700mm。</w:t>
      </w:r>
    </w:p>
    <w:p w14:paraId="16A173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14.7、多关节折叠式头枕，可多角度调整并固定头枕，且可拉伸和锁定，伸缩范围≥110mm。</w:t>
      </w:r>
    </w:p>
    <w:p w14:paraId="71163AC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14.8、牙科椅承载能力≥110Kg。牙椅皮垫采用皮革面料一次压注成型，柔软舒适耐磨，方便擦洗消毒。</w:t>
      </w:r>
    </w:p>
    <w:p w14:paraId="0515084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14.9、双扶手设计，外扶手可上下旋转。</w:t>
      </w:r>
    </w:p>
    <w:p w14:paraId="1228438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15、脚开关：</w:t>
      </w:r>
    </w:p>
    <w:p w14:paraId="51381B5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15.1、可控制手机转速，实现高速手机干、湿转及吹屑气。</w:t>
      </w:r>
    </w:p>
    <w:p w14:paraId="6638E5C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15.2、可控制器械给水。</w:t>
      </w:r>
    </w:p>
    <w:p w14:paraId="506B8CE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15.3、可控制椅位的升、降、俯、仰运动、记忆椅位、牙椅复位、牙椅痰位。</w:t>
      </w:r>
    </w:p>
    <w:p w14:paraId="1C770EC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15.4、可控制手术灯开启及关闭。</w:t>
      </w:r>
    </w:p>
    <w:p w14:paraId="75F380C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16、全面安全保障控制：</w:t>
      </w:r>
    </w:p>
    <w:p w14:paraId="7EEC8D6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16.1、牙椅具有安全保护功能，牙椅在下降过程中遇障碍座椅会停止运动，并小幅上升，具有防挤脚功能。</w:t>
      </w:r>
    </w:p>
    <w:p w14:paraId="796E74D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16.2、牙椅具有即停功能。</w:t>
      </w:r>
    </w:p>
    <w:p w14:paraId="37CCCB6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16.3、当手机工作时，牙科椅被自动锁定。</w:t>
      </w:r>
    </w:p>
    <w:p w14:paraId="73CD88C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16.4、设置负载短路及过载保护。</w:t>
      </w:r>
    </w:p>
    <w:p w14:paraId="1F11814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16.5、具有第一器械优先功能。</w:t>
      </w:r>
    </w:p>
    <w:p w14:paraId="5F227A4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17、全自动管路消毒系统：主箱体内部采用双水瓶设计，一键式全自动管路消毒系统。可实时显示消毒进度， 自动消毒，无需值守，消毒范围包含医生位手机、三用枪、洁牙机等所有器械。</w:t>
      </w:r>
    </w:p>
    <w:p w14:paraId="26EFA77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18、医生座椅：</w:t>
      </w:r>
    </w:p>
    <w:p w14:paraId="0D68D22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18.1、医生椅椅背高度可单独调节、靠背倾斜度可调，给不同体型的医生腰部提供良好的支撑。座垫可在水平面内360 °灵活旋转；医生椅高度可调，最低椅位≤440mm；行程： ≥120mm。</w:t>
      </w:r>
    </w:p>
    <w:p w14:paraId="01A9A2B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18.2、医生座椅采用五个万向铝合金材质脚轮滚动，座椅框架和底座部分全部采用金属材质。</w:t>
      </w:r>
    </w:p>
    <w:p w14:paraId="381BE8BF">
      <w:pPr>
        <w:spacing w:before="91" w:line="223" w:lineRule="auto"/>
        <w:ind w:left="3359"/>
        <w:outlineLvl w:val="0"/>
        <w:rPr>
          <w:rFonts w:hint="eastAsia" w:ascii="仿宋" w:hAnsi="仿宋" w:eastAsia="仿宋" w:cs="仿宋"/>
          <w:b/>
          <w:bCs/>
          <w:color w:val="auto"/>
          <w:spacing w:val="-4"/>
          <w:sz w:val="24"/>
          <w:szCs w:val="24"/>
          <w:highlight w:val="none"/>
          <w:lang w:val="en-US" w:eastAsia="zh-CN"/>
        </w:rPr>
      </w:pPr>
      <w:bookmarkStart w:id="767" w:name="_Toc30320"/>
      <w:bookmarkStart w:id="768" w:name="_Toc22564"/>
      <w:bookmarkStart w:id="769" w:name="_Toc18659"/>
      <w:r>
        <w:rPr>
          <w:rFonts w:hint="eastAsia" w:ascii="仿宋" w:hAnsi="仿宋" w:eastAsia="仿宋" w:cs="仿宋"/>
          <w:b/>
          <w:bCs/>
          <w:color w:val="auto"/>
          <w:spacing w:val="-4"/>
          <w:sz w:val="24"/>
          <w:szCs w:val="24"/>
          <w:highlight w:val="none"/>
          <w:lang w:val="en-US" w:eastAsia="zh-CN"/>
        </w:rPr>
        <w:t>12.全自动电脑视野仪参数</w:t>
      </w:r>
      <w:bookmarkEnd w:id="767"/>
      <w:bookmarkEnd w:id="768"/>
      <w:bookmarkEnd w:id="769"/>
    </w:p>
    <w:p w14:paraId="2C0AEF3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1.最大检测范围：≥90 °</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检测距离：中心≥30cm；</w:t>
      </w:r>
    </w:p>
    <w:p w14:paraId="47044B8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2.投影面：非球面投射弧面；</w:t>
      </w:r>
    </w:p>
    <w:p w14:paraId="59A90FC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3.投射光光源类型： 卤素灯光源或 LED 光源可互换；</w:t>
      </w:r>
    </w:p>
    <w:p w14:paraId="0AAA7EF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4.视标视标亮度：0—10000asb（0-51db）；</w:t>
      </w:r>
    </w:p>
    <w:p w14:paraId="2E64E51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5.视标大小：GoldmannⅢ号视标；</w:t>
      </w:r>
    </w:p>
    <w:p w14:paraId="501E078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6.视标颜色</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白色；</w:t>
      </w:r>
    </w:p>
    <w:p w14:paraId="7AF7573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7.背景光颜色及亮度</w:t>
      </w:r>
      <w:r>
        <w:rPr>
          <w:rFonts w:hint="eastAsia" w:ascii="仿宋" w:hAnsi="仿宋" w:eastAsia="仿宋" w:cs="仿宋"/>
          <w:color w:val="auto"/>
          <w:spacing w:val="-1"/>
          <w:sz w:val="24"/>
          <w:szCs w:val="24"/>
          <w:highlight w:val="none"/>
          <w:lang w:eastAsia="zh-CN"/>
        </w:rPr>
        <w:t>：</w:t>
      </w:r>
      <w:r>
        <w:rPr>
          <w:rFonts w:hint="eastAsia" w:ascii="仿宋" w:hAnsi="仿宋" w:eastAsia="仿宋" w:cs="仿宋"/>
          <w:color w:val="auto"/>
          <w:spacing w:val="-1"/>
          <w:sz w:val="24"/>
          <w:szCs w:val="24"/>
          <w:highlight w:val="none"/>
        </w:rPr>
        <w:t>白色≥31.5asb，黄色≥315asb；</w:t>
      </w:r>
    </w:p>
    <w:p w14:paraId="25E93FE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8.视标呈现时间：≥200ms（可调）；视标间隔时间：500-2000ms（可调）；</w:t>
      </w:r>
    </w:p>
    <w:p w14:paraId="392A238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9.静态视野：</w:t>
      </w:r>
    </w:p>
    <w:p w14:paraId="6151608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（1）阈值测试程序：10-2、24-2、30-2、60-4、macula、鼻侧阶梯；</w:t>
      </w:r>
    </w:p>
    <w:p w14:paraId="0B7D53E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（2）阈值检测策略：全阈值策略、智能交互式策略、快速智能交互式策略；</w:t>
      </w:r>
    </w:p>
    <w:p w14:paraId="28DC942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（3）阈上值检测程序：中心 40（C-40）程序、中心 64（C-64）程序、中心 76（C-76）程序、中心 80（C-80）程序、中心 88（C-88）程序、周边 60（P-60）程序、鼻侧阶梯程序、全视野 81（FF-81）程序、全视野120（FF-120）、全视野 135（FF-135）程序、全视野 246（FF-246）程序、全视野 102（FF-102）程序；</w:t>
      </w:r>
    </w:p>
    <w:p w14:paraId="51F85F1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（4）特殊检测程序：Esterman 单眼、Esterman 双眼、驾驶员单眼150 度水平视野检查、Superior36 检测程序（上半部 36）、Superior36检测程序（上半部 64）。</w:t>
      </w:r>
    </w:p>
    <w:p w14:paraId="4CA21C0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10.垂直视野≥110 °快速检查；</w:t>
      </w:r>
    </w:p>
    <w:p w14:paraId="7901C86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11.动态视野：</w:t>
      </w:r>
    </w:p>
    <w:p w14:paraId="6E09267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（1）动态程序：标准程序、静点程序、暗点程序、盲点程序、 自定义动态程序；</w:t>
      </w:r>
    </w:p>
    <w:p w14:paraId="35B3A55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（2）视标颜色改变：通过光学滤色片实现白色、红色、蓝色三种投射光；</w:t>
      </w:r>
    </w:p>
    <w:p w14:paraId="6591534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（3）视标亮度控制：通过光学改变透光率控制亮度。</w:t>
      </w:r>
    </w:p>
    <w:p w14:paraId="5CC67DD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12.有自动眼位识别，大瞳孔眼位识别；</w:t>
      </w:r>
    </w:p>
    <w:p w14:paraId="0C26BF7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13.固视监测：Heijl/Krakau 盲点检测、头位监测、眼位自动监视、 自动眼位追踪、眼位偏移曲线、眼位偏移报警、瞳孔自动测量额托，腮托自动同步移动；</w:t>
      </w:r>
    </w:p>
    <w:p w14:paraId="10C7C24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14.开机自检，并逐一显示自检项目；</w:t>
      </w:r>
    </w:p>
    <w:p w14:paraId="73E6A27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15.一键眼中心对位功能，全程语音提示，环境光监测功能；</w:t>
      </w:r>
    </w:p>
    <w:p w14:paraId="3281A44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16.双眼合一报告单模式；</w:t>
      </w:r>
    </w:p>
    <w:p w14:paraId="3549195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17.软件分析：可信性分析，单多项报告分析，GHT 青光眼半视野分析，青光眼进展分析，VFI 指数分析；</w:t>
      </w:r>
    </w:p>
    <w:p w14:paraId="551D75E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18.软件支持 Dicom3.0 协议，负责接入医院 HIS/PACS 系统。</w:t>
      </w:r>
    </w:p>
    <w:p w14:paraId="22A251A9">
      <w:pPr>
        <w:spacing w:before="1" w:line="411" w:lineRule="auto"/>
        <w:ind w:left="11" w:firstLine="12"/>
        <w:rPr>
          <w:rFonts w:hint="eastAsia" w:ascii="仿宋" w:hAnsi="仿宋" w:eastAsia="仿宋" w:cs="仿宋"/>
          <w:color w:val="auto"/>
          <w:spacing w:val="-1"/>
          <w:sz w:val="24"/>
          <w:szCs w:val="24"/>
          <w:highlight w:val="none"/>
        </w:rPr>
      </w:pPr>
    </w:p>
    <w:p w14:paraId="3129E3F0">
      <w:pPr>
        <w:spacing w:before="91" w:line="221" w:lineRule="auto"/>
        <w:ind w:left="3090"/>
        <w:outlineLvl w:val="0"/>
        <w:rPr>
          <w:rFonts w:hint="eastAsia" w:ascii="仿宋" w:hAnsi="仿宋" w:eastAsia="仿宋" w:cs="仿宋"/>
          <w:color w:val="auto"/>
          <w:sz w:val="24"/>
          <w:szCs w:val="24"/>
          <w:highlight w:val="none"/>
        </w:rPr>
      </w:pPr>
      <w:bookmarkStart w:id="770" w:name="_Toc30234"/>
      <w:bookmarkStart w:id="771" w:name="_Toc3081"/>
      <w:bookmarkStart w:id="772" w:name="_Toc26293"/>
      <w:r>
        <w:rPr>
          <w:rFonts w:hint="eastAsia" w:ascii="仿宋" w:hAnsi="仿宋" w:eastAsia="仿宋" w:cs="仿宋"/>
          <w:b/>
          <w:bCs/>
          <w:color w:val="auto"/>
          <w:spacing w:val="-4"/>
          <w:sz w:val="24"/>
          <w:szCs w:val="24"/>
          <w:highlight w:val="none"/>
          <w:lang w:val="en-US" w:eastAsia="zh-CN"/>
        </w:rPr>
        <w:t>13</w:t>
      </w:r>
      <w:r>
        <w:rPr>
          <w:rFonts w:hint="eastAsia" w:ascii="仿宋" w:hAnsi="仿宋" w:eastAsia="仿宋" w:cs="仿宋"/>
          <w:b/>
          <w:bCs/>
          <w:color w:val="auto"/>
          <w:spacing w:val="-4"/>
          <w:sz w:val="24"/>
          <w:szCs w:val="24"/>
          <w:highlight w:val="none"/>
        </w:rPr>
        <w:t>.暗视力检测仪参数</w:t>
      </w:r>
      <w:bookmarkEnd w:id="770"/>
      <w:bookmarkEnd w:id="771"/>
      <w:bookmarkEnd w:id="772"/>
    </w:p>
    <w:p w14:paraId="34F3BAF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1.全程语音提示功能，智能触摸，ID 卡身份识别</w:t>
      </w:r>
    </w:p>
    <w:p w14:paraId="106C633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2.视力范围:0.1-0.15(即 4.0-5.2)</w:t>
      </w:r>
    </w:p>
    <w:p w14:paraId="22D73BC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3.视力标判断方向:上、下、左、右（采用 landlot 环）</w:t>
      </w:r>
    </w:p>
    <w:p w14:paraId="62FAABF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4.刺激光亮度:5700cd/m2土 380cd/m2</w:t>
      </w:r>
    </w:p>
    <w:p w14:paraId="7E6DF42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5.视标亮度:280cd/m2 ±28cd/m2</w:t>
      </w:r>
    </w:p>
    <w:p w14:paraId="4CE6A3C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6.暗适应视标亮度:0.1cd/m2-0.15cd/m2</w:t>
      </w:r>
    </w:p>
    <w:p w14:paraId="7A2EBE6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7.光刺激时间: ≥30s</w:t>
      </w:r>
    </w:p>
    <w:p w14:paraId="018174A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8.测试数据可自助显示上传及评判全中文操作界面，可打印检查结果</w:t>
      </w:r>
    </w:p>
    <w:p w14:paraId="07EAAB93">
      <w:pPr>
        <w:spacing w:before="1" w:line="411" w:lineRule="auto"/>
        <w:ind w:left="11" w:firstLine="12"/>
        <w:rPr>
          <w:rFonts w:hint="eastAsia" w:ascii="仿宋" w:hAnsi="仿宋" w:eastAsia="仿宋" w:cs="仿宋"/>
          <w:color w:val="auto"/>
          <w:spacing w:val="-1"/>
          <w:sz w:val="24"/>
          <w:szCs w:val="24"/>
          <w:highlight w:val="none"/>
        </w:rPr>
      </w:pPr>
    </w:p>
    <w:p w14:paraId="4869A257">
      <w:pPr>
        <w:spacing w:before="91" w:line="221" w:lineRule="auto"/>
        <w:ind w:left="3090"/>
        <w:rPr>
          <w:rFonts w:hint="eastAsia" w:ascii="仿宋" w:hAnsi="仿宋" w:eastAsia="仿宋" w:cs="仿宋"/>
          <w:color w:val="auto"/>
          <w:sz w:val="24"/>
          <w:szCs w:val="24"/>
          <w:highlight w:val="none"/>
        </w:rPr>
      </w:pPr>
      <w:r>
        <w:rPr>
          <w:rFonts w:hint="eastAsia" w:ascii="仿宋" w:hAnsi="仿宋" w:eastAsia="仿宋" w:cs="仿宋"/>
          <w:b/>
          <w:bCs/>
          <w:color w:val="auto"/>
          <w:spacing w:val="-4"/>
          <w:sz w:val="24"/>
          <w:szCs w:val="24"/>
          <w:highlight w:val="none"/>
          <w:lang w:val="en-US" w:eastAsia="zh-CN"/>
        </w:rPr>
        <w:t>14</w:t>
      </w:r>
      <w:r>
        <w:rPr>
          <w:rFonts w:hint="eastAsia" w:ascii="仿宋" w:hAnsi="仿宋" w:eastAsia="仿宋" w:cs="仿宋"/>
          <w:b/>
          <w:bCs/>
          <w:color w:val="auto"/>
          <w:spacing w:val="-4"/>
          <w:sz w:val="24"/>
          <w:szCs w:val="24"/>
          <w:highlight w:val="none"/>
        </w:rPr>
        <w:t>.深视力检测仪参数</w:t>
      </w:r>
    </w:p>
    <w:p w14:paraId="66DFA34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1.智能触摸屏操作，ID 卡身份识别。</w:t>
      </w:r>
    </w:p>
    <w:p w14:paraId="55BE07E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2.移动范围:相对中心连线≥±80mm 杆直径:3mm±0.2mm。杆间距:30mm± 2mm</w:t>
      </w:r>
    </w:p>
    <w:p w14:paraId="5BEC00E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3.移动速度:50mm/s(测试)25mm/s(练习)</w:t>
      </w:r>
    </w:p>
    <w:p w14:paraId="03B163C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4.背景灯:12V·9W。</w:t>
      </w:r>
    </w:p>
    <w:p w14:paraId="125DFFE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5.测试光照度:1000-20001x</w:t>
      </w:r>
    </w:p>
    <w:p w14:paraId="53B890C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6.测试精度:≤±0.1mm。</w:t>
      </w:r>
    </w:p>
    <w:p w14:paraId="1F82F93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7.零位校准误差: ≤士 0.1mm。</w:t>
      </w:r>
    </w:p>
    <w:p w14:paraId="53D3141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8.功耗≤140W。</w:t>
      </w:r>
    </w:p>
    <w:p w14:paraId="4D4E4A4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9.全中文操作界面，可打印检查结果</w:t>
      </w:r>
    </w:p>
    <w:p w14:paraId="122827F4">
      <w:pPr>
        <w:spacing w:before="1" w:line="411" w:lineRule="auto"/>
        <w:ind w:left="11" w:firstLine="12"/>
        <w:rPr>
          <w:rFonts w:hint="eastAsia" w:ascii="仿宋" w:hAnsi="仿宋" w:eastAsia="仿宋" w:cs="仿宋"/>
          <w:color w:val="auto"/>
          <w:spacing w:val="-1"/>
          <w:sz w:val="24"/>
          <w:szCs w:val="24"/>
          <w:highlight w:val="none"/>
        </w:rPr>
      </w:pPr>
    </w:p>
    <w:p w14:paraId="0E446DB2">
      <w:pPr>
        <w:spacing w:before="91" w:line="223" w:lineRule="auto"/>
        <w:ind w:left="2529"/>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lang w:val="en-US" w:eastAsia="zh-CN"/>
        </w:rPr>
        <w:t>15.</w:t>
      </w:r>
      <w:r>
        <w:rPr>
          <w:rFonts w:hint="eastAsia" w:ascii="仿宋" w:hAnsi="仿宋" w:eastAsia="仿宋" w:cs="仿宋"/>
          <w:b/>
          <w:bCs/>
          <w:color w:val="auto"/>
          <w:spacing w:val="-3"/>
          <w:sz w:val="24"/>
          <w:szCs w:val="24"/>
          <w:highlight w:val="none"/>
        </w:rPr>
        <w:t>电脑非接触眼压计技术参数</w:t>
      </w:r>
    </w:p>
    <w:p w14:paraId="5552536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1.测量范围：0-60mmHg</w:t>
      </w:r>
    </w:p>
    <w:p w14:paraId="419B961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2.测量模式：1-30mmHg/1-60mmHg</w:t>
      </w:r>
    </w:p>
    <w:p w14:paraId="5AB5210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3.工作距离：≤11mm</w:t>
      </w:r>
    </w:p>
    <w:p w14:paraId="5E9FE95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 自动检测和显示：R/L（眼别）</w:t>
      </w:r>
    </w:p>
    <w:p w14:paraId="6A50DED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5.IOL（人工晶状体）模式：可测量人工晶体眼患者。</w:t>
      </w:r>
    </w:p>
    <w:p w14:paraId="72A6FA6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6.调整后的眼压值</w:t>
      </w:r>
    </w:p>
    <w:p w14:paraId="12A9928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7.可重复性：眼压测量重复性偏差≤10%</w:t>
      </w:r>
    </w:p>
    <w:p w14:paraId="1B8430B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8.测量模式： 自动/手动（可选），两种测量模式</w:t>
      </w:r>
    </w:p>
    <w:p w14:paraId="0EF2623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9.拍摄引导：有精确定位系统引导进行对焦测量</w:t>
      </w:r>
    </w:p>
    <w:p w14:paraId="4E2E74F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10.显示方式：可在荧屏上显示每次测量的结果及测量的平均值</w:t>
      </w:r>
    </w:p>
    <w:p w14:paraId="67C1EF0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11.测量气流量：设有气压选择，气流压力符合国家标准</w:t>
      </w:r>
    </w:p>
    <w:p w14:paraId="4787EA8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12.下巴托功能</w:t>
      </w:r>
    </w:p>
    <w:p w14:paraId="4D73394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13.显示器： ≥8.0 英寸，彩色 LED 显示器，触摸屏。</w:t>
      </w:r>
    </w:p>
    <w:p w14:paraId="6C32E203">
      <w:pPr>
        <w:spacing w:before="1" w:line="411" w:lineRule="auto"/>
        <w:ind w:left="11" w:firstLine="12"/>
        <w:rPr>
          <w:rFonts w:hint="eastAsia" w:ascii="仿宋" w:hAnsi="仿宋" w:eastAsia="仿宋" w:cs="仿宋"/>
          <w:color w:val="auto"/>
          <w:spacing w:val="-1"/>
          <w:sz w:val="24"/>
          <w:szCs w:val="24"/>
          <w:highlight w:val="none"/>
        </w:rPr>
      </w:pPr>
    </w:p>
    <w:p w14:paraId="55E73140">
      <w:pPr>
        <w:spacing w:before="91" w:line="223" w:lineRule="auto"/>
        <w:ind w:left="2529"/>
        <w:rPr>
          <w:rFonts w:hint="eastAsia" w:ascii="仿宋" w:hAnsi="仿宋" w:eastAsia="仿宋" w:cs="仿宋"/>
          <w:b/>
          <w:bCs/>
          <w:color w:val="auto"/>
          <w:spacing w:val="-3"/>
          <w:sz w:val="24"/>
          <w:szCs w:val="24"/>
          <w:highlight w:val="none"/>
          <w:lang w:val="en-US" w:eastAsia="zh-CN"/>
        </w:rPr>
      </w:pPr>
      <w:r>
        <w:rPr>
          <w:rFonts w:hint="eastAsia" w:ascii="仿宋" w:hAnsi="仿宋" w:eastAsia="仿宋" w:cs="仿宋"/>
          <w:b/>
          <w:bCs/>
          <w:color w:val="auto"/>
          <w:spacing w:val="-3"/>
          <w:sz w:val="24"/>
          <w:szCs w:val="24"/>
          <w:highlight w:val="none"/>
          <w:lang w:val="en-US" w:eastAsia="zh-CN"/>
        </w:rPr>
        <w:t>16.电脑角膜验光仪参数</w:t>
      </w:r>
    </w:p>
    <w:p w14:paraId="76E9D90F">
      <w:pPr>
        <w:spacing w:before="91" w:line="223" w:lineRule="auto"/>
        <w:ind w:left="14"/>
        <w:outlineLvl w:val="1"/>
        <w:rPr>
          <w:rFonts w:hint="eastAsia" w:ascii="仿宋" w:hAnsi="仿宋" w:eastAsia="仿宋" w:cs="仿宋"/>
          <w:color w:val="auto"/>
          <w:sz w:val="24"/>
          <w:szCs w:val="24"/>
          <w:highlight w:val="none"/>
        </w:rPr>
      </w:pPr>
      <w:bookmarkStart w:id="773" w:name="_Toc22695"/>
      <w:bookmarkStart w:id="774" w:name="_Toc27699"/>
      <w:bookmarkStart w:id="775" w:name="_Toc28114"/>
      <w:r>
        <w:rPr>
          <w:rFonts w:hint="eastAsia" w:ascii="仿宋" w:hAnsi="仿宋" w:eastAsia="仿宋" w:cs="仿宋"/>
          <w:b/>
          <w:bCs/>
          <w:color w:val="auto"/>
          <w:spacing w:val="-6"/>
          <w:sz w:val="24"/>
          <w:szCs w:val="24"/>
          <w:highlight w:val="none"/>
        </w:rPr>
        <w:t>一、验光仪参数</w:t>
      </w:r>
      <w:bookmarkEnd w:id="773"/>
      <w:bookmarkEnd w:id="774"/>
      <w:bookmarkEnd w:id="775"/>
    </w:p>
    <w:p w14:paraId="1EA02AF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1.球镜：-25D～+22D（0.12D/0.25D 精度）</w:t>
      </w:r>
    </w:p>
    <w:p w14:paraId="0967A579">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2.柱镜：0D~±10D（0.12D/0.25D 精度）</w:t>
      </w:r>
    </w:p>
    <w:p w14:paraId="77C7D57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3.轴向：0°~180°（1°或 5°精度）</w:t>
      </w:r>
    </w:p>
    <w:p w14:paraId="44DE9F6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4.最小瞳孔直径：不小于φ2.0mm</w:t>
      </w:r>
    </w:p>
    <w:p w14:paraId="7F3D277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 白内障测量模式：具有白内障测量模式</w:t>
      </w:r>
    </w:p>
    <w:p w14:paraId="13061406">
      <w:pPr>
        <w:spacing w:before="92" w:line="224" w:lineRule="auto"/>
        <w:ind w:left="18"/>
        <w:outlineLvl w:val="1"/>
        <w:rPr>
          <w:rFonts w:hint="eastAsia" w:ascii="仿宋" w:hAnsi="仿宋" w:eastAsia="仿宋" w:cs="仿宋"/>
          <w:color w:val="auto"/>
          <w:sz w:val="24"/>
          <w:szCs w:val="24"/>
          <w:highlight w:val="none"/>
        </w:rPr>
      </w:pPr>
      <w:bookmarkStart w:id="776" w:name="_Toc13692"/>
      <w:bookmarkStart w:id="777" w:name="_Toc29659"/>
      <w:bookmarkStart w:id="778" w:name="_Toc31036"/>
      <w:r>
        <w:rPr>
          <w:rFonts w:hint="eastAsia" w:ascii="仿宋" w:hAnsi="仿宋" w:eastAsia="仿宋" w:cs="仿宋"/>
          <w:b/>
          <w:bCs/>
          <w:color w:val="auto"/>
          <w:spacing w:val="-6"/>
          <w:sz w:val="24"/>
          <w:szCs w:val="24"/>
          <w:highlight w:val="none"/>
        </w:rPr>
        <w:t>二、角膜曲率模式</w:t>
      </w:r>
      <w:bookmarkEnd w:id="776"/>
      <w:bookmarkEnd w:id="777"/>
      <w:bookmarkEnd w:id="778"/>
    </w:p>
    <w:p w14:paraId="0FBD189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1.角膜曲率半径：5.00mm～10.00mm</w:t>
      </w:r>
    </w:p>
    <w:p w14:paraId="77D360D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2.角膜折射率参数： ≥1.3375</w:t>
      </w:r>
    </w:p>
    <w:p w14:paraId="299960F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3.角膜屈光参数：67.5D～33.75D</w:t>
      </w:r>
    </w:p>
    <w:p w14:paraId="5281672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4.角膜散光：0D~±10D</w:t>
      </w:r>
    </w:p>
    <w:p w14:paraId="420C417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5.角膜散光轴向：0 °至 180 °</w:t>
      </w:r>
    </w:p>
    <w:p w14:paraId="1D191987">
      <w:pPr>
        <w:spacing w:before="91" w:line="222" w:lineRule="auto"/>
        <w:ind w:left="17"/>
        <w:outlineLvl w:val="1"/>
        <w:rPr>
          <w:rFonts w:hint="eastAsia" w:ascii="仿宋" w:hAnsi="仿宋" w:eastAsia="仿宋" w:cs="仿宋"/>
          <w:color w:val="auto"/>
          <w:sz w:val="24"/>
          <w:szCs w:val="24"/>
          <w:highlight w:val="none"/>
        </w:rPr>
      </w:pPr>
      <w:bookmarkStart w:id="779" w:name="_Toc22063"/>
      <w:bookmarkStart w:id="780" w:name="_Toc13689"/>
      <w:bookmarkStart w:id="781" w:name="_Toc2331"/>
      <w:r>
        <w:rPr>
          <w:rFonts w:hint="eastAsia" w:ascii="仿宋" w:hAnsi="仿宋" w:eastAsia="仿宋" w:cs="仿宋"/>
          <w:b/>
          <w:bCs/>
          <w:color w:val="auto"/>
          <w:spacing w:val="-9"/>
          <w:sz w:val="24"/>
          <w:szCs w:val="24"/>
          <w:highlight w:val="none"/>
        </w:rPr>
        <w:t>三、其他</w:t>
      </w:r>
      <w:bookmarkEnd w:id="779"/>
      <w:bookmarkEnd w:id="780"/>
      <w:bookmarkEnd w:id="781"/>
    </w:p>
    <w:p w14:paraId="6BC3FE3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1.操作方式：≥8.5 英寸彩色触摸屏以及操纵杆两种操纵模式。</w:t>
      </w:r>
    </w:p>
    <w:p w14:paraId="37078C6A">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2.模拟眼：配备标准模拟眼</w:t>
      </w:r>
    </w:p>
    <w:p w14:paraId="1226A7A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 自动测量速度：自动测量模式时，移动位移控制器达到对焦要求时，≤0.15D</w:t>
      </w:r>
    </w:p>
    <w:p w14:paraId="3726337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4.旋转棱镜测量系统，在瞳孔直径为≤2mm 的情况下仍可保证测量数据的准确和可靠性。</w:t>
      </w:r>
    </w:p>
    <w:p w14:paraId="292E937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5.可信度分析：当单次测量存在可信性怀疑时，会在单次显示测值左侧给出标记，并在最终结果处给出标记</w:t>
      </w:r>
    </w:p>
    <w:p w14:paraId="6A37E84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6.测量结果记录：可记录左右眼各≥10 个测量结果，可记录平子午线角度</w:t>
      </w:r>
    </w:p>
    <w:p w14:paraId="26566A6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7.打印纸切纸方式：自动切纸</w:t>
      </w:r>
    </w:p>
    <w:p w14:paraId="4F45AA8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8.瞳距测量范围：≥65mm</w:t>
      </w:r>
    </w:p>
    <w:p w14:paraId="5B03782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9.数据传输方式：USB(输入)，RS-232C(输出)，LAN(输出)</w:t>
      </w:r>
    </w:p>
    <w:p w14:paraId="12C765C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10.电源：100-240V 交流</w:t>
      </w:r>
    </w:p>
    <w:p w14:paraId="7228582D">
      <w:pPr>
        <w:spacing w:before="0" w:line="240" w:lineRule="auto"/>
        <w:ind w:left="0" w:firstLine="0"/>
        <w:rPr>
          <w:rFonts w:hint="eastAsia" w:ascii="Times New Roman" w:hAnsi="Times New Roman" w:eastAsia="宋体" w:cs="Times New Roman"/>
          <w:color w:val="auto"/>
          <w:kern w:val="2"/>
          <w:sz w:val="21"/>
          <w:szCs w:val="24"/>
          <w:lang w:val="en-US" w:eastAsia="zh-CN" w:bidi="ar-SA"/>
        </w:rPr>
      </w:pPr>
    </w:p>
    <w:p w14:paraId="10B0A368">
      <w:pPr>
        <w:spacing w:before="0" w:line="240" w:lineRule="auto"/>
        <w:ind w:left="0" w:firstLine="0"/>
        <w:rPr>
          <w:rFonts w:hint="eastAsia"/>
          <w:color w:val="auto"/>
          <w:lang w:val="en-US" w:eastAsia="zh-CN"/>
        </w:rPr>
      </w:pPr>
    </w:p>
    <w:p w14:paraId="0BD19209">
      <w:pPr>
        <w:spacing w:before="0" w:line="240" w:lineRule="auto"/>
        <w:ind w:left="0" w:firstLine="0"/>
        <w:rPr>
          <w:rFonts w:hint="eastAsia"/>
          <w:color w:val="auto"/>
          <w:lang w:val="en-US" w:eastAsia="zh-CN"/>
        </w:rPr>
      </w:pPr>
    </w:p>
    <w:p w14:paraId="1735F8D7">
      <w:pPr>
        <w:tabs>
          <w:tab w:val="left" w:pos="2487"/>
        </w:tabs>
        <w:spacing w:before="0" w:line="240" w:lineRule="auto"/>
        <w:ind w:left="0"/>
        <w:jc w:val="center"/>
        <w:outlineLvl w:val="9"/>
        <w:rPr>
          <w:rFonts w:hint="eastAsia" w:ascii="仿宋" w:hAnsi="仿宋" w:eastAsia="仿宋" w:cs="仿宋"/>
          <w:b/>
          <w:bCs/>
          <w:color w:val="auto"/>
          <w:spacing w:val="-3"/>
          <w:sz w:val="24"/>
          <w:szCs w:val="24"/>
          <w:highlight w:val="none"/>
          <w:lang w:val="en-US" w:eastAsia="zh-CN"/>
        </w:rPr>
      </w:pPr>
      <w:r>
        <w:rPr>
          <w:rFonts w:hint="eastAsia"/>
          <w:color w:val="auto"/>
          <w:lang w:val="en-US" w:eastAsia="zh-CN"/>
        </w:rPr>
        <w:tab/>
      </w:r>
      <w:bookmarkStart w:id="782" w:name="_Toc715"/>
      <w:bookmarkStart w:id="783" w:name="_Toc643"/>
      <w:bookmarkStart w:id="784" w:name="_Toc19084"/>
      <w:r>
        <w:rPr>
          <w:rFonts w:hint="eastAsia" w:ascii="仿宋" w:hAnsi="仿宋" w:eastAsia="仿宋" w:cs="仿宋"/>
          <w:b/>
          <w:bCs/>
          <w:color w:val="auto"/>
          <w:spacing w:val="-3"/>
          <w:sz w:val="24"/>
          <w:szCs w:val="24"/>
          <w:highlight w:val="none"/>
          <w:lang w:val="en-US" w:eastAsia="zh-CN"/>
        </w:rPr>
        <w:t>17.肝功能剪切波量化检测仪参数</w:t>
      </w:r>
      <w:bookmarkEnd w:id="782"/>
      <w:bookmarkEnd w:id="783"/>
      <w:bookmarkEnd w:id="784"/>
    </w:p>
    <w:p w14:paraId="7DB76CE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1.适用范围：包含病毒性肝炎，非酒精性脂肪肝、酒精性肝病、药物性肝损伤、胆汁淤积性肝病所导致引起的肝纤维化和肝硬化的准确诊断，抗病毒和抗纤维化疗效的动态评估，肝硬化并发症的预测。</w:t>
      </w:r>
    </w:p>
    <w:p w14:paraId="4EC1CB0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2.设计使用年限≥7 年。</w:t>
      </w:r>
    </w:p>
    <w:p w14:paraId="63811B3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3.二维影像功能：具备二维超声影像功能。</w:t>
      </w:r>
    </w:p>
    <w:p w14:paraId="64A1CD64">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4.超声信号显示：支持超声信号实时幅度显示，可选用A 模式或其他符合临床需求的显示模式。</w:t>
      </w:r>
    </w:p>
    <w:p w14:paraId="65DB8E9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5.测量分析模块：具备测量分析包，支持门静脉宽度、脾长径/短径、脾静脉宽度等测量。脂肪含量测定、纤维硬度测定敏感度、特异性≥85%。</w:t>
      </w:r>
    </w:p>
    <w:p w14:paraId="38EBD565">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6.配备多功能操作组件，支持参数调节、按键输入、鼠标移动等功能，可选用嵌入式键盘（无需第三方外接）或其他合规键盘形式，确保操作稳定性与便捷性。</w:t>
      </w:r>
    </w:p>
    <w:p w14:paraId="16C8966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7.工作站：内置工作站，负责连接医院 his、PACS 系统。</w:t>
      </w:r>
    </w:p>
    <w:p w14:paraId="2182BE57">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8.具备硬度检测探头。</w:t>
      </w:r>
    </w:p>
    <w:p w14:paraId="3C7147F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9.探头频率自适应调节，自动检测皮肤表面到肝脏包膜的距离，并自动调节探头传感器频率。</w:t>
      </w:r>
    </w:p>
    <w:p w14:paraId="698468CF">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10.硬度检测探头频率：宽频波，频率范围 1.5MHz-4.8MHz，满足肝纤维化、肝硬化等临床检测需求。</w:t>
      </w:r>
    </w:p>
    <w:p w14:paraId="3AAFB22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11.剪切波探头传感器直径≤9mm。</w:t>
      </w:r>
    </w:p>
    <w:p w14:paraId="4B9F14EB">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12.剪切波探头前端传感器为圆形，宽度≤9mm</w:t>
      </w:r>
    </w:p>
    <w:p w14:paraId="2E66F49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13.剪切波频率：50Hz±1Hz；</w:t>
      </w:r>
    </w:p>
    <w:p w14:paraId="28E02EA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14.硬度检测探头测量深度范围：15mm-80mm。</w:t>
      </w:r>
    </w:p>
    <w:p w14:paraId="4B4BE0CD">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15.硬度检测最大值： ≥75kPa。</w:t>
      </w:r>
    </w:p>
    <w:p w14:paraId="01BFBDFC">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16.硬度检测最小值：≤1kPa。</w:t>
      </w:r>
    </w:p>
    <w:p w14:paraId="046322F0">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17.硬度测量重复性误差≤5%。</w:t>
      </w:r>
    </w:p>
    <w:p w14:paraId="09F539A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18.脂肪衰减参数检测范围：100dB/m-420dB/m。</w:t>
      </w:r>
    </w:p>
    <w:p w14:paraId="652F4731">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19.脂肪衰减参数重复性误差≤5%。</w:t>
      </w:r>
    </w:p>
    <w:p w14:paraId="33298056">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20.超声引导探头和硬度检测探头各一把，非融合探头。</w:t>
      </w:r>
    </w:p>
    <w:p w14:paraId="32F2F518">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21.具备压力监测与过载自动保护功能。</w:t>
      </w:r>
    </w:p>
    <w:p w14:paraId="451964E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22.病例管理：支持新建、加载、 自动保存、查询、批量删除、打印及上传等。</w:t>
      </w:r>
    </w:p>
    <w:p w14:paraId="3BA271FE">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23.显示终端≥21 英寸,分辨率≥1920×1080p</w:t>
      </w:r>
    </w:p>
    <w:p w14:paraId="5D1D6EC2">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24.软件自动分析测量结果，能显示患者信息、中位数、硬度值、IQR、成功率、测量次数、脂肪衰减参数值等，弹性结果图显示测量深度及时间。</w:t>
      </w:r>
    </w:p>
    <w:p w14:paraId="24210B73">
      <w:pPr>
        <w:spacing w:before="1" w:line="411" w:lineRule="auto"/>
        <w:ind w:left="11" w:firstLine="12"/>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25.配置要求：标配主机 1 台、检测探头 1 把、脚踏开关个、超声引导探头 1 把、单元车 1 台、肝功能剪切波量化检测系统软件 1 套、全数字彩超影像模块 1 套、数字化肝纤维诊断模块 1 套、显示器 1 台，且提供院内PACS 系统连接。</w:t>
      </w:r>
    </w:p>
    <w:p w14:paraId="776584C2">
      <w:pPr>
        <w:keepNext/>
        <w:keepLines/>
        <w:pageBreakBefore w:val="0"/>
        <w:widowControl/>
        <w:numPr>
          <w:ilvl w:val="0"/>
          <w:numId w:val="0"/>
        </w:numPr>
        <w:kinsoku/>
        <w:wordWrap/>
        <w:overflowPunct/>
        <w:topLinePunct w:val="0"/>
        <w:autoSpaceDE/>
        <w:autoSpaceDN/>
        <w:bidi w:val="0"/>
        <w:adjustRightInd w:val="0"/>
        <w:snapToGrid w:val="0"/>
        <w:spacing w:after="0" w:line="360" w:lineRule="auto"/>
        <w:ind w:left="0" w:leftChars="0" w:firstLine="0" w:firstLineChars="0"/>
        <w:textAlignment w:val="auto"/>
        <w:outlineLvl w:val="1"/>
        <w:rPr>
          <w:rFonts w:hint="eastAsia" w:ascii="仿宋" w:hAnsi="仿宋" w:eastAsia="仿宋" w:cs="仿宋"/>
          <w:b/>
          <w:bCs/>
          <w:color w:val="auto"/>
          <w:kern w:val="44"/>
          <w:sz w:val="24"/>
          <w:szCs w:val="24"/>
          <w:highlight w:val="none"/>
          <w:lang w:val="en-US" w:eastAsia="zh-CN" w:bidi="ar-SA"/>
          <w14:ligatures w14:val="standardContextual"/>
        </w:rPr>
      </w:pPr>
      <w:bookmarkStart w:id="785" w:name="_Toc31947"/>
      <w:bookmarkStart w:id="786" w:name="_Toc11271"/>
      <w:bookmarkStart w:id="787" w:name="_Toc9245"/>
      <w:r>
        <w:rPr>
          <w:rFonts w:hint="eastAsia" w:ascii="仿宋" w:hAnsi="仿宋" w:eastAsia="仿宋" w:cs="仿宋"/>
          <w:b/>
          <w:bCs/>
          <w:color w:val="auto"/>
          <w:kern w:val="44"/>
          <w:sz w:val="24"/>
          <w:szCs w:val="24"/>
          <w:highlight w:val="none"/>
          <w:lang w:val="en-US" w:eastAsia="zh-CN" w:bidi="ar-SA"/>
          <w14:ligatures w14:val="standardContextual"/>
        </w:rPr>
        <w:t>二、商务要求</w:t>
      </w:r>
      <w:bookmarkEnd w:id="760"/>
      <w:bookmarkEnd w:id="785"/>
      <w:bookmarkEnd w:id="786"/>
      <w:bookmarkEnd w:id="787"/>
    </w:p>
    <w:p w14:paraId="4DC068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1.本次所采购全部设备，出厂生产日期须为交货当日起算半年以内全新原厂货品，严禁库存机、翻新机、返修机、样机、过期囤货设备。</w:t>
      </w:r>
    </w:p>
    <w:p w14:paraId="536800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2.负责无缝对接医院现有HIS 系统、LIS 系统（包括单向、双向）等，无额外外接口费、对接授权费。费用全含在本次项目报价中。</w:t>
      </w:r>
    </w:p>
    <w:p w14:paraId="17E5F71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3.负责所有设备软件终身免费升级，不再产生费用。</w:t>
      </w:r>
    </w:p>
    <w:p w14:paraId="582BC186">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b/>
          <w:bCs/>
          <w:color w:val="auto"/>
          <w:sz w:val="24"/>
          <w:szCs w:val="24"/>
          <w:highlight w:val="none"/>
        </w:rPr>
        <w:t>质保期：本项目整体质保期为三年，其中手术器械质保期为一年。</w:t>
      </w:r>
      <w:r>
        <w:rPr>
          <w:rFonts w:hint="eastAsia" w:ascii="仿宋" w:hAnsi="仿宋" w:eastAsia="仿宋" w:cs="仿宋"/>
          <w:color w:val="auto"/>
          <w:sz w:val="24"/>
          <w:szCs w:val="24"/>
          <w:highlight w:val="none"/>
        </w:rPr>
        <w:t>若技术参数对质保期限另有约定，按技术参数要求执行；技术参数约定标准低于国家相关规定的，遵照国家规定执行；技术参数约定标准高于国家相关规定的，以技术参数要求为准。</w:t>
      </w:r>
    </w:p>
    <w:p w14:paraId="2A110886">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3C39F86">
      <w:pPr>
        <w:jc w:val="center"/>
        <w:rPr>
          <w:rFonts w:hint="eastAsia" w:ascii="仿宋" w:hAnsi="仿宋" w:eastAsia="仿宋" w:cs="仿宋"/>
          <w:b/>
          <w:bCs/>
          <w:color w:val="auto"/>
          <w:kern w:val="44"/>
          <w:sz w:val="24"/>
          <w:szCs w:val="24"/>
          <w:highlight w:val="none"/>
          <w:lang w:val="en-US" w:eastAsia="zh-CN" w:bidi="ar-SA"/>
          <w14:ligatures w14:val="standardContextual"/>
        </w:rPr>
      </w:pPr>
      <w:r>
        <w:rPr>
          <w:rFonts w:hint="eastAsia" w:ascii="仿宋" w:hAnsi="仿宋" w:eastAsia="仿宋" w:cs="仿宋"/>
          <w:b/>
          <w:bCs/>
          <w:color w:val="auto"/>
          <w:kern w:val="44"/>
          <w:sz w:val="24"/>
          <w:szCs w:val="24"/>
          <w:highlight w:val="none"/>
          <w:lang w:val="en-US" w:eastAsia="zh-CN" w:bidi="ar-SA"/>
          <w14:ligatures w14:val="standardContextual"/>
        </w:rPr>
        <w:t>合同包8  采购需求</w:t>
      </w:r>
    </w:p>
    <w:p w14:paraId="0CE5F6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Cs/>
          <w:color w:val="auto"/>
          <w:sz w:val="24"/>
          <w:szCs w:val="24"/>
          <w:highlight w:val="none"/>
        </w:rPr>
      </w:pPr>
    </w:p>
    <w:p w14:paraId="672886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一、工程概况</w:t>
      </w:r>
    </w:p>
    <w:p w14:paraId="305EA1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本项目场地位于陕西省榆林市靖边县。建设内容包含：靖边县人民医院本部：血液透析中心改造及改造过程中产生的破损修复。靖边县人民医院河东院区：地下室配电系统设施设备改造：本次对 配 电 室 设 备 进 行 更 换 提 升 更 换 内 容 包 括 ： 干 式 电 力 变 压 器（SCB14-500KVA）2 台；直流屏（GZDW-65AH）2 台；高压开关柜（KYN28型中置式真空）5 台；低压开关柜（GCS 型插拔式）14 台</w:t>
      </w:r>
      <w:r>
        <w:rPr>
          <w:rFonts w:hint="eastAsia" w:ascii="仿宋" w:hAnsi="仿宋" w:eastAsia="仿宋" w:cs="仿宋"/>
          <w:bCs/>
          <w:color w:val="auto"/>
          <w:sz w:val="24"/>
          <w:szCs w:val="24"/>
          <w:highlight w:val="none"/>
          <w:lang w:eastAsia="zh-CN"/>
        </w:rPr>
        <w:t>。</w:t>
      </w:r>
    </w:p>
    <w:p w14:paraId="749261F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Cs/>
          <w:color w:val="auto"/>
          <w:sz w:val="24"/>
          <w:szCs w:val="24"/>
          <w:highlight w:val="none"/>
          <w:lang w:val="en-US" w:eastAsia="zh-CN"/>
        </w:rPr>
        <w:t>工程量清单</w:t>
      </w:r>
      <w:r>
        <w:rPr>
          <w:rFonts w:hint="eastAsia" w:ascii="仿宋" w:hAnsi="仿宋" w:eastAsia="仿宋" w:cs="仿宋"/>
          <w:bCs/>
          <w:color w:val="auto"/>
          <w:sz w:val="24"/>
          <w:szCs w:val="24"/>
          <w:highlight w:val="none"/>
        </w:rPr>
        <w:t>编制依据</w:t>
      </w:r>
    </w:p>
    <w:p w14:paraId="78C9046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1、2025 年《陕西省建设工程工程量清单计价计算标准》、陕西省建设工程费用规则(2025);</w:t>
      </w:r>
    </w:p>
    <w:p w14:paraId="562722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陕西省房屋建筑与装饰工程基价表》（2025）、陕西省通用安装工程基价表(2025)、陕西省园林绿化工程基价表(2025)、陕西省房屋建筑与装饰工程消耗量定额(2025)、陕西省通用安装工程消耗量定额(2025)、陕西省园林绿化工程消耗量定额(2025)；</w:t>
      </w:r>
    </w:p>
    <w:p w14:paraId="7F823E0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3、材料价格按 2026 年 1 期《靖边县工程造价信息》,靖边县工程造价信息价没有发布的参照榆林市最新一期的信息价，榆林市未发布的参考市场价。</w:t>
      </w:r>
    </w:p>
    <w:p w14:paraId="117695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4、财政部、国家税务总局《关于全面推开营业税改征增信税试点的通知》(财税(2016)36 号)。</w:t>
      </w:r>
    </w:p>
    <w:p w14:paraId="32FF2D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四、有关材料、设备、参数和费用的说明</w:t>
      </w:r>
    </w:p>
    <w:p w14:paraId="70A935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1、专业工程暂估价:无；</w:t>
      </w:r>
    </w:p>
    <w:p w14:paraId="64CCBF0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2、材料、设备及综合单价暂定价：无；</w:t>
      </w:r>
    </w:p>
    <w:p w14:paraId="053789F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3、暂列金额：无。</w:t>
      </w:r>
    </w:p>
    <w:p w14:paraId="1A612B7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五、其他说明</w:t>
      </w:r>
    </w:p>
    <w:p w14:paraId="7633057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（一）共性说明：</w:t>
      </w:r>
    </w:p>
    <w:p w14:paraId="2BDF0D1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1、所有砂浆按预拌砂浆、混凝土按预拌商品混凝土计入。</w:t>
      </w:r>
    </w:p>
    <w:p w14:paraId="7E4BA76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2、材料价格信息价内涉及到的单独运费运距考虑按 10km 考虑。</w:t>
      </w:r>
    </w:p>
    <w:p w14:paraId="44223F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本工程工程量清单所提供的工程项目其工程特征仅简略表述了主要项目特征,用料及做法，工程量清单计价应与投标须知、合同条款、技术规范、图纸及答疑纪要等文件结合起来查阅与理解，报价时结合技术规范和图纸报价;</w:t>
      </w:r>
    </w:p>
    <w:p w14:paraId="7000D5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（三）预算书是根据设计院提供的图纸、补充说明、答疑纪要以及有关工程量清单计价的国家标准、行业标准、合同条款中约定的工程量计价原则编制的；</w:t>
      </w:r>
    </w:p>
    <w:p w14:paraId="5BC87DF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六、工程质量、材料、施工等要求</w:t>
      </w:r>
    </w:p>
    <w:p w14:paraId="6F379D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1、工程质量：合格</w:t>
      </w:r>
    </w:p>
    <w:p w14:paraId="3633E21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七、本工程采用广联达云计价平台 GCCP7.0（7.5000.23.3）。</w:t>
      </w:r>
    </w:p>
    <w:p w14:paraId="6AC45A3C">
      <w:pPr>
        <w:rPr>
          <w:rFonts w:hint="eastAsia" w:ascii="仿宋" w:hAnsi="仿宋" w:eastAsia="仿宋" w:cs="仿宋"/>
          <w:color w:val="auto"/>
          <w:highlight w:val="none"/>
        </w:rPr>
      </w:pPr>
      <w:r>
        <w:rPr>
          <w:rFonts w:hint="eastAsia" w:ascii="仿宋" w:hAnsi="仿宋" w:eastAsia="仿宋" w:cs="仿宋"/>
          <w:bCs/>
          <w:color w:val="auto"/>
          <w:sz w:val="24"/>
          <w:szCs w:val="24"/>
          <w:highlight w:val="none"/>
          <w:lang w:val="en-US" w:eastAsia="zh-CN"/>
        </w:rPr>
        <w:t>八、图纸、电子招标书见附件。</w:t>
      </w:r>
      <w:r>
        <w:rPr>
          <w:rFonts w:hint="eastAsia" w:ascii="仿宋" w:hAnsi="仿宋" w:eastAsia="仿宋" w:cs="仿宋"/>
          <w:color w:val="auto"/>
          <w:highlight w:val="none"/>
        </w:rPr>
        <w:br w:type="page"/>
      </w:r>
    </w:p>
    <w:p w14:paraId="3D7940B1">
      <w:pPr>
        <w:bidi w:val="0"/>
        <w:jc w:val="center"/>
        <w:rPr>
          <w:rStyle w:val="50"/>
          <w:rFonts w:hint="eastAsia" w:ascii="仿宋" w:hAnsi="仿宋" w:eastAsia="仿宋" w:cs="仿宋"/>
          <w:color w:val="auto"/>
          <w:highlight w:val="none"/>
          <w:lang w:eastAsia="zh-CN"/>
        </w:rPr>
      </w:pPr>
      <w:bookmarkStart w:id="788" w:name="_Toc1299"/>
      <w:r>
        <w:rPr>
          <w:rStyle w:val="50"/>
          <w:rFonts w:hint="eastAsia" w:ascii="仿宋" w:hAnsi="仿宋" w:eastAsia="仿宋" w:cs="仿宋"/>
          <w:color w:val="auto"/>
          <w:highlight w:val="none"/>
        </w:rPr>
        <w:t>第六章 投标文件格式</w:t>
      </w:r>
      <w:bookmarkEnd w:id="419"/>
      <w:bookmarkEnd w:id="420"/>
      <w:bookmarkEnd w:id="421"/>
      <w:bookmarkEnd w:id="422"/>
      <w:bookmarkEnd w:id="423"/>
      <w:r>
        <w:rPr>
          <w:rStyle w:val="50"/>
          <w:rFonts w:hint="eastAsia" w:ascii="仿宋" w:hAnsi="仿宋" w:eastAsia="仿宋" w:cs="仿宋"/>
          <w:color w:val="auto"/>
          <w:highlight w:val="none"/>
          <w:lang w:eastAsia="zh-CN"/>
        </w:rPr>
        <w:t>（</w:t>
      </w:r>
      <w:r>
        <w:rPr>
          <w:rStyle w:val="50"/>
          <w:rFonts w:hint="eastAsia" w:ascii="仿宋" w:hAnsi="仿宋" w:eastAsia="仿宋" w:cs="仿宋"/>
          <w:color w:val="auto"/>
          <w:highlight w:val="none"/>
          <w:lang w:val="en-US" w:eastAsia="zh-CN"/>
        </w:rPr>
        <w:t>合同包1-7</w:t>
      </w:r>
      <w:r>
        <w:rPr>
          <w:rStyle w:val="50"/>
          <w:rFonts w:hint="eastAsia" w:ascii="仿宋" w:hAnsi="仿宋" w:eastAsia="仿宋" w:cs="仿宋"/>
          <w:color w:val="auto"/>
          <w:highlight w:val="none"/>
          <w:lang w:eastAsia="zh-CN"/>
        </w:rPr>
        <w:t>）</w:t>
      </w:r>
    </w:p>
    <w:bookmarkEnd w:id="788"/>
    <w:p w14:paraId="6607611E">
      <w:pPr>
        <w:autoSpaceDE w:val="0"/>
        <w:autoSpaceDN w:val="0"/>
        <w:adjustRightInd w:val="0"/>
        <w:snapToGrid w:val="0"/>
        <w:spacing w:line="360" w:lineRule="auto"/>
        <w:rPr>
          <w:rFonts w:hint="eastAsia" w:ascii="仿宋" w:hAnsi="仿宋" w:eastAsia="仿宋" w:cs="仿宋"/>
          <w:bCs/>
          <w:color w:val="auto"/>
          <w:sz w:val="28"/>
          <w:szCs w:val="28"/>
          <w:highlight w:val="none"/>
          <w:lang w:val="zh-CN"/>
        </w:rPr>
      </w:pPr>
    </w:p>
    <w:p w14:paraId="32D1C29B">
      <w:pPr>
        <w:rPr>
          <w:rFonts w:hint="eastAsia" w:ascii="仿宋" w:hAnsi="仿宋" w:eastAsia="仿宋" w:cs="仿宋"/>
          <w:b/>
          <w:bCs/>
          <w:color w:val="auto"/>
          <w:sz w:val="30"/>
          <w:szCs w:val="30"/>
          <w:highlight w:val="none"/>
          <w:lang w:val="zh-CN"/>
        </w:rPr>
      </w:pPr>
    </w:p>
    <w:p w14:paraId="343F5FDE">
      <w:pPr>
        <w:rPr>
          <w:rFonts w:hint="eastAsia" w:ascii="仿宋" w:hAnsi="仿宋" w:eastAsia="仿宋" w:cs="仿宋"/>
          <w:b/>
          <w:bCs/>
          <w:color w:val="auto"/>
          <w:sz w:val="30"/>
          <w:szCs w:val="30"/>
          <w:highlight w:val="none"/>
          <w:lang w:val="zh-CN"/>
        </w:rPr>
      </w:pPr>
    </w:p>
    <w:p w14:paraId="0C4A3995">
      <w:pPr>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采购项目编号：</w:t>
      </w:r>
    </w:p>
    <w:p w14:paraId="4CEDFAA6">
      <w:pPr>
        <w:spacing w:line="240" w:lineRule="atLeast"/>
        <w:ind w:left="1079" w:leftChars="257" w:hanging="540"/>
        <w:jc w:val="center"/>
        <w:rPr>
          <w:rFonts w:hint="eastAsia" w:ascii="仿宋" w:hAnsi="仿宋" w:eastAsia="仿宋" w:cs="仿宋"/>
          <w:b/>
          <w:color w:val="auto"/>
          <w:sz w:val="52"/>
          <w:szCs w:val="52"/>
          <w:highlight w:val="none"/>
        </w:rPr>
      </w:pPr>
    </w:p>
    <w:p w14:paraId="71571716">
      <w:pPr>
        <w:spacing w:line="240" w:lineRule="atLeast"/>
        <w:ind w:left="1079" w:leftChars="257" w:hanging="540"/>
        <w:jc w:val="center"/>
        <w:rPr>
          <w:rFonts w:hint="eastAsia" w:ascii="仿宋" w:hAnsi="仿宋" w:eastAsia="仿宋" w:cs="仿宋"/>
          <w:b/>
          <w:color w:val="auto"/>
          <w:sz w:val="52"/>
          <w:szCs w:val="52"/>
          <w:highlight w:val="none"/>
        </w:rPr>
      </w:pPr>
    </w:p>
    <w:p w14:paraId="7552FDF1">
      <w:pPr>
        <w:autoSpaceDE w:val="0"/>
        <w:autoSpaceDN w:val="0"/>
        <w:adjustRightInd w:val="0"/>
        <w:snapToGrid w:val="0"/>
        <w:spacing w:line="360" w:lineRule="auto"/>
        <w:jc w:val="center"/>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t>项目名称</w:t>
      </w:r>
    </w:p>
    <w:p w14:paraId="04ABF91A">
      <w:pPr>
        <w:pStyle w:val="33"/>
        <w:ind w:firstLine="3520" w:firstLineChars="800"/>
        <w:jc w:val="both"/>
        <w:rPr>
          <w:rFonts w:hint="eastAsia" w:ascii="仿宋" w:hAnsi="仿宋" w:eastAsia="仿宋" w:cs="仿宋"/>
          <w:color w:val="auto"/>
          <w:highlight w:val="none"/>
          <w:lang w:val="en-US" w:eastAsia="zh-CN"/>
        </w:rPr>
      </w:pPr>
      <w:r>
        <w:rPr>
          <w:rFonts w:hint="eastAsia" w:ascii="仿宋" w:hAnsi="仿宋" w:eastAsia="仿宋" w:cs="仿宋"/>
          <w:b/>
          <w:bCs/>
          <w:color w:val="auto"/>
          <w:sz w:val="44"/>
          <w:szCs w:val="44"/>
          <w:highlight w:val="none"/>
          <w:u w:val="single"/>
          <w:lang w:val="en-US" w:eastAsia="zh-CN"/>
        </w:rPr>
        <w:t>合同包</w:t>
      </w:r>
    </w:p>
    <w:p w14:paraId="7DB60B90">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p>
    <w:p w14:paraId="22205248">
      <w:pPr>
        <w:tabs>
          <w:tab w:val="left" w:pos="5670"/>
        </w:tabs>
        <w:autoSpaceDE w:val="0"/>
        <w:autoSpaceDN w:val="0"/>
        <w:adjustRightInd w:val="0"/>
        <w:snapToGrid w:val="0"/>
        <w:spacing w:line="360" w:lineRule="auto"/>
        <w:jc w:val="center"/>
        <w:rPr>
          <w:rFonts w:hint="eastAsia" w:ascii="仿宋" w:hAnsi="仿宋" w:eastAsia="仿宋" w:cs="仿宋"/>
          <w:b/>
          <w:bCs/>
          <w:color w:val="auto"/>
          <w:sz w:val="52"/>
          <w:szCs w:val="52"/>
          <w:highlight w:val="none"/>
          <w:lang w:val="zh-CN"/>
        </w:rPr>
      </w:pPr>
      <w:r>
        <w:rPr>
          <w:rFonts w:hint="eastAsia" w:ascii="仿宋" w:hAnsi="仿宋" w:eastAsia="仿宋" w:cs="仿宋"/>
          <w:b/>
          <w:bCs/>
          <w:color w:val="auto"/>
          <w:sz w:val="52"/>
          <w:szCs w:val="52"/>
          <w:highlight w:val="none"/>
          <w:lang w:val="zh-CN"/>
        </w:rPr>
        <w:t>投 标 文 件</w:t>
      </w:r>
    </w:p>
    <w:p w14:paraId="11A10714">
      <w:pPr>
        <w:spacing w:line="240" w:lineRule="atLeast"/>
        <w:ind w:left="1079" w:leftChars="257" w:hanging="540"/>
        <w:jc w:val="center"/>
        <w:rPr>
          <w:rFonts w:hint="eastAsia" w:ascii="仿宋" w:hAnsi="仿宋" w:eastAsia="仿宋" w:cs="仿宋"/>
          <w:b/>
          <w:color w:val="auto"/>
          <w:sz w:val="32"/>
          <w:szCs w:val="32"/>
          <w:highlight w:val="none"/>
        </w:rPr>
      </w:pPr>
    </w:p>
    <w:p w14:paraId="647C5E65">
      <w:pPr>
        <w:spacing w:line="240" w:lineRule="atLeast"/>
        <w:ind w:left="1079" w:leftChars="257" w:hanging="540"/>
        <w:jc w:val="center"/>
        <w:rPr>
          <w:rFonts w:hint="eastAsia" w:ascii="仿宋" w:hAnsi="仿宋" w:eastAsia="仿宋" w:cs="仿宋"/>
          <w:b/>
          <w:color w:val="auto"/>
          <w:sz w:val="32"/>
          <w:szCs w:val="32"/>
          <w:highlight w:val="none"/>
        </w:rPr>
      </w:pPr>
    </w:p>
    <w:p w14:paraId="761CDE71">
      <w:pPr>
        <w:autoSpaceDE w:val="0"/>
        <w:autoSpaceDN w:val="0"/>
        <w:adjustRightInd w:val="0"/>
        <w:snapToGrid w:val="0"/>
        <w:spacing w:line="360" w:lineRule="auto"/>
        <w:jc w:val="center"/>
        <w:rPr>
          <w:rFonts w:hint="eastAsia" w:ascii="仿宋" w:hAnsi="仿宋" w:eastAsia="仿宋" w:cs="仿宋"/>
          <w:b/>
          <w:bCs/>
          <w:color w:val="auto"/>
          <w:sz w:val="32"/>
          <w:szCs w:val="32"/>
          <w:highlight w:val="none"/>
        </w:rPr>
      </w:pPr>
    </w:p>
    <w:p w14:paraId="42A22208">
      <w:pPr>
        <w:autoSpaceDE w:val="0"/>
        <w:autoSpaceDN w:val="0"/>
        <w:adjustRightInd w:val="0"/>
        <w:snapToGrid w:val="0"/>
        <w:spacing w:line="360" w:lineRule="auto"/>
        <w:rPr>
          <w:rFonts w:hint="eastAsia" w:ascii="仿宋" w:hAnsi="仿宋" w:eastAsia="仿宋" w:cs="仿宋"/>
          <w:color w:val="auto"/>
          <w:sz w:val="30"/>
          <w:szCs w:val="30"/>
          <w:highlight w:val="none"/>
        </w:rPr>
      </w:pPr>
    </w:p>
    <w:p w14:paraId="3042CE3E">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6A82BABA">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0486B591">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u w:val="single"/>
        </w:rPr>
      </w:pPr>
    </w:p>
    <w:p w14:paraId="215FEF6B">
      <w:pPr>
        <w:autoSpaceDE w:val="0"/>
        <w:autoSpaceDN w:val="0"/>
        <w:adjustRightInd w:val="0"/>
        <w:snapToGrid w:val="0"/>
        <w:spacing w:line="360" w:lineRule="auto"/>
        <w:rPr>
          <w:rFonts w:hint="eastAsia" w:ascii="仿宋" w:hAnsi="仿宋" w:eastAsia="仿宋" w:cs="仿宋"/>
          <w:b/>
          <w:bCs/>
          <w:color w:val="auto"/>
          <w:sz w:val="32"/>
          <w:szCs w:val="32"/>
          <w:highlight w:val="none"/>
          <w:u w:val="single"/>
        </w:rPr>
      </w:pPr>
      <w:r>
        <w:rPr>
          <w:rFonts w:hint="eastAsia" w:ascii="仿宋" w:hAnsi="仿宋" w:eastAsia="仿宋" w:cs="仿宋"/>
          <w:color w:val="auto"/>
          <w:sz w:val="30"/>
          <w:szCs w:val="30"/>
          <w:highlight w:val="none"/>
        </w:rPr>
        <w:t xml:space="preserve">                 </w:t>
      </w:r>
      <w:r>
        <w:rPr>
          <w:rFonts w:hint="eastAsia" w:ascii="仿宋" w:hAnsi="仿宋" w:eastAsia="仿宋" w:cs="仿宋"/>
          <w:b/>
          <w:bCs/>
          <w:color w:val="auto"/>
          <w:sz w:val="32"/>
          <w:szCs w:val="32"/>
          <w:highlight w:val="none"/>
          <w:lang w:val="zh-CN"/>
        </w:rPr>
        <w:t>投</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标</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人：</w:t>
      </w:r>
      <w:r>
        <w:rPr>
          <w:rFonts w:hint="eastAsia" w:ascii="仿宋" w:hAnsi="仿宋" w:eastAsia="仿宋" w:cs="仿宋"/>
          <w:b/>
          <w:bCs/>
          <w:color w:val="auto"/>
          <w:sz w:val="32"/>
          <w:szCs w:val="32"/>
          <w:highlight w:val="none"/>
          <w:u w:val="single"/>
        </w:rPr>
        <w:t xml:space="preserve">                   </w:t>
      </w:r>
    </w:p>
    <w:p w14:paraId="3DDB47D2">
      <w:pPr>
        <w:autoSpaceDE w:val="0"/>
        <w:autoSpaceDN w:val="0"/>
        <w:adjustRightInd w:val="0"/>
        <w:snapToGrid w:val="0"/>
        <w:spacing w:line="360" w:lineRule="auto"/>
        <w:ind w:firstLine="2560" w:firstLineChars="8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时</w:t>
      </w: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highlight w:val="none"/>
          <w:lang w:val="zh-CN"/>
        </w:rPr>
        <w:t>间：</w:t>
      </w:r>
      <w:r>
        <w:rPr>
          <w:rFonts w:hint="eastAsia" w:ascii="仿宋" w:hAnsi="仿宋" w:eastAsia="仿宋" w:cs="仿宋"/>
          <w:b/>
          <w:bCs/>
          <w:color w:val="auto"/>
          <w:sz w:val="32"/>
          <w:szCs w:val="32"/>
          <w:highlight w:val="none"/>
          <w:u w:val="single"/>
        </w:rPr>
        <w:t xml:space="preserve">                   </w:t>
      </w:r>
    </w:p>
    <w:p w14:paraId="51C006B5">
      <w:pPr>
        <w:pStyle w:val="5"/>
        <w:ind w:firstLine="0" w:firstLineChars="0"/>
        <w:jc w:val="center"/>
        <w:rPr>
          <w:rFonts w:hint="eastAsia" w:ascii="仿宋" w:hAnsi="仿宋" w:eastAsia="仿宋" w:cs="仿宋"/>
          <w:b w:val="0"/>
          <w:color w:val="auto"/>
          <w:sz w:val="28"/>
          <w:szCs w:val="28"/>
          <w:highlight w:val="none"/>
        </w:rPr>
      </w:pPr>
      <w:bookmarkStart w:id="789" w:name="_Toc4684"/>
      <w:bookmarkStart w:id="790" w:name="_Toc151"/>
      <w:bookmarkStart w:id="791" w:name="_Toc22972"/>
      <w:bookmarkStart w:id="792" w:name="_Toc3302"/>
      <w:bookmarkStart w:id="793" w:name="_Toc18974"/>
      <w:bookmarkStart w:id="794" w:name="_Toc532473494"/>
      <w:bookmarkStart w:id="795" w:name="_Toc515647803"/>
      <w:bookmarkStart w:id="796" w:name="_Toc18694"/>
      <w:bookmarkStart w:id="797" w:name="_Toc60929126"/>
      <w:r>
        <w:rPr>
          <w:rFonts w:hint="eastAsia" w:ascii="仿宋" w:hAnsi="仿宋" w:eastAsia="仿宋" w:cs="仿宋"/>
          <w:color w:val="auto"/>
          <w:sz w:val="32"/>
          <w:szCs w:val="32"/>
          <w:highlight w:val="none"/>
        </w:rPr>
        <w:t>目  录</w:t>
      </w:r>
      <w:bookmarkEnd w:id="789"/>
      <w:bookmarkEnd w:id="790"/>
      <w:bookmarkEnd w:id="791"/>
      <w:bookmarkEnd w:id="792"/>
    </w:p>
    <w:p w14:paraId="3E61CAE9">
      <w:pPr>
        <w:pStyle w:val="4"/>
        <w:rPr>
          <w:rFonts w:hint="eastAsia" w:ascii="仿宋" w:hAnsi="仿宋" w:eastAsia="仿宋" w:cs="仿宋"/>
          <w:color w:val="auto"/>
          <w:highlight w:val="none"/>
        </w:rPr>
      </w:pPr>
    </w:p>
    <w:p w14:paraId="3C90A7C3">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第一部分  身份证明文件</w:t>
      </w:r>
    </w:p>
    <w:p w14:paraId="23C1A85F">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第二部分  资格证明文件</w:t>
      </w:r>
    </w:p>
    <w:p w14:paraId="3E17487F">
      <w:pPr>
        <w:pStyle w:val="15"/>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第三部分  商务及技术文件</w:t>
      </w:r>
    </w:p>
    <w:p w14:paraId="4F4A440C">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1、投标函（见投标文件格式一）</w:t>
      </w:r>
    </w:p>
    <w:p w14:paraId="3DB2A5A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2、开标一览表（见投标文件格式二）</w:t>
      </w:r>
    </w:p>
    <w:p w14:paraId="0C788C58">
      <w:pPr>
        <w:tabs>
          <w:tab w:val="left" w:pos="5580"/>
        </w:tabs>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3、投标分项报价表（见投标文件格式三）</w:t>
      </w:r>
    </w:p>
    <w:p w14:paraId="0162E20A">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4、技术偏离表（见投标文件格式四）</w:t>
      </w:r>
    </w:p>
    <w:p w14:paraId="6D49F3CE">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5、商务条款偏离表（见投标文件格式五）</w:t>
      </w:r>
    </w:p>
    <w:p w14:paraId="48048AA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6、符合《政府采购促进中小企业发展管理办法》、《关于政府采购支持监狱企业发展有关问题的通知》和《关于促进残疾人就业政府采购政策的通知》价格扣减条件的投标人须提交：</w:t>
      </w:r>
    </w:p>
    <w:p w14:paraId="33496FC8">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6-1《中小企业声明函》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（见投标文件格式六）</w:t>
      </w:r>
    </w:p>
    <w:p w14:paraId="3EBE142B">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6-2《投标人监狱企业声明函》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（见投标文件格式七）</w:t>
      </w:r>
    </w:p>
    <w:p w14:paraId="73F8B1D3">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6-3《残疾人福利性单位声明函》</w:t>
      </w:r>
      <w:r>
        <w:rPr>
          <w:rFonts w:hint="eastAsia" w:ascii="仿宋" w:hAnsi="仿宋" w:eastAsia="仿宋" w:cs="仿宋"/>
          <w:color w:val="auto"/>
          <w:sz w:val="24"/>
          <w:highlight w:val="none"/>
          <w:lang w:val="en-US" w:eastAsia="zh-CN"/>
        </w:rPr>
        <w:t>【如适用】</w:t>
      </w:r>
      <w:r>
        <w:rPr>
          <w:rFonts w:hint="eastAsia" w:ascii="仿宋" w:hAnsi="仿宋" w:eastAsia="仿宋" w:cs="仿宋"/>
          <w:color w:val="auto"/>
          <w:sz w:val="24"/>
          <w:highlight w:val="none"/>
        </w:rPr>
        <w:t>（见投标文件格式八）</w:t>
      </w:r>
    </w:p>
    <w:p w14:paraId="64AD05F4">
      <w:pPr>
        <w:pStyle w:val="15"/>
        <w:spacing w:line="360" w:lineRule="auto"/>
        <w:ind w:left="1077" w:leftChars="400" w:hanging="237" w:hangingChars="9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7、符合本国产品标准的声明函或财政部会同有关部门规定的有关证明文件【如适用】、关于符合本国产品标准的成本占比的承诺函【如适用】。</w:t>
      </w:r>
      <w:r>
        <w:rPr>
          <w:rFonts w:hint="eastAsia" w:ascii="仿宋" w:hAnsi="仿宋" w:eastAsia="仿宋" w:cs="仿宋"/>
          <w:color w:val="auto"/>
          <w:sz w:val="24"/>
          <w:highlight w:val="none"/>
        </w:rPr>
        <w:t>（见投标文件格式</w:t>
      </w:r>
      <w:r>
        <w:rPr>
          <w:rFonts w:hint="eastAsia" w:ascii="仿宋" w:hAnsi="仿宋" w:eastAsia="仿宋" w:cs="仿宋"/>
          <w:color w:val="auto"/>
          <w:sz w:val="24"/>
          <w:highlight w:val="none"/>
          <w:lang w:val="en-US" w:eastAsia="zh-CN"/>
        </w:rPr>
        <w:t>九</w:t>
      </w:r>
      <w:r>
        <w:rPr>
          <w:rFonts w:hint="eastAsia" w:ascii="仿宋" w:hAnsi="仿宋" w:eastAsia="仿宋" w:cs="仿宋"/>
          <w:color w:val="auto"/>
          <w:sz w:val="24"/>
          <w:highlight w:val="none"/>
        </w:rPr>
        <w:t>）</w:t>
      </w:r>
    </w:p>
    <w:p w14:paraId="7C71268F">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、符合评分标准要求的</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商务文件</w:t>
      </w:r>
    </w:p>
    <w:p w14:paraId="5416CA71">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、投标方案或技术方案</w:t>
      </w:r>
    </w:p>
    <w:p w14:paraId="3737F8F7">
      <w:pPr>
        <w:pStyle w:val="15"/>
        <w:spacing w:line="360" w:lineRule="auto"/>
        <w:ind w:left="1077" w:leftChars="400" w:hanging="237" w:hangingChars="99"/>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 xml:space="preserve">、业绩一览表     </w:t>
      </w:r>
    </w:p>
    <w:p w14:paraId="70EE9177">
      <w:pPr>
        <w:pStyle w:val="15"/>
        <w:spacing w:line="360" w:lineRule="auto"/>
        <w:ind w:left="1077" w:leftChars="400" w:hanging="237" w:hangingChars="99"/>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1</w:t>
      </w:r>
      <w:r>
        <w:rPr>
          <w:rFonts w:hint="eastAsia" w:ascii="仿宋" w:hAnsi="仿宋" w:eastAsia="仿宋" w:cs="仿宋"/>
          <w:color w:val="auto"/>
          <w:sz w:val="24"/>
          <w:highlight w:val="none"/>
          <w:u w:val="none"/>
          <w:lang w:val="en-US" w:eastAsia="zh-CN"/>
        </w:rPr>
        <w:t>1</w:t>
      </w:r>
      <w:r>
        <w:rPr>
          <w:rFonts w:hint="eastAsia" w:ascii="仿宋" w:hAnsi="仿宋" w:eastAsia="仿宋" w:cs="仿宋"/>
          <w:color w:val="auto"/>
          <w:sz w:val="24"/>
          <w:highlight w:val="none"/>
          <w:u w:val="none"/>
        </w:rPr>
        <w:t>、投标人须知前附表及评审所需的其他文件</w:t>
      </w:r>
    </w:p>
    <w:p w14:paraId="2D6C69D9">
      <w:pPr>
        <w:pStyle w:val="15"/>
        <w:spacing w:line="360" w:lineRule="auto"/>
        <w:ind w:left="1077" w:leftChars="400" w:hanging="237" w:hangingChars="9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投标信用承诺书</w:t>
      </w:r>
    </w:p>
    <w:p w14:paraId="7007DD25">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sz w:val="24"/>
          <w:highlight w:val="none"/>
        </w:rPr>
        <w:br w:type="page"/>
      </w:r>
      <w:bookmarkStart w:id="798" w:name="_Toc6793"/>
      <w:bookmarkStart w:id="799" w:name="_Toc9445"/>
      <w:bookmarkStart w:id="800" w:name="_Toc23103"/>
      <w:bookmarkStart w:id="801" w:name="_Toc21959"/>
      <w:r>
        <w:rPr>
          <w:rFonts w:hint="eastAsia" w:ascii="仿宋" w:hAnsi="仿宋" w:eastAsia="仿宋" w:cs="仿宋"/>
          <w:color w:val="auto"/>
          <w:sz w:val="32"/>
          <w:szCs w:val="32"/>
          <w:highlight w:val="none"/>
        </w:rPr>
        <w:t xml:space="preserve">第一部分 </w:t>
      </w:r>
      <w:bookmarkEnd w:id="793"/>
      <w:bookmarkEnd w:id="794"/>
      <w:bookmarkEnd w:id="795"/>
      <w:bookmarkEnd w:id="796"/>
      <w:r>
        <w:rPr>
          <w:rFonts w:hint="eastAsia" w:ascii="仿宋" w:hAnsi="仿宋" w:eastAsia="仿宋" w:cs="仿宋"/>
          <w:color w:val="auto"/>
          <w:sz w:val="32"/>
          <w:szCs w:val="32"/>
          <w:highlight w:val="none"/>
        </w:rPr>
        <w:t xml:space="preserve"> </w:t>
      </w:r>
      <w:bookmarkEnd w:id="797"/>
      <w:r>
        <w:rPr>
          <w:rFonts w:hint="eastAsia" w:ascii="仿宋" w:hAnsi="仿宋" w:eastAsia="仿宋" w:cs="仿宋"/>
          <w:color w:val="auto"/>
          <w:sz w:val="32"/>
          <w:szCs w:val="32"/>
          <w:highlight w:val="none"/>
        </w:rPr>
        <w:t>身份证明文件</w:t>
      </w:r>
      <w:bookmarkEnd w:id="798"/>
      <w:bookmarkEnd w:id="799"/>
      <w:bookmarkEnd w:id="800"/>
      <w:bookmarkEnd w:id="801"/>
    </w:p>
    <w:p w14:paraId="7CE3C639">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1</w:t>
      </w:r>
      <w:r>
        <w:rPr>
          <w:rFonts w:hint="eastAsia" w:ascii="仿宋" w:hAnsi="仿宋" w:eastAsia="仿宋" w:cs="仿宋"/>
          <w:b/>
          <w:color w:val="auto"/>
          <w:sz w:val="28"/>
          <w:szCs w:val="28"/>
          <w:highlight w:val="none"/>
        </w:rPr>
        <w:t>、法定代表人（或单位负责人）身份证明</w:t>
      </w:r>
    </w:p>
    <w:p w14:paraId="240511A9">
      <w:pPr>
        <w:spacing w:line="360" w:lineRule="auto"/>
        <w:rPr>
          <w:rFonts w:hint="eastAsia" w:ascii="仿宋" w:hAnsi="仿宋" w:eastAsia="仿宋" w:cs="仿宋"/>
          <w:color w:val="auto"/>
          <w:highlight w:val="none"/>
          <w:shd w:val="clear" w:color="auto" w:fill="FFFFFF"/>
        </w:rPr>
      </w:pPr>
    </w:p>
    <w:p w14:paraId="3C47A03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（采购代理机构名称）</w:t>
      </w:r>
      <w:r>
        <w:rPr>
          <w:rFonts w:hint="eastAsia" w:ascii="仿宋" w:hAnsi="仿宋" w:eastAsia="仿宋" w:cs="仿宋"/>
          <w:color w:val="auto"/>
          <w:sz w:val="24"/>
          <w:highlight w:val="none"/>
        </w:rPr>
        <w:t>：</w:t>
      </w:r>
    </w:p>
    <w:p w14:paraId="747F34B0">
      <w:pPr>
        <w:spacing w:line="360" w:lineRule="auto"/>
        <w:ind w:firstLine="600" w:firstLineChars="25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（姓名、性别、年龄、身份证号码）在我</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"https://baike.baidu.com/item/%E5%8D%95%E4%BD%8D/32292" \t "_blank"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单位</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（董事长、总经理等）职务，是我单位的法定代表人。</w:t>
      </w:r>
    </w:p>
    <w:p w14:paraId="4F25AF0E">
      <w:pPr>
        <w:spacing w:line="360" w:lineRule="auto"/>
        <w:ind w:firstLine="480"/>
        <w:rPr>
          <w:rFonts w:hint="eastAsia" w:ascii="仿宋" w:hAnsi="仿宋" w:eastAsia="仿宋" w:cs="仿宋"/>
          <w:color w:val="auto"/>
          <w:sz w:val="24"/>
          <w:highlight w:val="none"/>
        </w:rPr>
      </w:pPr>
    </w:p>
    <w:p w14:paraId="2858D054">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tbl>
      <w:tblPr>
        <w:tblStyle w:val="34"/>
        <w:tblW w:w="0" w:type="auto"/>
        <w:tblInd w:w="679" w:type="dxa"/>
        <w:tblLayout w:type="fixed"/>
        <w:tblCellMar>
          <w:top w:w="0" w:type="dxa"/>
          <w:left w:w="108" w:type="dxa"/>
          <w:bottom w:w="0" w:type="dxa"/>
          <w:right w:w="108" w:type="dxa"/>
        </w:tblCellMar>
      </w:tblPr>
      <w:tblGrid>
        <w:gridCol w:w="7744"/>
      </w:tblGrid>
      <w:tr w14:paraId="7227A9BB">
        <w:tblPrEx>
          <w:tblCellMar>
            <w:top w:w="0" w:type="dxa"/>
            <w:left w:w="108" w:type="dxa"/>
            <w:bottom w:w="0" w:type="dxa"/>
            <w:right w:w="108" w:type="dxa"/>
          </w:tblCellMar>
        </w:tblPrEx>
        <w:trPr>
          <w:trHeight w:val="2770" w:hRule="atLeast"/>
        </w:trPr>
        <w:tc>
          <w:tcPr>
            <w:tcW w:w="7744" w:type="dxa"/>
            <w:tcBorders>
              <w:top w:val="single" w:color="auto" w:sz="6" w:space="0"/>
              <w:left w:val="single" w:color="auto" w:sz="6" w:space="0"/>
              <w:bottom w:val="single" w:color="auto" w:sz="6" w:space="0"/>
              <w:right w:val="single" w:color="auto" w:sz="6" w:space="0"/>
            </w:tcBorders>
            <w:noWrap w:val="0"/>
            <w:vAlign w:val="center"/>
          </w:tcPr>
          <w:p w14:paraId="6D86523E">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法定代表人身份证复印件</w:t>
            </w:r>
          </w:p>
          <w:p w14:paraId="2532B119">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41972AA6">
      <w:pPr>
        <w:spacing w:line="360" w:lineRule="auto"/>
        <w:ind w:firstLine="480"/>
        <w:rPr>
          <w:rFonts w:hint="eastAsia" w:ascii="仿宋" w:hAnsi="仿宋" w:eastAsia="仿宋" w:cs="仿宋"/>
          <w:color w:val="auto"/>
          <w:sz w:val="24"/>
          <w:highlight w:val="none"/>
        </w:rPr>
      </w:pPr>
    </w:p>
    <w:p w14:paraId="4987AC07">
      <w:pPr>
        <w:spacing w:line="360" w:lineRule="auto"/>
        <w:ind w:firstLine="480"/>
        <w:rPr>
          <w:rFonts w:hint="eastAsia" w:ascii="仿宋" w:hAnsi="仿宋" w:eastAsia="仿宋" w:cs="仿宋"/>
          <w:color w:val="auto"/>
          <w:sz w:val="24"/>
          <w:highlight w:val="none"/>
        </w:rPr>
      </w:pPr>
    </w:p>
    <w:p w14:paraId="62E1709F">
      <w:pPr>
        <w:spacing w:line="360" w:lineRule="auto"/>
        <w:ind w:firstLine="480"/>
        <w:rPr>
          <w:rFonts w:hint="eastAsia" w:ascii="仿宋" w:hAnsi="仿宋" w:eastAsia="仿宋" w:cs="仿宋"/>
          <w:color w:val="auto"/>
          <w:sz w:val="24"/>
          <w:highlight w:val="none"/>
        </w:rPr>
      </w:pPr>
    </w:p>
    <w:p w14:paraId="00535B13">
      <w:pPr>
        <w:pStyle w:val="15"/>
        <w:tabs>
          <w:tab w:val="left" w:pos="5580"/>
        </w:tabs>
        <w:spacing w:line="360" w:lineRule="auto"/>
        <w:ind w:left="-539" w:leftChars="-257" w:firstLine="900" w:firstLineChars="375"/>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26EB664">
      <w:pPr>
        <w:pStyle w:val="15"/>
        <w:tabs>
          <w:tab w:val="left" w:pos="5580"/>
        </w:tabs>
        <w:spacing w:line="360" w:lineRule="auto"/>
        <w:ind w:left="268" w:leftChars="128"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详细通讯地址：</w:t>
      </w:r>
      <w:r>
        <w:rPr>
          <w:rFonts w:hint="eastAsia" w:ascii="仿宋" w:hAnsi="仿宋" w:eastAsia="仿宋" w:cs="仿宋"/>
          <w:color w:val="auto"/>
          <w:sz w:val="24"/>
          <w:highlight w:val="none"/>
          <w:u w:val="single"/>
        </w:rPr>
        <w:t xml:space="preserve">                                  </w:t>
      </w:r>
    </w:p>
    <w:p w14:paraId="2A8EB1D0">
      <w:pPr>
        <w:pStyle w:val="15"/>
        <w:tabs>
          <w:tab w:val="left" w:pos="5580"/>
        </w:tabs>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邮 政 编 码 ：</w:t>
      </w:r>
      <w:r>
        <w:rPr>
          <w:rFonts w:hint="eastAsia" w:ascii="仿宋" w:hAnsi="仿宋" w:eastAsia="仿宋" w:cs="仿宋"/>
          <w:color w:val="auto"/>
          <w:sz w:val="24"/>
          <w:highlight w:val="none"/>
          <w:u w:val="single"/>
        </w:rPr>
        <w:t xml:space="preserve">                                  </w:t>
      </w:r>
    </w:p>
    <w:p w14:paraId="3E52BC25">
      <w:pPr>
        <w:pStyle w:val="15"/>
        <w:tabs>
          <w:tab w:val="left" w:pos="5580"/>
        </w:tabs>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p>
    <w:p w14:paraId="11DFFCE6">
      <w:pPr>
        <w:spacing w:line="360" w:lineRule="auto"/>
        <w:ind w:firstLine="480"/>
        <w:rPr>
          <w:rFonts w:hint="eastAsia" w:ascii="仿宋" w:hAnsi="仿宋" w:eastAsia="仿宋" w:cs="仿宋"/>
          <w:color w:val="auto"/>
          <w:sz w:val="24"/>
          <w:highlight w:val="none"/>
        </w:rPr>
      </w:pPr>
    </w:p>
    <w:p w14:paraId="0676FE14">
      <w:pPr>
        <w:spacing w:line="360" w:lineRule="auto"/>
        <w:ind w:firstLine="480"/>
        <w:rPr>
          <w:rFonts w:hint="eastAsia" w:ascii="仿宋" w:hAnsi="仿宋" w:eastAsia="仿宋" w:cs="仿宋"/>
          <w:color w:val="auto"/>
          <w:sz w:val="24"/>
          <w:highlight w:val="none"/>
        </w:rPr>
      </w:pPr>
    </w:p>
    <w:p w14:paraId="267CF429">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注：自然人投标的仅需提供身份证</w:t>
      </w:r>
    </w:p>
    <w:p w14:paraId="4DD44BC6">
      <w:pPr>
        <w:pStyle w:val="4"/>
        <w:ind w:left="0" w:leftChars="0" w:firstLine="0" w:firstLineChars="0"/>
        <w:jc w:val="center"/>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br w:type="page"/>
      </w:r>
      <w:bookmarkStart w:id="802" w:name="_Toc60929127"/>
      <w:r>
        <w:rPr>
          <w:rFonts w:hint="eastAsia" w:ascii="仿宋" w:hAnsi="仿宋" w:eastAsia="仿宋" w:cs="仿宋"/>
          <w:b/>
          <w:color w:val="auto"/>
          <w:sz w:val="28"/>
          <w:szCs w:val="28"/>
          <w:highlight w:val="none"/>
          <w:lang w:val="en-US" w:eastAsia="zh-CN"/>
        </w:rPr>
        <w:t>2</w:t>
      </w:r>
      <w:r>
        <w:rPr>
          <w:rFonts w:hint="eastAsia" w:ascii="仿宋" w:hAnsi="仿宋" w:eastAsia="仿宋" w:cs="仿宋"/>
          <w:b/>
          <w:color w:val="auto"/>
          <w:sz w:val="28"/>
          <w:szCs w:val="28"/>
          <w:highlight w:val="none"/>
        </w:rPr>
        <w:t>、法定代表人（或单位负责人）授权书</w:t>
      </w:r>
      <w:bookmarkEnd w:id="802"/>
    </w:p>
    <w:p w14:paraId="29DE05F9">
      <w:pPr>
        <w:pStyle w:val="15"/>
        <w:tabs>
          <w:tab w:val="left" w:pos="558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本授权书声明：注册于</w:t>
      </w:r>
      <w:r>
        <w:rPr>
          <w:rFonts w:hint="eastAsia" w:ascii="仿宋" w:hAnsi="仿宋" w:eastAsia="仿宋" w:cs="仿宋"/>
          <w:color w:val="auto"/>
          <w:sz w:val="24"/>
          <w:highlight w:val="none"/>
          <w:u w:val="single"/>
        </w:rPr>
        <w:t>（国家或地区的名称）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投标人</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法人代表姓名、职务</w:t>
      </w:r>
      <w:r>
        <w:rPr>
          <w:rFonts w:hint="eastAsia" w:ascii="仿宋" w:hAnsi="仿宋" w:eastAsia="仿宋" w:cs="仿宋"/>
          <w:color w:val="auto"/>
          <w:sz w:val="24"/>
          <w:highlight w:val="none"/>
        </w:rPr>
        <w:t>）为我单位法定代表人，代表我单位授权（</w:t>
      </w:r>
      <w:r>
        <w:rPr>
          <w:rFonts w:hint="eastAsia" w:ascii="仿宋" w:hAnsi="仿宋" w:eastAsia="仿宋" w:cs="仿宋"/>
          <w:color w:val="auto"/>
          <w:sz w:val="24"/>
          <w:highlight w:val="none"/>
          <w:u w:val="single"/>
        </w:rPr>
        <w:t>被授权人的姓名</w:t>
      </w:r>
      <w:r>
        <w:rPr>
          <w:rFonts w:hint="eastAsia" w:ascii="仿宋" w:hAnsi="仿宋" w:eastAsia="仿宋" w:cs="仿宋"/>
          <w:color w:val="auto"/>
          <w:sz w:val="24"/>
          <w:highlight w:val="none"/>
        </w:rPr>
        <w:t>）为我单位的合法代理人，就（</w:t>
      </w:r>
      <w:r>
        <w:rPr>
          <w:rFonts w:hint="eastAsia" w:ascii="仿宋" w:hAnsi="仿宋" w:eastAsia="仿宋" w:cs="仿宋"/>
          <w:color w:val="auto"/>
          <w:sz w:val="24"/>
          <w:highlight w:val="none"/>
          <w:u w:val="single"/>
        </w:rPr>
        <w:t>项目名称和采购项目编号</w:t>
      </w:r>
      <w:r>
        <w:rPr>
          <w:rFonts w:hint="eastAsia" w:ascii="仿宋" w:hAnsi="仿宋" w:eastAsia="仿宋" w:cs="仿宋"/>
          <w:color w:val="auto"/>
          <w:sz w:val="24"/>
          <w:highlight w:val="none"/>
        </w:rPr>
        <w:t>）投标，以我单位名义处理一切与之有关的事务。</w:t>
      </w:r>
      <w:r>
        <w:rPr>
          <w:rFonts w:hint="eastAsia" w:ascii="仿宋" w:hAnsi="仿宋" w:eastAsia="仿宋" w:cs="仿宋"/>
          <w:color w:val="auto"/>
          <w:sz w:val="24"/>
          <w:highlight w:val="none"/>
        </w:rPr>
        <w:cr/>
      </w:r>
      <w:r>
        <w:rPr>
          <w:rFonts w:hint="eastAsia" w:ascii="仿宋" w:hAnsi="仿宋" w:eastAsia="仿宋" w:cs="仿宋"/>
          <w:color w:val="auto"/>
          <w:sz w:val="24"/>
          <w:highlight w:val="none"/>
        </w:rPr>
        <w:t>　　本授权书于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日签字生效，特此声明。（提示：此日期应不晚于投标函签署日期）</w:t>
      </w:r>
      <w:r>
        <w:rPr>
          <w:rFonts w:hint="eastAsia" w:ascii="仿宋" w:hAnsi="仿宋" w:eastAsia="仿宋" w:cs="仿宋"/>
          <w:color w:val="auto"/>
          <w:sz w:val="24"/>
          <w:highlight w:val="none"/>
        </w:rPr>
        <w:cr/>
      </w:r>
    </w:p>
    <w:p w14:paraId="05DC608B">
      <w:pPr>
        <w:pStyle w:val="15"/>
        <w:tabs>
          <w:tab w:val="left" w:pos="558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附：授权代表姓名：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年龄：</w:t>
      </w:r>
      <w:r>
        <w:rPr>
          <w:rFonts w:hint="eastAsia" w:ascii="仿宋" w:hAnsi="仿宋" w:eastAsia="仿宋" w:cs="仿宋"/>
          <w:color w:val="auto"/>
          <w:sz w:val="24"/>
          <w:highlight w:val="none"/>
          <w:u w:val="single"/>
        </w:rPr>
        <w:t xml:space="preserve">        </w:t>
      </w:r>
    </w:p>
    <w:p w14:paraId="6D00D74B">
      <w:pPr>
        <w:autoSpaceDE w:val="0"/>
        <w:autoSpaceDN w:val="0"/>
        <w:adjustRightInd w:val="0"/>
        <w:spacing w:line="360" w:lineRule="auto"/>
        <w:ind w:firstLine="63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职</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zh-CN"/>
        </w:rPr>
        <w:t>身份证号码：</w:t>
      </w:r>
      <w:r>
        <w:rPr>
          <w:rFonts w:hint="eastAsia" w:ascii="仿宋" w:hAnsi="仿宋" w:eastAsia="仿宋" w:cs="仿宋"/>
          <w:color w:val="auto"/>
          <w:sz w:val="24"/>
          <w:highlight w:val="none"/>
          <w:u w:val="single"/>
        </w:rPr>
        <w:t xml:space="preserve">             </w:t>
      </w:r>
    </w:p>
    <w:p w14:paraId="4FC35CFE">
      <w:pPr>
        <w:autoSpaceDE w:val="0"/>
        <w:autoSpaceDN w:val="0"/>
        <w:adjustRightInd w:val="0"/>
        <w:spacing w:line="360" w:lineRule="auto"/>
        <w:ind w:firstLine="63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通讯地址：</w:t>
      </w:r>
      <w:r>
        <w:rPr>
          <w:rFonts w:hint="eastAsia" w:ascii="仿宋" w:hAnsi="仿宋" w:eastAsia="仿宋" w:cs="仿宋"/>
          <w:color w:val="auto"/>
          <w:sz w:val="24"/>
          <w:highlight w:val="none"/>
          <w:u w:val="single"/>
        </w:rPr>
        <w:t xml:space="preserve">                                      </w:t>
      </w:r>
    </w:p>
    <w:p w14:paraId="332B7851">
      <w:pPr>
        <w:autoSpaceDE w:val="0"/>
        <w:autoSpaceDN w:val="0"/>
        <w:adjustRightInd w:val="0"/>
        <w:spacing w:line="360" w:lineRule="auto"/>
        <w:ind w:firstLine="63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邮政编码：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zh-CN"/>
        </w:rPr>
        <w:t>电话：</w:t>
      </w:r>
      <w:r>
        <w:rPr>
          <w:rFonts w:hint="eastAsia" w:ascii="仿宋" w:hAnsi="仿宋" w:eastAsia="仿宋" w:cs="仿宋"/>
          <w:color w:val="auto"/>
          <w:sz w:val="24"/>
          <w:highlight w:val="none"/>
          <w:u w:val="single"/>
        </w:rPr>
        <w:t xml:space="preserve">               </w:t>
      </w:r>
    </w:p>
    <w:p w14:paraId="35877716">
      <w:pPr>
        <w:autoSpaceDE w:val="0"/>
        <w:autoSpaceDN w:val="0"/>
        <w:adjustRightInd w:val="0"/>
        <w:spacing w:line="360" w:lineRule="auto"/>
        <w:rPr>
          <w:rFonts w:hint="eastAsia" w:ascii="仿宋" w:hAnsi="仿宋" w:eastAsia="仿宋" w:cs="仿宋"/>
          <w:color w:val="auto"/>
          <w:sz w:val="24"/>
          <w:highlight w:val="none"/>
        </w:rPr>
      </w:pPr>
    </w:p>
    <w:p w14:paraId="66725F7C">
      <w:pPr>
        <w:autoSpaceDE w:val="0"/>
        <w:autoSpaceDN w:val="0"/>
        <w:adjustRightIn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val="zh-CN"/>
        </w:rPr>
        <w:t>授权代表身份证复印件</w:t>
      </w:r>
    </w:p>
    <w:tbl>
      <w:tblPr>
        <w:tblStyle w:val="34"/>
        <w:tblW w:w="0" w:type="auto"/>
        <w:tblInd w:w="679" w:type="dxa"/>
        <w:tblLayout w:type="fixed"/>
        <w:tblCellMar>
          <w:top w:w="0" w:type="dxa"/>
          <w:left w:w="108" w:type="dxa"/>
          <w:bottom w:w="0" w:type="dxa"/>
          <w:right w:w="108" w:type="dxa"/>
        </w:tblCellMar>
      </w:tblPr>
      <w:tblGrid>
        <w:gridCol w:w="4049"/>
        <w:gridCol w:w="3885"/>
      </w:tblGrid>
      <w:tr w14:paraId="649470D9">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7E83D18D">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法定代表人身份证复印件</w:t>
            </w:r>
          </w:p>
          <w:p w14:paraId="45F4C11B">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04B137B4">
            <w:pPr>
              <w:autoSpaceDE w:val="0"/>
              <w:autoSpaceDN w:val="0"/>
              <w:adjustRightInd w:val="0"/>
              <w:spacing w:line="312" w:lineRule="auto"/>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授权代表身份证复印件</w:t>
            </w:r>
          </w:p>
          <w:p w14:paraId="1D9346BA">
            <w:pPr>
              <w:autoSpaceDE w:val="0"/>
              <w:autoSpaceDN w:val="0"/>
              <w:adjustRightInd w:val="0"/>
              <w:spacing w:line="312"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zh-CN"/>
              </w:rPr>
              <w:t>（正反面）</w:t>
            </w:r>
          </w:p>
        </w:tc>
      </w:tr>
    </w:tbl>
    <w:p w14:paraId="547E5D5D">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730369B5">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4BE7CA4C">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投标人（盖公章） ：                </w:t>
      </w:r>
    </w:p>
    <w:p w14:paraId="7A337B1E">
      <w:pPr>
        <w:adjustRightInd w:val="0"/>
        <w:snapToGrid w:val="0"/>
        <w:spacing w:line="360" w:lineRule="auto"/>
        <w:ind w:firstLine="360" w:firstLineChars="150"/>
        <w:rPr>
          <w:rFonts w:hint="eastAsia" w:ascii="仿宋" w:hAnsi="仿宋" w:eastAsia="仿宋" w:cs="仿宋"/>
          <w:color w:val="auto"/>
          <w:sz w:val="24"/>
          <w:highlight w:val="none"/>
        </w:rPr>
      </w:pPr>
    </w:p>
    <w:p w14:paraId="2BD472FA">
      <w:pPr>
        <w:adjustRightInd w:val="0"/>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法定代表人（或单位负责人）（签字或盖章）：</w:t>
      </w:r>
    </w:p>
    <w:p w14:paraId="446099B7">
      <w:pPr>
        <w:spacing w:line="360" w:lineRule="auto"/>
        <w:rPr>
          <w:rFonts w:hint="eastAsia" w:ascii="仿宋" w:hAnsi="仿宋" w:eastAsia="仿宋" w:cs="仿宋"/>
          <w:color w:val="auto"/>
          <w:sz w:val="24"/>
          <w:highlight w:val="none"/>
        </w:rPr>
      </w:pPr>
    </w:p>
    <w:p w14:paraId="37AD8C0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注：自然人投标的或法定代表人投标的无需提供</w:t>
      </w:r>
    </w:p>
    <w:p w14:paraId="17B89FA3">
      <w:pPr>
        <w:spacing w:line="360" w:lineRule="auto"/>
        <w:ind w:firstLine="480"/>
        <w:rPr>
          <w:rFonts w:hint="eastAsia" w:ascii="仿宋" w:hAnsi="仿宋" w:eastAsia="仿宋" w:cs="仿宋"/>
          <w:color w:val="auto"/>
          <w:sz w:val="24"/>
          <w:highlight w:val="none"/>
        </w:rPr>
      </w:pPr>
    </w:p>
    <w:p w14:paraId="709BD6BC">
      <w:pPr>
        <w:jc w:val="center"/>
        <w:rPr>
          <w:rFonts w:hint="eastAsia" w:ascii="仿宋" w:hAnsi="仿宋" w:eastAsia="仿宋" w:cs="仿宋"/>
          <w:b/>
          <w:color w:val="auto"/>
          <w:sz w:val="28"/>
          <w:szCs w:val="28"/>
          <w:highlight w:val="none"/>
        </w:rPr>
      </w:pPr>
      <w:bookmarkStart w:id="803" w:name="_Toc60929128"/>
      <w:r>
        <w:rPr>
          <w:rFonts w:hint="eastAsia" w:ascii="仿宋" w:hAnsi="仿宋" w:eastAsia="仿宋" w:cs="仿宋"/>
          <w:b/>
          <w:color w:val="auto"/>
          <w:sz w:val="28"/>
          <w:szCs w:val="28"/>
          <w:highlight w:val="none"/>
        </w:rPr>
        <w:br w:type="page"/>
      </w:r>
      <w:bookmarkEnd w:id="803"/>
      <w:bookmarkStart w:id="804" w:name="_Toc60929129"/>
      <w:r>
        <w:rPr>
          <w:rFonts w:hint="eastAsia" w:ascii="仿宋" w:hAnsi="仿宋" w:eastAsia="仿宋" w:cs="仿宋"/>
          <w:b/>
          <w:color w:val="auto"/>
          <w:sz w:val="28"/>
          <w:szCs w:val="28"/>
          <w:highlight w:val="none"/>
        </w:rPr>
        <w:t>3、授权代表本单位证明</w:t>
      </w:r>
      <w:bookmarkEnd w:id="804"/>
    </w:p>
    <w:p w14:paraId="17E7391E">
      <w:pPr>
        <w:spacing w:after="120"/>
        <w:rPr>
          <w:rFonts w:hint="eastAsia" w:ascii="仿宋" w:hAnsi="仿宋" w:eastAsia="仿宋" w:cs="仿宋"/>
          <w:color w:val="auto"/>
          <w:highlight w:val="none"/>
        </w:rPr>
      </w:pPr>
    </w:p>
    <w:p w14:paraId="6A3F6D00">
      <w:pPr>
        <w:autoSpaceDE w:val="0"/>
        <w:autoSpaceDN w:val="0"/>
        <w:adjustRightInd w:val="0"/>
        <w:spacing w:line="348"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提供授权代表在本单位</w:t>
      </w:r>
      <w:r>
        <w:rPr>
          <w:rFonts w:hint="eastAsia" w:ascii="仿宋" w:hAnsi="仿宋" w:eastAsia="仿宋" w:cs="仿宋"/>
          <w:color w:val="auto"/>
          <w:sz w:val="28"/>
          <w:szCs w:val="28"/>
          <w:highlight w:val="none"/>
        </w:rPr>
        <w:t>养老保险缴纳证明</w:t>
      </w:r>
      <w:r>
        <w:rPr>
          <w:rFonts w:hint="eastAsia" w:ascii="仿宋" w:hAnsi="仿宋" w:eastAsia="仿宋" w:cs="仿宋"/>
          <w:color w:val="auto"/>
          <w:sz w:val="28"/>
          <w:szCs w:val="28"/>
          <w:highlight w:val="none"/>
          <w:lang w:val="zh-CN"/>
        </w:rPr>
        <w:t>）</w:t>
      </w:r>
    </w:p>
    <w:p w14:paraId="46000F57">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6642D0E2">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760BC56E">
      <w:pPr>
        <w:autoSpaceDE w:val="0"/>
        <w:autoSpaceDN w:val="0"/>
        <w:adjustRightInd w:val="0"/>
        <w:spacing w:line="348" w:lineRule="auto"/>
        <w:jc w:val="center"/>
        <w:rPr>
          <w:rFonts w:hint="eastAsia" w:ascii="仿宋" w:hAnsi="仿宋" w:eastAsia="仿宋" w:cs="仿宋"/>
          <w:color w:val="auto"/>
          <w:sz w:val="28"/>
          <w:szCs w:val="28"/>
          <w:highlight w:val="none"/>
          <w:lang w:val="zh-CN"/>
        </w:rPr>
      </w:pPr>
    </w:p>
    <w:p w14:paraId="2212BD4A">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highlight w:val="none"/>
        </w:rPr>
        <w:br w:type="page"/>
      </w:r>
      <w:bookmarkStart w:id="805" w:name="_Toc60929130"/>
      <w:bookmarkStart w:id="806" w:name="_Toc14234"/>
      <w:bookmarkStart w:id="807" w:name="_Toc21740"/>
      <w:bookmarkStart w:id="808" w:name="_Toc18190"/>
      <w:bookmarkStart w:id="809" w:name="_Toc10963"/>
      <w:r>
        <w:rPr>
          <w:rFonts w:hint="eastAsia" w:ascii="仿宋" w:hAnsi="仿宋" w:eastAsia="仿宋" w:cs="仿宋"/>
          <w:color w:val="auto"/>
          <w:sz w:val="32"/>
          <w:szCs w:val="32"/>
          <w:highlight w:val="none"/>
        </w:rPr>
        <w:t>第二部分  资格证明文件</w:t>
      </w:r>
      <w:bookmarkEnd w:id="805"/>
      <w:bookmarkEnd w:id="806"/>
      <w:bookmarkEnd w:id="807"/>
      <w:bookmarkEnd w:id="808"/>
      <w:bookmarkEnd w:id="809"/>
    </w:p>
    <w:p w14:paraId="5E32E7EE">
      <w:pPr>
        <w:snapToGrid w:val="0"/>
        <w:spacing w:line="360" w:lineRule="auto"/>
        <w:ind w:left="708" w:hanging="708" w:hangingChars="295"/>
        <w:jc w:val="center"/>
        <w:rPr>
          <w:rFonts w:hint="eastAsia" w:ascii="仿宋" w:hAnsi="仿宋" w:eastAsia="仿宋" w:cs="仿宋"/>
          <w:color w:val="auto"/>
          <w:sz w:val="24"/>
          <w:highlight w:val="none"/>
        </w:rPr>
      </w:pPr>
    </w:p>
    <w:p w14:paraId="2A8C9CD5">
      <w:pPr>
        <w:tabs>
          <w:tab w:val="left" w:pos="5580"/>
        </w:tabs>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符合《政府采购法》第二十二条的规定供应商条件，并提供以下证明材料；</w:t>
      </w:r>
    </w:p>
    <w:p w14:paraId="5520949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（1）投标人合法注册的法人或其他组织的营业执照等证明文件，自然人的身份证明（格式要求见附件6-1）；</w:t>
      </w:r>
    </w:p>
    <w:p w14:paraId="1301783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（2）投标文件截止之日前两年内任意一个年度经审计的财务报告复印件（包括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且审计报告应当经过注册会计师行业统一监管平台备案赋码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）或</w:t>
      </w:r>
      <w:r>
        <w:rPr>
          <w:rFonts w:hint="eastAsia" w:ascii="仿宋" w:hAnsi="仿宋" w:eastAsia="仿宋" w:cs="仿宋"/>
          <w:color w:val="auto"/>
          <w:spacing w:val="0"/>
          <w:sz w:val="24"/>
          <w:szCs w:val="24"/>
          <w:highlight w:val="none"/>
          <w:lang w:val="en-US" w:eastAsia="zh-CN"/>
        </w:rPr>
        <w:t>递交</w:t>
      </w:r>
      <w:r>
        <w:rPr>
          <w:rFonts w:hint="eastAsia" w:ascii="仿宋" w:hAnsi="仿宋" w:eastAsia="仿宋" w:cs="仿宋"/>
          <w:color w:val="auto"/>
          <w:spacing w:val="0"/>
          <w:sz w:val="24"/>
          <w:szCs w:val="24"/>
          <w:highlight w:val="none"/>
          <w:lang w:eastAsia="zh-CN"/>
        </w:rPr>
        <w:t>投标</w:t>
      </w:r>
      <w:r>
        <w:rPr>
          <w:rFonts w:hint="eastAsia" w:ascii="仿宋" w:hAnsi="仿宋" w:eastAsia="仿宋" w:cs="仿宋"/>
          <w:color w:val="auto"/>
          <w:spacing w:val="0"/>
          <w:sz w:val="24"/>
          <w:szCs w:val="24"/>
          <w:highlight w:val="none"/>
          <w:lang w:val="en-US" w:eastAsia="zh-CN"/>
        </w:rPr>
        <w:t>文件</w:t>
      </w:r>
      <w:r>
        <w:rPr>
          <w:rFonts w:hint="eastAsia" w:ascii="仿宋" w:hAnsi="仿宋" w:eastAsia="仿宋" w:cs="仿宋"/>
          <w:color w:val="auto"/>
          <w:spacing w:val="0"/>
          <w:sz w:val="24"/>
          <w:szCs w:val="24"/>
          <w:highlight w:val="none"/>
          <w:lang w:eastAsia="zh-CN"/>
        </w:rPr>
        <w:t>截止</w:t>
      </w:r>
      <w:r>
        <w:rPr>
          <w:rFonts w:hint="eastAsia" w:ascii="仿宋" w:hAnsi="仿宋" w:eastAsia="仿宋" w:cs="仿宋"/>
          <w:color w:val="auto"/>
          <w:spacing w:val="0"/>
          <w:sz w:val="24"/>
          <w:szCs w:val="24"/>
          <w:highlight w:val="none"/>
          <w:lang w:val="en-US" w:eastAsia="zh-CN"/>
        </w:rPr>
        <w:t>时间</w:t>
      </w:r>
      <w:r>
        <w:rPr>
          <w:rFonts w:hint="eastAsia" w:ascii="仿宋" w:hAnsi="仿宋" w:eastAsia="仿宋" w:cs="仿宋"/>
          <w:color w:val="auto"/>
          <w:sz w:val="24"/>
          <w:highlight w:val="none"/>
          <w:lang w:val="en-US" w:eastAsia="zh-CN"/>
        </w:rPr>
        <w:t>前三个月内</w:t>
      </w:r>
      <w:r>
        <w:rPr>
          <w:rFonts w:hint="eastAsia" w:ascii="仿宋" w:hAnsi="仿宋" w:eastAsia="仿宋" w:cs="仿宋"/>
          <w:color w:val="auto"/>
          <w:spacing w:val="0"/>
          <w:sz w:val="24"/>
          <w:szCs w:val="24"/>
          <w:highlight w:val="none"/>
        </w:rPr>
        <w:t>投标人</w:t>
      </w:r>
      <w:r>
        <w:rPr>
          <w:rFonts w:hint="eastAsia" w:ascii="仿宋" w:hAnsi="仿宋" w:eastAsia="仿宋" w:cs="仿宋"/>
          <w:color w:val="auto"/>
          <w:spacing w:val="0"/>
          <w:sz w:val="24"/>
          <w:szCs w:val="24"/>
          <w:highlight w:val="none"/>
          <w:lang w:val="en-US" w:eastAsia="zh-CN"/>
        </w:rPr>
        <w:t>基本账户</w:t>
      </w:r>
      <w:r>
        <w:rPr>
          <w:rFonts w:hint="eastAsia" w:ascii="仿宋" w:hAnsi="仿宋" w:eastAsia="仿宋" w:cs="仿宋"/>
          <w:color w:val="auto"/>
          <w:sz w:val="24"/>
          <w:highlight w:val="none"/>
        </w:rPr>
        <w:t>开户银行出具的资信证明</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lang w:val="en-US" w:eastAsia="zh-CN"/>
        </w:rPr>
        <w:t>并后附开户许可证或基本户信息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（格式要求见附件6-2）；</w:t>
      </w:r>
    </w:p>
    <w:p w14:paraId="5FA6612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（3）依法缴纳税收和社会保障资金的证明材料复印件（格式见附件6-3、6-4）</w:t>
      </w:r>
    </w:p>
    <w:p w14:paraId="06D325BE">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（4）具备履行合同所必需的设备和专业技术能力的承诺原件（格式见附件6-5）</w:t>
      </w:r>
    </w:p>
    <w:p w14:paraId="460945B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（5）投标人参加政府采购活动前3年内在经营活动中没有重大违法记录的书面声明原件（格式见附件6-6）</w:t>
      </w:r>
    </w:p>
    <w:p w14:paraId="0A36C6D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（6）投标人控股股东名称、控股公司的名称和存在管理、被管理关系的单位名称说明（格式见附件6-7）</w:t>
      </w:r>
    </w:p>
    <w:p w14:paraId="65710F5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（7）投标人是否属于为本项目提供整体设计、规范编制或者项目管理、监理、检测等服务的投标人声明原件（格式见附件6-8）</w:t>
      </w:r>
    </w:p>
    <w:p w14:paraId="7992592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（8）证明投标人符合特定资格条件的证明材料；（格式见附件6-9）</w:t>
      </w:r>
    </w:p>
    <w:p w14:paraId="60F54E18">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如该采购项目专门面向中小企业，供应商的资格证明文件中应提供中小企业声明函。</w:t>
      </w:r>
    </w:p>
    <w:p w14:paraId="7034C49A">
      <w:pPr>
        <w:snapToGrid w:val="0"/>
        <w:spacing w:line="360" w:lineRule="auto"/>
        <w:ind w:firstLine="480" w:firstLineChars="200"/>
        <w:rPr>
          <w:rFonts w:hint="eastAsia" w:ascii="仿宋" w:hAnsi="仿宋" w:eastAsia="仿宋" w:cs="仿宋"/>
          <w:color w:val="auto"/>
          <w:sz w:val="24"/>
          <w:highlight w:val="none"/>
          <w:lang w:val="en-US" w:eastAsia="zh-CN"/>
        </w:rPr>
      </w:pPr>
    </w:p>
    <w:p w14:paraId="0EA79D1E">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要求：1</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以上资格证明文件须提供原件或加盖投标人红色公章的复印件。</w:t>
      </w:r>
    </w:p>
    <w:p w14:paraId="71B7479E">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2</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联合体投标应提供联合体各方满足以上要求的证明文件。</w:t>
      </w:r>
    </w:p>
    <w:p w14:paraId="130CB2C9">
      <w:pPr>
        <w:pStyle w:val="15"/>
        <w:tabs>
          <w:tab w:val="left" w:pos="5580"/>
        </w:tabs>
        <w:spacing w:line="360" w:lineRule="auto"/>
        <w:ind w:left="1075" w:leftChars="512" w:firstLine="182" w:firstLineChars="76"/>
        <w:rPr>
          <w:rFonts w:hint="eastAsia" w:ascii="仿宋" w:hAnsi="仿宋" w:eastAsia="仿宋" w:cs="仿宋"/>
          <w:b/>
          <w:color w:val="auto"/>
          <w:sz w:val="24"/>
          <w:highlight w:val="none"/>
        </w:rPr>
      </w:pPr>
    </w:p>
    <w:p w14:paraId="5FD48F66">
      <w:pPr>
        <w:pStyle w:val="15"/>
        <w:tabs>
          <w:tab w:val="left" w:pos="5580"/>
        </w:tabs>
        <w:spacing w:line="360" w:lineRule="auto"/>
        <w:ind w:left="1077" w:leftChars="513" w:firstLine="240" w:firstLine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1A26E2A2">
      <w:pPr>
        <w:rPr>
          <w:rFonts w:hint="eastAsia" w:ascii="仿宋" w:hAnsi="仿宋" w:eastAsia="仿宋" w:cs="仿宋"/>
          <w:b/>
          <w:color w:val="auto"/>
          <w:sz w:val="24"/>
          <w:szCs w:val="32"/>
          <w:highlight w:val="none"/>
        </w:rPr>
      </w:pPr>
      <w:bookmarkStart w:id="810" w:name="_Toc7005120"/>
      <w:bookmarkStart w:id="811" w:name="_Ref467988698"/>
      <w:bookmarkStart w:id="812" w:name="_Toc480942349"/>
      <w:bookmarkStart w:id="813" w:name="_Toc520356217"/>
      <w:bookmarkStart w:id="814" w:name="_Toc216582813"/>
      <w:r>
        <w:rPr>
          <w:rFonts w:hint="eastAsia" w:ascii="仿宋" w:hAnsi="仿宋" w:eastAsia="仿宋" w:cs="仿宋"/>
          <w:b/>
          <w:color w:val="auto"/>
          <w:sz w:val="24"/>
          <w:szCs w:val="32"/>
          <w:highlight w:val="none"/>
        </w:rPr>
        <w:t>6-1  投标人的企业法人营业执照副本复印件（加盖公章）</w:t>
      </w:r>
      <w:bookmarkEnd w:id="810"/>
    </w:p>
    <w:p w14:paraId="14E7492B">
      <w:pPr>
        <w:jc w:val="left"/>
        <w:rPr>
          <w:rFonts w:hint="eastAsia" w:ascii="仿宋" w:hAnsi="仿宋" w:eastAsia="仿宋" w:cs="仿宋"/>
          <w:color w:val="auto"/>
          <w:sz w:val="24"/>
          <w:highlight w:val="none"/>
        </w:rPr>
      </w:pPr>
    </w:p>
    <w:p w14:paraId="48DC9694">
      <w:pPr>
        <w:tabs>
          <w:tab w:val="left" w:pos="993"/>
          <w:tab w:val="left" w:pos="1030"/>
          <w:tab w:val="left" w:pos="8364"/>
        </w:tabs>
        <w:snapToGrid w:val="0"/>
        <w:spacing w:after="156" w:afterLines="50"/>
        <w:ind w:right="-56"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（注：根据项目实际情况，本项内容可能要求提供“事业单位法人证书”、执业许可证、自然人身份证明等证明材料）</w:t>
      </w:r>
    </w:p>
    <w:p w14:paraId="4EB6043D">
      <w:pPr>
        <w:adjustRightInd w:val="0"/>
        <w:spacing w:line="360" w:lineRule="atLeast"/>
        <w:jc w:val="left"/>
        <w:textAlignment w:val="baseline"/>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4E3C70CC">
      <w:pPr>
        <w:rPr>
          <w:rFonts w:hint="eastAsia" w:ascii="仿宋" w:hAnsi="仿宋" w:eastAsia="仿宋" w:cs="仿宋"/>
          <w:b/>
          <w:color w:val="auto"/>
          <w:sz w:val="24"/>
          <w:szCs w:val="32"/>
          <w:highlight w:val="none"/>
          <w:lang w:eastAsia="zh-CN"/>
        </w:rPr>
      </w:pPr>
      <w:bookmarkStart w:id="815" w:name="_Toc7005121"/>
      <w:bookmarkStart w:id="816" w:name="_Ref527015333"/>
      <w:r>
        <w:rPr>
          <w:rFonts w:hint="eastAsia" w:ascii="仿宋" w:hAnsi="仿宋" w:eastAsia="仿宋" w:cs="仿宋"/>
          <w:b/>
          <w:color w:val="auto"/>
          <w:sz w:val="24"/>
          <w:szCs w:val="32"/>
          <w:highlight w:val="none"/>
        </w:rPr>
        <w:t>6-2  经审计的财务</w:t>
      </w:r>
      <w:bookmarkEnd w:id="815"/>
      <w:bookmarkEnd w:id="816"/>
      <w:r>
        <w:rPr>
          <w:rFonts w:hint="eastAsia" w:ascii="仿宋" w:hAnsi="仿宋" w:eastAsia="仿宋" w:cs="仿宋"/>
          <w:b/>
          <w:color w:val="auto"/>
          <w:sz w:val="24"/>
          <w:szCs w:val="32"/>
          <w:highlight w:val="none"/>
          <w:lang w:val="en-US" w:eastAsia="zh-CN"/>
        </w:rPr>
        <w:t>报告</w:t>
      </w:r>
    </w:p>
    <w:p w14:paraId="56F5FABA">
      <w:pPr>
        <w:spacing w:line="360" w:lineRule="auto"/>
        <w:rPr>
          <w:rFonts w:hint="eastAsia" w:ascii="仿宋" w:hAnsi="仿宋" w:eastAsia="仿宋" w:cs="仿宋"/>
          <w:color w:val="auto"/>
          <w:szCs w:val="21"/>
          <w:highlight w:val="none"/>
        </w:rPr>
      </w:pPr>
    </w:p>
    <w:p w14:paraId="265F4870">
      <w:pPr>
        <w:tabs>
          <w:tab w:val="left" w:pos="993"/>
          <w:tab w:val="left" w:pos="1030"/>
          <w:tab w:val="left" w:pos="8364"/>
        </w:tabs>
        <w:snapToGrid w:val="0"/>
        <w:spacing w:after="156" w:afterLines="50"/>
        <w:ind w:right="-56"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提供投标文件截止之日前两年内任意一个年度经审计的财务报告（包括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审计报告应当经过注册会计师行业统一监管平台备案赋码。</w:t>
      </w:r>
      <w:r>
        <w:rPr>
          <w:rFonts w:hint="eastAsia" w:ascii="仿宋" w:hAnsi="仿宋" w:eastAsia="仿宋" w:cs="仿宋"/>
          <w:color w:val="auto"/>
          <w:sz w:val="24"/>
          <w:highlight w:val="none"/>
        </w:rPr>
        <w:t>）复印件或扫描件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所有复印件或扫描件需加盖单位公章。</w:t>
      </w:r>
    </w:p>
    <w:p w14:paraId="18EA0C44">
      <w:pPr>
        <w:spacing w:line="360" w:lineRule="auto"/>
        <w:rPr>
          <w:rFonts w:hint="eastAsia" w:ascii="仿宋" w:hAnsi="仿宋" w:eastAsia="仿宋" w:cs="仿宋"/>
          <w:color w:val="auto"/>
          <w:szCs w:val="21"/>
          <w:highlight w:val="none"/>
        </w:rPr>
      </w:pPr>
    </w:p>
    <w:p w14:paraId="23226632">
      <w:pPr>
        <w:rPr>
          <w:rFonts w:hint="eastAsia" w:ascii="仿宋" w:hAnsi="仿宋" w:eastAsia="仿宋" w:cs="仿宋"/>
          <w:b/>
          <w:color w:val="auto"/>
          <w:sz w:val="24"/>
          <w:szCs w:val="32"/>
          <w:highlight w:val="none"/>
        </w:rPr>
      </w:pPr>
      <w:bookmarkStart w:id="817" w:name="_Toc7005122"/>
      <w:r>
        <w:rPr>
          <w:rFonts w:hint="eastAsia" w:ascii="仿宋" w:hAnsi="仿宋" w:eastAsia="仿宋" w:cs="仿宋"/>
          <w:b/>
          <w:color w:val="auto"/>
          <w:sz w:val="24"/>
          <w:szCs w:val="32"/>
          <w:highlight w:val="none"/>
        </w:rPr>
        <w:t xml:space="preserve">或  6-2  </w:t>
      </w:r>
      <w:bookmarkEnd w:id="817"/>
      <w:r>
        <w:rPr>
          <w:rFonts w:hint="eastAsia" w:ascii="仿宋" w:hAnsi="仿宋" w:eastAsia="仿宋" w:cs="仿宋"/>
          <w:b/>
          <w:color w:val="auto"/>
          <w:sz w:val="24"/>
          <w:szCs w:val="32"/>
          <w:highlight w:val="none"/>
        </w:rPr>
        <w:t>递交投标文件截止时间前三个月内投标人</w:t>
      </w:r>
      <w:r>
        <w:rPr>
          <w:rFonts w:hint="eastAsia" w:ascii="仿宋" w:hAnsi="仿宋" w:eastAsia="仿宋" w:cs="仿宋"/>
          <w:b/>
          <w:color w:val="auto"/>
          <w:sz w:val="24"/>
          <w:szCs w:val="32"/>
          <w:highlight w:val="none"/>
          <w:lang w:val="en-US" w:eastAsia="zh-CN"/>
        </w:rPr>
        <w:t>基本账户</w:t>
      </w:r>
      <w:r>
        <w:rPr>
          <w:rFonts w:hint="eastAsia" w:ascii="仿宋" w:hAnsi="仿宋" w:eastAsia="仿宋" w:cs="仿宋"/>
          <w:b/>
          <w:color w:val="auto"/>
          <w:sz w:val="24"/>
          <w:szCs w:val="32"/>
          <w:highlight w:val="none"/>
        </w:rPr>
        <w:t>开户银行出具的资信证明（后附开户许可证或基本户信息）</w:t>
      </w:r>
    </w:p>
    <w:p w14:paraId="5FBB6EF2">
      <w:pPr>
        <w:rPr>
          <w:rFonts w:hint="eastAsia" w:ascii="仿宋" w:hAnsi="仿宋" w:eastAsia="仿宋" w:cs="仿宋"/>
          <w:b/>
          <w:color w:val="auto"/>
          <w:sz w:val="24"/>
          <w:szCs w:val="32"/>
          <w:highlight w:val="none"/>
        </w:rPr>
      </w:pPr>
    </w:p>
    <w:p w14:paraId="481FCA9A">
      <w:pPr>
        <w:tabs>
          <w:tab w:val="left" w:pos="5580"/>
        </w:tabs>
        <w:spacing w:before="120" w:line="360" w:lineRule="auto"/>
        <w:rPr>
          <w:rFonts w:hint="eastAsia" w:ascii="仿宋" w:hAnsi="仿宋" w:eastAsia="仿宋" w:cs="仿宋"/>
          <w:color w:val="auto"/>
          <w:sz w:val="24"/>
          <w:highlight w:val="none"/>
        </w:rPr>
      </w:pPr>
    </w:p>
    <w:p w14:paraId="1E0F8FCC">
      <w:pPr>
        <w:rPr>
          <w:rFonts w:hint="eastAsia" w:ascii="仿宋" w:hAnsi="仿宋" w:eastAsia="仿宋" w:cs="仿宋"/>
          <w:b/>
          <w:color w:val="auto"/>
          <w:sz w:val="24"/>
          <w:szCs w:val="32"/>
          <w:highlight w:val="none"/>
        </w:rPr>
      </w:pPr>
      <w:bookmarkStart w:id="818" w:name="_Toc7005123"/>
      <w:r>
        <w:rPr>
          <w:rFonts w:hint="eastAsia" w:ascii="仿宋" w:hAnsi="仿宋" w:eastAsia="仿宋" w:cs="仿宋"/>
          <w:b/>
          <w:color w:val="auto"/>
          <w:sz w:val="24"/>
          <w:szCs w:val="32"/>
          <w:highlight w:val="none"/>
        </w:rPr>
        <w:t>6-3  依法缴纳税收的证明</w:t>
      </w:r>
      <w:bookmarkEnd w:id="818"/>
    </w:p>
    <w:p w14:paraId="2288F588">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p>
    <w:p w14:paraId="741A9E51">
      <w:pPr>
        <w:tabs>
          <w:tab w:val="left" w:pos="993"/>
          <w:tab w:val="left" w:pos="1030"/>
          <w:tab w:val="left" w:pos="8364"/>
        </w:tabs>
        <w:snapToGrid w:val="0"/>
        <w:spacing w:after="156" w:afterLines="50"/>
        <w:ind w:right="-56"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0ECC267B">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个月中任何1个月缴税凭证，时间以税款所属时期为准（银行出具的缴税凭证或税务机关出具的证明的复印件，并加盖本单位公章）。</w:t>
      </w:r>
    </w:p>
    <w:p w14:paraId="25D7909A">
      <w:pPr>
        <w:tabs>
          <w:tab w:val="left" w:pos="993"/>
          <w:tab w:val="left" w:pos="1030"/>
          <w:tab w:val="left" w:pos="8364"/>
        </w:tabs>
        <w:snapToGrid w:val="0"/>
        <w:spacing w:after="156" w:afterLines="50"/>
        <w:ind w:right="-56" w:rightChars="-27" w:firstLine="960" w:firstLineChars="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2、依法免税或无须缴纳税收的投标人，应提供相应证明文件。</w:t>
      </w:r>
    </w:p>
    <w:p w14:paraId="309AC701">
      <w:pPr>
        <w:tabs>
          <w:tab w:val="left" w:pos="993"/>
          <w:tab w:val="left" w:pos="1030"/>
          <w:tab w:val="left" w:pos="8364"/>
        </w:tabs>
        <w:snapToGrid w:val="0"/>
        <w:spacing w:after="156" w:afterLines="50"/>
        <w:ind w:left="420" w:right="-56" w:rightChars="-27" w:firstLine="480" w:firstLineChars="200"/>
        <w:jc w:val="left"/>
        <w:rPr>
          <w:rFonts w:hint="eastAsia" w:ascii="仿宋" w:hAnsi="仿宋" w:eastAsia="仿宋" w:cs="仿宋"/>
          <w:color w:val="auto"/>
          <w:sz w:val="24"/>
          <w:highlight w:val="none"/>
        </w:rPr>
      </w:pPr>
    </w:p>
    <w:p w14:paraId="0F687982">
      <w:pPr>
        <w:rPr>
          <w:rFonts w:hint="eastAsia" w:ascii="仿宋" w:hAnsi="仿宋" w:eastAsia="仿宋" w:cs="仿宋"/>
          <w:b/>
          <w:color w:val="auto"/>
          <w:highlight w:val="none"/>
        </w:rPr>
      </w:pPr>
    </w:p>
    <w:p w14:paraId="15ABA1AE">
      <w:pPr>
        <w:rPr>
          <w:rFonts w:hint="eastAsia" w:ascii="仿宋" w:hAnsi="仿宋" w:eastAsia="仿宋" w:cs="仿宋"/>
          <w:b/>
          <w:color w:val="auto"/>
          <w:sz w:val="24"/>
          <w:szCs w:val="32"/>
          <w:highlight w:val="none"/>
        </w:rPr>
      </w:pPr>
      <w:bookmarkStart w:id="819" w:name="_Toc7005124"/>
      <w:r>
        <w:rPr>
          <w:rFonts w:hint="eastAsia" w:ascii="仿宋" w:hAnsi="仿宋" w:eastAsia="仿宋" w:cs="仿宋"/>
          <w:b/>
          <w:color w:val="auto"/>
          <w:sz w:val="24"/>
          <w:szCs w:val="32"/>
          <w:highlight w:val="none"/>
        </w:rPr>
        <w:t>6-4  社会保障资金缴纳记录</w:t>
      </w:r>
      <w:bookmarkEnd w:id="819"/>
    </w:p>
    <w:p w14:paraId="3C429282">
      <w:pPr>
        <w:tabs>
          <w:tab w:val="left" w:pos="993"/>
          <w:tab w:val="left" w:pos="1030"/>
          <w:tab w:val="left" w:pos="8364"/>
        </w:tabs>
        <w:snapToGrid w:val="0"/>
        <w:spacing w:after="156" w:afterLines="50"/>
        <w:ind w:left="420" w:leftChars="200" w:right="-56"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cr/>
      </w:r>
      <w:r>
        <w:rPr>
          <w:rFonts w:hint="eastAsia" w:ascii="仿宋" w:hAnsi="仿宋" w:eastAsia="仿宋" w:cs="仿宋"/>
          <w:color w:val="auto"/>
          <w:sz w:val="24"/>
          <w:highlight w:val="none"/>
        </w:rPr>
        <w:t>说明：</w:t>
      </w:r>
    </w:p>
    <w:p w14:paraId="397464A1">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个月中至少1个月的缴纳社会保险的凭据（专用收据或社会保险缴纳清单），并加盖本单位公章。</w:t>
      </w:r>
    </w:p>
    <w:p w14:paraId="78B14874">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2、不需要缴纳社会保障资金的投标人，应提供相应文件证明其不需要缴纳社会保障资金。</w:t>
      </w:r>
    </w:p>
    <w:p w14:paraId="2DE6BF4A">
      <w:pPr>
        <w:tabs>
          <w:tab w:val="left" w:pos="993"/>
          <w:tab w:val="left" w:pos="1030"/>
          <w:tab w:val="left" w:pos="8364"/>
        </w:tabs>
        <w:snapToGrid w:val="0"/>
        <w:spacing w:after="156" w:afterLines="50"/>
        <w:ind w:left="420" w:leftChars="200" w:right="-56" w:rightChars="-27" w:firstLine="420" w:firstLineChars="175"/>
        <w:jc w:val="left"/>
        <w:rPr>
          <w:rFonts w:hint="eastAsia" w:ascii="仿宋" w:hAnsi="仿宋" w:eastAsia="仿宋" w:cs="仿宋"/>
          <w:color w:val="auto"/>
          <w:sz w:val="24"/>
          <w:highlight w:val="none"/>
        </w:rPr>
      </w:pPr>
    </w:p>
    <w:p w14:paraId="1729F894">
      <w:pPr>
        <w:rPr>
          <w:rFonts w:hint="eastAsia" w:ascii="仿宋" w:hAnsi="仿宋" w:eastAsia="仿宋" w:cs="仿宋"/>
          <w:b/>
          <w:color w:val="auto"/>
          <w:sz w:val="24"/>
          <w:highlight w:val="none"/>
        </w:rPr>
      </w:pPr>
      <w:bookmarkStart w:id="820" w:name="_Toc7005125"/>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6-5  具备履行合同所必需的设备和专业技术能力承诺书</w:t>
      </w:r>
      <w:bookmarkEnd w:id="820"/>
      <w:r>
        <w:rPr>
          <w:rFonts w:hint="eastAsia" w:ascii="仿宋" w:hAnsi="仿宋" w:eastAsia="仿宋" w:cs="仿宋"/>
          <w:b/>
          <w:color w:val="auto"/>
          <w:sz w:val="24"/>
          <w:highlight w:val="none"/>
        </w:rPr>
        <w:t xml:space="preserve">                                                                                                                                                                                                                                                                                                                                                                                                                                                                                                                                                                                                                                                                                                      </w:t>
      </w:r>
    </w:p>
    <w:p w14:paraId="683C68BA">
      <w:pPr>
        <w:ind w:firstLine="480"/>
        <w:rPr>
          <w:rFonts w:hint="eastAsia" w:ascii="仿宋" w:hAnsi="仿宋" w:eastAsia="仿宋" w:cs="仿宋"/>
          <w:color w:val="auto"/>
          <w:kern w:val="0"/>
          <w:sz w:val="24"/>
          <w:highlight w:val="none"/>
        </w:rPr>
      </w:pPr>
    </w:p>
    <w:p w14:paraId="3075776E">
      <w:pPr>
        <w:ind w:firstLine="480"/>
        <w:rPr>
          <w:rFonts w:hint="eastAsia" w:ascii="仿宋" w:hAnsi="仿宋" w:eastAsia="仿宋" w:cs="仿宋"/>
          <w:color w:val="auto"/>
          <w:kern w:val="0"/>
          <w:sz w:val="24"/>
          <w:highlight w:val="none"/>
        </w:rPr>
      </w:pPr>
    </w:p>
    <w:p w14:paraId="748FFEA8">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陕西省采购招标有限责任公司：   </w:t>
      </w:r>
    </w:p>
    <w:p w14:paraId="0DC0044C">
      <w:pPr>
        <w:ind w:firstLine="480"/>
        <w:rPr>
          <w:rFonts w:hint="eastAsia" w:ascii="仿宋" w:hAnsi="仿宋" w:eastAsia="仿宋" w:cs="仿宋"/>
          <w:color w:val="auto"/>
          <w:kern w:val="0"/>
          <w:sz w:val="24"/>
          <w:highlight w:val="none"/>
        </w:rPr>
      </w:pPr>
    </w:p>
    <w:p w14:paraId="74CDBD73">
      <w:pPr>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我公司承诺</w:t>
      </w:r>
      <w:r>
        <w:rPr>
          <w:rFonts w:hint="eastAsia" w:ascii="仿宋" w:hAnsi="仿宋" w:eastAsia="仿宋" w:cs="仿宋"/>
          <w:color w:val="auto"/>
          <w:sz w:val="24"/>
          <w:highlight w:val="none"/>
        </w:rPr>
        <w:t>具备履行合同所必需的设备和专业技术能力</w:t>
      </w:r>
      <w:r>
        <w:rPr>
          <w:rFonts w:hint="eastAsia" w:ascii="仿宋" w:hAnsi="仿宋" w:eastAsia="仿宋" w:cs="仿宋"/>
          <w:color w:val="auto"/>
          <w:kern w:val="0"/>
          <w:sz w:val="24"/>
          <w:highlight w:val="none"/>
        </w:rPr>
        <w:t>。</w:t>
      </w:r>
    </w:p>
    <w:p w14:paraId="6169D981">
      <w:pPr>
        <w:ind w:firstLine="480"/>
        <w:rPr>
          <w:rFonts w:hint="eastAsia" w:ascii="仿宋" w:hAnsi="仿宋" w:eastAsia="仿宋" w:cs="仿宋"/>
          <w:b/>
          <w:color w:val="auto"/>
          <w:sz w:val="24"/>
          <w:highlight w:val="none"/>
        </w:rPr>
      </w:pPr>
    </w:p>
    <w:p w14:paraId="5CA49269">
      <w:pPr>
        <w:ind w:firstLine="480"/>
        <w:rPr>
          <w:rFonts w:hint="eastAsia" w:ascii="仿宋" w:hAnsi="仿宋" w:eastAsia="仿宋" w:cs="仿宋"/>
          <w:b/>
          <w:color w:val="auto"/>
          <w:sz w:val="24"/>
          <w:highlight w:val="none"/>
        </w:rPr>
      </w:pPr>
    </w:p>
    <w:p w14:paraId="20B8C357">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E50BDF0">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F5EC0C4">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95A0510">
      <w:pPr>
        <w:ind w:right="280"/>
        <w:rPr>
          <w:rFonts w:hint="eastAsia" w:ascii="仿宋" w:hAnsi="仿宋" w:eastAsia="仿宋" w:cs="仿宋"/>
          <w:color w:val="auto"/>
          <w:sz w:val="24"/>
          <w:highlight w:val="none"/>
        </w:rPr>
      </w:pPr>
    </w:p>
    <w:p w14:paraId="2B9C5988">
      <w:pPr>
        <w:tabs>
          <w:tab w:val="left" w:pos="5580"/>
        </w:tabs>
        <w:spacing w:before="120" w:line="360" w:lineRule="auto"/>
        <w:ind w:firstLine="480" w:firstLineChars="200"/>
        <w:rPr>
          <w:rFonts w:hint="eastAsia" w:ascii="仿宋" w:hAnsi="仿宋" w:eastAsia="仿宋" w:cs="仿宋"/>
          <w:color w:val="auto"/>
          <w:sz w:val="24"/>
          <w:highlight w:val="none"/>
        </w:rPr>
      </w:pPr>
    </w:p>
    <w:p w14:paraId="21E4A8A8">
      <w:pPr>
        <w:widowControl/>
        <w:jc w:val="left"/>
        <w:rPr>
          <w:rFonts w:hint="eastAsia" w:ascii="仿宋" w:hAnsi="仿宋" w:eastAsia="仿宋" w:cs="仿宋"/>
          <w:b/>
          <w:color w:val="auto"/>
          <w:sz w:val="24"/>
          <w:highlight w:val="none"/>
        </w:rPr>
      </w:pPr>
    </w:p>
    <w:p w14:paraId="3EE7B227">
      <w:pPr>
        <w:rPr>
          <w:rFonts w:hint="eastAsia" w:ascii="仿宋" w:hAnsi="仿宋" w:eastAsia="仿宋" w:cs="仿宋"/>
          <w:b/>
          <w:color w:val="auto"/>
          <w:sz w:val="24"/>
          <w:szCs w:val="32"/>
          <w:highlight w:val="none"/>
        </w:rPr>
      </w:pPr>
      <w:bookmarkStart w:id="821" w:name="_Toc7005126"/>
      <w:r>
        <w:rPr>
          <w:rFonts w:hint="eastAsia" w:ascii="仿宋" w:hAnsi="仿宋" w:eastAsia="仿宋" w:cs="仿宋"/>
          <w:b/>
          <w:color w:val="auto"/>
          <w:sz w:val="24"/>
          <w:szCs w:val="32"/>
          <w:highlight w:val="none"/>
        </w:rPr>
        <w:t xml:space="preserve"> </w:t>
      </w:r>
      <w:bookmarkStart w:id="822" w:name="_Toc60928899"/>
      <w:bookmarkStart w:id="823" w:name="_Toc60929131"/>
      <w:bookmarkStart w:id="824" w:name="_Toc60928818"/>
      <w:r>
        <w:rPr>
          <w:rFonts w:hint="eastAsia" w:ascii="仿宋" w:hAnsi="仿宋" w:eastAsia="仿宋" w:cs="仿宋"/>
          <w:b/>
          <w:color w:val="auto"/>
          <w:sz w:val="24"/>
          <w:szCs w:val="32"/>
          <w:highlight w:val="none"/>
        </w:rPr>
        <w:t>6-6  投标人参加政府采购活动前3年内在经营活动中没有重大违法记录的书面声明</w:t>
      </w:r>
      <w:bookmarkEnd w:id="821"/>
      <w:bookmarkEnd w:id="822"/>
      <w:bookmarkEnd w:id="823"/>
      <w:bookmarkEnd w:id="824"/>
    </w:p>
    <w:p w14:paraId="0351E782">
      <w:pPr>
        <w:jc w:val="center"/>
        <w:rPr>
          <w:rFonts w:hint="eastAsia" w:ascii="仿宋" w:hAnsi="仿宋" w:eastAsia="仿宋" w:cs="仿宋"/>
          <w:color w:val="auto"/>
          <w:sz w:val="24"/>
          <w:highlight w:val="none"/>
        </w:rPr>
      </w:pPr>
    </w:p>
    <w:p w14:paraId="08E18CD6">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陕西省采购招标有限责任公司：  </w:t>
      </w:r>
    </w:p>
    <w:p w14:paraId="32CB9798">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w:t>
      </w:r>
    </w:p>
    <w:p w14:paraId="24E60F13">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1C21442A">
      <w:pPr>
        <w:tabs>
          <w:tab w:val="left" w:pos="5580"/>
        </w:tabs>
        <w:spacing w:before="120" w:line="360" w:lineRule="auto"/>
        <w:ind w:firstLine="480" w:firstLineChars="200"/>
        <w:rPr>
          <w:rFonts w:hint="eastAsia" w:ascii="仿宋" w:hAnsi="仿宋" w:eastAsia="仿宋" w:cs="仿宋"/>
          <w:color w:val="auto"/>
          <w:sz w:val="24"/>
          <w:highlight w:val="none"/>
        </w:rPr>
      </w:pPr>
    </w:p>
    <w:p w14:paraId="6F424C56">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423D1E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1537E459">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DD56590">
      <w:pPr>
        <w:spacing w:after="120"/>
        <w:rPr>
          <w:rFonts w:hint="eastAsia" w:ascii="仿宋" w:hAnsi="仿宋" w:eastAsia="仿宋" w:cs="仿宋"/>
          <w:color w:val="auto"/>
          <w:highlight w:val="none"/>
        </w:rPr>
      </w:pPr>
    </w:p>
    <w:p w14:paraId="1E2C6245">
      <w:pPr>
        <w:jc w:val="left"/>
        <w:rPr>
          <w:rFonts w:hint="eastAsia" w:ascii="仿宋" w:hAnsi="仿宋" w:eastAsia="仿宋" w:cs="仿宋"/>
          <w:b/>
          <w:color w:val="auto"/>
          <w:highlight w:val="none"/>
        </w:rPr>
      </w:pPr>
      <w:bookmarkStart w:id="825" w:name="_Toc7005127"/>
      <w:bookmarkStart w:id="826" w:name="_Toc60928819"/>
      <w:bookmarkStart w:id="827" w:name="_Toc60928900"/>
      <w:bookmarkStart w:id="828" w:name="_Toc60929132"/>
    </w:p>
    <w:p w14:paraId="78E3438F">
      <w:pPr>
        <w:rPr>
          <w:rFonts w:hint="eastAsia" w:ascii="仿宋" w:hAnsi="仿宋" w:eastAsia="仿宋" w:cs="仿宋"/>
          <w:b/>
          <w:color w:val="auto"/>
          <w:highlight w:val="none"/>
        </w:rPr>
      </w:pPr>
    </w:p>
    <w:p w14:paraId="1260B9C6">
      <w:pPr>
        <w:rPr>
          <w:rFonts w:hint="eastAsia" w:ascii="仿宋" w:hAnsi="仿宋" w:eastAsia="仿宋" w:cs="仿宋"/>
          <w:b/>
          <w:color w:val="auto"/>
          <w:highlight w:val="none"/>
        </w:rPr>
      </w:pPr>
    </w:p>
    <w:p w14:paraId="748CF325">
      <w:pPr>
        <w:rPr>
          <w:rFonts w:hint="eastAsia" w:ascii="仿宋" w:hAnsi="仿宋" w:eastAsia="仿宋" w:cs="仿宋"/>
          <w:b/>
          <w:color w:val="auto"/>
          <w:highlight w:val="none"/>
        </w:rPr>
      </w:pPr>
    </w:p>
    <w:p w14:paraId="1EDEB177">
      <w:pPr>
        <w:rPr>
          <w:rFonts w:hint="eastAsia" w:ascii="仿宋" w:hAnsi="仿宋" w:eastAsia="仿宋" w:cs="仿宋"/>
          <w:b/>
          <w:color w:val="auto"/>
          <w:highlight w:val="none"/>
        </w:rPr>
      </w:pPr>
    </w:p>
    <w:p w14:paraId="2515C793">
      <w:pPr>
        <w:rPr>
          <w:rFonts w:hint="eastAsia" w:ascii="仿宋" w:hAnsi="仿宋" w:eastAsia="仿宋" w:cs="仿宋"/>
          <w:b/>
          <w:color w:val="auto"/>
          <w:highlight w:val="none"/>
        </w:rPr>
      </w:pPr>
    </w:p>
    <w:p w14:paraId="0938B895">
      <w:pPr>
        <w:rPr>
          <w:rFonts w:hint="eastAsia" w:ascii="仿宋" w:hAnsi="仿宋" w:eastAsia="仿宋" w:cs="仿宋"/>
          <w:b/>
          <w:color w:val="auto"/>
          <w:highlight w:val="none"/>
        </w:rPr>
      </w:pPr>
    </w:p>
    <w:p w14:paraId="73DF5EA6">
      <w:pPr>
        <w:rPr>
          <w:rFonts w:hint="eastAsia" w:ascii="仿宋" w:hAnsi="仿宋" w:eastAsia="仿宋" w:cs="仿宋"/>
          <w:b/>
          <w:color w:val="auto"/>
          <w:sz w:val="24"/>
          <w:szCs w:val="32"/>
          <w:highlight w:val="none"/>
        </w:rPr>
      </w:pPr>
    </w:p>
    <w:p w14:paraId="4E2B0202">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6-7  投标人控股股东名称、控股公司的名称和存在管理、被管理关系的单位名称说明</w:t>
      </w:r>
      <w:bookmarkEnd w:id="825"/>
      <w:bookmarkEnd w:id="826"/>
      <w:bookmarkEnd w:id="827"/>
      <w:bookmarkEnd w:id="828"/>
    </w:p>
    <w:p w14:paraId="5A30E8E6">
      <w:pPr>
        <w:ind w:firstLine="420"/>
        <w:rPr>
          <w:rFonts w:hint="eastAsia" w:ascii="仿宋" w:hAnsi="仿宋" w:eastAsia="仿宋" w:cs="仿宋"/>
          <w:color w:val="auto"/>
          <w:szCs w:val="21"/>
          <w:highlight w:val="none"/>
        </w:rPr>
      </w:pPr>
    </w:p>
    <w:p w14:paraId="6C4B3435">
      <w:pPr>
        <w:rPr>
          <w:rFonts w:hint="eastAsia" w:ascii="仿宋" w:hAnsi="仿宋" w:eastAsia="仿宋" w:cs="仿宋"/>
          <w:color w:val="auto"/>
          <w:sz w:val="24"/>
          <w:highlight w:val="none"/>
        </w:rPr>
      </w:pPr>
    </w:p>
    <w:p w14:paraId="2557E42C">
      <w:pPr>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A1F8C81">
      <w:pPr>
        <w:pStyle w:val="11"/>
        <w:rPr>
          <w:rFonts w:hint="eastAsia" w:ascii="仿宋" w:hAnsi="仿宋" w:eastAsia="仿宋" w:cs="仿宋"/>
          <w:color w:val="auto"/>
          <w:highlight w:val="none"/>
        </w:rPr>
      </w:pPr>
    </w:p>
    <w:p w14:paraId="6A77FBF2">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与我方的法定代表人（单位负责人）为同一人的企业如下：</w:t>
      </w:r>
    </w:p>
    <w:p w14:paraId="6E2CA05C">
      <w:pPr>
        <w:ind w:firstLine="426"/>
        <w:rPr>
          <w:rFonts w:hint="eastAsia" w:ascii="仿宋" w:hAnsi="仿宋" w:eastAsia="仿宋" w:cs="仿宋"/>
          <w:color w:val="auto"/>
          <w:sz w:val="24"/>
          <w:highlight w:val="none"/>
        </w:rPr>
      </w:pPr>
    </w:p>
    <w:p w14:paraId="4A73F568">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4B85896A">
      <w:pPr>
        <w:ind w:firstLine="426"/>
        <w:rPr>
          <w:rFonts w:hint="eastAsia" w:ascii="仿宋" w:hAnsi="仿宋" w:eastAsia="仿宋" w:cs="仿宋"/>
          <w:color w:val="auto"/>
          <w:sz w:val="24"/>
          <w:highlight w:val="none"/>
        </w:rPr>
      </w:pPr>
    </w:p>
    <w:p w14:paraId="76287194">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77324B8B">
      <w:pPr>
        <w:ind w:firstLine="426"/>
        <w:rPr>
          <w:rFonts w:hint="eastAsia" w:ascii="仿宋" w:hAnsi="仿宋" w:eastAsia="仿宋" w:cs="仿宋"/>
          <w:color w:val="auto"/>
          <w:sz w:val="24"/>
          <w:highlight w:val="none"/>
        </w:rPr>
      </w:pPr>
    </w:p>
    <w:p w14:paraId="639E14D9">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57F11FC4">
      <w:pPr>
        <w:ind w:firstLine="426"/>
        <w:rPr>
          <w:rFonts w:hint="eastAsia" w:ascii="仿宋" w:hAnsi="仿宋" w:eastAsia="仿宋" w:cs="仿宋"/>
          <w:color w:val="auto"/>
          <w:sz w:val="24"/>
          <w:highlight w:val="none"/>
        </w:rPr>
      </w:pPr>
    </w:p>
    <w:p w14:paraId="258C2509">
      <w:pPr>
        <w:ind w:firstLine="426"/>
        <w:rPr>
          <w:rFonts w:hint="eastAsia" w:ascii="仿宋" w:hAnsi="仿宋" w:eastAsia="仿宋" w:cs="仿宋"/>
          <w:color w:val="auto"/>
          <w:szCs w:val="21"/>
          <w:highlight w:val="none"/>
        </w:rPr>
      </w:pPr>
    </w:p>
    <w:p w14:paraId="305E8CA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9DEFD96">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1A5FDFA7">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FEFDF02">
      <w:pPr>
        <w:ind w:firstLine="420" w:firstLineChars="200"/>
        <w:rPr>
          <w:rFonts w:hint="eastAsia" w:ascii="仿宋" w:hAnsi="仿宋" w:eastAsia="仿宋" w:cs="仿宋"/>
          <w:color w:val="auto"/>
          <w:szCs w:val="21"/>
          <w:highlight w:val="none"/>
        </w:rPr>
      </w:pPr>
    </w:p>
    <w:p w14:paraId="6C411F31">
      <w:pPr>
        <w:jc w:val="left"/>
        <w:rPr>
          <w:rFonts w:hint="eastAsia" w:ascii="仿宋" w:hAnsi="仿宋" w:eastAsia="仿宋" w:cs="仿宋"/>
          <w:b/>
          <w:color w:val="auto"/>
          <w:sz w:val="24"/>
          <w:highlight w:val="none"/>
        </w:rPr>
      </w:pPr>
    </w:p>
    <w:p w14:paraId="22D58015">
      <w:pPr>
        <w:rPr>
          <w:rFonts w:hint="eastAsia" w:ascii="仿宋" w:hAnsi="仿宋" w:eastAsia="仿宋" w:cs="仿宋"/>
          <w:b/>
          <w:color w:val="auto"/>
          <w:sz w:val="24"/>
          <w:szCs w:val="32"/>
          <w:highlight w:val="none"/>
        </w:rPr>
      </w:pPr>
      <w:bookmarkStart w:id="829" w:name="_Toc60928901"/>
      <w:bookmarkStart w:id="830" w:name="_Toc60928820"/>
      <w:bookmarkStart w:id="831" w:name="_Toc7005128"/>
      <w:bookmarkStart w:id="832" w:name="_Toc60929133"/>
      <w:r>
        <w:rPr>
          <w:rFonts w:hint="eastAsia" w:ascii="仿宋" w:hAnsi="仿宋" w:eastAsia="仿宋" w:cs="仿宋"/>
          <w:b/>
          <w:color w:val="auto"/>
          <w:sz w:val="24"/>
          <w:szCs w:val="32"/>
          <w:highlight w:val="none"/>
        </w:rPr>
        <w:t>6-8  投标人是否属于为本项目提供整体设计、规范编制或者项目管理、监理、检测等服务的投标人声明</w:t>
      </w:r>
      <w:bookmarkEnd w:id="829"/>
      <w:bookmarkEnd w:id="830"/>
      <w:bookmarkEnd w:id="831"/>
      <w:bookmarkEnd w:id="832"/>
    </w:p>
    <w:p w14:paraId="3D2EE6DF">
      <w:pPr>
        <w:spacing w:line="360" w:lineRule="auto"/>
        <w:rPr>
          <w:rFonts w:hint="eastAsia" w:ascii="仿宋" w:hAnsi="仿宋" w:eastAsia="仿宋" w:cs="仿宋"/>
          <w:color w:val="auto"/>
          <w:szCs w:val="21"/>
          <w:highlight w:val="none"/>
        </w:rPr>
      </w:pPr>
    </w:p>
    <w:p w14:paraId="75ED169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19052E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我方 </w:t>
      </w:r>
      <w:r>
        <w:rPr>
          <w:rFonts w:hint="eastAsia" w:ascii="仿宋" w:hAnsi="仿宋" w:eastAsia="仿宋" w:cs="仿宋"/>
          <w:color w:val="auto"/>
          <w:sz w:val="24"/>
          <w:highlight w:val="none"/>
          <w:u w:val="single"/>
        </w:rPr>
        <w:t xml:space="preserve">不属于 </w:t>
      </w:r>
      <w:r>
        <w:rPr>
          <w:rFonts w:hint="eastAsia" w:ascii="仿宋" w:hAnsi="仿宋" w:eastAsia="仿宋" w:cs="仿宋"/>
          <w:color w:val="auto"/>
          <w:sz w:val="24"/>
          <w:highlight w:val="none"/>
        </w:rPr>
        <w:t>为本项目提供整体设计、规范编制或者项目管理、监理、检测等服务的供应商。</w:t>
      </w:r>
    </w:p>
    <w:p w14:paraId="7E1A1AA8">
      <w:pPr>
        <w:ind w:firstLine="426"/>
        <w:rPr>
          <w:rFonts w:hint="eastAsia" w:ascii="仿宋" w:hAnsi="仿宋" w:eastAsia="仿宋" w:cs="仿宋"/>
          <w:color w:val="auto"/>
          <w:sz w:val="24"/>
          <w:highlight w:val="none"/>
        </w:rPr>
      </w:pPr>
    </w:p>
    <w:p w14:paraId="13418E97">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22D57F1">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CF98EF2">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EB49446">
      <w:pPr>
        <w:rPr>
          <w:rFonts w:hint="eastAsia" w:ascii="仿宋" w:hAnsi="仿宋" w:eastAsia="仿宋" w:cs="仿宋"/>
          <w:b/>
          <w:color w:val="auto"/>
          <w:highlight w:val="none"/>
        </w:rPr>
      </w:pPr>
      <w:bookmarkStart w:id="833" w:name="_Toc7005129"/>
      <w:bookmarkStart w:id="834" w:name="_Toc60929134"/>
      <w:bookmarkStart w:id="835" w:name="_Toc60928902"/>
      <w:bookmarkStart w:id="836" w:name="_Toc60928821"/>
    </w:p>
    <w:p w14:paraId="5E80232C">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6-9  证明投标人符合特定资格条件的证明材料</w:t>
      </w:r>
      <w:bookmarkEnd w:id="833"/>
      <w:r>
        <w:rPr>
          <w:rFonts w:hint="eastAsia" w:ascii="仿宋" w:hAnsi="仿宋" w:eastAsia="仿宋" w:cs="仿宋"/>
          <w:b/>
          <w:color w:val="auto"/>
          <w:sz w:val="24"/>
          <w:szCs w:val="32"/>
          <w:highlight w:val="none"/>
        </w:rPr>
        <w:t>：</w:t>
      </w:r>
      <w:bookmarkEnd w:id="834"/>
      <w:bookmarkEnd w:id="835"/>
      <w:bookmarkEnd w:id="836"/>
      <w:bookmarkStart w:id="837" w:name="_Toc532473497"/>
      <w:bookmarkStart w:id="838" w:name="_Toc515647807"/>
      <w:bookmarkStart w:id="839" w:name="_Toc22472"/>
      <w:bookmarkStart w:id="840" w:name="_Toc1083"/>
    </w:p>
    <w:bookmarkEnd w:id="837"/>
    <w:bookmarkEnd w:id="838"/>
    <w:bookmarkEnd w:id="839"/>
    <w:bookmarkEnd w:id="840"/>
    <w:p w14:paraId="28D11FF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注：按采购清单顺序提供设备医疗器械注册证（非医疗器械管理的写文字说明）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生产厂家资料</w:t>
      </w:r>
      <w:r>
        <w:rPr>
          <w:rFonts w:hint="eastAsia" w:ascii="仿宋" w:hAnsi="仿宋" w:eastAsia="仿宋" w:cs="仿宋"/>
          <w:color w:val="auto"/>
          <w:sz w:val="24"/>
          <w:highlight w:val="none"/>
        </w:rPr>
        <w:t>、产品</w:t>
      </w:r>
      <w:r>
        <w:rPr>
          <w:rFonts w:hint="eastAsia" w:ascii="仿宋" w:hAnsi="仿宋" w:eastAsia="仿宋" w:cs="仿宋"/>
          <w:color w:val="auto"/>
          <w:sz w:val="24"/>
          <w:highlight w:val="none"/>
          <w:lang w:val="en-US" w:eastAsia="zh-CN"/>
        </w:rPr>
        <w:t>完</w:t>
      </w:r>
      <w:r>
        <w:rPr>
          <w:rFonts w:hint="eastAsia" w:ascii="仿宋" w:hAnsi="仿宋" w:eastAsia="仿宋" w:cs="仿宋"/>
          <w:color w:val="auto"/>
          <w:sz w:val="24"/>
          <w:highlight w:val="none"/>
        </w:rPr>
        <w:t>授权书</w:t>
      </w:r>
      <w:r>
        <w:rPr>
          <w:rFonts w:hint="eastAsia" w:ascii="仿宋" w:hAnsi="仿宋" w:eastAsia="仿宋" w:cs="仿宋"/>
          <w:color w:val="auto"/>
          <w:sz w:val="24"/>
          <w:highlight w:val="none"/>
          <w:lang w:val="en-US" w:eastAsia="zh-CN"/>
        </w:rPr>
        <w:t>整授权链</w:t>
      </w:r>
      <w:r>
        <w:rPr>
          <w:rFonts w:hint="eastAsia" w:ascii="仿宋" w:hAnsi="仿宋" w:eastAsia="仿宋" w:cs="仿宋"/>
          <w:color w:val="auto"/>
          <w:sz w:val="24"/>
          <w:highlight w:val="none"/>
        </w:rPr>
        <w:t>（如有）；</w:t>
      </w:r>
    </w:p>
    <w:p w14:paraId="46718A2D">
      <w:pPr>
        <w:spacing w:line="360" w:lineRule="auto"/>
        <w:rPr>
          <w:rFonts w:hint="eastAsia" w:ascii="仿宋" w:hAnsi="仿宋" w:eastAsia="仿宋" w:cs="仿宋"/>
          <w:color w:val="auto"/>
          <w:sz w:val="24"/>
          <w:highlight w:val="none"/>
        </w:rPr>
      </w:pPr>
    </w:p>
    <w:p w14:paraId="2AB57E14">
      <w:pPr>
        <w:pStyle w:val="5"/>
        <w:ind w:firstLine="0" w:firstLineChars="0"/>
        <w:jc w:val="center"/>
        <w:rPr>
          <w:rFonts w:hint="eastAsia" w:ascii="仿宋" w:hAnsi="仿宋" w:eastAsia="仿宋" w:cs="仿宋"/>
          <w:color w:val="auto"/>
          <w:sz w:val="32"/>
          <w:szCs w:val="32"/>
          <w:highlight w:val="none"/>
          <w:lang w:val="zh-CN"/>
        </w:rPr>
      </w:pPr>
      <w:r>
        <w:rPr>
          <w:rFonts w:hint="eastAsia" w:ascii="仿宋" w:hAnsi="仿宋" w:eastAsia="仿宋" w:cs="仿宋"/>
          <w:color w:val="auto"/>
          <w:highlight w:val="none"/>
          <w:lang w:val="zh-CN"/>
        </w:rPr>
        <w:br w:type="page"/>
      </w:r>
      <w:bookmarkStart w:id="841" w:name="_Toc32209"/>
      <w:bookmarkStart w:id="842" w:name="_Toc27708"/>
      <w:bookmarkStart w:id="843" w:name="_Toc18732"/>
      <w:bookmarkStart w:id="844" w:name="_Toc8731"/>
      <w:r>
        <w:rPr>
          <w:rFonts w:hint="eastAsia" w:ascii="仿宋" w:hAnsi="仿宋" w:eastAsia="仿宋" w:cs="仿宋"/>
          <w:color w:val="auto"/>
          <w:sz w:val="32"/>
          <w:szCs w:val="32"/>
          <w:highlight w:val="none"/>
          <w:lang w:val="en-US" w:eastAsia="zh-CN"/>
        </w:rPr>
        <w:t xml:space="preserve">第三部分  </w:t>
      </w:r>
      <w:r>
        <w:rPr>
          <w:rFonts w:hint="eastAsia" w:ascii="仿宋" w:hAnsi="仿宋" w:eastAsia="仿宋" w:cs="仿宋"/>
          <w:color w:val="auto"/>
          <w:sz w:val="32"/>
          <w:szCs w:val="32"/>
          <w:highlight w:val="none"/>
          <w:lang w:val="zh-CN"/>
        </w:rPr>
        <w:t>商务及技术文件</w:t>
      </w:r>
      <w:bookmarkEnd w:id="841"/>
      <w:bookmarkEnd w:id="842"/>
      <w:bookmarkEnd w:id="843"/>
      <w:bookmarkEnd w:id="844"/>
    </w:p>
    <w:bookmarkEnd w:id="811"/>
    <w:bookmarkEnd w:id="812"/>
    <w:bookmarkEnd w:id="813"/>
    <w:p w14:paraId="5CDB35A3">
      <w:pPr>
        <w:pStyle w:val="15"/>
        <w:tabs>
          <w:tab w:val="left" w:pos="5580"/>
        </w:tabs>
        <w:snapToGrid w:val="0"/>
        <w:spacing w:line="360" w:lineRule="auto"/>
        <w:rPr>
          <w:rFonts w:hint="eastAsia" w:ascii="仿宋" w:hAnsi="仿宋" w:eastAsia="仿宋" w:cs="仿宋"/>
          <w:color w:val="auto"/>
          <w:sz w:val="24"/>
          <w:highlight w:val="none"/>
        </w:rPr>
      </w:pPr>
      <w:bookmarkStart w:id="845" w:name="_Hlt520355504"/>
      <w:bookmarkEnd w:id="845"/>
      <w:bookmarkStart w:id="846" w:name="_Toc60929136"/>
      <w:bookmarkStart w:id="847" w:name="_Toc60928904"/>
      <w:bookmarkStart w:id="848" w:name="_Toc515647817"/>
      <w:bookmarkStart w:id="849" w:name="_Toc14915"/>
      <w:bookmarkStart w:id="850" w:name="_Toc532473505"/>
      <w:bookmarkStart w:id="851" w:name="_Toc2041"/>
      <w:r>
        <w:rPr>
          <w:rFonts w:hint="eastAsia" w:ascii="仿宋" w:hAnsi="仿宋" w:eastAsia="仿宋" w:cs="仿宋"/>
          <w:color w:val="auto"/>
          <w:sz w:val="24"/>
          <w:highlight w:val="none"/>
        </w:rPr>
        <w:t>（投标文件格式一）</w:t>
      </w:r>
    </w:p>
    <w:p w14:paraId="512FF331">
      <w:pPr>
        <w:pStyle w:val="5"/>
        <w:ind w:firstLine="0" w:firstLineChars="0"/>
        <w:jc w:val="center"/>
        <w:rPr>
          <w:rFonts w:hint="eastAsia" w:ascii="仿宋" w:hAnsi="仿宋" w:eastAsia="仿宋" w:cs="仿宋"/>
          <w:color w:val="auto"/>
          <w:sz w:val="32"/>
          <w:szCs w:val="32"/>
          <w:highlight w:val="none"/>
        </w:rPr>
      </w:pPr>
      <w:bookmarkStart w:id="852" w:name="_Toc30871"/>
      <w:bookmarkStart w:id="853" w:name="_Toc19757"/>
      <w:bookmarkStart w:id="854" w:name="_Toc23109"/>
      <w:bookmarkStart w:id="855" w:name="_Toc9004"/>
      <w:r>
        <w:rPr>
          <w:rFonts w:hint="eastAsia" w:ascii="仿宋" w:hAnsi="仿宋" w:eastAsia="仿宋" w:cs="仿宋"/>
          <w:color w:val="auto"/>
          <w:sz w:val="32"/>
          <w:szCs w:val="32"/>
          <w:highlight w:val="none"/>
        </w:rPr>
        <w:t>投标函</w:t>
      </w:r>
      <w:bookmarkEnd w:id="846"/>
      <w:bookmarkEnd w:id="847"/>
      <w:bookmarkEnd w:id="852"/>
      <w:bookmarkEnd w:id="853"/>
      <w:bookmarkEnd w:id="854"/>
      <w:bookmarkEnd w:id="855"/>
    </w:p>
    <w:p w14:paraId="29C13921">
      <w:pPr>
        <w:tabs>
          <w:tab w:val="left" w:pos="5580"/>
        </w:tabs>
        <w:snapToGrid w:val="0"/>
        <w:spacing w:line="360" w:lineRule="auto"/>
        <w:ind w:left="1080" w:hanging="10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End w:id="814"/>
      <w:bookmarkEnd w:id="848"/>
      <w:bookmarkEnd w:id="849"/>
      <w:bookmarkEnd w:id="850"/>
      <w:bookmarkEnd w:id="851"/>
    </w:p>
    <w:p w14:paraId="6F19936D">
      <w:pPr>
        <w:tabs>
          <w:tab w:val="left" w:pos="5580"/>
        </w:tabs>
        <w:snapToGrid w:val="0"/>
        <w:spacing w:line="360" w:lineRule="auto"/>
        <w:ind w:left="1080" w:hanging="108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（采购人或采购代理机构名称）   </w:t>
      </w:r>
    </w:p>
    <w:p w14:paraId="0F179BB3">
      <w:pPr>
        <w:pStyle w:val="15"/>
        <w:tabs>
          <w:tab w:val="left" w:pos="5580"/>
        </w:tabs>
        <w:snapToGrid w:val="0"/>
        <w:spacing w:line="360" w:lineRule="auto"/>
        <w:ind w:left="107" w:leftChars="5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根据贵方（</w:t>
      </w:r>
      <w:r>
        <w:rPr>
          <w:rFonts w:hint="eastAsia" w:ascii="仿宋" w:hAnsi="仿宋" w:eastAsia="仿宋" w:cs="仿宋"/>
          <w:color w:val="auto"/>
          <w:sz w:val="24"/>
          <w:highlight w:val="none"/>
          <w:u w:val="single"/>
        </w:rPr>
        <w:t>项目名称、采购项目编号</w:t>
      </w:r>
      <w:r>
        <w:rPr>
          <w:rFonts w:hint="eastAsia" w:ascii="仿宋" w:hAnsi="仿宋" w:eastAsia="仿宋" w:cs="仿宋"/>
          <w:color w:val="auto"/>
          <w:sz w:val="24"/>
          <w:highlight w:val="none"/>
        </w:rPr>
        <w:t>）项目的招标文件，签字代表（</w:t>
      </w:r>
      <w:r>
        <w:rPr>
          <w:rFonts w:hint="eastAsia" w:ascii="仿宋" w:hAnsi="仿宋" w:eastAsia="仿宋" w:cs="仿宋"/>
          <w:color w:val="auto"/>
          <w:sz w:val="24"/>
          <w:highlight w:val="none"/>
          <w:u w:val="single"/>
        </w:rPr>
        <w:t>姓名、职务</w:t>
      </w:r>
      <w:r>
        <w:rPr>
          <w:rFonts w:hint="eastAsia" w:ascii="仿宋" w:hAnsi="仿宋" w:eastAsia="仿宋" w:cs="仿宋"/>
          <w:color w:val="auto"/>
          <w:sz w:val="24"/>
          <w:highlight w:val="none"/>
        </w:rPr>
        <w:t>）经正式授权并代表投标人（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）提交电子投标文件。</w:t>
      </w:r>
      <w:r>
        <w:rPr>
          <w:rFonts w:hint="eastAsia" w:ascii="仿宋" w:hAnsi="仿宋" w:eastAsia="仿宋" w:cs="仿宋"/>
          <w:color w:val="auto"/>
          <w:sz w:val="24"/>
          <w:szCs w:val="24"/>
          <w:highlight w:val="none"/>
          <w:lang w:val="zh-CN"/>
        </w:rPr>
        <w:t>为此，我方郑重声明以下诸点，并负法律责任。</w:t>
      </w:r>
    </w:p>
    <w:p w14:paraId="034C9559">
      <w:pPr>
        <w:pStyle w:val="15"/>
        <w:tabs>
          <w:tab w:val="left" w:pos="720"/>
          <w:tab w:val="left" w:pos="900"/>
        </w:tabs>
        <w:snapToGrid w:val="0"/>
        <w:spacing w:line="360" w:lineRule="auto"/>
        <w:ind w:left="768" w:leftChars="257" w:hanging="22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（1）按照招标文件的规定，我公司投标总价为：</w:t>
      </w:r>
      <w:r>
        <w:rPr>
          <w:rFonts w:hint="eastAsia" w:ascii="仿宋" w:hAnsi="仿宋" w:eastAsia="仿宋" w:cs="仿宋"/>
          <w:color w:val="auto"/>
          <w:sz w:val="24"/>
          <w:highlight w:val="none"/>
          <w:u w:val="single"/>
        </w:rPr>
        <w:t>人民币（大写）　　  元（¥：   元）</w:t>
      </w:r>
      <w:r>
        <w:rPr>
          <w:rFonts w:hint="eastAsia" w:ascii="仿宋" w:hAnsi="仿宋" w:eastAsia="仿宋" w:cs="仿宋"/>
          <w:color w:val="auto"/>
          <w:sz w:val="24"/>
          <w:highlight w:val="none"/>
        </w:rPr>
        <w:t>，其中联合协议或分包意向协议（如有）约定由小型和微型企业制造产品的价格为</w:t>
      </w:r>
      <w:r>
        <w:rPr>
          <w:rFonts w:hint="eastAsia" w:ascii="仿宋" w:hAnsi="仿宋" w:eastAsia="仿宋" w:cs="仿宋"/>
          <w:color w:val="auto"/>
          <w:sz w:val="24"/>
          <w:highlight w:val="none"/>
          <w:u w:val="single"/>
        </w:rPr>
        <w:t>人民币（大写）　　  元（¥：   元），占投标总价的   %</w:t>
      </w:r>
      <w:r>
        <w:rPr>
          <w:rFonts w:hint="eastAsia" w:ascii="仿宋" w:hAnsi="仿宋" w:eastAsia="仿宋" w:cs="仿宋"/>
          <w:color w:val="auto"/>
          <w:sz w:val="24"/>
          <w:highlight w:val="none"/>
        </w:rPr>
        <w:t>。</w:t>
      </w:r>
    </w:p>
    <w:p w14:paraId="7C42769D">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（2）本投标有效期为自</w:t>
      </w:r>
      <w:r>
        <w:rPr>
          <w:rFonts w:hint="eastAsia" w:ascii="仿宋" w:hAnsi="仿宋" w:eastAsia="仿宋" w:cs="仿宋"/>
          <w:color w:val="auto"/>
          <w:sz w:val="24"/>
          <w:szCs w:val="24"/>
          <w:highlight w:val="none"/>
        </w:rPr>
        <w:t>投标截止之日起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个日历日</w:t>
      </w:r>
      <w:r>
        <w:rPr>
          <w:rFonts w:hint="eastAsia" w:ascii="仿宋" w:hAnsi="仿宋" w:eastAsia="仿宋" w:cs="仿宋"/>
          <w:color w:val="auto"/>
          <w:sz w:val="24"/>
          <w:szCs w:val="24"/>
          <w:highlight w:val="none"/>
          <w:lang w:val="zh-CN"/>
        </w:rPr>
        <w:t>，若我方中标，投标文件有效期自动延长至合同执行完毕。</w:t>
      </w:r>
    </w:p>
    <w:p w14:paraId="2E174935">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（3）已详细审查全部招标文件，包括所有补充通知（如有），完全理解并同意放弃对这方面有不明、误解的权利。</w:t>
      </w:r>
    </w:p>
    <w:p w14:paraId="75D24A4A">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（4）按照招标文件的规定，在中标后向</w:t>
      </w:r>
      <w:r>
        <w:rPr>
          <w:rFonts w:hint="eastAsia" w:ascii="仿宋" w:hAnsi="仿宋" w:eastAsia="仿宋" w:cs="仿宋"/>
          <w:color w:val="auto"/>
          <w:sz w:val="24"/>
          <w:highlight w:val="none"/>
          <w:lang w:val="en-US" w:eastAsia="zh-CN"/>
        </w:rPr>
        <w:t>本项目</w:t>
      </w:r>
      <w:r>
        <w:rPr>
          <w:rFonts w:hint="eastAsia" w:ascii="仿宋" w:hAnsi="仿宋" w:eastAsia="仿宋" w:cs="仿宋"/>
          <w:color w:val="auto"/>
          <w:sz w:val="24"/>
          <w:highlight w:val="none"/>
          <w:u w:val="single"/>
        </w:rPr>
        <w:t>采购代理机构</w:t>
      </w:r>
      <w:r>
        <w:rPr>
          <w:rFonts w:hint="eastAsia" w:ascii="仿宋" w:hAnsi="仿宋" w:eastAsia="仿宋" w:cs="仿宋"/>
          <w:color w:val="auto"/>
          <w:sz w:val="24"/>
          <w:highlight w:val="none"/>
        </w:rPr>
        <w:t>一次性支付招标代理</w:t>
      </w:r>
      <w:r>
        <w:rPr>
          <w:rFonts w:hint="eastAsia" w:ascii="仿宋" w:hAnsi="仿宋" w:eastAsia="仿宋" w:cs="仿宋"/>
          <w:color w:val="auto"/>
          <w:sz w:val="24"/>
          <w:highlight w:val="none"/>
          <w:lang w:val="en-US" w:eastAsia="zh-CN"/>
        </w:rPr>
        <w:t>服务</w:t>
      </w:r>
      <w:r>
        <w:rPr>
          <w:rFonts w:hint="eastAsia" w:ascii="仿宋" w:hAnsi="仿宋" w:eastAsia="仿宋" w:cs="仿宋"/>
          <w:color w:val="auto"/>
          <w:sz w:val="24"/>
          <w:highlight w:val="none"/>
        </w:rPr>
        <w:t>费。</w:t>
      </w:r>
    </w:p>
    <w:p w14:paraId="34FD2359">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（5）按照贵方可能的要求，提供与投标有关的一切数据或资料，我们完全理解最低投标报价不作为中标的唯一条件，且尊重评标结论和定标结果。</w:t>
      </w:r>
    </w:p>
    <w:p w14:paraId="3173F2B0">
      <w:pPr>
        <w:pStyle w:val="15"/>
        <w:tabs>
          <w:tab w:val="left" w:pos="5580"/>
        </w:tabs>
        <w:snapToGrid w:val="0"/>
        <w:spacing w:line="360" w:lineRule="auto"/>
        <w:ind w:left="1079" w:leftChars="257"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（6）完全理解并无条件承担中标后不依法与采购人签订合同的法律后果。</w:t>
      </w:r>
    </w:p>
    <w:p w14:paraId="05025481">
      <w:pPr>
        <w:pStyle w:val="15"/>
        <w:tabs>
          <w:tab w:val="left" w:pos="5580"/>
        </w:tabs>
        <w:snapToGrid w:val="0"/>
        <w:spacing w:line="360" w:lineRule="auto"/>
        <w:ind w:left="343" w:leftChars="118" w:hanging="96" w:hangingChars="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79AB7F6A">
      <w:pPr>
        <w:autoSpaceDE w:val="0"/>
        <w:autoSpaceDN w:val="0"/>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bookmarkStart w:id="856" w:name="_Toc23473"/>
      <w:bookmarkStart w:id="857" w:name="_Toc1266"/>
      <w:bookmarkStart w:id="858" w:name="_Toc532473506"/>
      <w:r>
        <w:rPr>
          <w:rFonts w:hint="eastAsia" w:ascii="仿宋" w:hAnsi="仿宋" w:eastAsia="仿宋" w:cs="仿宋"/>
          <w:color w:val="auto"/>
          <w:sz w:val="24"/>
          <w:highlight w:val="none"/>
          <w:lang w:val="zh-CN"/>
        </w:rPr>
        <w:t>投标人全称（</w:t>
      </w:r>
      <w:r>
        <w:rPr>
          <w:rFonts w:hint="eastAsia" w:ascii="仿宋" w:hAnsi="仿宋" w:eastAsia="仿宋" w:cs="仿宋"/>
          <w:color w:val="auto"/>
          <w:sz w:val="24"/>
          <w:highlight w:val="none"/>
        </w:rPr>
        <w:t>盖</w:t>
      </w:r>
      <w:r>
        <w:rPr>
          <w:rFonts w:hint="eastAsia" w:ascii="仿宋" w:hAnsi="仿宋" w:eastAsia="仿宋" w:cs="仿宋"/>
          <w:color w:val="auto"/>
          <w:sz w:val="24"/>
          <w:highlight w:val="none"/>
          <w:lang w:val="zh-CN"/>
        </w:rPr>
        <w:t>公章）：</w:t>
      </w:r>
      <w:r>
        <w:rPr>
          <w:rFonts w:hint="eastAsia" w:ascii="仿宋" w:hAnsi="仿宋" w:eastAsia="仿宋" w:cs="仿宋"/>
          <w:color w:val="auto"/>
          <w:sz w:val="24"/>
          <w:highlight w:val="none"/>
        </w:rPr>
        <w:t>__________________________</w:t>
      </w:r>
    </w:p>
    <w:p w14:paraId="11D0AACF">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地址：</w:t>
      </w:r>
      <w:r>
        <w:rPr>
          <w:rFonts w:hint="eastAsia" w:ascii="仿宋" w:hAnsi="仿宋" w:eastAsia="仿宋" w:cs="仿宋"/>
          <w:color w:val="auto"/>
          <w:sz w:val="24"/>
          <w:highlight w:val="none"/>
        </w:rPr>
        <w:t>__________________________________________</w:t>
      </w:r>
    </w:p>
    <w:p w14:paraId="0B1785F4">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开户银行：</w:t>
      </w:r>
      <w:r>
        <w:rPr>
          <w:rFonts w:hint="eastAsia" w:ascii="仿宋" w:hAnsi="仿宋" w:eastAsia="仿宋" w:cs="仿宋"/>
          <w:color w:val="auto"/>
          <w:sz w:val="24"/>
          <w:highlight w:val="none"/>
        </w:rPr>
        <w:t>______________________________________</w:t>
      </w:r>
    </w:p>
    <w:p w14:paraId="6FE07946">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账号：</w:t>
      </w:r>
      <w:r>
        <w:rPr>
          <w:rFonts w:hint="eastAsia" w:ascii="仿宋" w:hAnsi="仿宋" w:eastAsia="仿宋" w:cs="仿宋"/>
          <w:color w:val="auto"/>
          <w:sz w:val="24"/>
          <w:highlight w:val="none"/>
        </w:rPr>
        <w:t>__________________________________________</w:t>
      </w:r>
    </w:p>
    <w:p w14:paraId="3F919653">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电话：</w:t>
      </w:r>
      <w:r>
        <w:rPr>
          <w:rFonts w:hint="eastAsia" w:ascii="仿宋" w:hAnsi="仿宋" w:eastAsia="仿宋" w:cs="仿宋"/>
          <w:color w:val="auto"/>
          <w:sz w:val="24"/>
          <w:highlight w:val="none"/>
        </w:rPr>
        <w:t>__________________________________________</w:t>
      </w:r>
    </w:p>
    <w:p w14:paraId="3DF8A4F6">
      <w:pPr>
        <w:autoSpaceDE w:val="0"/>
        <w:autoSpaceDN w:val="0"/>
        <w:adjustRightInd w:val="0"/>
        <w:snapToGrid w:val="0"/>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val="zh-CN"/>
        </w:rPr>
        <w:t>授权代表（签字</w:t>
      </w:r>
      <w:r>
        <w:rPr>
          <w:rFonts w:hint="eastAsia" w:ascii="仿宋" w:hAnsi="仿宋" w:eastAsia="仿宋" w:cs="仿宋"/>
          <w:color w:val="auto"/>
          <w:sz w:val="24"/>
          <w:highlight w:val="none"/>
        </w:rPr>
        <w:t>或盖章</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____________</w:t>
      </w:r>
    </w:p>
    <w:p w14:paraId="624CD65E">
      <w:pPr>
        <w:snapToGrid w:val="0"/>
        <w:spacing w:line="360" w:lineRule="auto"/>
        <w:ind w:firstLine="56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_____</w:t>
      </w:r>
      <w:r>
        <w:rPr>
          <w:rFonts w:hint="eastAsia" w:ascii="仿宋" w:hAnsi="仿宋" w:eastAsia="仿宋" w:cs="仿宋"/>
          <w:color w:val="auto"/>
          <w:sz w:val="24"/>
          <w:highlight w:val="none"/>
          <w:lang w:val="zh-CN"/>
        </w:rPr>
        <w:t>年</w:t>
      </w:r>
      <w:r>
        <w:rPr>
          <w:rFonts w:hint="eastAsia" w:ascii="仿宋" w:hAnsi="仿宋" w:eastAsia="仿宋" w:cs="仿宋"/>
          <w:color w:val="auto"/>
          <w:sz w:val="24"/>
          <w:highlight w:val="none"/>
        </w:rPr>
        <w:t>_____</w:t>
      </w:r>
      <w:r>
        <w:rPr>
          <w:rFonts w:hint="eastAsia" w:ascii="仿宋" w:hAnsi="仿宋" w:eastAsia="仿宋" w:cs="仿宋"/>
          <w:color w:val="auto"/>
          <w:sz w:val="24"/>
          <w:highlight w:val="none"/>
          <w:lang w:val="zh-CN"/>
        </w:rPr>
        <w:t>月</w:t>
      </w:r>
      <w:r>
        <w:rPr>
          <w:rFonts w:hint="eastAsia" w:ascii="仿宋" w:hAnsi="仿宋" w:eastAsia="仿宋" w:cs="仿宋"/>
          <w:color w:val="auto"/>
          <w:sz w:val="24"/>
          <w:highlight w:val="none"/>
        </w:rPr>
        <w:t>_____</w:t>
      </w:r>
      <w:r>
        <w:rPr>
          <w:rFonts w:hint="eastAsia" w:ascii="仿宋" w:hAnsi="仿宋" w:eastAsia="仿宋" w:cs="仿宋"/>
          <w:color w:val="auto"/>
          <w:sz w:val="24"/>
          <w:highlight w:val="none"/>
          <w:lang w:val="zh-CN"/>
        </w:rPr>
        <w:t>日</w:t>
      </w:r>
      <w:r>
        <w:rPr>
          <w:rFonts w:hint="eastAsia" w:ascii="仿宋" w:hAnsi="仿宋" w:eastAsia="仿宋" w:cs="仿宋"/>
          <w:color w:val="auto"/>
          <w:sz w:val="24"/>
          <w:highlight w:val="none"/>
        </w:rPr>
        <w:t xml:space="preserve"> </w:t>
      </w:r>
      <w:bookmarkEnd w:id="856"/>
      <w:bookmarkEnd w:id="857"/>
      <w:bookmarkEnd w:id="858"/>
      <w:bookmarkStart w:id="859" w:name="_Hlt520355938"/>
      <w:bookmarkEnd w:id="859"/>
      <w:bookmarkStart w:id="860" w:name="_Hlt520356243"/>
      <w:bookmarkEnd w:id="860"/>
    </w:p>
    <w:p w14:paraId="040BE34B">
      <w:pPr>
        <w:tabs>
          <w:tab w:val="left" w:pos="1800"/>
          <w:tab w:val="left" w:pos="5580"/>
        </w:tabs>
        <w:spacing w:line="360" w:lineRule="auto"/>
        <w:ind w:right="-867" w:rightChars="-413"/>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（投标文件格式二）</w:t>
      </w:r>
    </w:p>
    <w:p w14:paraId="767D5A37">
      <w:pPr>
        <w:tabs>
          <w:tab w:val="left" w:pos="5580"/>
        </w:tabs>
        <w:spacing w:line="360" w:lineRule="auto"/>
        <w:ind w:left="1" w:firstLine="564" w:firstLineChars="235"/>
        <w:jc w:val="center"/>
        <w:rPr>
          <w:rFonts w:hint="eastAsia" w:ascii="仿宋" w:hAnsi="仿宋" w:eastAsia="仿宋" w:cs="仿宋"/>
          <w:color w:val="auto"/>
          <w:sz w:val="24"/>
          <w:highlight w:val="none"/>
        </w:rPr>
      </w:pPr>
    </w:p>
    <w:p w14:paraId="04ACF259">
      <w:pPr>
        <w:pStyle w:val="5"/>
        <w:ind w:firstLine="0" w:firstLineChars="0"/>
        <w:jc w:val="center"/>
        <w:rPr>
          <w:rFonts w:hint="eastAsia" w:ascii="仿宋" w:hAnsi="仿宋" w:eastAsia="仿宋" w:cs="仿宋"/>
          <w:color w:val="auto"/>
          <w:sz w:val="32"/>
          <w:szCs w:val="32"/>
          <w:highlight w:val="none"/>
        </w:rPr>
      </w:pPr>
      <w:bookmarkStart w:id="861" w:name="_Toc1719"/>
      <w:bookmarkStart w:id="862" w:name="_Toc60929137"/>
      <w:bookmarkStart w:id="863" w:name="_Toc19627"/>
      <w:bookmarkStart w:id="864" w:name="_Toc60928905"/>
      <w:bookmarkStart w:id="865" w:name="_Toc1755"/>
      <w:bookmarkStart w:id="866" w:name="_Toc19802"/>
      <w:bookmarkStart w:id="867" w:name="_Toc515647804"/>
      <w:bookmarkStart w:id="868" w:name="_Toc532473495"/>
      <w:bookmarkStart w:id="869" w:name="_Toc16568"/>
      <w:bookmarkStart w:id="870" w:name="_Toc30524"/>
      <w:r>
        <w:rPr>
          <w:rFonts w:hint="eastAsia" w:ascii="仿宋" w:hAnsi="仿宋" w:eastAsia="仿宋" w:cs="仿宋"/>
          <w:color w:val="auto"/>
          <w:sz w:val="32"/>
          <w:szCs w:val="32"/>
          <w:highlight w:val="none"/>
        </w:rPr>
        <w:t>开标一览表</w:t>
      </w:r>
      <w:bookmarkEnd w:id="861"/>
      <w:bookmarkEnd w:id="862"/>
      <w:bookmarkEnd w:id="863"/>
      <w:bookmarkEnd w:id="864"/>
      <w:bookmarkEnd w:id="865"/>
      <w:bookmarkEnd w:id="866"/>
    </w:p>
    <w:bookmarkEnd w:id="867"/>
    <w:bookmarkEnd w:id="868"/>
    <w:bookmarkEnd w:id="869"/>
    <w:bookmarkEnd w:id="870"/>
    <w:p w14:paraId="06D3FC3A">
      <w:pPr>
        <w:pStyle w:val="15"/>
        <w:tabs>
          <w:tab w:val="left" w:pos="5580"/>
        </w:tabs>
        <w:spacing w:line="360" w:lineRule="auto"/>
        <w:ind w:left="268" w:leftChars="128"/>
        <w:jc w:val="center"/>
        <w:rPr>
          <w:rFonts w:hint="eastAsia" w:ascii="仿宋" w:hAnsi="仿宋" w:eastAsia="仿宋" w:cs="仿宋"/>
          <w:b/>
          <w:color w:val="auto"/>
          <w:kern w:val="0"/>
          <w:sz w:val="24"/>
          <w:highlight w:val="none"/>
        </w:rPr>
      </w:pPr>
    </w:p>
    <w:p w14:paraId="526BCADF">
      <w:pPr>
        <w:pStyle w:val="4"/>
        <w:tabs>
          <w:tab w:val="left" w:pos="5580"/>
        </w:tabs>
        <w:spacing w:line="360" w:lineRule="auto"/>
        <w:ind w:left="1079" w:leftChars="257" w:hanging="540"/>
        <w:rPr>
          <w:rFonts w:hint="eastAsia" w:ascii="仿宋" w:hAnsi="仿宋" w:eastAsia="仿宋" w:cs="仿宋"/>
          <w:color w:val="auto"/>
          <w:highlight w:val="none"/>
        </w:rPr>
      </w:pPr>
      <w:bookmarkStart w:id="871" w:name="_Hlt520356241"/>
      <w:bookmarkEnd w:id="871"/>
    </w:p>
    <w:p w14:paraId="2884E258">
      <w:pPr>
        <w:tabs>
          <w:tab w:val="left" w:pos="1800"/>
          <w:tab w:val="left" w:pos="5580"/>
        </w:tabs>
        <w:spacing w:line="360" w:lineRule="auto"/>
        <w:ind w:left="1079" w:leftChars="257" w:right="-867" w:rightChars="-413"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　                采购项目编号： </w:t>
      </w:r>
    </w:p>
    <w:p w14:paraId="4180A016">
      <w:pPr>
        <w:tabs>
          <w:tab w:val="left" w:pos="1800"/>
          <w:tab w:val="left" w:pos="5580"/>
        </w:tabs>
        <w:spacing w:line="360" w:lineRule="auto"/>
        <w:ind w:left="1079" w:leftChars="257" w:right="-867" w:rightChars="-413" w:hanging="540"/>
        <w:rPr>
          <w:rFonts w:hint="eastAsia" w:ascii="仿宋" w:hAnsi="仿宋" w:eastAsia="仿宋" w:cs="仿宋"/>
          <w:color w:val="auto"/>
          <w:sz w:val="24"/>
          <w:highlight w:val="none"/>
        </w:rPr>
      </w:pPr>
    </w:p>
    <w:tbl>
      <w:tblPr>
        <w:tblStyle w:val="34"/>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70"/>
        <w:gridCol w:w="2555"/>
        <w:gridCol w:w="1578"/>
        <w:gridCol w:w="1157"/>
        <w:gridCol w:w="1157"/>
      </w:tblGrid>
      <w:tr w14:paraId="0AE58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jc w:val="center"/>
        </w:trPr>
        <w:tc>
          <w:tcPr>
            <w:tcW w:w="1870" w:type="dxa"/>
            <w:noWrap w:val="0"/>
            <w:vAlign w:val="center"/>
          </w:tcPr>
          <w:p w14:paraId="791016D0">
            <w:pPr>
              <w:tabs>
                <w:tab w:val="left" w:pos="5580"/>
              </w:tabs>
              <w:ind w:right="-19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标段（若有）</w:t>
            </w:r>
          </w:p>
        </w:tc>
        <w:tc>
          <w:tcPr>
            <w:tcW w:w="2555" w:type="dxa"/>
            <w:noWrap w:val="0"/>
            <w:vAlign w:val="center"/>
          </w:tcPr>
          <w:p w14:paraId="34A12E9A">
            <w:pPr>
              <w:tabs>
                <w:tab w:val="left" w:pos="5580"/>
              </w:tabs>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highlight w:val="none"/>
              </w:rPr>
              <w:t>（单位：元）</w:t>
            </w:r>
          </w:p>
        </w:tc>
        <w:tc>
          <w:tcPr>
            <w:tcW w:w="1578" w:type="dxa"/>
            <w:noWrap w:val="0"/>
            <w:vAlign w:val="center"/>
          </w:tcPr>
          <w:p w14:paraId="50B9FFAA">
            <w:pPr>
              <w:tabs>
                <w:tab w:val="left" w:pos="5580"/>
              </w:tabs>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交货期</w:t>
            </w:r>
          </w:p>
        </w:tc>
        <w:tc>
          <w:tcPr>
            <w:tcW w:w="1157" w:type="dxa"/>
            <w:noWrap w:val="0"/>
            <w:vAlign w:val="center"/>
          </w:tcPr>
          <w:p w14:paraId="217B5007">
            <w:pPr>
              <w:tabs>
                <w:tab w:val="left" w:pos="5580"/>
              </w:tabs>
              <w:jc w:val="center"/>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交货地点</w:t>
            </w:r>
          </w:p>
        </w:tc>
        <w:tc>
          <w:tcPr>
            <w:tcW w:w="1157" w:type="dxa"/>
            <w:noWrap w:val="0"/>
            <w:vAlign w:val="center"/>
          </w:tcPr>
          <w:p w14:paraId="03C17024">
            <w:pPr>
              <w:tabs>
                <w:tab w:val="left" w:pos="5580"/>
              </w:tabs>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78BF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293" w:hRule="atLeast"/>
          <w:jc w:val="center"/>
        </w:trPr>
        <w:tc>
          <w:tcPr>
            <w:tcW w:w="1870" w:type="dxa"/>
            <w:noWrap w:val="0"/>
            <w:vAlign w:val="center"/>
          </w:tcPr>
          <w:p w14:paraId="028A6DB2">
            <w:pPr>
              <w:tabs>
                <w:tab w:val="left" w:pos="5580"/>
              </w:tabs>
              <w:spacing w:line="360" w:lineRule="auto"/>
              <w:ind w:left="1079" w:leftChars="257" w:hanging="540"/>
              <w:jc w:val="center"/>
              <w:rPr>
                <w:rFonts w:hint="eastAsia" w:ascii="仿宋" w:hAnsi="仿宋" w:eastAsia="仿宋" w:cs="仿宋"/>
                <w:color w:val="auto"/>
                <w:sz w:val="24"/>
                <w:highlight w:val="none"/>
              </w:rPr>
            </w:pPr>
          </w:p>
        </w:tc>
        <w:tc>
          <w:tcPr>
            <w:tcW w:w="2555" w:type="dxa"/>
            <w:noWrap w:val="0"/>
            <w:vAlign w:val="center"/>
          </w:tcPr>
          <w:p w14:paraId="14B07E59">
            <w:pPr>
              <w:tabs>
                <w:tab w:val="left" w:pos="55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p w14:paraId="71B64ED7">
            <w:pPr>
              <w:tabs>
                <w:tab w:val="left" w:pos="558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小写：</w:t>
            </w:r>
          </w:p>
        </w:tc>
        <w:tc>
          <w:tcPr>
            <w:tcW w:w="1578" w:type="dxa"/>
            <w:noWrap w:val="0"/>
            <w:vAlign w:val="center"/>
          </w:tcPr>
          <w:p w14:paraId="485CB0D7">
            <w:pPr>
              <w:tabs>
                <w:tab w:val="left" w:pos="5580"/>
              </w:tabs>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交货期：自本合同签订之日起____日内完成全部交货</w:t>
            </w:r>
          </w:p>
        </w:tc>
        <w:tc>
          <w:tcPr>
            <w:tcW w:w="1157" w:type="dxa"/>
            <w:noWrap w:val="0"/>
            <w:vAlign w:val="center"/>
          </w:tcPr>
          <w:p w14:paraId="2C26FA6F">
            <w:pPr>
              <w:tabs>
                <w:tab w:val="left" w:pos="5580"/>
              </w:tabs>
              <w:spacing w:line="360" w:lineRule="auto"/>
              <w:jc w:val="both"/>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靖边县卫生健康局指定地点</w:t>
            </w:r>
          </w:p>
        </w:tc>
        <w:tc>
          <w:tcPr>
            <w:tcW w:w="1157" w:type="dxa"/>
            <w:noWrap w:val="0"/>
            <w:vAlign w:val="center"/>
          </w:tcPr>
          <w:p w14:paraId="4D941308">
            <w:pPr>
              <w:tabs>
                <w:tab w:val="left" w:pos="5580"/>
              </w:tabs>
              <w:spacing w:line="360" w:lineRule="auto"/>
              <w:ind w:left="1079" w:leftChars="257" w:hanging="540"/>
              <w:jc w:val="center"/>
              <w:rPr>
                <w:rFonts w:hint="eastAsia" w:ascii="仿宋" w:hAnsi="仿宋" w:eastAsia="仿宋" w:cs="仿宋"/>
                <w:color w:val="auto"/>
                <w:sz w:val="24"/>
                <w:highlight w:val="none"/>
              </w:rPr>
            </w:pPr>
          </w:p>
        </w:tc>
      </w:tr>
    </w:tbl>
    <w:p w14:paraId="7460C2CA">
      <w:pPr>
        <w:pStyle w:val="15"/>
        <w:tabs>
          <w:tab w:val="left" w:pos="5580"/>
        </w:tabs>
        <w:spacing w:line="360" w:lineRule="auto"/>
        <w:ind w:left="1079" w:leftChars="257" w:hanging="540"/>
        <w:rPr>
          <w:rFonts w:hint="eastAsia" w:ascii="仿宋" w:hAnsi="仿宋" w:eastAsia="仿宋" w:cs="仿宋"/>
          <w:color w:val="auto"/>
          <w:sz w:val="24"/>
          <w:highlight w:val="none"/>
        </w:rPr>
      </w:pPr>
    </w:p>
    <w:p w14:paraId="0188A3F8">
      <w:pPr>
        <w:pStyle w:val="15"/>
        <w:tabs>
          <w:tab w:val="left" w:pos="5580"/>
        </w:tabs>
        <w:spacing w:line="360" w:lineRule="auto"/>
        <w:ind w:left="1079" w:leftChars="257" w:hanging="540"/>
        <w:rPr>
          <w:rFonts w:hint="eastAsia" w:ascii="仿宋" w:hAnsi="仿宋" w:eastAsia="仿宋" w:cs="仿宋"/>
          <w:color w:val="auto"/>
          <w:sz w:val="24"/>
          <w:highlight w:val="none"/>
          <w:u w:val="single"/>
        </w:rPr>
      </w:pPr>
    </w:p>
    <w:p w14:paraId="3C5BD712">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26FA15F">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797CE760">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24C2E666">
      <w:pPr>
        <w:pStyle w:val="15"/>
        <w:tabs>
          <w:tab w:val="left" w:pos="5580"/>
        </w:tabs>
        <w:spacing w:line="360" w:lineRule="auto"/>
        <w:ind w:left="1079" w:leftChars="257" w:hanging="540"/>
        <w:rPr>
          <w:rFonts w:hint="eastAsia" w:ascii="仿宋" w:hAnsi="仿宋" w:eastAsia="仿宋" w:cs="仿宋"/>
          <w:color w:val="auto"/>
          <w:sz w:val="24"/>
          <w:highlight w:val="none"/>
        </w:rPr>
      </w:pPr>
    </w:p>
    <w:p w14:paraId="6D9B12AA">
      <w:pPr>
        <w:pStyle w:val="15"/>
        <w:tabs>
          <w:tab w:val="left" w:pos="5580"/>
        </w:tabs>
        <w:spacing w:line="360" w:lineRule="auto"/>
        <w:ind w:left="1079" w:leftChars="257" w:hanging="540"/>
        <w:rPr>
          <w:rFonts w:hint="eastAsia" w:ascii="仿宋" w:hAnsi="仿宋" w:eastAsia="仿宋" w:cs="仿宋"/>
          <w:b/>
          <w:color w:val="auto"/>
          <w:sz w:val="24"/>
          <w:highlight w:val="none"/>
        </w:rPr>
      </w:pP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此表中，每标段的投标总价应和投标分项报价表的总价相一致。</w:t>
      </w:r>
    </w:p>
    <w:p w14:paraId="39623D29">
      <w:pPr>
        <w:pStyle w:val="15"/>
        <w:spacing w:line="360" w:lineRule="auto"/>
        <w:ind w:firstLine="480" w:firstLineChars="200"/>
        <w:rPr>
          <w:rFonts w:hint="eastAsia" w:ascii="仿宋" w:hAnsi="仿宋" w:eastAsia="仿宋" w:cs="仿宋"/>
          <w:color w:val="auto"/>
          <w:sz w:val="24"/>
          <w:highlight w:val="none"/>
        </w:rPr>
        <w:sectPr>
          <w:footerReference r:id="rId6" w:type="default"/>
          <w:pgSz w:w="11906" w:h="16838"/>
          <w:pgMar w:top="1418" w:right="1418" w:bottom="1418" w:left="1418" w:header="851" w:footer="992" w:gutter="0"/>
          <w:pgNumType w:fmt="decimal"/>
          <w:cols w:space="720" w:num="1"/>
          <w:docGrid w:type="linesAndChars" w:linePitch="312" w:charSpace="0"/>
        </w:sectPr>
      </w:pPr>
    </w:p>
    <w:p w14:paraId="4C7DC24D">
      <w:pPr>
        <w:rPr>
          <w:rFonts w:hint="eastAsia" w:ascii="仿宋" w:hAnsi="仿宋" w:eastAsia="仿宋" w:cs="仿宋"/>
          <w:color w:val="auto"/>
          <w:sz w:val="24"/>
          <w:szCs w:val="32"/>
          <w:highlight w:val="none"/>
        </w:rPr>
      </w:pPr>
      <w:bookmarkStart w:id="872" w:name="_Toc60929138"/>
      <w:bookmarkStart w:id="873" w:name="_Toc60928906"/>
      <w:bookmarkStart w:id="874" w:name="_Toc20897"/>
      <w:bookmarkStart w:id="875" w:name="_Toc1881"/>
      <w:bookmarkStart w:id="876" w:name="_Toc515647818"/>
      <w:bookmarkStart w:id="877" w:name="_Toc532473507"/>
      <w:bookmarkStart w:id="878" w:name="_Toc216582815"/>
      <w:r>
        <w:rPr>
          <w:rFonts w:hint="eastAsia" w:ascii="仿宋" w:hAnsi="仿宋" w:eastAsia="仿宋" w:cs="仿宋"/>
          <w:color w:val="auto"/>
          <w:sz w:val="24"/>
          <w:szCs w:val="32"/>
          <w:highlight w:val="none"/>
        </w:rPr>
        <w:t>（投标文件格式三）</w:t>
      </w:r>
      <w:bookmarkEnd w:id="872"/>
      <w:bookmarkEnd w:id="873"/>
    </w:p>
    <w:p w14:paraId="40C7311F">
      <w:pPr>
        <w:pStyle w:val="11"/>
        <w:rPr>
          <w:rFonts w:hint="eastAsia" w:ascii="仿宋" w:hAnsi="仿宋" w:eastAsia="仿宋" w:cs="仿宋"/>
          <w:color w:val="auto"/>
          <w:highlight w:val="none"/>
        </w:rPr>
      </w:pPr>
    </w:p>
    <w:bookmarkEnd w:id="874"/>
    <w:bookmarkEnd w:id="875"/>
    <w:bookmarkEnd w:id="876"/>
    <w:bookmarkEnd w:id="877"/>
    <w:bookmarkEnd w:id="878"/>
    <w:p w14:paraId="76BB1DF9">
      <w:pPr>
        <w:pStyle w:val="5"/>
        <w:ind w:firstLine="0" w:firstLineChars="0"/>
        <w:jc w:val="center"/>
        <w:rPr>
          <w:rFonts w:hint="eastAsia" w:ascii="仿宋" w:hAnsi="仿宋" w:eastAsia="仿宋" w:cs="仿宋"/>
          <w:color w:val="auto"/>
          <w:sz w:val="32"/>
          <w:szCs w:val="32"/>
          <w:highlight w:val="none"/>
        </w:rPr>
      </w:pPr>
      <w:bookmarkStart w:id="879" w:name="投标分项报价表"/>
      <w:bookmarkEnd w:id="879"/>
      <w:bookmarkStart w:id="880" w:name="_Toc26053"/>
      <w:bookmarkStart w:id="881" w:name="_Toc28977"/>
      <w:bookmarkStart w:id="882" w:name="_Toc27888"/>
      <w:bookmarkStart w:id="883" w:name="_Toc6786"/>
      <w:r>
        <w:rPr>
          <w:rFonts w:hint="eastAsia" w:ascii="仿宋" w:hAnsi="仿宋" w:eastAsia="仿宋" w:cs="仿宋"/>
          <w:color w:val="auto"/>
          <w:sz w:val="32"/>
          <w:szCs w:val="32"/>
          <w:highlight w:val="none"/>
        </w:rPr>
        <w:t>投标分项报价表</w:t>
      </w:r>
      <w:bookmarkEnd w:id="880"/>
      <w:bookmarkEnd w:id="881"/>
      <w:bookmarkEnd w:id="882"/>
      <w:bookmarkEnd w:id="883"/>
    </w:p>
    <w:p w14:paraId="6B254F73">
      <w:pPr>
        <w:pStyle w:val="11"/>
        <w:rPr>
          <w:rFonts w:hint="eastAsia" w:ascii="仿宋" w:hAnsi="仿宋" w:eastAsia="仿宋" w:cs="仿宋"/>
          <w:color w:val="auto"/>
          <w:highlight w:val="none"/>
        </w:rPr>
      </w:pPr>
      <w:bookmarkStart w:id="884" w:name="_Toc9683"/>
      <w:r>
        <w:rPr>
          <w:rFonts w:hint="eastAsia" w:ascii="仿宋" w:hAnsi="仿宋" w:eastAsia="仿宋" w:cs="仿宋"/>
          <w:color w:val="auto"/>
          <w:highlight w:val="none"/>
        </w:rPr>
        <w:t>项目编号：</w:t>
      </w:r>
    </w:p>
    <w:p w14:paraId="2ADDC2BE">
      <w:pPr>
        <w:pStyle w:val="11"/>
        <w:rPr>
          <w:rFonts w:hint="eastAsia" w:ascii="仿宋" w:hAnsi="仿宋" w:eastAsia="仿宋" w:cs="仿宋"/>
          <w:color w:val="auto"/>
          <w:highlight w:val="none"/>
        </w:rPr>
      </w:pPr>
      <w:r>
        <w:rPr>
          <w:rFonts w:hint="eastAsia" w:ascii="仿宋" w:hAnsi="仿宋" w:eastAsia="仿宋" w:cs="仿宋"/>
          <w:color w:val="auto"/>
          <w:highlight w:val="none"/>
        </w:rPr>
        <w:t>项目名称：</w:t>
      </w:r>
    </w:p>
    <w:p w14:paraId="414F72FC">
      <w:pPr>
        <w:pStyle w:val="4"/>
        <w:rPr>
          <w:rFonts w:hint="eastAsia" w:ascii="仿宋" w:hAnsi="仿宋" w:eastAsia="仿宋" w:cs="仿宋"/>
          <w:color w:val="auto"/>
          <w:highlight w:val="none"/>
        </w:rPr>
      </w:pPr>
    </w:p>
    <w:tbl>
      <w:tblPr>
        <w:tblStyle w:val="3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597"/>
        <w:gridCol w:w="1019"/>
        <w:gridCol w:w="1560"/>
        <w:gridCol w:w="992"/>
        <w:gridCol w:w="1276"/>
        <w:gridCol w:w="1134"/>
        <w:gridCol w:w="708"/>
      </w:tblGrid>
      <w:tr w14:paraId="6D77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noWrap w:val="0"/>
            <w:vAlign w:val="center"/>
          </w:tcPr>
          <w:p w14:paraId="022861A3">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序号</w:t>
            </w:r>
          </w:p>
        </w:tc>
        <w:tc>
          <w:tcPr>
            <w:tcW w:w="1597" w:type="dxa"/>
            <w:noWrap w:val="0"/>
            <w:vAlign w:val="center"/>
          </w:tcPr>
          <w:p w14:paraId="782C5037">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5EF825A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（设备名称）</w:t>
            </w:r>
          </w:p>
        </w:tc>
        <w:tc>
          <w:tcPr>
            <w:tcW w:w="1019" w:type="dxa"/>
            <w:noWrap w:val="0"/>
            <w:vAlign w:val="center"/>
          </w:tcPr>
          <w:p w14:paraId="32AED263">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规格</w:t>
            </w:r>
          </w:p>
          <w:p w14:paraId="470204B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型号</w:t>
            </w:r>
          </w:p>
        </w:tc>
        <w:tc>
          <w:tcPr>
            <w:tcW w:w="1560" w:type="dxa"/>
            <w:noWrap w:val="0"/>
            <w:vAlign w:val="center"/>
          </w:tcPr>
          <w:p w14:paraId="43BFBC3C">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制造</w:t>
            </w:r>
          </w:p>
          <w:p w14:paraId="0FDBC57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厂家</w:t>
            </w:r>
          </w:p>
        </w:tc>
        <w:tc>
          <w:tcPr>
            <w:tcW w:w="992" w:type="dxa"/>
            <w:noWrap w:val="0"/>
            <w:vAlign w:val="center"/>
          </w:tcPr>
          <w:p w14:paraId="71DD5A1A">
            <w:pPr>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数量</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套</w:t>
            </w:r>
            <w:r>
              <w:rPr>
                <w:rFonts w:hint="eastAsia" w:ascii="仿宋" w:hAnsi="仿宋" w:eastAsia="仿宋" w:cs="仿宋"/>
                <w:color w:val="auto"/>
                <w:kern w:val="0"/>
                <w:sz w:val="24"/>
                <w:szCs w:val="24"/>
                <w:highlight w:val="none"/>
                <w:lang w:eastAsia="zh-CN"/>
              </w:rPr>
              <w:t>）</w:t>
            </w:r>
          </w:p>
        </w:tc>
        <w:tc>
          <w:tcPr>
            <w:tcW w:w="1276" w:type="dxa"/>
            <w:noWrap w:val="0"/>
            <w:vAlign w:val="center"/>
          </w:tcPr>
          <w:p w14:paraId="21CD7A4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单价</w:t>
            </w:r>
          </w:p>
        </w:tc>
        <w:tc>
          <w:tcPr>
            <w:tcW w:w="1134" w:type="dxa"/>
            <w:noWrap w:val="0"/>
            <w:vAlign w:val="center"/>
          </w:tcPr>
          <w:p w14:paraId="5E4F2B2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小计</w:t>
            </w:r>
          </w:p>
        </w:tc>
        <w:tc>
          <w:tcPr>
            <w:tcW w:w="708" w:type="dxa"/>
            <w:noWrap w:val="0"/>
            <w:vAlign w:val="center"/>
          </w:tcPr>
          <w:p w14:paraId="40D3517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49B2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3725F73">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1597" w:type="dxa"/>
            <w:shd w:val="clear" w:color="auto" w:fill="auto"/>
            <w:noWrap w:val="0"/>
            <w:vAlign w:val="center"/>
          </w:tcPr>
          <w:p w14:paraId="2F2A8705">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4BEEFC8">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2E2042B2">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21D06106">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1E682804">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316D7DF0">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7271C29">
            <w:pPr>
              <w:jc w:val="center"/>
              <w:rPr>
                <w:rFonts w:hint="eastAsia" w:ascii="仿宋" w:hAnsi="仿宋" w:eastAsia="仿宋" w:cs="仿宋"/>
                <w:color w:val="auto"/>
                <w:kern w:val="0"/>
                <w:sz w:val="24"/>
                <w:szCs w:val="24"/>
                <w:highlight w:val="none"/>
              </w:rPr>
            </w:pPr>
          </w:p>
        </w:tc>
      </w:tr>
      <w:tr w14:paraId="03A1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48C4E92B">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p>
        </w:tc>
        <w:tc>
          <w:tcPr>
            <w:tcW w:w="1597" w:type="dxa"/>
            <w:shd w:val="clear" w:color="auto" w:fill="auto"/>
            <w:noWrap w:val="0"/>
            <w:vAlign w:val="center"/>
          </w:tcPr>
          <w:p w14:paraId="269E5D70">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0533CCD0">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1DF55544">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7D1DE36C">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088B44AB">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17F781CD">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3D162AE">
            <w:pPr>
              <w:jc w:val="center"/>
              <w:rPr>
                <w:rFonts w:hint="eastAsia" w:ascii="仿宋" w:hAnsi="仿宋" w:eastAsia="仿宋" w:cs="仿宋"/>
                <w:color w:val="auto"/>
                <w:kern w:val="0"/>
                <w:sz w:val="24"/>
                <w:szCs w:val="24"/>
                <w:highlight w:val="none"/>
              </w:rPr>
            </w:pPr>
          </w:p>
        </w:tc>
      </w:tr>
      <w:tr w14:paraId="47A21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380FA5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1597" w:type="dxa"/>
            <w:shd w:val="clear" w:color="auto" w:fill="auto"/>
            <w:noWrap w:val="0"/>
            <w:vAlign w:val="center"/>
          </w:tcPr>
          <w:p w14:paraId="7953452F">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6B2DB85B">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15D3D8D8">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5CD92D2E">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7064A56C">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29ACA99C">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107B6ED5">
            <w:pPr>
              <w:jc w:val="center"/>
              <w:rPr>
                <w:rFonts w:hint="eastAsia" w:ascii="仿宋" w:hAnsi="仿宋" w:eastAsia="仿宋" w:cs="仿宋"/>
                <w:color w:val="auto"/>
                <w:kern w:val="0"/>
                <w:sz w:val="24"/>
                <w:szCs w:val="24"/>
                <w:highlight w:val="none"/>
              </w:rPr>
            </w:pPr>
          </w:p>
        </w:tc>
      </w:tr>
      <w:tr w14:paraId="704BE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26DE2B85">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1597" w:type="dxa"/>
            <w:shd w:val="clear" w:color="auto" w:fill="auto"/>
            <w:noWrap w:val="0"/>
            <w:vAlign w:val="center"/>
          </w:tcPr>
          <w:p w14:paraId="5AC5212E">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1E259FD">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3011C0DE">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682A07DB">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192160C2">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2414D519">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1C481D5F">
            <w:pPr>
              <w:jc w:val="center"/>
              <w:rPr>
                <w:rFonts w:hint="eastAsia" w:ascii="仿宋" w:hAnsi="仿宋" w:eastAsia="仿宋" w:cs="仿宋"/>
                <w:color w:val="auto"/>
                <w:kern w:val="0"/>
                <w:sz w:val="24"/>
                <w:szCs w:val="24"/>
                <w:highlight w:val="none"/>
              </w:rPr>
            </w:pPr>
          </w:p>
        </w:tc>
      </w:tr>
      <w:tr w14:paraId="4113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34444AC2">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1597" w:type="dxa"/>
            <w:shd w:val="clear" w:color="auto" w:fill="auto"/>
            <w:noWrap w:val="0"/>
            <w:vAlign w:val="center"/>
          </w:tcPr>
          <w:p w14:paraId="0B43555F">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18157B7B">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527EB540">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6DA38700">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62A222F9">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4A2951CB">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317D88C5">
            <w:pPr>
              <w:jc w:val="center"/>
              <w:rPr>
                <w:rFonts w:hint="eastAsia" w:ascii="仿宋" w:hAnsi="仿宋" w:eastAsia="仿宋" w:cs="仿宋"/>
                <w:color w:val="auto"/>
                <w:kern w:val="0"/>
                <w:sz w:val="24"/>
                <w:szCs w:val="24"/>
                <w:highlight w:val="none"/>
              </w:rPr>
            </w:pPr>
          </w:p>
        </w:tc>
      </w:tr>
      <w:tr w14:paraId="49E5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44E23044">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1597" w:type="dxa"/>
            <w:shd w:val="clear" w:color="auto" w:fill="auto"/>
            <w:noWrap w:val="0"/>
            <w:vAlign w:val="center"/>
          </w:tcPr>
          <w:p w14:paraId="05587D84">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4A118298">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0DEA602C">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0CDFB393">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289D9442">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57BBE65F">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2E041B21">
            <w:pPr>
              <w:jc w:val="center"/>
              <w:rPr>
                <w:rFonts w:hint="eastAsia" w:ascii="仿宋" w:hAnsi="仿宋" w:eastAsia="仿宋" w:cs="仿宋"/>
                <w:color w:val="auto"/>
                <w:kern w:val="0"/>
                <w:sz w:val="24"/>
                <w:szCs w:val="24"/>
                <w:highlight w:val="none"/>
              </w:rPr>
            </w:pPr>
          </w:p>
        </w:tc>
      </w:tr>
      <w:tr w14:paraId="60DB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6" w:type="dxa"/>
            <w:shd w:val="clear" w:color="auto" w:fill="auto"/>
            <w:noWrap w:val="0"/>
            <w:vAlign w:val="center"/>
          </w:tcPr>
          <w:p w14:paraId="7D95A494">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1597" w:type="dxa"/>
            <w:shd w:val="clear" w:color="auto" w:fill="auto"/>
            <w:noWrap w:val="0"/>
            <w:vAlign w:val="center"/>
          </w:tcPr>
          <w:p w14:paraId="2327D321">
            <w:pPr>
              <w:jc w:val="center"/>
              <w:rPr>
                <w:rFonts w:hint="eastAsia" w:ascii="仿宋" w:hAnsi="仿宋" w:eastAsia="仿宋" w:cs="仿宋"/>
                <w:color w:val="auto"/>
                <w:kern w:val="0"/>
                <w:sz w:val="24"/>
                <w:szCs w:val="24"/>
                <w:highlight w:val="none"/>
                <w:lang w:val="en-US" w:eastAsia="zh-CN"/>
              </w:rPr>
            </w:pPr>
          </w:p>
        </w:tc>
        <w:tc>
          <w:tcPr>
            <w:tcW w:w="1019" w:type="dxa"/>
            <w:shd w:val="clear" w:color="auto" w:fill="auto"/>
            <w:noWrap w:val="0"/>
            <w:vAlign w:val="center"/>
          </w:tcPr>
          <w:p w14:paraId="504FD626">
            <w:pPr>
              <w:jc w:val="center"/>
              <w:rPr>
                <w:rFonts w:hint="eastAsia" w:ascii="仿宋" w:hAnsi="仿宋" w:eastAsia="仿宋" w:cs="仿宋"/>
                <w:color w:val="auto"/>
                <w:kern w:val="0"/>
                <w:sz w:val="24"/>
                <w:szCs w:val="24"/>
                <w:highlight w:val="none"/>
                <w:lang w:val="en-US" w:eastAsia="zh-CN"/>
              </w:rPr>
            </w:pPr>
          </w:p>
        </w:tc>
        <w:tc>
          <w:tcPr>
            <w:tcW w:w="1560" w:type="dxa"/>
            <w:noWrap w:val="0"/>
            <w:vAlign w:val="center"/>
          </w:tcPr>
          <w:p w14:paraId="587F772B">
            <w:pPr>
              <w:jc w:val="center"/>
              <w:rPr>
                <w:rFonts w:hint="eastAsia" w:ascii="仿宋" w:hAnsi="仿宋" w:eastAsia="仿宋" w:cs="仿宋"/>
                <w:color w:val="auto"/>
                <w:kern w:val="0"/>
                <w:sz w:val="24"/>
                <w:szCs w:val="24"/>
                <w:highlight w:val="none"/>
                <w:lang w:val="en-US" w:eastAsia="zh-CN"/>
              </w:rPr>
            </w:pPr>
          </w:p>
        </w:tc>
        <w:tc>
          <w:tcPr>
            <w:tcW w:w="992" w:type="dxa"/>
            <w:shd w:val="clear" w:color="auto" w:fill="auto"/>
            <w:noWrap w:val="0"/>
            <w:vAlign w:val="center"/>
          </w:tcPr>
          <w:p w14:paraId="3A2EEBF7">
            <w:pPr>
              <w:jc w:val="center"/>
              <w:rPr>
                <w:rFonts w:hint="eastAsia" w:ascii="仿宋" w:hAnsi="仿宋" w:eastAsia="仿宋" w:cs="仿宋"/>
                <w:color w:val="auto"/>
                <w:kern w:val="0"/>
                <w:sz w:val="24"/>
                <w:szCs w:val="24"/>
                <w:highlight w:val="none"/>
                <w:lang w:val="en-US" w:eastAsia="zh-CN"/>
              </w:rPr>
            </w:pPr>
          </w:p>
        </w:tc>
        <w:tc>
          <w:tcPr>
            <w:tcW w:w="1276" w:type="dxa"/>
            <w:noWrap w:val="0"/>
            <w:vAlign w:val="center"/>
          </w:tcPr>
          <w:p w14:paraId="3036E6A5">
            <w:pPr>
              <w:jc w:val="center"/>
              <w:rPr>
                <w:rFonts w:hint="eastAsia" w:ascii="仿宋" w:hAnsi="仿宋" w:eastAsia="仿宋" w:cs="仿宋"/>
                <w:color w:val="auto"/>
                <w:kern w:val="0"/>
                <w:sz w:val="24"/>
                <w:szCs w:val="24"/>
                <w:highlight w:val="none"/>
                <w:lang w:val="en-US" w:eastAsia="zh-CN"/>
              </w:rPr>
            </w:pPr>
          </w:p>
        </w:tc>
        <w:tc>
          <w:tcPr>
            <w:tcW w:w="1134" w:type="dxa"/>
            <w:noWrap w:val="0"/>
            <w:vAlign w:val="center"/>
          </w:tcPr>
          <w:p w14:paraId="641DE9FC">
            <w:pPr>
              <w:jc w:val="center"/>
              <w:rPr>
                <w:rFonts w:hint="eastAsia" w:ascii="仿宋" w:hAnsi="仿宋" w:eastAsia="仿宋" w:cs="仿宋"/>
                <w:color w:val="auto"/>
                <w:kern w:val="0"/>
                <w:sz w:val="24"/>
                <w:szCs w:val="24"/>
                <w:highlight w:val="none"/>
                <w:lang w:val="en-US" w:eastAsia="zh-CN"/>
              </w:rPr>
            </w:pPr>
          </w:p>
        </w:tc>
        <w:tc>
          <w:tcPr>
            <w:tcW w:w="708" w:type="dxa"/>
            <w:noWrap w:val="0"/>
            <w:vAlign w:val="center"/>
          </w:tcPr>
          <w:p w14:paraId="093BD46B">
            <w:pPr>
              <w:jc w:val="center"/>
              <w:rPr>
                <w:rFonts w:hint="eastAsia" w:ascii="仿宋" w:hAnsi="仿宋" w:eastAsia="仿宋" w:cs="仿宋"/>
                <w:color w:val="auto"/>
                <w:kern w:val="0"/>
                <w:sz w:val="24"/>
                <w:szCs w:val="24"/>
                <w:highlight w:val="none"/>
              </w:rPr>
            </w:pPr>
          </w:p>
        </w:tc>
      </w:tr>
      <w:tr w14:paraId="109F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02" w:type="dxa"/>
            <w:gridSpan w:val="8"/>
            <w:noWrap w:val="0"/>
            <w:vAlign w:val="center"/>
          </w:tcPr>
          <w:p w14:paraId="39447339">
            <w:pPr>
              <w:adjustRightInd w:val="0"/>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合计金额：         元</w:t>
            </w:r>
          </w:p>
        </w:tc>
      </w:tr>
    </w:tbl>
    <w:p w14:paraId="59112592">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4E093335">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5AF9D1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61A9C5BF">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5515674B">
      <w:pPr>
        <w:spacing w:line="360" w:lineRule="auto"/>
        <w:rPr>
          <w:rFonts w:hint="eastAsia" w:ascii="仿宋" w:hAnsi="仿宋" w:eastAsia="仿宋" w:cs="仿宋"/>
          <w:color w:val="auto"/>
          <w:szCs w:val="28"/>
          <w:highlight w:val="none"/>
        </w:rPr>
      </w:pPr>
    </w:p>
    <w:p w14:paraId="5CD05F37">
      <w:pPr>
        <w:rPr>
          <w:rFonts w:hint="eastAsia" w:ascii="仿宋" w:hAnsi="仿宋" w:eastAsia="仿宋" w:cs="仿宋"/>
          <w:color w:val="auto"/>
          <w:szCs w:val="28"/>
          <w:highlight w:val="none"/>
        </w:rPr>
      </w:pPr>
      <w:bookmarkStart w:id="885" w:name="_Toc27068"/>
      <w:bookmarkStart w:id="886" w:name="_Toc909"/>
      <w:bookmarkStart w:id="887" w:name="_Toc19538"/>
      <w:r>
        <w:rPr>
          <w:rFonts w:hint="eastAsia" w:ascii="仿宋" w:hAnsi="仿宋" w:eastAsia="仿宋" w:cs="仿宋"/>
          <w:color w:val="auto"/>
          <w:szCs w:val="28"/>
          <w:highlight w:val="none"/>
        </w:rPr>
        <w:br w:type="page"/>
      </w:r>
    </w:p>
    <w:p w14:paraId="3E334C96">
      <w:pPr>
        <w:pStyle w:val="5"/>
        <w:ind w:firstLine="0" w:firstLineChars="0"/>
        <w:jc w:val="center"/>
        <w:rPr>
          <w:rFonts w:hint="eastAsia" w:ascii="仿宋" w:hAnsi="仿宋" w:eastAsia="仿宋" w:cs="仿宋"/>
          <w:color w:val="auto"/>
          <w:sz w:val="32"/>
          <w:szCs w:val="32"/>
          <w:highlight w:val="none"/>
        </w:rPr>
      </w:pPr>
      <w:bookmarkStart w:id="888" w:name="_Toc18086"/>
      <w:bookmarkStart w:id="889" w:name="_Toc32220"/>
      <w:bookmarkStart w:id="890" w:name="_Toc23275"/>
      <w:bookmarkStart w:id="891" w:name="_Toc9383"/>
      <w:r>
        <w:rPr>
          <w:rFonts w:hint="eastAsia" w:ascii="仿宋" w:hAnsi="仿宋" w:eastAsia="仿宋" w:cs="仿宋"/>
          <w:color w:val="auto"/>
          <w:szCs w:val="28"/>
          <w:highlight w:val="none"/>
        </w:rPr>
        <w:t>配置清单</w:t>
      </w:r>
      <w:bookmarkEnd w:id="885"/>
      <w:bookmarkEnd w:id="886"/>
      <w:bookmarkEnd w:id="887"/>
      <w:bookmarkEnd w:id="888"/>
      <w:bookmarkEnd w:id="889"/>
      <w:bookmarkEnd w:id="890"/>
      <w:bookmarkEnd w:id="891"/>
    </w:p>
    <w:p w14:paraId="42A7EB1A">
      <w:pPr>
        <w:pStyle w:val="4"/>
        <w:rPr>
          <w:rFonts w:hint="eastAsia" w:ascii="仿宋" w:hAnsi="仿宋" w:eastAsia="仿宋" w:cs="仿宋"/>
          <w:color w:val="auto"/>
          <w:highlight w:val="none"/>
        </w:rPr>
      </w:pPr>
    </w:p>
    <w:tbl>
      <w:tblPr>
        <w:tblStyle w:val="34"/>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770"/>
        <w:gridCol w:w="1948"/>
        <w:gridCol w:w="1948"/>
      </w:tblGrid>
      <w:tr w14:paraId="5BB2E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noWrap w:val="0"/>
            <w:vAlign w:val="center"/>
          </w:tcPr>
          <w:p w14:paraId="3E65C22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16152A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rPr>
              <w:t>（设备名称）</w:t>
            </w:r>
          </w:p>
        </w:tc>
        <w:tc>
          <w:tcPr>
            <w:tcW w:w="2770" w:type="dxa"/>
            <w:noWrap w:val="0"/>
            <w:vAlign w:val="center"/>
          </w:tcPr>
          <w:p w14:paraId="10212B1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配置内容</w:t>
            </w:r>
          </w:p>
        </w:tc>
        <w:tc>
          <w:tcPr>
            <w:tcW w:w="1948" w:type="dxa"/>
            <w:noWrap w:val="0"/>
            <w:vAlign w:val="center"/>
          </w:tcPr>
          <w:p w14:paraId="0DC1EB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1948" w:type="dxa"/>
            <w:noWrap w:val="0"/>
            <w:vAlign w:val="center"/>
          </w:tcPr>
          <w:p w14:paraId="717CC45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r>
      <w:tr w14:paraId="5C9E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3643CE5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705708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CA484C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8F4B37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2B0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B7522E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96476A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84FF00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B96421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19A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F27293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FDF690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DE79D7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9B5ABF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F08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2DB2C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F2E3F2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A10595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E835CD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0234F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4C9ACD3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A6D85B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075CC6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F6609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640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0456C7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5EE4D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E2900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6D7723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53E8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DDDF62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7B9A5F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4771C0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C9C739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4B5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FA167C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0CF2F4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461E043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8B411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7BD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59C60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4B892D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C2AA09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1A51E0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818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E07EE4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8D20E8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507211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E43147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4EB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686B5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5FC13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85203D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AC4B8C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8FB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4029CB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290FC5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1E1A18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7DCED3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EBE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34BE87A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B6C642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6A04B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B0871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97A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FC9DD2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6A9DC6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6E8620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3796E9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501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CBFAB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A2FF81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F95184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869BAB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1D19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09BB40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FBFF3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3510250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57C7DB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42BB0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02A67C0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8AC378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7F7FB5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AC98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155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3239A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67A2F7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34EA3A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E051F0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D98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338BF6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EF6780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4749C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FE047E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551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6F3160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169CE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658CE9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374D8E9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9DD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5303AF2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2770" w:type="dxa"/>
            <w:noWrap w:val="0"/>
            <w:vAlign w:val="center"/>
          </w:tcPr>
          <w:p w14:paraId="305D20C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DF80F5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4F3A69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259F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03CC2C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2BCE03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E5B790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ACBFC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4E6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67C077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93865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52623C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01D154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CA06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252467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D739F0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4989160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1662A06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76E7121C">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17D8C57B">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98774C0">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41D7D7DA">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0D5E3957">
      <w:pPr>
        <w:spacing w:line="360" w:lineRule="auto"/>
        <w:rPr>
          <w:rFonts w:hint="eastAsia" w:ascii="仿宋" w:hAnsi="仿宋" w:eastAsia="仿宋" w:cs="仿宋"/>
          <w:color w:val="auto"/>
          <w:szCs w:val="28"/>
          <w:highlight w:val="none"/>
        </w:rPr>
      </w:pPr>
    </w:p>
    <w:p w14:paraId="725E2D65">
      <w:pPr>
        <w:rPr>
          <w:rFonts w:hint="eastAsia" w:ascii="仿宋" w:hAnsi="仿宋" w:eastAsia="仿宋" w:cs="仿宋"/>
          <w:color w:val="auto"/>
          <w:szCs w:val="28"/>
          <w:highlight w:val="none"/>
          <w:lang w:val="en-US" w:eastAsia="zh-CN"/>
        </w:rPr>
      </w:pPr>
      <w:bookmarkStart w:id="892" w:name="_Toc24070"/>
    </w:p>
    <w:p w14:paraId="5A3DFB3F">
      <w:pPr>
        <w:pStyle w:val="5"/>
        <w:ind w:firstLine="0" w:firstLineChars="0"/>
        <w:jc w:val="center"/>
        <w:rPr>
          <w:rFonts w:hint="eastAsia" w:ascii="仿宋" w:hAnsi="仿宋" w:eastAsia="仿宋" w:cs="仿宋"/>
          <w:color w:val="auto"/>
          <w:sz w:val="32"/>
          <w:szCs w:val="32"/>
          <w:highlight w:val="none"/>
          <w:lang w:val="en-US" w:eastAsia="zh-CN"/>
        </w:rPr>
      </w:pPr>
      <w:bookmarkStart w:id="893" w:name="_Toc24824"/>
      <w:bookmarkStart w:id="894" w:name="_Toc12101"/>
      <w:bookmarkStart w:id="895" w:name="_Toc10694"/>
      <w:bookmarkStart w:id="896" w:name="_Toc6317"/>
      <w:r>
        <w:rPr>
          <w:rFonts w:hint="eastAsia" w:ascii="仿宋" w:hAnsi="仿宋" w:eastAsia="仿宋" w:cs="仿宋"/>
          <w:color w:val="auto"/>
          <w:szCs w:val="28"/>
          <w:highlight w:val="none"/>
          <w:lang w:val="en-US" w:eastAsia="zh-CN"/>
        </w:rPr>
        <w:t>专机专用耗材、易损件、零配件清单</w:t>
      </w:r>
      <w:bookmarkEnd w:id="892"/>
      <w:bookmarkEnd w:id="893"/>
      <w:bookmarkEnd w:id="894"/>
      <w:bookmarkEnd w:id="895"/>
      <w:bookmarkEnd w:id="896"/>
    </w:p>
    <w:p w14:paraId="1800C31A">
      <w:pPr>
        <w:pStyle w:val="4"/>
        <w:rPr>
          <w:rFonts w:hint="eastAsia" w:ascii="仿宋" w:hAnsi="仿宋" w:eastAsia="仿宋" w:cs="仿宋"/>
          <w:color w:val="auto"/>
          <w:highlight w:val="none"/>
        </w:rPr>
      </w:pPr>
    </w:p>
    <w:tbl>
      <w:tblPr>
        <w:tblStyle w:val="34"/>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770"/>
        <w:gridCol w:w="1948"/>
        <w:gridCol w:w="1948"/>
      </w:tblGrid>
      <w:tr w14:paraId="0BBE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noWrap w:val="0"/>
            <w:vAlign w:val="center"/>
          </w:tcPr>
          <w:p w14:paraId="13DC7F7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630355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lang w:val="en-US" w:eastAsia="zh-CN"/>
              </w:rPr>
              <w:t>（设备名称）</w:t>
            </w:r>
          </w:p>
        </w:tc>
        <w:tc>
          <w:tcPr>
            <w:tcW w:w="2770" w:type="dxa"/>
            <w:noWrap w:val="0"/>
            <w:vAlign w:val="center"/>
          </w:tcPr>
          <w:p w14:paraId="5BA4FC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专机专用耗材、易损件、零配件</w:t>
            </w:r>
          </w:p>
        </w:tc>
        <w:tc>
          <w:tcPr>
            <w:tcW w:w="1948" w:type="dxa"/>
            <w:noWrap w:val="0"/>
            <w:vAlign w:val="center"/>
          </w:tcPr>
          <w:p w14:paraId="68F37B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规格型号</w:t>
            </w:r>
          </w:p>
        </w:tc>
        <w:tc>
          <w:tcPr>
            <w:tcW w:w="1948" w:type="dxa"/>
            <w:noWrap w:val="0"/>
            <w:vAlign w:val="center"/>
          </w:tcPr>
          <w:p w14:paraId="266EB96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单价（元）</w:t>
            </w:r>
          </w:p>
        </w:tc>
      </w:tr>
      <w:tr w14:paraId="53270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0FB9906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E4F1B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792519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48B3DA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2A7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D9019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863822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B435AE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2CC07E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87D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CD1DD1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92A1CC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BB6D62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CF5E10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EE5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A5CEA7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8C47FB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D1269A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C3E5F4">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5D7F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F2B8C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C955FE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CE247B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53BC41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A6C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E453E4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71FA55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812A21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1D1FA42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9C8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6B4321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DE1CB3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61AFE4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A92491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51E8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D7E5A8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1B6690F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60090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1C5FD57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76C3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15C22EB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A06CBA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D7D908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1526DD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886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54038F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A98F4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37638B6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49859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F49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D1764B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0AFF4D9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79741D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17B749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327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05E967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14FD28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6AED63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6EA8804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6BA6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65873B9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414292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7E5188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B2F92F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CE7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714A0E3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2AA1C79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EC3D58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A58A8D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3120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007283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319677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98E6A8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8EA445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B59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10C9790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D0D5F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5349D7A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0EB6B61A">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0D42D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5F11073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6CC5873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4C6043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22ACF4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087EB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4B20F9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418829C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481FC6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BD9E9D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2E5B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64B477A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C69E5D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5317C54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87BA513">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41D6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0214448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56F26EBD">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72C27DF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5D8ECE2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r w14:paraId="3B3B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restart"/>
            <w:noWrap w:val="0"/>
            <w:vAlign w:val="center"/>
          </w:tcPr>
          <w:p w14:paraId="7A4B1E0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2770" w:type="dxa"/>
            <w:noWrap w:val="0"/>
            <w:vAlign w:val="center"/>
          </w:tcPr>
          <w:p w14:paraId="0F49E919">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29C007F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7A95A93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12A8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5CD919C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D2F789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F88445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467CD4A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6C8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43008A6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329713E6">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0D8D834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c>
          <w:tcPr>
            <w:tcW w:w="1948" w:type="dxa"/>
            <w:noWrap w:val="0"/>
            <w:vAlign w:val="center"/>
          </w:tcPr>
          <w:p w14:paraId="6B89E1A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p>
        </w:tc>
      </w:tr>
      <w:tr w14:paraId="7C11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892" w:type="dxa"/>
            <w:vMerge w:val="continue"/>
            <w:noWrap w:val="0"/>
            <w:vAlign w:val="center"/>
          </w:tcPr>
          <w:p w14:paraId="314231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 w:hAnsi="仿宋" w:eastAsia="仿宋" w:cs="仿宋"/>
                <w:color w:val="auto"/>
                <w:sz w:val="24"/>
                <w:highlight w:val="none"/>
              </w:rPr>
            </w:pPr>
          </w:p>
        </w:tc>
        <w:tc>
          <w:tcPr>
            <w:tcW w:w="2770" w:type="dxa"/>
            <w:noWrap w:val="0"/>
            <w:vAlign w:val="center"/>
          </w:tcPr>
          <w:p w14:paraId="7A770547">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FC9CE58">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48" w:type="dxa"/>
            <w:noWrap w:val="0"/>
            <w:vAlign w:val="center"/>
          </w:tcPr>
          <w:p w14:paraId="247F309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4F1DC90D">
      <w:pPr>
        <w:autoSpaceDE w:val="0"/>
        <w:autoSpaceDN w:val="0"/>
        <w:adjustRightInd w:val="0"/>
        <w:snapToGrid w:val="0"/>
        <w:spacing w:before="120" w:line="360" w:lineRule="auto"/>
        <w:ind w:left="-206" w:leftChars="-98"/>
        <w:jc w:val="left"/>
        <w:rPr>
          <w:rFonts w:hint="eastAsia" w:ascii="仿宋" w:hAnsi="仿宋" w:eastAsia="仿宋" w:cs="仿宋"/>
          <w:color w:val="auto"/>
          <w:kern w:val="0"/>
          <w:sz w:val="24"/>
          <w:szCs w:val="28"/>
          <w:highlight w:val="none"/>
        </w:rPr>
      </w:pPr>
    </w:p>
    <w:p w14:paraId="68922F79">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11E46F8">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5CABF1D7">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745D0CF3">
      <w:pPr>
        <w:pStyle w:val="5"/>
        <w:ind w:firstLine="0" w:firstLineChars="0"/>
        <w:jc w:val="center"/>
        <w:rPr>
          <w:rFonts w:hint="eastAsia" w:ascii="仿宋" w:hAnsi="仿宋" w:eastAsia="仿宋" w:cs="仿宋"/>
          <w:color w:val="auto"/>
          <w:sz w:val="32"/>
          <w:szCs w:val="32"/>
          <w:highlight w:val="none"/>
          <w:lang w:val="zh-CN"/>
        </w:rPr>
      </w:pPr>
      <w:r>
        <w:rPr>
          <w:rFonts w:hint="eastAsia" w:ascii="仿宋" w:hAnsi="仿宋" w:eastAsia="仿宋" w:cs="仿宋"/>
          <w:color w:val="auto"/>
          <w:szCs w:val="28"/>
          <w:highlight w:val="none"/>
        </w:rPr>
        <w:br w:type="page"/>
      </w:r>
      <w:bookmarkEnd w:id="884"/>
      <w:bookmarkStart w:id="897" w:name="_Toc5460"/>
      <w:bookmarkStart w:id="898" w:name="_Toc4943"/>
      <w:bookmarkStart w:id="899" w:name="_Toc6758"/>
      <w:bookmarkStart w:id="900" w:name="_Toc6408"/>
      <w:bookmarkStart w:id="901" w:name="_Toc1850"/>
      <w:r>
        <w:rPr>
          <w:rFonts w:hint="eastAsia" w:ascii="仿宋" w:hAnsi="仿宋" w:eastAsia="仿宋" w:cs="仿宋"/>
          <w:color w:val="auto"/>
          <w:sz w:val="32"/>
          <w:szCs w:val="32"/>
          <w:highlight w:val="none"/>
          <w:lang w:val="zh-CN"/>
        </w:rPr>
        <w:t>节能产品、环境标志产品明细表</w:t>
      </w:r>
      <w:bookmarkEnd w:id="897"/>
      <w:bookmarkEnd w:id="898"/>
      <w:bookmarkEnd w:id="899"/>
      <w:bookmarkEnd w:id="900"/>
      <w:bookmarkEnd w:id="901"/>
    </w:p>
    <w:p w14:paraId="6C17A30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244FF7DB">
      <w:pPr>
        <w:pStyle w:val="4"/>
        <w:ind w:firstLine="0"/>
        <w:rPr>
          <w:rFonts w:hint="eastAsia" w:ascii="仿宋" w:hAnsi="仿宋" w:eastAsia="仿宋" w:cs="仿宋"/>
          <w:color w:val="auto"/>
          <w:highlight w:val="none"/>
        </w:rPr>
      </w:pPr>
      <w:r>
        <w:rPr>
          <w:rFonts w:hint="eastAsia" w:ascii="仿宋" w:hAnsi="仿宋" w:eastAsia="仿宋" w:cs="仿宋"/>
          <w:color w:val="auto"/>
          <w:highlight w:val="none"/>
        </w:rPr>
        <w:t>项目名称：</w:t>
      </w:r>
    </w:p>
    <w:tbl>
      <w:tblPr>
        <w:tblStyle w:val="34"/>
        <w:tblW w:w="0" w:type="auto"/>
        <w:jc w:val="center"/>
        <w:tblLayout w:type="fixed"/>
        <w:tblCellMar>
          <w:top w:w="0" w:type="dxa"/>
          <w:left w:w="108" w:type="dxa"/>
          <w:bottom w:w="0" w:type="dxa"/>
          <w:right w:w="108" w:type="dxa"/>
        </w:tblCellMar>
      </w:tblPr>
      <w:tblGrid>
        <w:gridCol w:w="716"/>
        <w:gridCol w:w="1554"/>
        <w:gridCol w:w="1036"/>
        <w:gridCol w:w="1036"/>
        <w:gridCol w:w="922"/>
        <w:gridCol w:w="1470"/>
        <w:gridCol w:w="716"/>
        <w:gridCol w:w="716"/>
        <w:gridCol w:w="716"/>
      </w:tblGrid>
      <w:tr w14:paraId="6FEAEBD0">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7E8B9A17">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序</w:t>
            </w:r>
          </w:p>
          <w:p w14:paraId="1297F220">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号</w:t>
            </w:r>
          </w:p>
        </w:tc>
        <w:tc>
          <w:tcPr>
            <w:tcW w:w="1554" w:type="dxa"/>
            <w:tcBorders>
              <w:top w:val="single" w:color="auto" w:sz="6" w:space="0"/>
              <w:left w:val="single" w:color="auto" w:sz="6" w:space="0"/>
              <w:bottom w:val="single" w:color="auto" w:sz="6" w:space="0"/>
              <w:right w:val="single" w:color="auto" w:sz="6" w:space="0"/>
            </w:tcBorders>
            <w:noWrap w:val="0"/>
            <w:vAlign w:val="center"/>
          </w:tcPr>
          <w:p w14:paraId="3C395ACC">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产品</w:t>
            </w:r>
          </w:p>
          <w:p w14:paraId="3B03F877">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名称</w:t>
            </w:r>
          </w:p>
        </w:tc>
        <w:tc>
          <w:tcPr>
            <w:tcW w:w="1036" w:type="dxa"/>
            <w:tcBorders>
              <w:top w:val="single" w:color="auto" w:sz="6" w:space="0"/>
              <w:left w:val="single" w:color="auto" w:sz="6" w:space="0"/>
              <w:bottom w:val="single" w:color="auto" w:sz="6" w:space="0"/>
              <w:right w:val="single" w:color="auto" w:sz="4" w:space="0"/>
            </w:tcBorders>
            <w:noWrap w:val="0"/>
            <w:vAlign w:val="center"/>
          </w:tcPr>
          <w:p w14:paraId="1D8C1562">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制造</w:t>
            </w:r>
          </w:p>
          <w:p w14:paraId="77D1F04E">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厂家</w:t>
            </w:r>
          </w:p>
        </w:tc>
        <w:tc>
          <w:tcPr>
            <w:tcW w:w="1036" w:type="dxa"/>
            <w:tcBorders>
              <w:top w:val="single" w:color="auto" w:sz="6" w:space="0"/>
              <w:left w:val="single" w:color="auto" w:sz="4" w:space="0"/>
              <w:bottom w:val="single" w:color="auto" w:sz="6" w:space="0"/>
              <w:right w:val="single" w:color="auto" w:sz="6" w:space="0"/>
            </w:tcBorders>
            <w:noWrap w:val="0"/>
            <w:vAlign w:val="center"/>
          </w:tcPr>
          <w:p w14:paraId="35F1A52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规格</w:t>
            </w:r>
          </w:p>
          <w:p w14:paraId="1DFC7DDF">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型号</w:t>
            </w:r>
          </w:p>
        </w:tc>
        <w:tc>
          <w:tcPr>
            <w:tcW w:w="922" w:type="dxa"/>
            <w:tcBorders>
              <w:top w:val="single" w:color="auto" w:sz="6" w:space="0"/>
              <w:left w:val="single" w:color="auto" w:sz="6" w:space="0"/>
              <w:bottom w:val="single" w:color="auto" w:sz="6" w:space="0"/>
              <w:right w:val="single" w:color="auto" w:sz="6" w:space="0"/>
            </w:tcBorders>
            <w:noWrap w:val="0"/>
            <w:vAlign w:val="center"/>
          </w:tcPr>
          <w:p w14:paraId="7A9925B7">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类别</w:t>
            </w:r>
          </w:p>
        </w:tc>
        <w:tc>
          <w:tcPr>
            <w:tcW w:w="1470" w:type="dxa"/>
            <w:tcBorders>
              <w:top w:val="single" w:color="auto" w:sz="6" w:space="0"/>
              <w:left w:val="single" w:color="auto" w:sz="6" w:space="0"/>
              <w:bottom w:val="single" w:color="auto" w:sz="6" w:space="0"/>
              <w:right w:val="single" w:color="auto" w:sz="6" w:space="0"/>
            </w:tcBorders>
            <w:noWrap w:val="0"/>
            <w:vAlign w:val="center"/>
          </w:tcPr>
          <w:p w14:paraId="48F5EE5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认证证书</w:t>
            </w:r>
          </w:p>
          <w:p w14:paraId="32894D9B">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编号</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40938243">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数</w:t>
            </w:r>
          </w:p>
          <w:p w14:paraId="288C5145">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量</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BCC09F4">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单</w:t>
            </w:r>
          </w:p>
          <w:p w14:paraId="56FFC86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价</w:t>
            </w:r>
          </w:p>
        </w:tc>
        <w:tc>
          <w:tcPr>
            <w:tcW w:w="716" w:type="dxa"/>
            <w:tcBorders>
              <w:top w:val="single" w:color="auto" w:sz="6" w:space="0"/>
              <w:left w:val="single" w:color="auto" w:sz="6" w:space="0"/>
              <w:bottom w:val="single" w:color="auto" w:sz="6" w:space="0"/>
              <w:right w:val="single" w:color="auto" w:sz="6" w:space="0"/>
            </w:tcBorders>
            <w:noWrap w:val="0"/>
            <w:vAlign w:val="center"/>
          </w:tcPr>
          <w:p w14:paraId="19A5509D">
            <w:pPr>
              <w:autoSpaceDE w:val="0"/>
              <w:autoSpaceDN w:val="0"/>
              <w:adjustRightInd w:val="0"/>
              <w:snapToGrid w:val="0"/>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总</w:t>
            </w:r>
          </w:p>
          <w:p w14:paraId="7BC8C1F9">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价</w:t>
            </w:r>
          </w:p>
        </w:tc>
      </w:tr>
      <w:tr w14:paraId="2B292D1D">
        <w:tblPrEx>
          <w:tblCellMar>
            <w:top w:w="0" w:type="dxa"/>
            <w:left w:w="108" w:type="dxa"/>
            <w:bottom w:w="0" w:type="dxa"/>
            <w:right w:w="108" w:type="dxa"/>
          </w:tblCellMar>
        </w:tblPrEx>
        <w:trPr>
          <w:trHeight w:val="622" w:hRule="atLeast"/>
          <w:jc w:val="center"/>
        </w:trPr>
        <w:tc>
          <w:tcPr>
            <w:tcW w:w="8882" w:type="dxa"/>
            <w:gridSpan w:val="9"/>
            <w:tcBorders>
              <w:top w:val="single" w:color="auto" w:sz="6" w:space="0"/>
              <w:left w:val="single" w:color="auto" w:sz="6" w:space="0"/>
              <w:bottom w:val="single" w:color="auto" w:sz="6" w:space="0"/>
              <w:right w:val="single" w:color="auto" w:sz="6" w:space="0"/>
            </w:tcBorders>
            <w:noWrap w:val="0"/>
            <w:vAlign w:val="center"/>
          </w:tcPr>
          <w:p w14:paraId="6299AE5F">
            <w:pPr>
              <w:autoSpaceDE w:val="0"/>
              <w:autoSpaceDN w:val="0"/>
              <w:adjustRightInd w:val="0"/>
              <w:snapToGrid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（1）强制采购类</w:t>
            </w:r>
          </w:p>
        </w:tc>
      </w:tr>
      <w:tr w14:paraId="11784E35">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035ECAF3">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0AA34F39">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03C5D7A6">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ABA0289">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313FC3D9">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40E4F012">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61C6EF6F">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D604EB2">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455DEFC9">
            <w:pPr>
              <w:autoSpaceDE w:val="0"/>
              <w:autoSpaceDN w:val="0"/>
              <w:adjustRightInd w:val="0"/>
              <w:snapToGrid w:val="0"/>
              <w:jc w:val="left"/>
              <w:rPr>
                <w:rFonts w:hint="eastAsia" w:ascii="仿宋" w:hAnsi="仿宋" w:eastAsia="仿宋" w:cs="仿宋"/>
                <w:color w:val="auto"/>
                <w:sz w:val="24"/>
                <w:highlight w:val="none"/>
              </w:rPr>
            </w:pPr>
          </w:p>
        </w:tc>
      </w:tr>
      <w:tr w14:paraId="342DB3A9">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2869A787">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1B76E389">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429589CA">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5660A06">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51A28AF1">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36B820DD">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70EF4E86">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34969CEA">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0F7FDD01">
            <w:pPr>
              <w:autoSpaceDE w:val="0"/>
              <w:autoSpaceDN w:val="0"/>
              <w:adjustRightInd w:val="0"/>
              <w:snapToGrid w:val="0"/>
              <w:jc w:val="left"/>
              <w:rPr>
                <w:rFonts w:hint="eastAsia" w:ascii="仿宋" w:hAnsi="仿宋" w:eastAsia="仿宋" w:cs="仿宋"/>
                <w:color w:val="auto"/>
                <w:sz w:val="24"/>
                <w:highlight w:val="none"/>
              </w:rPr>
            </w:pPr>
          </w:p>
        </w:tc>
      </w:tr>
      <w:tr w14:paraId="46B0279A">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center"/>
          </w:tcPr>
          <w:p w14:paraId="3D89FECB">
            <w:pPr>
              <w:autoSpaceDE w:val="0"/>
              <w:autoSpaceDN w:val="0"/>
              <w:adjustRightInd w:val="0"/>
              <w:snapToGrid w:val="0"/>
              <w:jc w:val="left"/>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center"/>
          </w:tcPr>
          <w:p w14:paraId="30EE3FED">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center"/>
          </w:tcPr>
          <w:p w14:paraId="20B8D806">
            <w:pPr>
              <w:autoSpaceDE w:val="0"/>
              <w:autoSpaceDN w:val="0"/>
              <w:adjustRightInd w:val="0"/>
              <w:snapToGrid w:val="0"/>
              <w:jc w:val="left"/>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center"/>
          </w:tcPr>
          <w:p w14:paraId="73C69525">
            <w:pPr>
              <w:autoSpaceDE w:val="0"/>
              <w:autoSpaceDN w:val="0"/>
              <w:adjustRightInd w:val="0"/>
              <w:snapToGrid w:val="0"/>
              <w:jc w:val="left"/>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center"/>
          </w:tcPr>
          <w:p w14:paraId="11970E19">
            <w:pPr>
              <w:autoSpaceDE w:val="0"/>
              <w:autoSpaceDN w:val="0"/>
              <w:adjustRightInd w:val="0"/>
              <w:snapToGrid w:val="0"/>
              <w:jc w:val="left"/>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center"/>
          </w:tcPr>
          <w:p w14:paraId="6CAC4690">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044AEA8A">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D51AD89">
            <w:pPr>
              <w:autoSpaceDE w:val="0"/>
              <w:autoSpaceDN w:val="0"/>
              <w:adjustRightInd w:val="0"/>
              <w:snapToGrid w:val="0"/>
              <w:jc w:val="left"/>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center"/>
          </w:tcPr>
          <w:p w14:paraId="1206A157">
            <w:pPr>
              <w:autoSpaceDE w:val="0"/>
              <w:autoSpaceDN w:val="0"/>
              <w:adjustRightInd w:val="0"/>
              <w:snapToGrid w:val="0"/>
              <w:jc w:val="left"/>
              <w:rPr>
                <w:rFonts w:hint="eastAsia" w:ascii="仿宋" w:hAnsi="仿宋" w:eastAsia="仿宋" w:cs="仿宋"/>
                <w:color w:val="auto"/>
                <w:sz w:val="24"/>
                <w:highlight w:val="none"/>
              </w:rPr>
            </w:pPr>
          </w:p>
        </w:tc>
      </w:tr>
      <w:tr w14:paraId="6408F45D">
        <w:tblPrEx>
          <w:tblCellMar>
            <w:top w:w="0" w:type="dxa"/>
            <w:left w:w="108" w:type="dxa"/>
            <w:bottom w:w="0" w:type="dxa"/>
            <w:right w:w="108" w:type="dxa"/>
          </w:tblCellMar>
        </w:tblPrEx>
        <w:trPr>
          <w:trHeight w:val="622" w:hRule="atLeast"/>
          <w:jc w:val="center"/>
        </w:trPr>
        <w:tc>
          <w:tcPr>
            <w:tcW w:w="8882" w:type="dxa"/>
            <w:gridSpan w:val="9"/>
            <w:tcBorders>
              <w:top w:val="single" w:color="auto" w:sz="6" w:space="0"/>
              <w:left w:val="single" w:color="auto" w:sz="6" w:space="0"/>
              <w:bottom w:val="single" w:color="auto" w:sz="6" w:space="0"/>
              <w:right w:val="single" w:color="auto" w:sz="6" w:space="0"/>
            </w:tcBorders>
            <w:noWrap w:val="0"/>
            <w:vAlign w:val="center"/>
          </w:tcPr>
          <w:p w14:paraId="5BA15246">
            <w:pPr>
              <w:autoSpaceDE w:val="0"/>
              <w:autoSpaceDN w:val="0"/>
              <w:adjustRightInd w:val="0"/>
              <w:snapToGrid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（2）优先采购类</w:t>
            </w:r>
          </w:p>
        </w:tc>
      </w:tr>
      <w:tr w14:paraId="226D6841">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top"/>
          </w:tcPr>
          <w:p w14:paraId="423A7C79">
            <w:pPr>
              <w:autoSpaceDE w:val="0"/>
              <w:autoSpaceDN w:val="0"/>
              <w:adjustRightInd w:val="0"/>
              <w:snapToGrid w:val="0"/>
              <w:spacing w:line="360" w:lineRule="auto"/>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top"/>
          </w:tcPr>
          <w:p w14:paraId="3F099A7E">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top"/>
          </w:tcPr>
          <w:p w14:paraId="00012D51">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top"/>
          </w:tcPr>
          <w:p w14:paraId="4CCA7C3B">
            <w:pPr>
              <w:autoSpaceDE w:val="0"/>
              <w:autoSpaceDN w:val="0"/>
              <w:adjustRightInd w:val="0"/>
              <w:snapToGrid w:val="0"/>
              <w:spacing w:line="360" w:lineRule="auto"/>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top"/>
          </w:tcPr>
          <w:p w14:paraId="79D8748A">
            <w:pPr>
              <w:autoSpaceDE w:val="0"/>
              <w:autoSpaceDN w:val="0"/>
              <w:adjustRightInd w:val="0"/>
              <w:snapToGrid w:val="0"/>
              <w:spacing w:line="360" w:lineRule="auto"/>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227701C3">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76A4EEFD">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6A4EAC27">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47626817">
            <w:pPr>
              <w:autoSpaceDE w:val="0"/>
              <w:autoSpaceDN w:val="0"/>
              <w:adjustRightInd w:val="0"/>
              <w:snapToGrid w:val="0"/>
              <w:spacing w:line="360" w:lineRule="auto"/>
              <w:rPr>
                <w:rFonts w:hint="eastAsia" w:ascii="仿宋" w:hAnsi="仿宋" w:eastAsia="仿宋" w:cs="仿宋"/>
                <w:color w:val="auto"/>
                <w:sz w:val="24"/>
                <w:highlight w:val="none"/>
              </w:rPr>
            </w:pPr>
          </w:p>
        </w:tc>
      </w:tr>
      <w:tr w14:paraId="4159B445">
        <w:tblPrEx>
          <w:tblCellMar>
            <w:top w:w="0" w:type="dxa"/>
            <w:left w:w="108" w:type="dxa"/>
            <w:bottom w:w="0" w:type="dxa"/>
            <w:right w:w="108" w:type="dxa"/>
          </w:tblCellMar>
        </w:tblPrEx>
        <w:trPr>
          <w:trHeight w:val="622" w:hRule="atLeast"/>
          <w:jc w:val="center"/>
        </w:trPr>
        <w:tc>
          <w:tcPr>
            <w:tcW w:w="716" w:type="dxa"/>
            <w:tcBorders>
              <w:top w:val="single" w:color="auto" w:sz="6" w:space="0"/>
              <w:left w:val="single" w:color="auto" w:sz="6" w:space="0"/>
              <w:bottom w:val="single" w:color="auto" w:sz="6" w:space="0"/>
              <w:right w:val="single" w:color="auto" w:sz="6" w:space="0"/>
            </w:tcBorders>
            <w:noWrap w:val="0"/>
            <w:vAlign w:val="top"/>
          </w:tcPr>
          <w:p w14:paraId="541A495F">
            <w:pPr>
              <w:autoSpaceDE w:val="0"/>
              <w:autoSpaceDN w:val="0"/>
              <w:adjustRightInd w:val="0"/>
              <w:snapToGrid w:val="0"/>
              <w:spacing w:line="360" w:lineRule="auto"/>
              <w:rPr>
                <w:rFonts w:hint="eastAsia" w:ascii="仿宋" w:hAnsi="仿宋" w:eastAsia="仿宋" w:cs="仿宋"/>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noWrap w:val="0"/>
            <w:vAlign w:val="top"/>
          </w:tcPr>
          <w:p w14:paraId="7DCA1886">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noWrap w:val="0"/>
            <w:vAlign w:val="top"/>
          </w:tcPr>
          <w:p w14:paraId="1FB9271D">
            <w:pPr>
              <w:autoSpaceDE w:val="0"/>
              <w:autoSpaceDN w:val="0"/>
              <w:adjustRightInd w:val="0"/>
              <w:snapToGrid w:val="0"/>
              <w:spacing w:line="360" w:lineRule="auto"/>
              <w:rPr>
                <w:rFonts w:hint="eastAsia" w:ascii="仿宋" w:hAnsi="仿宋" w:eastAsia="仿宋" w:cs="仿宋"/>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noWrap w:val="0"/>
            <w:vAlign w:val="top"/>
          </w:tcPr>
          <w:p w14:paraId="7DD8A4B2">
            <w:pPr>
              <w:autoSpaceDE w:val="0"/>
              <w:autoSpaceDN w:val="0"/>
              <w:adjustRightInd w:val="0"/>
              <w:snapToGrid w:val="0"/>
              <w:spacing w:line="360" w:lineRule="auto"/>
              <w:rPr>
                <w:rFonts w:hint="eastAsia" w:ascii="仿宋" w:hAnsi="仿宋" w:eastAsia="仿宋" w:cs="仿宋"/>
                <w:color w:val="auto"/>
                <w:sz w:val="24"/>
                <w:highlight w:val="none"/>
              </w:rPr>
            </w:pPr>
          </w:p>
        </w:tc>
        <w:tc>
          <w:tcPr>
            <w:tcW w:w="922" w:type="dxa"/>
            <w:tcBorders>
              <w:top w:val="single" w:color="auto" w:sz="6" w:space="0"/>
              <w:left w:val="single" w:color="auto" w:sz="6" w:space="0"/>
              <w:bottom w:val="single" w:color="auto" w:sz="6" w:space="0"/>
              <w:right w:val="single" w:color="auto" w:sz="6" w:space="0"/>
            </w:tcBorders>
            <w:noWrap w:val="0"/>
            <w:vAlign w:val="top"/>
          </w:tcPr>
          <w:p w14:paraId="71E200B5">
            <w:pPr>
              <w:autoSpaceDE w:val="0"/>
              <w:autoSpaceDN w:val="0"/>
              <w:adjustRightInd w:val="0"/>
              <w:snapToGrid w:val="0"/>
              <w:spacing w:line="360" w:lineRule="auto"/>
              <w:rPr>
                <w:rFonts w:hint="eastAsia" w:ascii="仿宋" w:hAnsi="仿宋" w:eastAsia="仿宋" w:cs="仿宋"/>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noWrap w:val="0"/>
            <w:vAlign w:val="top"/>
          </w:tcPr>
          <w:p w14:paraId="5D89900A">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0D87DCCA">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057800D4">
            <w:pPr>
              <w:autoSpaceDE w:val="0"/>
              <w:autoSpaceDN w:val="0"/>
              <w:adjustRightInd w:val="0"/>
              <w:snapToGrid w:val="0"/>
              <w:spacing w:line="360" w:lineRule="auto"/>
              <w:rPr>
                <w:rFonts w:hint="eastAsia" w:ascii="仿宋" w:hAnsi="仿宋" w:eastAsia="仿宋" w:cs="仿宋"/>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noWrap w:val="0"/>
            <w:vAlign w:val="top"/>
          </w:tcPr>
          <w:p w14:paraId="45B54BB5">
            <w:pPr>
              <w:autoSpaceDE w:val="0"/>
              <w:autoSpaceDN w:val="0"/>
              <w:adjustRightInd w:val="0"/>
              <w:snapToGrid w:val="0"/>
              <w:spacing w:line="360" w:lineRule="auto"/>
              <w:rPr>
                <w:rFonts w:hint="eastAsia" w:ascii="仿宋" w:hAnsi="仿宋" w:eastAsia="仿宋" w:cs="仿宋"/>
                <w:color w:val="auto"/>
                <w:sz w:val="24"/>
                <w:highlight w:val="none"/>
              </w:rPr>
            </w:pPr>
          </w:p>
        </w:tc>
      </w:tr>
      <w:tr w14:paraId="5A9ED003">
        <w:tblPrEx>
          <w:tblCellMar>
            <w:top w:w="0" w:type="dxa"/>
            <w:left w:w="108" w:type="dxa"/>
            <w:bottom w:w="0" w:type="dxa"/>
            <w:right w:w="108" w:type="dxa"/>
          </w:tblCellMar>
        </w:tblPrEx>
        <w:trPr>
          <w:trHeight w:val="622" w:hRule="atLeast"/>
          <w:jc w:val="center"/>
        </w:trPr>
        <w:tc>
          <w:tcPr>
            <w:tcW w:w="5264" w:type="dxa"/>
            <w:gridSpan w:val="5"/>
            <w:tcBorders>
              <w:top w:val="single" w:color="auto" w:sz="6" w:space="0"/>
              <w:left w:val="single" w:color="auto" w:sz="6" w:space="0"/>
              <w:bottom w:val="single" w:color="auto" w:sz="6" w:space="0"/>
              <w:right w:val="single" w:color="auto" w:sz="6" w:space="0"/>
            </w:tcBorders>
            <w:noWrap w:val="0"/>
            <w:vAlign w:val="center"/>
          </w:tcPr>
          <w:p w14:paraId="561D2D4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合计（人民币）</w:t>
            </w:r>
          </w:p>
        </w:tc>
        <w:tc>
          <w:tcPr>
            <w:tcW w:w="3618" w:type="dxa"/>
            <w:gridSpan w:val="4"/>
            <w:tcBorders>
              <w:top w:val="single" w:color="auto" w:sz="6" w:space="0"/>
              <w:left w:val="single" w:color="auto" w:sz="6" w:space="0"/>
              <w:bottom w:val="single" w:color="auto" w:sz="6" w:space="0"/>
              <w:right w:val="single" w:color="auto" w:sz="6" w:space="0"/>
            </w:tcBorders>
            <w:noWrap w:val="0"/>
            <w:vAlign w:val="center"/>
          </w:tcPr>
          <w:p w14:paraId="0FF53194">
            <w:pPr>
              <w:autoSpaceDE w:val="0"/>
              <w:autoSpaceDN w:val="0"/>
              <w:adjustRightInd w:val="0"/>
              <w:snapToGrid w:val="0"/>
              <w:jc w:val="center"/>
              <w:rPr>
                <w:rFonts w:hint="eastAsia" w:ascii="仿宋" w:hAnsi="仿宋" w:eastAsia="仿宋" w:cs="仿宋"/>
                <w:color w:val="auto"/>
                <w:sz w:val="24"/>
                <w:highlight w:val="none"/>
              </w:rPr>
            </w:pPr>
          </w:p>
        </w:tc>
      </w:tr>
      <w:tr w14:paraId="3932E0A9">
        <w:tblPrEx>
          <w:tblCellMar>
            <w:top w:w="0" w:type="dxa"/>
            <w:left w:w="108" w:type="dxa"/>
            <w:bottom w:w="0" w:type="dxa"/>
            <w:right w:w="108" w:type="dxa"/>
          </w:tblCellMar>
        </w:tblPrEx>
        <w:trPr>
          <w:trHeight w:val="622" w:hRule="atLeast"/>
          <w:jc w:val="center"/>
        </w:trPr>
        <w:tc>
          <w:tcPr>
            <w:tcW w:w="5264" w:type="dxa"/>
            <w:gridSpan w:val="5"/>
            <w:tcBorders>
              <w:top w:val="single" w:color="auto" w:sz="6" w:space="0"/>
              <w:left w:val="single" w:color="auto" w:sz="6" w:space="0"/>
              <w:bottom w:val="single" w:color="auto" w:sz="6" w:space="0"/>
              <w:right w:val="single" w:color="auto" w:sz="6" w:space="0"/>
            </w:tcBorders>
            <w:noWrap w:val="0"/>
            <w:vAlign w:val="center"/>
          </w:tcPr>
          <w:p w14:paraId="57A47B4D">
            <w:pPr>
              <w:autoSpaceDE w:val="0"/>
              <w:autoSpaceDN w:val="0"/>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占总价的百分比（%）</w:t>
            </w:r>
          </w:p>
        </w:tc>
        <w:tc>
          <w:tcPr>
            <w:tcW w:w="3618" w:type="dxa"/>
            <w:gridSpan w:val="4"/>
            <w:tcBorders>
              <w:top w:val="single" w:color="auto" w:sz="6" w:space="0"/>
              <w:left w:val="single" w:color="auto" w:sz="6" w:space="0"/>
              <w:bottom w:val="single" w:color="auto" w:sz="6" w:space="0"/>
              <w:right w:val="single" w:color="auto" w:sz="6" w:space="0"/>
            </w:tcBorders>
            <w:noWrap w:val="0"/>
            <w:vAlign w:val="center"/>
          </w:tcPr>
          <w:p w14:paraId="6C4339E4">
            <w:pPr>
              <w:autoSpaceDE w:val="0"/>
              <w:autoSpaceDN w:val="0"/>
              <w:adjustRightInd w:val="0"/>
              <w:snapToGrid w:val="0"/>
              <w:jc w:val="center"/>
              <w:rPr>
                <w:rFonts w:hint="eastAsia" w:ascii="仿宋" w:hAnsi="仿宋" w:eastAsia="仿宋" w:cs="仿宋"/>
                <w:color w:val="auto"/>
                <w:sz w:val="24"/>
                <w:highlight w:val="none"/>
              </w:rPr>
            </w:pPr>
          </w:p>
        </w:tc>
      </w:tr>
    </w:tbl>
    <w:p w14:paraId="6F57DF82">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p w14:paraId="775063DA">
      <w:pPr>
        <w:adjustRightInd w:val="0"/>
        <w:snapToGrid w:val="0"/>
        <w:ind w:firstLine="420" w:firstLineChars="2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zh-CN"/>
        </w:rPr>
        <w:t>如投标产品为</w:t>
      </w:r>
      <w:r>
        <w:rPr>
          <w:rFonts w:hint="eastAsia" w:ascii="仿宋" w:hAnsi="仿宋" w:eastAsia="仿宋" w:cs="仿宋"/>
          <w:color w:val="auto"/>
          <w:szCs w:val="21"/>
          <w:highlight w:val="none"/>
        </w:rPr>
        <w:t>品目清单中的</w:t>
      </w:r>
      <w:r>
        <w:rPr>
          <w:rFonts w:hint="eastAsia" w:ascii="仿宋" w:hAnsi="仿宋" w:eastAsia="仿宋" w:cs="仿宋"/>
          <w:color w:val="auto"/>
          <w:szCs w:val="21"/>
          <w:highlight w:val="none"/>
          <w:lang w:val="zh-CN"/>
        </w:rPr>
        <w:t>节能产品、环境标志产品，须按格式逐项填写，并附相关证明，否则评审时不予计分。</w:t>
      </w:r>
    </w:p>
    <w:p w14:paraId="0FDB1AAB">
      <w:pPr>
        <w:numPr>
          <w:ilvl w:val="0"/>
          <w:numId w:val="7"/>
        </w:numPr>
        <w:adjustRightInd w:val="0"/>
        <w:snapToGrid w:val="0"/>
        <w:ind w:firstLine="420" w:firstLineChars="200"/>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类别填写：节能产品或环境标志产品。</w:t>
      </w:r>
    </w:p>
    <w:p w14:paraId="492C0547">
      <w:pPr>
        <w:tabs>
          <w:tab w:val="center" w:pos="4153"/>
          <w:tab w:val="right" w:pos="8306"/>
        </w:tabs>
        <w:adjustRightInd w:val="0"/>
        <w:snapToGrid w:val="0"/>
        <w:ind w:firstLine="420" w:firstLineChars="20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lang w:val="zh-CN"/>
        </w:rPr>
        <w:t>若所投产品为政府强制采购的节能产品，需提供响应产品经国家确定的认证机构出具的、处于有效期内的节能产品认证证书。</w:t>
      </w:r>
      <w:r>
        <w:rPr>
          <w:rFonts w:hint="eastAsia" w:ascii="仿宋" w:hAnsi="仿宋" w:eastAsia="仿宋" w:cs="仿宋"/>
          <w:color w:val="auto"/>
          <w:szCs w:val="21"/>
          <w:highlight w:val="none"/>
        </w:rPr>
        <w:t>强制类产品</w:t>
      </w:r>
      <w:r>
        <w:rPr>
          <w:rFonts w:hint="eastAsia" w:ascii="仿宋" w:hAnsi="仿宋" w:eastAsia="仿宋" w:cs="仿宋"/>
          <w:color w:val="auto"/>
          <w:szCs w:val="21"/>
          <w:highlight w:val="none"/>
          <w:lang w:val="zh-CN"/>
        </w:rPr>
        <w:t>具体品目详见《关于印发节能产品政府采购品目清单的通知》（财库[2019]19号文）</w:t>
      </w:r>
      <w:r>
        <w:rPr>
          <w:rFonts w:hint="eastAsia" w:ascii="仿宋" w:hAnsi="仿宋" w:eastAsia="仿宋" w:cs="仿宋"/>
          <w:color w:val="auto"/>
          <w:szCs w:val="21"/>
          <w:highlight w:val="none"/>
        </w:rPr>
        <w:t>。</w:t>
      </w:r>
    </w:p>
    <w:p w14:paraId="116DA4F4">
      <w:pPr>
        <w:autoSpaceDE w:val="0"/>
        <w:autoSpaceDN w:val="0"/>
        <w:adjustRightInd w:val="0"/>
        <w:snapToGrid w:val="0"/>
        <w:spacing w:line="360" w:lineRule="auto"/>
        <w:ind w:firstLine="1920" w:firstLineChars="800"/>
        <w:rPr>
          <w:rFonts w:hint="eastAsia" w:ascii="仿宋" w:hAnsi="仿宋" w:eastAsia="仿宋" w:cs="仿宋"/>
          <w:color w:val="auto"/>
          <w:sz w:val="24"/>
          <w:highlight w:val="none"/>
          <w:u w:val="single"/>
        </w:rPr>
      </w:pPr>
    </w:p>
    <w:p w14:paraId="45B4C646">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1FB0F9A1">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11FBCF7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（投标文件格式四）</w:t>
      </w:r>
    </w:p>
    <w:p w14:paraId="1ADFE81E">
      <w:pPr>
        <w:pStyle w:val="5"/>
        <w:ind w:firstLine="0" w:firstLineChars="0"/>
        <w:jc w:val="center"/>
        <w:rPr>
          <w:rFonts w:hint="eastAsia" w:ascii="仿宋" w:hAnsi="仿宋" w:eastAsia="仿宋" w:cs="仿宋"/>
          <w:color w:val="auto"/>
          <w:sz w:val="32"/>
          <w:szCs w:val="32"/>
          <w:highlight w:val="none"/>
          <w:u w:val="single"/>
          <w:lang w:eastAsia="zh-CN"/>
        </w:rPr>
      </w:pPr>
      <w:bookmarkStart w:id="902" w:name="_Toc20254"/>
      <w:bookmarkStart w:id="903" w:name="_Toc27275"/>
      <w:bookmarkStart w:id="904" w:name="_Toc32252"/>
      <w:bookmarkStart w:id="905" w:name="_Toc30547"/>
      <w:bookmarkStart w:id="906" w:name="_Toc13045"/>
      <w:bookmarkStart w:id="907" w:name="_Toc26021"/>
      <w:bookmarkStart w:id="908" w:name="_Toc9442"/>
      <w:bookmarkStart w:id="909" w:name="_Toc31424"/>
      <w:bookmarkStart w:id="910" w:name="_Toc60928909"/>
      <w:bookmarkStart w:id="911" w:name="_Toc216582818"/>
      <w:bookmarkStart w:id="912" w:name="_Toc23198"/>
      <w:bookmarkStart w:id="913" w:name="_Toc60929141"/>
      <w:bookmarkStart w:id="914" w:name="_Toc515647821"/>
      <w:bookmarkStart w:id="915" w:name="_Toc1980"/>
      <w:bookmarkStart w:id="916" w:name="_Toc23"/>
      <w:bookmarkStart w:id="917" w:name="_Toc532473510"/>
      <w:bookmarkStart w:id="918" w:name="_Toc216582817"/>
      <w:bookmarkStart w:id="919" w:name="_Toc20731"/>
      <w:bookmarkStart w:id="920" w:name="_Toc21312"/>
      <w:bookmarkStart w:id="921" w:name="_Toc515647823"/>
      <w:bookmarkStart w:id="922" w:name="_Toc515647820"/>
      <w:bookmarkStart w:id="923" w:name="_Toc28959"/>
      <w:bookmarkStart w:id="924" w:name="_Toc532473509"/>
      <w:bookmarkStart w:id="925" w:name="_Toc532473511"/>
      <w:bookmarkStart w:id="926" w:name="_Toc10725"/>
      <w:bookmarkStart w:id="927" w:name="_Toc60929140"/>
      <w:bookmarkStart w:id="928" w:name="_Toc60928908"/>
      <w:bookmarkStart w:id="929" w:name="_Toc22563"/>
      <w:r>
        <w:rPr>
          <w:rFonts w:hint="eastAsia" w:ascii="仿宋" w:hAnsi="仿宋" w:eastAsia="仿宋" w:cs="仿宋"/>
          <w:color w:val="auto"/>
          <w:sz w:val="32"/>
          <w:szCs w:val="32"/>
          <w:highlight w:val="none"/>
        </w:rPr>
        <w:t>技术偏离表-</w:t>
      </w:r>
      <w:r>
        <w:rPr>
          <w:rFonts w:hint="eastAsia" w:ascii="仿宋" w:hAnsi="仿宋" w:eastAsia="仿宋" w:cs="仿宋"/>
          <w:color w:val="auto"/>
          <w:sz w:val="32"/>
          <w:szCs w:val="32"/>
          <w:highlight w:val="none"/>
          <w:u w:val="single"/>
        </w:rPr>
        <w:t>（</w:t>
      </w:r>
      <w:r>
        <w:rPr>
          <w:rFonts w:hint="eastAsia" w:ascii="仿宋" w:hAnsi="仿宋" w:eastAsia="仿宋" w:cs="仿宋"/>
          <w:i/>
          <w:iCs/>
          <w:color w:val="auto"/>
          <w:sz w:val="32"/>
          <w:szCs w:val="32"/>
          <w:highlight w:val="none"/>
          <w:u w:val="single"/>
        </w:rPr>
        <w:t>序号</w:t>
      </w:r>
      <w:r>
        <w:rPr>
          <w:rFonts w:hint="eastAsia" w:ascii="仿宋" w:hAnsi="仿宋" w:eastAsia="仿宋" w:cs="仿宋"/>
          <w:color w:val="auto"/>
          <w:sz w:val="32"/>
          <w:szCs w:val="32"/>
          <w:highlight w:val="none"/>
          <w:u w:val="single"/>
        </w:rPr>
        <w:t>）</w:t>
      </w:r>
      <w:r>
        <w:rPr>
          <w:rFonts w:hint="eastAsia" w:ascii="仿宋" w:hAnsi="仿宋" w:eastAsia="仿宋" w:cs="仿宋"/>
          <w:i/>
          <w:iCs/>
          <w:color w:val="auto"/>
          <w:sz w:val="32"/>
          <w:szCs w:val="32"/>
          <w:highlight w:val="none"/>
          <w:u w:val="single"/>
        </w:rPr>
        <w:t>采购标的</w:t>
      </w:r>
      <w:bookmarkEnd w:id="902"/>
      <w:bookmarkEnd w:id="903"/>
      <w:bookmarkEnd w:id="904"/>
      <w:r>
        <w:rPr>
          <w:rFonts w:hint="eastAsia" w:ascii="仿宋" w:hAnsi="仿宋" w:eastAsia="仿宋" w:cs="仿宋"/>
          <w:i/>
          <w:iCs/>
          <w:color w:val="auto"/>
          <w:sz w:val="32"/>
          <w:szCs w:val="32"/>
          <w:highlight w:val="none"/>
          <w:u w:val="single"/>
          <w:lang w:eastAsia="zh-CN"/>
        </w:rPr>
        <w:t>（</w:t>
      </w:r>
      <w:r>
        <w:rPr>
          <w:rFonts w:hint="eastAsia" w:ascii="仿宋" w:hAnsi="仿宋" w:eastAsia="仿宋" w:cs="仿宋"/>
          <w:i/>
          <w:iCs/>
          <w:color w:val="auto"/>
          <w:sz w:val="32"/>
          <w:szCs w:val="32"/>
          <w:highlight w:val="none"/>
          <w:u w:val="single"/>
          <w:lang w:val="en-US" w:eastAsia="zh-CN"/>
        </w:rPr>
        <w:t>设备名称</w:t>
      </w:r>
      <w:r>
        <w:rPr>
          <w:rFonts w:hint="eastAsia" w:ascii="仿宋" w:hAnsi="仿宋" w:eastAsia="仿宋" w:cs="仿宋"/>
          <w:i/>
          <w:iCs/>
          <w:color w:val="auto"/>
          <w:sz w:val="32"/>
          <w:szCs w:val="32"/>
          <w:highlight w:val="none"/>
          <w:u w:val="single"/>
          <w:lang w:eastAsia="zh-CN"/>
        </w:rPr>
        <w:t>）</w:t>
      </w:r>
      <w:bookmarkEnd w:id="905"/>
      <w:bookmarkEnd w:id="906"/>
      <w:bookmarkEnd w:id="907"/>
      <w:bookmarkEnd w:id="908"/>
    </w:p>
    <w:p w14:paraId="69C6DB2F">
      <w:pPr>
        <w:pStyle w:val="11"/>
        <w:jc w:val="center"/>
        <w:rPr>
          <w:rFonts w:hint="eastAsia" w:ascii="仿宋" w:hAnsi="仿宋" w:eastAsia="仿宋" w:cs="仿宋"/>
          <w:i/>
          <w:iCs/>
          <w:color w:val="auto"/>
          <w:highlight w:val="none"/>
        </w:rPr>
      </w:pPr>
      <w:r>
        <w:rPr>
          <w:rFonts w:hint="eastAsia" w:ascii="仿宋" w:hAnsi="仿宋" w:eastAsia="仿宋" w:cs="仿宋"/>
          <w:i/>
          <w:iCs/>
          <w:color w:val="auto"/>
          <w:highlight w:val="none"/>
        </w:rPr>
        <w:t>按采购清单内容逐个列表</w:t>
      </w:r>
    </w:p>
    <w:p w14:paraId="52318A0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1CD78DC3">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18B55796">
      <w:pPr>
        <w:pStyle w:val="15"/>
        <w:wordWrap w:val="0"/>
        <w:spacing w:line="360" w:lineRule="auto"/>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标段:         </w:t>
      </w:r>
    </w:p>
    <w:tbl>
      <w:tblPr>
        <w:tblStyle w:val="34"/>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422"/>
        <w:gridCol w:w="993"/>
        <w:gridCol w:w="1842"/>
        <w:gridCol w:w="1560"/>
        <w:gridCol w:w="1134"/>
        <w:gridCol w:w="1112"/>
      </w:tblGrid>
      <w:tr w14:paraId="0B7D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noWrap w:val="0"/>
            <w:vAlign w:val="center"/>
          </w:tcPr>
          <w:p w14:paraId="3F7D8319">
            <w:pPr>
              <w:pStyle w:val="15"/>
              <w:ind w:left="-31" w:leftChars="-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422" w:type="dxa"/>
            <w:noWrap w:val="0"/>
            <w:vAlign w:val="center"/>
          </w:tcPr>
          <w:p w14:paraId="5BE19E31">
            <w:pPr>
              <w:pStyle w:val="15"/>
              <w:ind w:left="-149" w:leftChars="-71"/>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采购标的</w:t>
            </w:r>
          </w:p>
          <w:p w14:paraId="64B0F759">
            <w:pPr>
              <w:pStyle w:val="15"/>
              <w:ind w:left="-149" w:leftChars="-71"/>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（设备名称）</w:t>
            </w:r>
          </w:p>
        </w:tc>
        <w:tc>
          <w:tcPr>
            <w:tcW w:w="993" w:type="dxa"/>
            <w:noWrap w:val="0"/>
            <w:vAlign w:val="center"/>
          </w:tcPr>
          <w:p w14:paraId="1682CF5B">
            <w:pPr>
              <w:pStyle w:val="15"/>
              <w:ind w:left="-107" w:leftChars="-51"/>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842" w:type="dxa"/>
            <w:noWrap w:val="0"/>
            <w:vAlign w:val="center"/>
          </w:tcPr>
          <w:p w14:paraId="395088CA">
            <w:pPr>
              <w:pStyle w:val="15"/>
              <w:ind w:left="-206" w:leftChars="-98" w:right="-166" w:rightChars="-7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招标要求</w:t>
            </w:r>
          </w:p>
        </w:tc>
        <w:tc>
          <w:tcPr>
            <w:tcW w:w="1560" w:type="dxa"/>
            <w:noWrap w:val="0"/>
            <w:vAlign w:val="center"/>
          </w:tcPr>
          <w:p w14:paraId="17E6B4AD">
            <w:pPr>
              <w:pStyle w:val="15"/>
              <w:ind w:left="-48" w:leftChars="-23"/>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投标响应</w:t>
            </w:r>
          </w:p>
        </w:tc>
        <w:tc>
          <w:tcPr>
            <w:tcW w:w="1134" w:type="dxa"/>
            <w:noWrap w:val="0"/>
            <w:vAlign w:val="center"/>
          </w:tcPr>
          <w:p w14:paraId="0B44C891">
            <w:pPr>
              <w:pStyle w:val="15"/>
              <w:ind w:left="-34" w:leftChars="-16"/>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1112" w:type="dxa"/>
            <w:noWrap w:val="0"/>
            <w:vAlign w:val="center"/>
          </w:tcPr>
          <w:p w14:paraId="4017994F">
            <w:pPr>
              <w:pStyle w:val="15"/>
              <w:ind w:left="-82" w:leftChars="-39"/>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61AB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restart"/>
            <w:noWrap w:val="0"/>
            <w:vAlign w:val="top"/>
          </w:tcPr>
          <w:p w14:paraId="4D299379">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restart"/>
            <w:noWrap w:val="0"/>
            <w:vAlign w:val="top"/>
          </w:tcPr>
          <w:p w14:paraId="06D547BE">
            <w:pPr>
              <w:pStyle w:val="15"/>
              <w:spacing w:line="360" w:lineRule="auto"/>
              <w:ind w:left="1080" w:leftChars="257" w:hanging="540"/>
              <w:rPr>
                <w:rFonts w:hint="eastAsia" w:ascii="仿宋" w:hAnsi="仿宋" w:eastAsia="仿宋" w:cs="仿宋"/>
                <w:color w:val="auto"/>
                <w:sz w:val="24"/>
                <w:highlight w:val="none"/>
              </w:rPr>
            </w:pPr>
          </w:p>
        </w:tc>
        <w:tc>
          <w:tcPr>
            <w:tcW w:w="993" w:type="dxa"/>
            <w:vMerge w:val="restart"/>
            <w:noWrap w:val="0"/>
            <w:vAlign w:val="top"/>
          </w:tcPr>
          <w:p w14:paraId="0279BB40">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08BEBAD7">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7EEB55A3">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7F5A8D4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6C73C217">
            <w:pPr>
              <w:pStyle w:val="15"/>
              <w:spacing w:line="360" w:lineRule="auto"/>
              <w:ind w:left="1080" w:leftChars="257" w:hanging="540"/>
              <w:rPr>
                <w:rFonts w:hint="eastAsia" w:ascii="仿宋" w:hAnsi="仿宋" w:eastAsia="仿宋" w:cs="仿宋"/>
                <w:color w:val="auto"/>
                <w:sz w:val="24"/>
                <w:highlight w:val="none"/>
              </w:rPr>
            </w:pPr>
          </w:p>
        </w:tc>
      </w:tr>
      <w:tr w14:paraId="76AC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0DAD4423">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4BAB1F03">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718208B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00378785">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0BE2C34">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30A5E72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78299666">
            <w:pPr>
              <w:pStyle w:val="15"/>
              <w:spacing w:line="360" w:lineRule="auto"/>
              <w:ind w:left="1080" w:leftChars="257" w:hanging="540"/>
              <w:rPr>
                <w:rFonts w:hint="eastAsia" w:ascii="仿宋" w:hAnsi="仿宋" w:eastAsia="仿宋" w:cs="仿宋"/>
                <w:color w:val="auto"/>
                <w:sz w:val="24"/>
                <w:highlight w:val="none"/>
              </w:rPr>
            </w:pPr>
          </w:p>
        </w:tc>
      </w:tr>
      <w:tr w14:paraId="70A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2AE39EEA">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6A2D7056">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611113A4">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3575894A">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468B867">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659E4F55">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58CC3C5A">
            <w:pPr>
              <w:pStyle w:val="15"/>
              <w:spacing w:line="360" w:lineRule="auto"/>
              <w:ind w:left="1080" w:leftChars="257" w:hanging="540"/>
              <w:rPr>
                <w:rFonts w:hint="eastAsia" w:ascii="仿宋" w:hAnsi="仿宋" w:eastAsia="仿宋" w:cs="仿宋"/>
                <w:color w:val="auto"/>
                <w:sz w:val="24"/>
                <w:highlight w:val="none"/>
              </w:rPr>
            </w:pPr>
          </w:p>
        </w:tc>
      </w:tr>
      <w:tr w14:paraId="01B3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0B96F245">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AB1C830">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0D9EF114">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205319DB">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0598F65">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26FD0C13">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75841F1E">
            <w:pPr>
              <w:pStyle w:val="15"/>
              <w:spacing w:line="360" w:lineRule="auto"/>
              <w:ind w:left="1080" w:leftChars="257" w:hanging="540"/>
              <w:rPr>
                <w:rFonts w:hint="eastAsia" w:ascii="仿宋" w:hAnsi="仿宋" w:eastAsia="仿宋" w:cs="仿宋"/>
                <w:color w:val="auto"/>
                <w:sz w:val="24"/>
                <w:highlight w:val="none"/>
              </w:rPr>
            </w:pPr>
          </w:p>
        </w:tc>
      </w:tr>
      <w:tr w14:paraId="1DB9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5925E679">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AD99B58">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6D1478E5">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3C111A4F">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101485A">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4D404E3D">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4256419B">
            <w:pPr>
              <w:pStyle w:val="15"/>
              <w:spacing w:line="360" w:lineRule="auto"/>
              <w:ind w:left="1080" w:leftChars="257" w:hanging="540"/>
              <w:rPr>
                <w:rFonts w:hint="eastAsia" w:ascii="仿宋" w:hAnsi="仿宋" w:eastAsia="仿宋" w:cs="仿宋"/>
                <w:color w:val="auto"/>
                <w:sz w:val="24"/>
                <w:highlight w:val="none"/>
              </w:rPr>
            </w:pPr>
          </w:p>
        </w:tc>
      </w:tr>
      <w:tr w14:paraId="140F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44654AF6">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5EB7DC9E">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4C63247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77B83928">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65B7B4F8">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6BB5F071">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1CCE2CCB">
            <w:pPr>
              <w:pStyle w:val="15"/>
              <w:spacing w:line="360" w:lineRule="auto"/>
              <w:ind w:left="1080" w:leftChars="257" w:hanging="540"/>
              <w:rPr>
                <w:rFonts w:hint="eastAsia" w:ascii="仿宋" w:hAnsi="仿宋" w:eastAsia="仿宋" w:cs="仿宋"/>
                <w:color w:val="auto"/>
                <w:sz w:val="24"/>
                <w:highlight w:val="none"/>
              </w:rPr>
            </w:pPr>
          </w:p>
        </w:tc>
      </w:tr>
      <w:tr w14:paraId="1E0F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85" w:type="dxa"/>
            <w:vMerge w:val="continue"/>
            <w:noWrap w:val="0"/>
            <w:vAlign w:val="top"/>
          </w:tcPr>
          <w:p w14:paraId="7A2CA6AF">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4E28E59C">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403C8401">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55A59B6F">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F6F5DB4">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5F75C469">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2608931D">
            <w:pPr>
              <w:pStyle w:val="15"/>
              <w:spacing w:line="360" w:lineRule="auto"/>
              <w:ind w:left="1080" w:leftChars="257" w:hanging="540"/>
              <w:rPr>
                <w:rFonts w:hint="eastAsia" w:ascii="仿宋" w:hAnsi="仿宋" w:eastAsia="仿宋" w:cs="仿宋"/>
                <w:color w:val="auto"/>
                <w:sz w:val="24"/>
                <w:highlight w:val="none"/>
              </w:rPr>
            </w:pPr>
          </w:p>
        </w:tc>
      </w:tr>
      <w:tr w14:paraId="057D8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685" w:type="dxa"/>
            <w:vMerge w:val="continue"/>
            <w:noWrap w:val="0"/>
            <w:vAlign w:val="top"/>
          </w:tcPr>
          <w:p w14:paraId="0F390467">
            <w:pPr>
              <w:pStyle w:val="15"/>
              <w:spacing w:line="360" w:lineRule="auto"/>
              <w:ind w:left="1080" w:leftChars="257" w:hanging="540"/>
              <w:rPr>
                <w:rFonts w:hint="eastAsia" w:ascii="仿宋" w:hAnsi="仿宋" w:eastAsia="仿宋" w:cs="仿宋"/>
                <w:color w:val="auto"/>
                <w:sz w:val="24"/>
                <w:highlight w:val="none"/>
              </w:rPr>
            </w:pPr>
          </w:p>
        </w:tc>
        <w:tc>
          <w:tcPr>
            <w:tcW w:w="1422" w:type="dxa"/>
            <w:vMerge w:val="continue"/>
            <w:noWrap w:val="0"/>
            <w:vAlign w:val="top"/>
          </w:tcPr>
          <w:p w14:paraId="0CD010CF">
            <w:pPr>
              <w:pStyle w:val="15"/>
              <w:spacing w:line="360" w:lineRule="auto"/>
              <w:ind w:left="1080" w:leftChars="257" w:hanging="540"/>
              <w:rPr>
                <w:rFonts w:hint="eastAsia" w:ascii="仿宋" w:hAnsi="仿宋" w:eastAsia="仿宋" w:cs="仿宋"/>
                <w:color w:val="auto"/>
                <w:sz w:val="24"/>
                <w:highlight w:val="none"/>
              </w:rPr>
            </w:pPr>
          </w:p>
        </w:tc>
        <w:tc>
          <w:tcPr>
            <w:tcW w:w="993" w:type="dxa"/>
            <w:vMerge w:val="continue"/>
            <w:noWrap w:val="0"/>
            <w:vAlign w:val="top"/>
          </w:tcPr>
          <w:p w14:paraId="2ABA5030">
            <w:pPr>
              <w:pStyle w:val="15"/>
              <w:spacing w:line="360" w:lineRule="auto"/>
              <w:ind w:left="1080" w:leftChars="257" w:hanging="540"/>
              <w:rPr>
                <w:rFonts w:hint="eastAsia" w:ascii="仿宋" w:hAnsi="仿宋" w:eastAsia="仿宋" w:cs="仿宋"/>
                <w:color w:val="auto"/>
                <w:sz w:val="24"/>
                <w:highlight w:val="none"/>
              </w:rPr>
            </w:pPr>
          </w:p>
        </w:tc>
        <w:tc>
          <w:tcPr>
            <w:tcW w:w="1842" w:type="dxa"/>
            <w:noWrap w:val="0"/>
            <w:vAlign w:val="top"/>
          </w:tcPr>
          <w:p w14:paraId="6CDADF0D">
            <w:pPr>
              <w:pStyle w:val="15"/>
              <w:spacing w:line="360" w:lineRule="auto"/>
              <w:ind w:left="1080" w:leftChars="257" w:hanging="540"/>
              <w:rPr>
                <w:rFonts w:hint="eastAsia" w:ascii="仿宋" w:hAnsi="仿宋" w:eastAsia="仿宋" w:cs="仿宋"/>
                <w:color w:val="auto"/>
                <w:sz w:val="24"/>
                <w:highlight w:val="none"/>
              </w:rPr>
            </w:pPr>
          </w:p>
        </w:tc>
        <w:tc>
          <w:tcPr>
            <w:tcW w:w="1560" w:type="dxa"/>
            <w:noWrap w:val="0"/>
            <w:vAlign w:val="top"/>
          </w:tcPr>
          <w:p w14:paraId="332C7C63">
            <w:pPr>
              <w:pStyle w:val="15"/>
              <w:spacing w:line="360" w:lineRule="auto"/>
              <w:ind w:left="1080" w:leftChars="257" w:hanging="540"/>
              <w:rPr>
                <w:rFonts w:hint="eastAsia" w:ascii="仿宋" w:hAnsi="仿宋" w:eastAsia="仿宋" w:cs="仿宋"/>
                <w:color w:val="auto"/>
                <w:sz w:val="24"/>
                <w:highlight w:val="none"/>
              </w:rPr>
            </w:pPr>
          </w:p>
        </w:tc>
        <w:tc>
          <w:tcPr>
            <w:tcW w:w="1134" w:type="dxa"/>
            <w:noWrap w:val="0"/>
            <w:vAlign w:val="top"/>
          </w:tcPr>
          <w:p w14:paraId="164012F5">
            <w:pPr>
              <w:pStyle w:val="15"/>
              <w:spacing w:line="360" w:lineRule="auto"/>
              <w:ind w:left="1080" w:leftChars="257" w:hanging="540"/>
              <w:rPr>
                <w:rFonts w:hint="eastAsia" w:ascii="仿宋" w:hAnsi="仿宋" w:eastAsia="仿宋" w:cs="仿宋"/>
                <w:color w:val="auto"/>
                <w:sz w:val="24"/>
                <w:highlight w:val="none"/>
              </w:rPr>
            </w:pPr>
          </w:p>
        </w:tc>
        <w:tc>
          <w:tcPr>
            <w:tcW w:w="1112" w:type="dxa"/>
            <w:noWrap w:val="0"/>
            <w:vAlign w:val="top"/>
          </w:tcPr>
          <w:p w14:paraId="3D9F2435">
            <w:pPr>
              <w:pStyle w:val="15"/>
              <w:spacing w:line="360" w:lineRule="auto"/>
              <w:ind w:left="1080" w:leftChars="257" w:hanging="540"/>
              <w:rPr>
                <w:rFonts w:hint="eastAsia" w:ascii="仿宋" w:hAnsi="仿宋" w:eastAsia="仿宋" w:cs="仿宋"/>
                <w:color w:val="auto"/>
                <w:sz w:val="24"/>
                <w:highlight w:val="none"/>
              </w:rPr>
            </w:pPr>
          </w:p>
        </w:tc>
      </w:tr>
    </w:tbl>
    <w:p w14:paraId="78496986">
      <w:pPr>
        <w:pStyle w:val="15"/>
        <w:spacing w:line="360" w:lineRule="auto"/>
        <w:ind w:left="1080" w:leftChars="257" w:hanging="540"/>
        <w:rPr>
          <w:rFonts w:hint="eastAsia" w:ascii="仿宋" w:hAnsi="仿宋" w:eastAsia="仿宋" w:cs="仿宋"/>
          <w:color w:val="auto"/>
          <w:sz w:val="24"/>
          <w:highlight w:val="none"/>
        </w:rPr>
      </w:pPr>
    </w:p>
    <w:p w14:paraId="48101896">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7963B13">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661EC2D9">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2DFF032F">
      <w:pPr>
        <w:pStyle w:val="15"/>
        <w:spacing w:line="360" w:lineRule="auto"/>
        <w:rPr>
          <w:rFonts w:hint="eastAsia" w:ascii="仿宋" w:hAnsi="仿宋" w:eastAsia="仿宋" w:cs="仿宋"/>
          <w:color w:val="auto"/>
          <w:sz w:val="24"/>
          <w:highlight w:val="none"/>
          <w:u w:val="single"/>
        </w:rPr>
      </w:pPr>
    </w:p>
    <w:p w14:paraId="114B50DA">
      <w:pPr>
        <w:pStyle w:val="15"/>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w:t>
      </w:r>
    </w:p>
    <w:p w14:paraId="43BB4652">
      <w:pPr>
        <w:pStyle w:val="15"/>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1.投标文件技术参数指标响应内容必须按照投标产品实际参数指标填写，与相关证明材料一致，不得直接将采购文件的技术参数指标要求完全复制作为投标文件响应内容，否则将会影响评审得分。</w:t>
      </w:r>
    </w:p>
    <w:p w14:paraId="584E0B21">
      <w:pPr>
        <w:pStyle w:val="15"/>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2.务必完整填写所有指标响应参数；必须在备注栏进行明确偏离情况，且偏离情况与实际相符</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在说明栏中注明证明材料页码</w:t>
      </w:r>
      <w:r>
        <w:rPr>
          <w:rFonts w:hint="eastAsia" w:ascii="仿宋" w:hAnsi="仿宋" w:eastAsia="仿宋" w:cs="仿宋"/>
          <w:b/>
          <w:bCs/>
          <w:color w:val="auto"/>
          <w:szCs w:val="21"/>
          <w:highlight w:val="none"/>
        </w:rPr>
        <w:t>。</w:t>
      </w:r>
    </w:p>
    <w:p w14:paraId="472AE7AA">
      <w:pPr>
        <w:pStyle w:val="15"/>
        <w:spacing w:line="36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3.本表后按照技术参数要求提供相应的证明文件（包括不限于检测报告、技术白皮书、厂家产品说明、彩页、官网截图等）</w:t>
      </w:r>
    </w:p>
    <w:p w14:paraId="57F4D38E">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（投标文件格式五）</w:t>
      </w:r>
    </w:p>
    <w:p w14:paraId="6B6D829C">
      <w:pPr>
        <w:pStyle w:val="15"/>
        <w:tabs>
          <w:tab w:val="left" w:pos="5580"/>
        </w:tabs>
        <w:spacing w:line="360" w:lineRule="auto"/>
        <w:rPr>
          <w:rFonts w:hint="eastAsia" w:ascii="仿宋" w:hAnsi="仿宋" w:eastAsia="仿宋" w:cs="仿宋"/>
          <w:color w:val="auto"/>
          <w:sz w:val="24"/>
          <w:highlight w:val="none"/>
        </w:rPr>
      </w:pPr>
    </w:p>
    <w:p w14:paraId="36263F68">
      <w:pPr>
        <w:pStyle w:val="5"/>
        <w:ind w:firstLine="0" w:firstLineChars="0"/>
        <w:jc w:val="center"/>
        <w:rPr>
          <w:rFonts w:hint="eastAsia" w:ascii="仿宋" w:hAnsi="仿宋" w:eastAsia="仿宋" w:cs="仿宋"/>
          <w:color w:val="auto"/>
          <w:sz w:val="32"/>
          <w:szCs w:val="32"/>
          <w:highlight w:val="none"/>
        </w:rPr>
      </w:pPr>
      <w:bookmarkStart w:id="930" w:name="_Toc20083"/>
      <w:bookmarkStart w:id="931" w:name="_Toc23826"/>
      <w:bookmarkStart w:id="932" w:name="_Toc10865"/>
      <w:bookmarkStart w:id="933" w:name="_Toc13898"/>
      <w:r>
        <w:rPr>
          <w:rFonts w:hint="eastAsia" w:ascii="仿宋" w:hAnsi="仿宋" w:eastAsia="仿宋" w:cs="仿宋"/>
          <w:color w:val="auto"/>
          <w:sz w:val="32"/>
          <w:szCs w:val="32"/>
          <w:highlight w:val="none"/>
        </w:rPr>
        <w:t>商务条款偏离表</w:t>
      </w:r>
      <w:bookmarkEnd w:id="909"/>
      <w:bookmarkEnd w:id="910"/>
      <w:bookmarkEnd w:id="911"/>
      <w:bookmarkEnd w:id="912"/>
      <w:bookmarkEnd w:id="913"/>
      <w:bookmarkEnd w:id="930"/>
      <w:bookmarkEnd w:id="931"/>
      <w:bookmarkEnd w:id="932"/>
      <w:bookmarkEnd w:id="933"/>
    </w:p>
    <w:bookmarkEnd w:id="914"/>
    <w:bookmarkEnd w:id="915"/>
    <w:bookmarkEnd w:id="916"/>
    <w:bookmarkEnd w:id="917"/>
    <w:p w14:paraId="5F16488F">
      <w:pPr>
        <w:pStyle w:val="11"/>
        <w:rPr>
          <w:rFonts w:hint="eastAsia" w:ascii="仿宋" w:hAnsi="仿宋" w:eastAsia="仿宋" w:cs="仿宋"/>
          <w:color w:val="auto"/>
          <w:highlight w:val="none"/>
          <w:u w:val="single"/>
        </w:rPr>
      </w:pPr>
      <w:r>
        <w:rPr>
          <w:rFonts w:hint="eastAsia" w:ascii="仿宋" w:hAnsi="仿宋" w:eastAsia="仿宋" w:cs="仿宋"/>
          <w:color w:val="auto"/>
          <w:highlight w:val="none"/>
        </w:rPr>
        <w:t>项目编号：</w:t>
      </w:r>
    </w:p>
    <w:p w14:paraId="15471AAD">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627544CD">
      <w:pPr>
        <w:pStyle w:val="15"/>
        <w:wordWrap w:val="0"/>
        <w:spacing w:line="360" w:lineRule="auto"/>
        <w:ind w:left="1080" w:leftChars="257" w:hanging="54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标段:        </w:t>
      </w:r>
    </w:p>
    <w:tbl>
      <w:tblPr>
        <w:tblStyle w:val="3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1792"/>
        <w:gridCol w:w="1628"/>
      </w:tblGrid>
      <w:tr w14:paraId="3FC9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028C5255">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040" w:type="dxa"/>
            <w:noWrap w:val="0"/>
            <w:vAlign w:val="center"/>
          </w:tcPr>
          <w:p w14:paraId="48CCB04E">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招标要求</w:t>
            </w:r>
          </w:p>
        </w:tc>
        <w:tc>
          <w:tcPr>
            <w:tcW w:w="2520" w:type="dxa"/>
            <w:noWrap w:val="0"/>
            <w:vAlign w:val="center"/>
          </w:tcPr>
          <w:p w14:paraId="2D6101E6">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投标响应</w:t>
            </w:r>
          </w:p>
        </w:tc>
        <w:tc>
          <w:tcPr>
            <w:tcW w:w="1792" w:type="dxa"/>
            <w:noWrap w:val="0"/>
            <w:vAlign w:val="center"/>
          </w:tcPr>
          <w:p w14:paraId="12D45929">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tc>
        <w:tc>
          <w:tcPr>
            <w:tcW w:w="1628" w:type="dxa"/>
            <w:noWrap w:val="0"/>
            <w:vAlign w:val="center"/>
          </w:tcPr>
          <w:p w14:paraId="63FAC804">
            <w:pPr>
              <w:pStyle w:val="15"/>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30E3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F5A0B7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25D0B878">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一、合同价款</w:t>
            </w:r>
          </w:p>
        </w:tc>
        <w:tc>
          <w:tcPr>
            <w:tcW w:w="2520" w:type="dxa"/>
            <w:noWrap w:val="0"/>
            <w:vAlign w:val="center"/>
          </w:tcPr>
          <w:p w14:paraId="5A41E654">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51D3BC6E">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09CB3863">
            <w:pPr>
              <w:pStyle w:val="15"/>
              <w:ind w:left="1080" w:leftChars="257" w:hanging="540"/>
              <w:jc w:val="center"/>
              <w:rPr>
                <w:rFonts w:hint="eastAsia" w:ascii="仿宋" w:hAnsi="仿宋" w:eastAsia="仿宋" w:cs="仿宋"/>
                <w:color w:val="auto"/>
                <w:sz w:val="24"/>
                <w:highlight w:val="none"/>
              </w:rPr>
            </w:pPr>
          </w:p>
        </w:tc>
      </w:tr>
      <w:tr w14:paraId="10EC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DFDB46E">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EE8FAD9">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二、知识产权</w:t>
            </w:r>
          </w:p>
        </w:tc>
        <w:tc>
          <w:tcPr>
            <w:tcW w:w="2520" w:type="dxa"/>
            <w:noWrap w:val="0"/>
            <w:vAlign w:val="center"/>
          </w:tcPr>
          <w:p w14:paraId="7515D7DB">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98778A1">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ED5F7C0">
            <w:pPr>
              <w:pStyle w:val="15"/>
              <w:ind w:left="1080" w:leftChars="257" w:hanging="540"/>
              <w:jc w:val="center"/>
              <w:rPr>
                <w:rFonts w:hint="eastAsia" w:ascii="仿宋" w:hAnsi="仿宋" w:eastAsia="仿宋" w:cs="仿宋"/>
                <w:color w:val="auto"/>
                <w:sz w:val="24"/>
                <w:highlight w:val="none"/>
              </w:rPr>
            </w:pPr>
          </w:p>
        </w:tc>
      </w:tr>
      <w:tr w14:paraId="21669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D2A1C4F">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5E4BE37A">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三、交货期</w:t>
            </w:r>
          </w:p>
        </w:tc>
        <w:tc>
          <w:tcPr>
            <w:tcW w:w="2520" w:type="dxa"/>
            <w:noWrap w:val="0"/>
            <w:vAlign w:val="center"/>
          </w:tcPr>
          <w:p w14:paraId="6C4AE96E">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45DAF70E">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72FAB88">
            <w:pPr>
              <w:pStyle w:val="15"/>
              <w:ind w:left="1080" w:leftChars="257" w:hanging="540"/>
              <w:jc w:val="center"/>
              <w:rPr>
                <w:rFonts w:hint="eastAsia" w:ascii="仿宋" w:hAnsi="仿宋" w:eastAsia="仿宋" w:cs="仿宋"/>
                <w:color w:val="auto"/>
                <w:sz w:val="24"/>
                <w:highlight w:val="none"/>
              </w:rPr>
            </w:pPr>
          </w:p>
        </w:tc>
      </w:tr>
      <w:tr w14:paraId="4D2D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439378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1D7C8B7C">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四、项目（交货）地点</w:t>
            </w:r>
          </w:p>
        </w:tc>
        <w:tc>
          <w:tcPr>
            <w:tcW w:w="2520" w:type="dxa"/>
            <w:noWrap w:val="0"/>
            <w:vAlign w:val="center"/>
          </w:tcPr>
          <w:p w14:paraId="68C845CA">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53B755D8">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5076497C">
            <w:pPr>
              <w:pStyle w:val="15"/>
              <w:ind w:left="1080" w:leftChars="257" w:hanging="540"/>
              <w:jc w:val="center"/>
              <w:rPr>
                <w:rFonts w:hint="eastAsia" w:ascii="仿宋" w:hAnsi="仿宋" w:eastAsia="仿宋" w:cs="仿宋"/>
                <w:color w:val="auto"/>
                <w:sz w:val="24"/>
                <w:highlight w:val="none"/>
              </w:rPr>
            </w:pPr>
          </w:p>
        </w:tc>
      </w:tr>
      <w:tr w14:paraId="6434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475AA5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4894B72">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五、包装要求</w:t>
            </w:r>
          </w:p>
        </w:tc>
        <w:tc>
          <w:tcPr>
            <w:tcW w:w="2520" w:type="dxa"/>
            <w:noWrap w:val="0"/>
            <w:vAlign w:val="center"/>
          </w:tcPr>
          <w:p w14:paraId="46E02224">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2B63EEE3">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EAB1A98">
            <w:pPr>
              <w:pStyle w:val="15"/>
              <w:ind w:left="1080" w:leftChars="257" w:hanging="540"/>
              <w:jc w:val="center"/>
              <w:rPr>
                <w:rFonts w:hint="eastAsia" w:ascii="仿宋" w:hAnsi="仿宋" w:eastAsia="仿宋" w:cs="仿宋"/>
                <w:color w:val="auto"/>
                <w:sz w:val="24"/>
                <w:highlight w:val="none"/>
              </w:rPr>
            </w:pPr>
          </w:p>
        </w:tc>
      </w:tr>
      <w:tr w14:paraId="0745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35AACAB">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4368A20F">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六、运输责任</w:t>
            </w:r>
          </w:p>
        </w:tc>
        <w:tc>
          <w:tcPr>
            <w:tcW w:w="2520" w:type="dxa"/>
            <w:noWrap w:val="0"/>
            <w:vAlign w:val="center"/>
          </w:tcPr>
          <w:p w14:paraId="3847ECFD">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18D63B9">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5536D123">
            <w:pPr>
              <w:pStyle w:val="15"/>
              <w:ind w:left="1080" w:leftChars="257" w:hanging="540"/>
              <w:jc w:val="center"/>
              <w:rPr>
                <w:rFonts w:hint="eastAsia" w:ascii="仿宋" w:hAnsi="仿宋" w:eastAsia="仿宋" w:cs="仿宋"/>
                <w:color w:val="auto"/>
                <w:sz w:val="24"/>
                <w:highlight w:val="none"/>
              </w:rPr>
            </w:pPr>
          </w:p>
        </w:tc>
      </w:tr>
      <w:tr w14:paraId="1892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126A909">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4842F166">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七、付款方式</w:t>
            </w:r>
          </w:p>
        </w:tc>
        <w:tc>
          <w:tcPr>
            <w:tcW w:w="2520" w:type="dxa"/>
            <w:noWrap w:val="0"/>
            <w:vAlign w:val="center"/>
          </w:tcPr>
          <w:p w14:paraId="05B854AB">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4F172068">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62B23B9C">
            <w:pPr>
              <w:pStyle w:val="15"/>
              <w:ind w:left="1080" w:leftChars="257" w:hanging="540"/>
              <w:jc w:val="center"/>
              <w:rPr>
                <w:rFonts w:hint="eastAsia" w:ascii="仿宋" w:hAnsi="仿宋" w:eastAsia="仿宋" w:cs="仿宋"/>
                <w:color w:val="auto"/>
                <w:sz w:val="24"/>
                <w:highlight w:val="none"/>
              </w:rPr>
            </w:pPr>
          </w:p>
        </w:tc>
      </w:tr>
      <w:tr w14:paraId="7728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367B2CE">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781C971F">
            <w:pPr>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八、技术保障</w:t>
            </w:r>
          </w:p>
        </w:tc>
        <w:tc>
          <w:tcPr>
            <w:tcW w:w="2520" w:type="dxa"/>
            <w:noWrap w:val="0"/>
            <w:vAlign w:val="center"/>
          </w:tcPr>
          <w:p w14:paraId="7821D400">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7BA43134">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BE6B96F">
            <w:pPr>
              <w:pStyle w:val="15"/>
              <w:ind w:left="1080" w:leftChars="257" w:hanging="540"/>
              <w:jc w:val="center"/>
              <w:rPr>
                <w:rFonts w:hint="eastAsia" w:ascii="仿宋" w:hAnsi="仿宋" w:eastAsia="仿宋" w:cs="仿宋"/>
                <w:color w:val="auto"/>
                <w:sz w:val="24"/>
                <w:highlight w:val="none"/>
              </w:rPr>
            </w:pPr>
          </w:p>
        </w:tc>
      </w:tr>
      <w:tr w14:paraId="135D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773D461">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52108A4B">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九、质量保证</w:t>
            </w:r>
          </w:p>
        </w:tc>
        <w:tc>
          <w:tcPr>
            <w:tcW w:w="2520" w:type="dxa"/>
            <w:noWrap w:val="0"/>
            <w:vAlign w:val="center"/>
          </w:tcPr>
          <w:p w14:paraId="4D53A5EF">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3DB41414">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30022D7E">
            <w:pPr>
              <w:pStyle w:val="15"/>
              <w:ind w:left="1080" w:leftChars="257" w:hanging="540"/>
              <w:jc w:val="center"/>
              <w:rPr>
                <w:rFonts w:hint="eastAsia" w:ascii="仿宋" w:hAnsi="仿宋" w:eastAsia="仿宋" w:cs="仿宋"/>
                <w:color w:val="auto"/>
                <w:sz w:val="24"/>
                <w:highlight w:val="none"/>
              </w:rPr>
            </w:pPr>
          </w:p>
        </w:tc>
      </w:tr>
      <w:tr w14:paraId="19BD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2E55FF0">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C33D701">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w:t>
            </w:r>
          </w:p>
        </w:tc>
        <w:tc>
          <w:tcPr>
            <w:tcW w:w="2520" w:type="dxa"/>
            <w:noWrap w:val="0"/>
            <w:vAlign w:val="center"/>
          </w:tcPr>
          <w:p w14:paraId="1D887AE7">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0D3DBF95">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07BF8397">
            <w:pPr>
              <w:pStyle w:val="15"/>
              <w:ind w:left="1080" w:leftChars="257" w:hanging="540"/>
              <w:jc w:val="center"/>
              <w:rPr>
                <w:rFonts w:hint="eastAsia" w:ascii="仿宋" w:hAnsi="仿宋" w:eastAsia="仿宋" w:cs="仿宋"/>
                <w:color w:val="auto"/>
                <w:sz w:val="24"/>
                <w:highlight w:val="none"/>
              </w:rPr>
            </w:pPr>
          </w:p>
        </w:tc>
      </w:tr>
      <w:tr w14:paraId="3BB8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95114D7">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7498BEFA">
            <w:pPr>
              <w:tabs>
                <w:tab w:val="center" w:pos="972"/>
                <w:tab w:val="right" w:pos="1824"/>
              </w:tabs>
              <w:jc w:val="center"/>
              <w:rPr>
                <w:rFonts w:hint="eastAsia" w:ascii="仿宋" w:hAnsi="仿宋" w:eastAsia="仿宋" w:cs="仿宋"/>
                <w:bCs/>
                <w:color w:val="auto"/>
                <w:sz w:val="24"/>
                <w:highlight w:val="none"/>
                <w:lang w:val="en-US" w:eastAsia="zh-CN"/>
              </w:rPr>
            </w:pPr>
          </w:p>
        </w:tc>
        <w:tc>
          <w:tcPr>
            <w:tcW w:w="2520" w:type="dxa"/>
            <w:noWrap w:val="0"/>
            <w:vAlign w:val="center"/>
          </w:tcPr>
          <w:p w14:paraId="2E6DD9DF">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68E9894C">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1FCA993C">
            <w:pPr>
              <w:pStyle w:val="15"/>
              <w:ind w:left="1080" w:leftChars="257" w:hanging="540"/>
              <w:jc w:val="center"/>
              <w:rPr>
                <w:rFonts w:hint="eastAsia" w:ascii="仿宋" w:hAnsi="仿宋" w:eastAsia="仿宋" w:cs="仿宋"/>
                <w:color w:val="auto"/>
                <w:sz w:val="24"/>
                <w:highlight w:val="none"/>
              </w:rPr>
            </w:pPr>
          </w:p>
        </w:tc>
      </w:tr>
      <w:tr w14:paraId="1BC0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F6A3578">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3A27B686">
            <w:pPr>
              <w:tabs>
                <w:tab w:val="center" w:pos="972"/>
                <w:tab w:val="right" w:pos="1824"/>
              </w:tabs>
              <w:jc w:val="center"/>
              <w:rPr>
                <w:rFonts w:hint="eastAsia" w:ascii="仿宋" w:hAnsi="仿宋" w:eastAsia="仿宋" w:cs="仿宋"/>
                <w:bCs/>
                <w:color w:val="auto"/>
                <w:sz w:val="24"/>
                <w:highlight w:val="none"/>
                <w:lang w:val="en-US" w:eastAsia="zh-CN"/>
              </w:rPr>
            </w:pPr>
          </w:p>
        </w:tc>
        <w:tc>
          <w:tcPr>
            <w:tcW w:w="2520" w:type="dxa"/>
            <w:noWrap w:val="0"/>
            <w:vAlign w:val="center"/>
          </w:tcPr>
          <w:p w14:paraId="1C7750C1">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1202FD8C">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76687DBD">
            <w:pPr>
              <w:pStyle w:val="15"/>
              <w:ind w:left="1080" w:leftChars="257" w:hanging="540"/>
              <w:jc w:val="center"/>
              <w:rPr>
                <w:rFonts w:hint="eastAsia" w:ascii="仿宋" w:hAnsi="仿宋" w:eastAsia="仿宋" w:cs="仿宋"/>
                <w:color w:val="auto"/>
                <w:sz w:val="24"/>
                <w:highlight w:val="none"/>
              </w:rPr>
            </w:pPr>
          </w:p>
        </w:tc>
      </w:tr>
      <w:tr w14:paraId="17AE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1A6D00A6">
            <w:pPr>
              <w:pStyle w:val="15"/>
              <w:ind w:left="1080" w:leftChars="257" w:hanging="540"/>
              <w:jc w:val="center"/>
              <w:rPr>
                <w:rFonts w:hint="eastAsia" w:ascii="仿宋" w:hAnsi="仿宋" w:eastAsia="仿宋" w:cs="仿宋"/>
                <w:color w:val="auto"/>
                <w:sz w:val="24"/>
                <w:highlight w:val="none"/>
              </w:rPr>
            </w:pPr>
          </w:p>
        </w:tc>
        <w:tc>
          <w:tcPr>
            <w:tcW w:w="2040" w:type="dxa"/>
            <w:noWrap w:val="0"/>
            <w:vAlign w:val="center"/>
          </w:tcPr>
          <w:p w14:paraId="208D9544">
            <w:pPr>
              <w:tabs>
                <w:tab w:val="center" w:pos="972"/>
                <w:tab w:val="right" w:pos="1824"/>
              </w:tabs>
              <w:jc w:val="center"/>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w:t>
            </w:r>
          </w:p>
        </w:tc>
        <w:tc>
          <w:tcPr>
            <w:tcW w:w="2520" w:type="dxa"/>
            <w:noWrap w:val="0"/>
            <w:vAlign w:val="center"/>
          </w:tcPr>
          <w:p w14:paraId="71C54618">
            <w:pPr>
              <w:pStyle w:val="15"/>
              <w:ind w:left="1080" w:leftChars="257" w:hanging="540"/>
              <w:jc w:val="center"/>
              <w:rPr>
                <w:rFonts w:hint="eastAsia" w:ascii="仿宋" w:hAnsi="仿宋" w:eastAsia="仿宋" w:cs="仿宋"/>
                <w:color w:val="auto"/>
                <w:sz w:val="24"/>
                <w:highlight w:val="none"/>
              </w:rPr>
            </w:pPr>
          </w:p>
        </w:tc>
        <w:tc>
          <w:tcPr>
            <w:tcW w:w="1792" w:type="dxa"/>
            <w:noWrap w:val="0"/>
            <w:vAlign w:val="center"/>
          </w:tcPr>
          <w:p w14:paraId="15FF55F6">
            <w:pPr>
              <w:pStyle w:val="15"/>
              <w:ind w:left="1080" w:leftChars="257" w:hanging="540"/>
              <w:jc w:val="center"/>
              <w:rPr>
                <w:rFonts w:hint="eastAsia" w:ascii="仿宋" w:hAnsi="仿宋" w:eastAsia="仿宋" w:cs="仿宋"/>
                <w:color w:val="auto"/>
                <w:sz w:val="24"/>
                <w:highlight w:val="none"/>
              </w:rPr>
            </w:pPr>
          </w:p>
        </w:tc>
        <w:tc>
          <w:tcPr>
            <w:tcW w:w="1628" w:type="dxa"/>
            <w:noWrap w:val="0"/>
            <w:vAlign w:val="center"/>
          </w:tcPr>
          <w:p w14:paraId="105320C2">
            <w:pPr>
              <w:pStyle w:val="15"/>
              <w:ind w:left="1080" w:leftChars="257" w:hanging="540"/>
              <w:jc w:val="center"/>
              <w:rPr>
                <w:rFonts w:hint="eastAsia" w:ascii="仿宋" w:hAnsi="仿宋" w:eastAsia="仿宋" w:cs="仿宋"/>
                <w:color w:val="auto"/>
                <w:sz w:val="24"/>
                <w:highlight w:val="none"/>
              </w:rPr>
            </w:pPr>
          </w:p>
        </w:tc>
      </w:tr>
    </w:tbl>
    <w:p w14:paraId="61A3C2AD">
      <w:pPr>
        <w:pStyle w:val="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声明：除本商务偏离表中所列的偏离项目外，其他所有商务均完全响应“招标文件”中的要求</w:t>
      </w:r>
    </w:p>
    <w:p w14:paraId="733CD99D">
      <w:pPr>
        <w:pStyle w:val="15"/>
        <w:spacing w:line="360" w:lineRule="auto"/>
        <w:rPr>
          <w:rFonts w:hint="eastAsia" w:ascii="仿宋" w:hAnsi="仿宋" w:eastAsia="仿宋" w:cs="仿宋"/>
          <w:color w:val="auto"/>
          <w:sz w:val="24"/>
          <w:highlight w:val="none"/>
        </w:rPr>
      </w:pPr>
    </w:p>
    <w:p w14:paraId="749716F9">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00D6F3FA">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3D8401DC">
      <w:pPr>
        <w:pStyle w:val="15"/>
        <w:tabs>
          <w:tab w:val="left" w:pos="5580"/>
        </w:tabs>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619630C7">
      <w:pPr>
        <w:rPr>
          <w:rFonts w:hint="eastAsia" w:ascii="仿宋" w:hAnsi="仿宋" w:eastAsia="仿宋" w:cs="仿宋"/>
          <w:color w:val="auto"/>
          <w:sz w:val="32"/>
          <w:szCs w:val="32"/>
          <w:highlight w:val="none"/>
        </w:rPr>
      </w:pPr>
      <w:bookmarkStart w:id="934" w:name="_Toc30976"/>
      <w:r>
        <w:rPr>
          <w:rFonts w:hint="eastAsia" w:ascii="仿宋" w:hAnsi="仿宋" w:eastAsia="仿宋" w:cs="仿宋"/>
          <w:color w:val="auto"/>
          <w:sz w:val="32"/>
          <w:szCs w:val="32"/>
          <w:highlight w:val="none"/>
        </w:rPr>
        <w:br w:type="page"/>
      </w:r>
    </w:p>
    <w:p w14:paraId="4EE4466D">
      <w:pPr>
        <w:pStyle w:val="5"/>
        <w:ind w:firstLine="0" w:firstLineChars="0"/>
        <w:jc w:val="center"/>
        <w:rPr>
          <w:rFonts w:hint="eastAsia" w:ascii="仿宋" w:hAnsi="仿宋" w:eastAsia="仿宋" w:cs="仿宋"/>
          <w:color w:val="auto"/>
          <w:sz w:val="32"/>
          <w:szCs w:val="32"/>
          <w:highlight w:val="none"/>
        </w:rPr>
      </w:pPr>
      <w:bookmarkStart w:id="935" w:name="_Toc31166"/>
      <w:bookmarkStart w:id="936" w:name="_Toc16166"/>
      <w:bookmarkStart w:id="937" w:name="_Toc17421"/>
      <w:bookmarkStart w:id="938" w:name="_Toc8983"/>
      <w:r>
        <w:rPr>
          <w:rFonts w:hint="eastAsia" w:ascii="仿宋" w:hAnsi="仿宋" w:eastAsia="仿宋" w:cs="仿宋"/>
          <w:color w:val="auto"/>
          <w:sz w:val="32"/>
          <w:szCs w:val="32"/>
          <w:highlight w:val="none"/>
        </w:rPr>
        <w:t>投标产品享受制造商原厂质保承诺书</w:t>
      </w:r>
      <w:bookmarkEnd w:id="934"/>
      <w:bookmarkEnd w:id="935"/>
      <w:bookmarkEnd w:id="936"/>
      <w:bookmarkEnd w:id="937"/>
      <w:bookmarkEnd w:id="938"/>
    </w:p>
    <w:p w14:paraId="32E4A8CC">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 xml:space="preserve">：  </w:t>
      </w:r>
    </w:p>
    <w:p w14:paraId="4248D59B">
      <w:pPr>
        <w:tabs>
          <w:tab w:val="left" w:pos="5580"/>
        </w:tabs>
        <w:spacing w:before="120"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我公司</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rPr>
        <w:t>投标人名称</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郑重作出如下承诺</w:t>
      </w:r>
      <w:r>
        <w:rPr>
          <w:rFonts w:hint="eastAsia" w:ascii="仿宋" w:hAnsi="仿宋" w:eastAsia="仿宋" w:cs="仿宋"/>
          <w:color w:val="auto"/>
          <w:sz w:val="24"/>
          <w:highlight w:val="none"/>
          <w:lang w:eastAsia="zh-CN"/>
        </w:rPr>
        <w:t>：</w:t>
      </w:r>
    </w:p>
    <w:p w14:paraId="59ABFB53">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在本项目投标过程中，我公司所提供的全部投标产品，均严格执行制造商原厂质保服务标准，满足招标文件质保期要求，为设备提供终身免费软件升级服务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无任何虚假承诺或违规隐瞒。若我公司成功中标，将在与采购人正式签署本项目合同的同时，提供由投标产品制造商出具的原厂质保承诺书原件，确保质保服务可追溯、可落实，切实保障采购人的合法权益。本承诺具备法律效力，若违反上述承诺，我公司自愿承担由此产生的全部责任及相关损失。</w:t>
      </w:r>
    </w:p>
    <w:tbl>
      <w:tblPr>
        <w:tblStyle w:val="35"/>
        <w:tblW w:w="8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2713"/>
        <w:gridCol w:w="4326"/>
      </w:tblGrid>
      <w:tr w14:paraId="6C61C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1284" w:type="dxa"/>
            <w:noWrap w:val="0"/>
            <w:vAlign w:val="center"/>
          </w:tcPr>
          <w:p w14:paraId="6E06A763">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序号</w:t>
            </w:r>
          </w:p>
        </w:tc>
        <w:tc>
          <w:tcPr>
            <w:tcW w:w="2713" w:type="dxa"/>
            <w:noWrap w:val="0"/>
            <w:vAlign w:val="center"/>
          </w:tcPr>
          <w:p w14:paraId="744A2A61">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采购标的</w:t>
            </w:r>
          </w:p>
          <w:p w14:paraId="7A3E5272">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（设备名称）</w:t>
            </w:r>
          </w:p>
        </w:tc>
        <w:tc>
          <w:tcPr>
            <w:tcW w:w="4326" w:type="dxa"/>
            <w:noWrap w:val="0"/>
            <w:vAlign w:val="center"/>
          </w:tcPr>
          <w:p w14:paraId="6575F88B">
            <w:pPr>
              <w:jc w:val="center"/>
              <w:rPr>
                <w:rFonts w:hint="eastAsia" w:ascii="仿宋" w:hAnsi="仿宋" w:eastAsia="仿宋" w:cs="仿宋"/>
                <w:b/>
                <w:bCs/>
                <w:color w:val="auto"/>
                <w:kern w:val="2"/>
                <w:sz w:val="21"/>
                <w:szCs w:val="21"/>
                <w:highlight w:val="none"/>
                <w:vertAlign w:val="baseline"/>
                <w:lang w:val="en-US" w:eastAsia="zh-CN" w:bidi="ar-SA"/>
              </w:rPr>
            </w:pPr>
            <w:r>
              <w:rPr>
                <w:rFonts w:hint="eastAsia" w:ascii="仿宋" w:hAnsi="仿宋" w:eastAsia="仿宋" w:cs="仿宋"/>
                <w:b/>
                <w:bCs/>
                <w:color w:val="auto"/>
                <w:sz w:val="21"/>
                <w:szCs w:val="21"/>
                <w:highlight w:val="none"/>
                <w:vertAlign w:val="baseline"/>
                <w:lang w:val="en-US" w:eastAsia="zh-CN"/>
              </w:rPr>
              <w:t>自设备验收合格之日起，各设备全套整机享受原厂质保（年）</w:t>
            </w:r>
          </w:p>
        </w:tc>
      </w:tr>
      <w:tr w14:paraId="76C3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C94DDBA">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1</w:t>
            </w:r>
          </w:p>
        </w:tc>
        <w:tc>
          <w:tcPr>
            <w:tcW w:w="2713" w:type="dxa"/>
            <w:noWrap w:val="0"/>
            <w:vAlign w:val="center"/>
          </w:tcPr>
          <w:p w14:paraId="2671612A">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18A854DD">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C1F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7A522DFA">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2</w:t>
            </w:r>
          </w:p>
        </w:tc>
        <w:tc>
          <w:tcPr>
            <w:tcW w:w="2713" w:type="dxa"/>
            <w:noWrap w:val="0"/>
            <w:vAlign w:val="center"/>
          </w:tcPr>
          <w:p w14:paraId="060A2443">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30FDA6A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27C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51C88629">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3</w:t>
            </w:r>
          </w:p>
        </w:tc>
        <w:tc>
          <w:tcPr>
            <w:tcW w:w="2713" w:type="dxa"/>
            <w:noWrap w:val="0"/>
            <w:vAlign w:val="center"/>
          </w:tcPr>
          <w:p w14:paraId="23A3F341">
            <w:pPr>
              <w:jc w:val="center"/>
              <w:rPr>
                <w:rFonts w:hint="eastAsia" w:ascii="仿宋" w:hAnsi="仿宋" w:eastAsia="仿宋" w:cs="仿宋"/>
                <w:b w:val="0"/>
                <w:bCs w:val="0"/>
                <w:color w:val="auto"/>
                <w:kern w:val="2"/>
                <w:sz w:val="21"/>
                <w:szCs w:val="21"/>
                <w:highlight w:val="none"/>
                <w:vertAlign w:val="baseline"/>
                <w:lang w:val="en-US" w:eastAsia="zh-CN" w:bidi="ar-SA"/>
              </w:rPr>
            </w:pPr>
          </w:p>
        </w:tc>
        <w:tc>
          <w:tcPr>
            <w:tcW w:w="4326" w:type="dxa"/>
            <w:noWrap w:val="0"/>
            <w:vAlign w:val="center"/>
          </w:tcPr>
          <w:p w14:paraId="1245894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kern w:val="2"/>
                <w:sz w:val="21"/>
                <w:szCs w:val="21"/>
                <w:highlight w:val="none"/>
                <w:vertAlign w:val="baseline"/>
                <w:lang w:val="en-US" w:eastAsia="zh-CN" w:bidi="ar-SA"/>
              </w:rPr>
            </w:pPr>
          </w:p>
        </w:tc>
      </w:tr>
      <w:tr w14:paraId="0497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6042FC9">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4</w:t>
            </w:r>
          </w:p>
        </w:tc>
        <w:tc>
          <w:tcPr>
            <w:tcW w:w="2713" w:type="dxa"/>
            <w:noWrap w:val="0"/>
            <w:vAlign w:val="center"/>
          </w:tcPr>
          <w:p w14:paraId="11ED1E61">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2113A56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0E98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187432D7">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5</w:t>
            </w:r>
          </w:p>
        </w:tc>
        <w:tc>
          <w:tcPr>
            <w:tcW w:w="2713" w:type="dxa"/>
            <w:noWrap w:val="0"/>
            <w:vAlign w:val="center"/>
          </w:tcPr>
          <w:p w14:paraId="41C68148">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16E8BAE2">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2CA2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08246E74">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6</w:t>
            </w:r>
          </w:p>
        </w:tc>
        <w:tc>
          <w:tcPr>
            <w:tcW w:w="2713" w:type="dxa"/>
            <w:noWrap w:val="0"/>
            <w:vAlign w:val="center"/>
          </w:tcPr>
          <w:p w14:paraId="17F7F311">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450565AA">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r w14:paraId="337A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84" w:type="dxa"/>
            <w:noWrap w:val="0"/>
            <w:vAlign w:val="center"/>
          </w:tcPr>
          <w:p w14:paraId="481F5F37">
            <w:pPr>
              <w:jc w:val="center"/>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color w:val="auto"/>
                <w:kern w:val="0"/>
                <w:sz w:val="21"/>
                <w:szCs w:val="21"/>
                <w:highlight w:val="none"/>
                <w:lang w:val="en-US" w:eastAsia="zh-CN"/>
              </w:rPr>
              <w:t>7</w:t>
            </w:r>
          </w:p>
        </w:tc>
        <w:tc>
          <w:tcPr>
            <w:tcW w:w="2713" w:type="dxa"/>
            <w:noWrap w:val="0"/>
            <w:vAlign w:val="center"/>
          </w:tcPr>
          <w:p w14:paraId="602E45A2">
            <w:pPr>
              <w:jc w:val="center"/>
              <w:rPr>
                <w:rFonts w:hint="eastAsia" w:ascii="仿宋" w:hAnsi="仿宋" w:eastAsia="仿宋" w:cs="仿宋"/>
                <w:b w:val="0"/>
                <w:bCs w:val="0"/>
                <w:color w:val="auto"/>
                <w:sz w:val="21"/>
                <w:szCs w:val="21"/>
                <w:highlight w:val="none"/>
                <w:vertAlign w:val="baseline"/>
                <w:lang w:val="en-US" w:eastAsia="zh-CN"/>
              </w:rPr>
            </w:pPr>
          </w:p>
        </w:tc>
        <w:tc>
          <w:tcPr>
            <w:tcW w:w="4326" w:type="dxa"/>
            <w:noWrap w:val="0"/>
            <w:vAlign w:val="center"/>
          </w:tcPr>
          <w:p w14:paraId="615E6C4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b w:val="0"/>
                <w:bCs w:val="0"/>
                <w:color w:val="auto"/>
                <w:sz w:val="21"/>
                <w:szCs w:val="21"/>
                <w:highlight w:val="none"/>
                <w:vertAlign w:val="baseline"/>
                <w:lang w:val="en-US" w:eastAsia="zh-CN"/>
              </w:rPr>
            </w:pPr>
          </w:p>
        </w:tc>
      </w:tr>
    </w:tbl>
    <w:p w14:paraId="6BE0929A">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8A9D4F7">
      <w:pPr>
        <w:tabs>
          <w:tab w:val="left" w:pos="5580"/>
        </w:tabs>
        <w:spacing w:before="120" w:line="360" w:lineRule="auto"/>
        <w:ind w:firstLine="480" w:firstLineChars="200"/>
        <w:rPr>
          <w:rFonts w:hint="eastAsia" w:ascii="仿宋" w:hAnsi="仿宋" w:eastAsia="仿宋" w:cs="仿宋"/>
          <w:color w:val="auto"/>
          <w:sz w:val="24"/>
          <w:highlight w:val="none"/>
        </w:rPr>
      </w:pPr>
    </w:p>
    <w:p w14:paraId="2BFC58FC">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46E547EF">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35B5D886">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112438">
      <w:pPr>
        <w:widowControl/>
        <w:spacing w:before="100" w:beforeAutospacing="1" w:after="100" w:afterAutospacing="1"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r>
        <w:rPr>
          <w:rFonts w:hint="eastAsia" w:ascii="仿宋" w:hAnsi="仿宋" w:eastAsia="仿宋" w:cs="仿宋"/>
          <w:color w:val="auto"/>
          <w:kern w:val="0"/>
          <w:sz w:val="24"/>
          <w:highlight w:val="none"/>
        </w:rPr>
        <w:t>（投标文件格式六）</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bookmarkEnd w:id="918"/>
    <w:bookmarkEnd w:id="919"/>
    <w:bookmarkEnd w:id="920"/>
    <w:bookmarkEnd w:id="921"/>
    <w:bookmarkEnd w:id="922"/>
    <w:bookmarkEnd w:id="923"/>
    <w:bookmarkEnd w:id="924"/>
    <w:bookmarkEnd w:id="925"/>
    <w:bookmarkEnd w:id="926"/>
    <w:bookmarkEnd w:id="927"/>
    <w:bookmarkEnd w:id="928"/>
    <w:bookmarkEnd w:id="929"/>
    <w:p w14:paraId="2397C9F0">
      <w:pPr>
        <w:pStyle w:val="5"/>
        <w:ind w:firstLine="0" w:firstLineChars="0"/>
        <w:jc w:val="center"/>
        <w:rPr>
          <w:rFonts w:hint="eastAsia" w:ascii="仿宋" w:hAnsi="仿宋" w:eastAsia="仿宋" w:cs="仿宋"/>
          <w:color w:val="auto"/>
          <w:sz w:val="32"/>
          <w:szCs w:val="32"/>
          <w:highlight w:val="none"/>
        </w:rPr>
      </w:pPr>
      <w:bookmarkStart w:id="939" w:name="_Toc21562"/>
      <w:bookmarkStart w:id="940" w:name="_Toc27639"/>
      <w:bookmarkStart w:id="941" w:name="_Toc29248"/>
      <w:bookmarkStart w:id="942" w:name="_Toc10740"/>
      <w:bookmarkStart w:id="943" w:name="_Toc10631"/>
      <w:bookmarkStart w:id="944" w:name="_Toc19754"/>
      <w:r>
        <w:rPr>
          <w:rFonts w:hint="eastAsia" w:ascii="仿宋" w:hAnsi="仿宋" w:eastAsia="仿宋" w:cs="仿宋"/>
          <w:color w:val="auto"/>
          <w:sz w:val="32"/>
          <w:szCs w:val="32"/>
          <w:highlight w:val="none"/>
        </w:rPr>
        <w:t>中小企业声明函（货物）</w:t>
      </w:r>
      <w:bookmarkEnd w:id="939"/>
      <w:bookmarkEnd w:id="940"/>
      <w:bookmarkEnd w:id="941"/>
      <w:bookmarkEnd w:id="942"/>
      <w:bookmarkEnd w:id="943"/>
      <w:bookmarkEnd w:id="944"/>
    </w:p>
    <w:p w14:paraId="27C370D4">
      <w:pPr>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（注</w:t>
      </w:r>
      <w:r>
        <w:rPr>
          <w:rFonts w:hint="eastAsia" w:ascii="仿宋" w:hAnsi="仿宋" w:eastAsia="仿宋" w:cs="仿宋"/>
          <w:color w:val="auto"/>
          <w:kern w:val="0"/>
          <w:sz w:val="24"/>
          <w:highlight w:val="none"/>
        </w:rPr>
        <w:t>（联合体）</w:t>
      </w:r>
      <w:r>
        <w:rPr>
          <w:rFonts w:hint="eastAsia" w:ascii="仿宋" w:hAnsi="仿宋" w:eastAsia="仿宋" w:cs="仿宋"/>
          <w:color w:val="auto"/>
          <w:sz w:val="24"/>
          <w:szCs w:val="22"/>
          <w:highlight w:val="none"/>
        </w:rPr>
        <w:t>：符合中小企业划型标准的企业请提供本函，不符合的不提供本函）</w:t>
      </w:r>
    </w:p>
    <w:p w14:paraId="092E8A13">
      <w:pPr>
        <w:snapToGrid w:val="0"/>
        <w:spacing w:before="120" w:beforeLines="50"/>
        <w:ind w:firstLine="480" w:firstLineChars="200"/>
        <w:rPr>
          <w:rFonts w:hint="eastAsia" w:ascii="仿宋" w:hAnsi="仿宋" w:eastAsia="仿宋" w:cs="仿宋"/>
          <w:color w:val="auto"/>
          <w:sz w:val="24"/>
          <w:szCs w:val="22"/>
          <w:highlight w:val="none"/>
        </w:rPr>
      </w:pPr>
    </w:p>
    <w:p w14:paraId="07A9745C">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本公司郑重声明，根据《政府采购促进中小企业发展管理办法》（财库﹝2020﹞46号）的规定，本公司（联合体）参加</w:t>
      </w:r>
      <w:r>
        <w:rPr>
          <w:rFonts w:hint="eastAsia" w:ascii="仿宋" w:hAnsi="仿宋" w:eastAsia="仿宋" w:cs="仿宋"/>
          <w:color w:val="auto"/>
          <w:kern w:val="0"/>
          <w:sz w:val="24"/>
          <w:highlight w:val="none"/>
          <w:u w:val="single"/>
        </w:rPr>
        <w:t xml:space="preserve">  （单位名称） </w:t>
      </w:r>
      <w:r>
        <w:rPr>
          <w:rFonts w:hint="eastAsia" w:ascii="仿宋" w:hAnsi="仿宋" w:eastAsia="仿宋" w:cs="仿宋"/>
          <w:color w:val="auto"/>
          <w:kern w:val="0"/>
          <w:sz w:val="24"/>
          <w:highlight w:val="none"/>
        </w:rPr>
        <w:t xml:space="preserve"> 的</w:t>
      </w:r>
      <w:r>
        <w:rPr>
          <w:rFonts w:hint="eastAsia" w:ascii="仿宋" w:hAnsi="仿宋" w:eastAsia="仿宋" w:cs="仿宋"/>
          <w:color w:val="auto"/>
          <w:kern w:val="0"/>
          <w:sz w:val="24"/>
          <w:highlight w:val="none"/>
          <w:u w:val="single"/>
        </w:rPr>
        <w:t xml:space="preserve"> （项目名称） 采购</w:t>
      </w:r>
      <w:r>
        <w:rPr>
          <w:rFonts w:hint="eastAsia" w:ascii="仿宋" w:hAnsi="仿宋" w:eastAsia="仿宋" w:cs="仿宋"/>
          <w:color w:val="auto"/>
          <w:kern w:val="0"/>
          <w:sz w:val="24"/>
          <w:highlight w:val="none"/>
        </w:rPr>
        <w:t>活动，提供的货物全部由符合政策要求的中小企业制造。相关企业（含联合体中的中小企业、签订分包意向协议的中小企业）的具体情况如下：</w:t>
      </w:r>
    </w:p>
    <w:p w14:paraId="70F6447D">
      <w:pPr>
        <w:spacing w:line="560" w:lineRule="exact"/>
        <w:ind w:left="-10" w:leftChars="-5" w:firstLine="489" w:firstLineChars="2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1. </w:t>
      </w:r>
      <w:r>
        <w:rPr>
          <w:rFonts w:hint="eastAsia" w:ascii="仿宋" w:hAnsi="仿宋" w:eastAsia="仿宋" w:cs="仿宋"/>
          <w:color w:val="auto"/>
          <w:kern w:val="0"/>
          <w:sz w:val="24"/>
          <w:highlight w:val="none"/>
          <w:u w:val="single"/>
        </w:rPr>
        <w:t xml:space="preserve"> （标的名称）  </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 xml:space="preserve">  （ 采购文件中明确的所属行业） 行业</w:t>
      </w:r>
      <w:r>
        <w:rPr>
          <w:rFonts w:hint="eastAsia" w:ascii="仿宋" w:hAnsi="仿宋" w:eastAsia="仿宋" w:cs="仿宋"/>
          <w:color w:val="auto"/>
          <w:kern w:val="0"/>
          <w:sz w:val="24"/>
          <w:highlight w:val="none"/>
        </w:rPr>
        <w:t xml:space="preserve"> ；制造商为</w:t>
      </w:r>
      <w:r>
        <w:rPr>
          <w:rFonts w:hint="eastAsia" w:ascii="仿宋" w:hAnsi="仿宋" w:eastAsia="仿宋" w:cs="仿宋"/>
          <w:color w:val="auto"/>
          <w:kern w:val="0"/>
          <w:sz w:val="24"/>
          <w:highlight w:val="none"/>
          <w:u w:val="single"/>
        </w:rPr>
        <w:t xml:space="preserve"> （企业名称）  </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万元，属于 </w:t>
      </w:r>
      <w:r>
        <w:rPr>
          <w:rFonts w:hint="eastAsia" w:ascii="仿宋" w:hAnsi="仿宋" w:eastAsia="仿宋" w:cs="仿宋"/>
          <w:color w:val="auto"/>
          <w:kern w:val="0"/>
          <w:sz w:val="24"/>
          <w:highlight w:val="none"/>
          <w:u w:val="single"/>
        </w:rPr>
        <w:t>（中型企业、小型企业、微型企业）</w:t>
      </w:r>
      <w:r>
        <w:rPr>
          <w:rFonts w:hint="eastAsia" w:ascii="仿宋" w:hAnsi="仿宋" w:eastAsia="仿宋" w:cs="仿宋"/>
          <w:color w:val="auto"/>
          <w:kern w:val="0"/>
          <w:sz w:val="24"/>
          <w:highlight w:val="none"/>
        </w:rPr>
        <w:t>；</w:t>
      </w:r>
    </w:p>
    <w:p w14:paraId="2C652F4D">
      <w:pPr>
        <w:spacing w:line="560" w:lineRule="exact"/>
        <w:ind w:left="-10" w:leftChars="-5" w:firstLine="489" w:firstLineChars="204"/>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2. </w:t>
      </w:r>
      <w:r>
        <w:rPr>
          <w:rFonts w:hint="eastAsia" w:ascii="仿宋" w:hAnsi="仿宋" w:eastAsia="仿宋" w:cs="仿宋"/>
          <w:color w:val="auto"/>
          <w:kern w:val="0"/>
          <w:sz w:val="24"/>
          <w:highlight w:val="none"/>
          <w:u w:val="single"/>
        </w:rPr>
        <w:t xml:space="preserve"> （标的名称）  </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 xml:space="preserve">  （ 采购文件中明确的所属行业） 行业</w:t>
      </w:r>
      <w:r>
        <w:rPr>
          <w:rFonts w:hint="eastAsia" w:ascii="仿宋" w:hAnsi="仿宋" w:eastAsia="仿宋" w:cs="仿宋"/>
          <w:color w:val="auto"/>
          <w:kern w:val="0"/>
          <w:sz w:val="24"/>
          <w:highlight w:val="none"/>
        </w:rPr>
        <w:t xml:space="preserve"> ；制造商为</w:t>
      </w:r>
      <w:r>
        <w:rPr>
          <w:rFonts w:hint="eastAsia" w:ascii="仿宋" w:hAnsi="仿宋" w:eastAsia="仿宋" w:cs="仿宋"/>
          <w:color w:val="auto"/>
          <w:kern w:val="0"/>
          <w:sz w:val="24"/>
          <w:highlight w:val="none"/>
          <w:u w:val="single"/>
        </w:rPr>
        <w:t xml:space="preserve"> （企业名称）  </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万元，属于 </w:t>
      </w:r>
      <w:r>
        <w:rPr>
          <w:rFonts w:hint="eastAsia" w:ascii="仿宋" w:hAnsi="仿宋" w:eastAsia="仿宋" w:cs="仿宋"/>
          <w:color w:val="auto"/>
          <w:kern w:val="0"/>
          <w:sz w:val="24"/>
          <w:highlight w:val="none"/>
          <w:u w:val="single"/>
        </w:rPr>
        <w:t>（中型企业、小型企业、微型企业）</w:t>
      </w:r>
      <w:r>
        <w:rPr>
          <w:rFonts w:hint="eastAsia" w:ascii="仿宋" w:hAnsi="仿宋" w:eastAsia="仿宋" w:cs="仿宋"/>
          <w:color w:val="auto"/>
          <w:kern w:val="0"/>
          <w:sz w:val="24"/>
          <w:highlight w:val="none"/>
        </w:rPr>
        <w:t>；</w:t>
      </w:r>
    </w:p>
    <w:p w14:paraId="688AC9CD">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6AFCC0D5">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6ACD9CF7">
      <w:pPr>
        <w:spacing w:line="560" w:lineRule="exact"/>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618BAE78">
      <w:pPr>
        <w:spacing w:line="560" w:lineRule="exact"/>
        <w:ind w:firstLine="3480" w:firstLineChars="1450"/>
        <w:rPr>
          <w:rFonts w:hint="eastAsia" w:ascii="仿宋" w:hAnsi="仿宋" w:eastAsia="仿宋" w:cs="仿宋"/>
          <w:color w:val="auto"/>
          <w:kern w:val="0"/>
          <w:sz w:val="24"/>
          <w:highlight w:val="none"/>
        </w:rPr>
      </w:pPr>
    </w:p>
    <w:p w14:paraId="4A76DF5B">
      <w:pPr>
        <w:spacing w:line="560" w:lineRule="exact"/>
        <w:ind w:firstLine="3480" w:firstLineChars="1450"/>
        <w:rPr>
          <w:rFonts w:hint="eastAsia" w:ascii="仿宋" w:hAnsi="仿宋" w:eastAsia="仿宋" w:cs="仿宋"/>
          <w:color w:val="auto"/>
          <w:kern w:val="0"/>
          <w:sz w:val="24"/>
          <w:highlight w:val="none"/>
        </w:rPr>
      </w:pPr>
    </w:p>
    <w:p w14:paraId="11D07452">
      <w:pPr>
        <w:spacing w:line="560" w:lineRule="exact"/>
        <w:ind w:firstLine="3480" w:firstLineChars="14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企业名称（盖章）：</w:t>
      </w:r>
    </w:p>
    <w:p w14:paraId="4D50CB87">
      <w:pPr>
        <w:spacing w:line="560" w:lineRule="exact"/>
        <w:ind w:firstLine="3480" w:firstLineChars="1450"/>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highlight w:val="none"/>
        </w:rPr>
        <w:t>日期：</w:t>
      </w:r>
    </w:p>
    <w:p w14:paraId="7CB0FDAA">
      <w:pPr>
        <w:spacing w:line="360" w:lineRule="auto"/>
        <w:rPr>
          <w:rFonts w:hint="eastAsia" w:ascii="仿宋" w:hAnsi="仿宋" w:eastAsia="仿宋" w:cs="仿宋"/>
          <w:color w:val="auto"/>
          <w:highlight w:val="none"/>
        </w:rPr>
      </w:pPr>
    </w:p>
    <w:p w14:paraId="478A5538">
      <w:pPr>
        <w:ind w:left="450" w:hanging="450" w:hangingChars="150"/>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30"/>
          <w:szCs w:val="30"/>
          <w:highlight w:val="none"/>
          <w:u w:val="single"/>
        </w:rPr>
        <w:t xml:space="preserve">                                                     </w:t>
      </w:r>
      <w:r>
        <w:rPr>
          <w:rFonts w:hint="eastAsia" w:ascii="仿宋" w:hAnsi="仿宋" w:eastAsia="仿宋" w:cs="仿宋"/>
          <w:color w:val="auto"/>
          <w:kern w:val="0"/>
          <w:sz w:val="30"/>
          <w:szCs w:val="30"/>
          <w:highlight w:val="none"/>
        </w:rPr>
        <w:t xml:space="preserve">    </w:t>
      </w:r>
      <w:r>
        <w:rPr>
          <w:rFonts w:hint="eastAsia" w:ascii="仿宋" w:hAnsi="仿宋" w:eastAsia="仿宋" w:cs="仿宋"/>
          <w:color w:val="auto"/>
          <w:kern w:val="0"/>
          <w:sz w:val="18"/>
          <w:szCs w:val="18"/>
          <w:highlight w:val="none"/>
        </w:rPr>
        <w:t xml:space="preserve"> </w:t>
      </w:r>
    </w:p>
    <w:p w14:paraId="5DD7479B">
      <w:pPr>
        <w:ind w:left="315" w:leftChars="150" w:firstLine="270" w:firstLineChars="150"/>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（从业人员、营业收入、资产总额填报上一年度数据，无上一年度数据的新成立企业可不填报）</w:t>
      </w:r>
    </w:p>
    <w:p w14:paraId="3CA2EC37">
      <w:pPr>
        <w:ind w:firstLine="105" w:firstLineChars="50"/>
        <w:rPr>
          <w:rFonts w:hint="eastAsia" w:ascii="仿宋" w:hAnsi="仿宋" w:eastAsia="仿宋" w:cs="仿宋"/>
          <w:bCs/>
          <w:color w:val="auto"/>
          <w:kern w:val="0"/>
          <w:sz w:val="24"/>
          <w:szCs w:val="20"/>
          <w:highlight w:val="none"/>
        </w:rPr>
      </w:pPr>
      <w:r>
        <w:rPr>
          <w:rFonts w:hint="eastAsia" w:ascii="仿宋" w:hAnsi="仿宋" w:eastAsia="仿宋" w:cs="仿宋"/>
          <w:color w:val="auto"/>
          <w:highlight w:val="none"/>
        </w:rPr>
        <w:br w:type="page"/>
      </w:r>
      <w:bookmarkStart w:id="945" w:name="_Toc532473512"/>
      <w:bookmarkStart w:id="946" w:name="_Toc515647824"/>
      <w:bookmarkStart w:id="947" w:name="_Toc10977"/>
      <w:bookmarkStart w:id="948" w:name="_Toc11803"/>
      <w:r>
        <w:rPr>
          <w:rFonts w:hint="eastAsia" w:ascii="仿宋" w:hAnsi="仿宋" w:eastAsia="仿宋" w:cs="仿宋"/>
          <w:bCs/>
          <w:color w:val="auto"/>
          <w:kern w:val="0"/>
          <w:sz w:val="24"/>
          <w:szCs w:val="20"/>
          <w:highlight w:val="none"/>
        </w:rPr>
        <w:t>（投标文件格式七）</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0FACA177">
      <w:pPr>
        <w:pStyle w:val="5"/>
        <w:ind w:firstLine="0" w:firstLineChars="0"/>
        <w:jc w:val="center"/>
        <w:rPr>
          <w:rFonts w:hint="eastAsia" w:ascii="仿宋" w:hAnsi="仿宋" w:eastAsia="仿宋" w:cs="仿宋"/>
          <w:color w:val="auto"/>
          <w:sz w:val="32"/>
          <w:szCs w:val="32"/>
          <w:highlight w:val="none"/>
        </w:rPr>
      </w:pPr>
      <w:bookmarkStart w:id="949" w:name="_Toc60929143"/>
      <w:bookmarkStart w:id="950" w:name="_Toc60928911"/>
      <w:bookmarkStart w:id="951" w:name="_Toc17619"/>
      <w:bookmarkStart w:id="952" w:name="_Toc8485"/>
      <w:bookmarkStart w:id="953" w:name="_Toc31462"/>
      <w:bookmarkStart w:id="954" w:name="_Toc3412"/>
      <w:r>
        <w:rPr>
          <w:rFonts w:hint="eastAsia" w:ascii="仿宋" w:hAnsi="仿宋" w:eastAsia="仿宋" w:cs="仿宋"/>
          <w:color w:val="auto"/>
          <w:sz w:val="32"/>
          <w:szCs w:val="32"/>
          <w:highlight w:val="none"/>
        </w:rPr>
        <w:t>投标人监狱企业声明函</w:t>
      </w:r>
      <w:bookmarkEnd w:id="949"/>
      <w:bookmarkEnd w:id="950"/>
      <w:bookmarkEnd w:id="951"/>
      <w:bookmarkEnd w:id="952"/>
      <w:bookmarkEnd w:id="953"/>
      <w:bookmarkEnd w:id="954"/>
    </w:p>
    <w:bookmarkEnd w:id="945"/>
    <w:p w14:paraId="6DA85C92">
      <w:pPr>
        <w:spacing w:line="360" w:lineRule="auto"/>
        <w:ind w:left="1080" w:leftChars="257" w:hanging="540"/>
        <w:jc w:val="center"/>
        <w:rPr>
          <w:rFonts w:hint="eastAsia" w:ascii="仿宋" w:hAnsi="仿宋" w:eastAsia="仿宋" w:cs="仿宋"/>
          <w:b/>
          <w:color w:val="auto"/>
          <w:kern w:val="0"/>
          <w:sz w:val="24"/>
          <w:szCs w:val="20"/>
          <w:highlight w:val="none"/>
        </w:rPr>
      </w:pPr>
    </w:p>
    <w:p w14:paraId="0C7E9773">
      <w:pPr>
        <w:widowControl/>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本单位郑重声明下列事项（按照实际情况勾选或填空）：</w:t>
      </w:r>
    </w:p>
    <w:p w14:paraId="16A4ABE9">
      <w:pPr>
        <w:widowControl/>
        <w:spacing w:before="100" w:beforeAutospacing="1" w:after="100" w:afterAutospacing="1"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本单位为直接投标人提供本单位制造的货物。</w:t>
      </w:r>
    </w:p>
    <w:p w14:paraId="6FC0FA75">
      <w:pPr>
        <w:widowControl/>
        <w:spacing w:before="100" w:beforeAutospacing="1" w:after="100" w:afterAutospacing="1" w:line="360" w:lineRule="auto"/>
        <w:ind w:firstLine="360" w:firstLineChars="15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（请填写：是、不是）监狱企业。如果是，后附省级以上监狱管理局、戒毒管理局（含新疆生产建设兵团）出具的属于监狱企业的证明文件。</w:t>
      </w:r>
    </w:p>
    <w:p w14:paraId="0FEC2733">
      <w:pPr>
        <w:widowControl/>
        <w:spacing w:before="100" w:beforeAutospacing="1" w:after="100" w:afterAutospacing="1" w:line="360" w:lineRule="auto"/>
        <w:ind w:firstLine="42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（2）本企业（单位）</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w:t>
      </w:r>
    </w:p>
    <w:p w14:paraId="15E7DC50">
      <w:pPr>
        <w:widowControl/>
        <w:spacing w:before="100" w:beforeAutospacing="1" w:after="100" w:afterAutospacing="1"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本企业（单位）对上述声明的真实性负责。如有虚假，将依法承担相应责任。</w:t>
      </w:r>
    </w:p>
    <w:p w14:paraId="4C2E918E">
      <w:pPr>
        <w:widowControl/>
        <w:spacing w:before="100" w:beforeAutospacing="1" w:after="100" w:afterAutospacing="1" w:line="360" w:lineRule="auto"/>
        <w:jc w:val="left"/>
        <w:rPr>
          <w:rFonts w:hint="eastAsia" w:ascii="仿宋" w:hAnsi="仿宋" w:eastAsia="仿宋" w:cs="仿宋"/>
          <w:b/>
          <w:color w:val="auto"/>
          <w:kern w:val="0"/>
          <w:sz w:val="24"/>
          <w:szCs w:val="20"/>
          <w:highlight w:val="none"/>
        </w:rPr>
      </w:pPr>
      <w:r>
        <w:rPr>
          <w:rFonts w:hint="eastAsia" w:ascii="仿宋" w:hAnsi="仿宋" w:eastAsia="仿宋" w:cs="仿宋"/>
          <w:color w:val="auto"/>
          <w:kern w:val="0"/>
          <w:sz w:val="24"/>
          <w:highlight w:val="none"/>
        </w:rPr>
        <w:t>　</w:t>
      </w:r>
      <w:r>
        <w:rPr>
          <w:rFonts w:hint="eastAsia" w:ascii="仿宋" w:hAnsi="仿宋" w:eastAsia="仿宋" w:cs="仿宋"/>
          <w:b/>
          <w:color w:val="auto"/>
          <w:kern w:val="0"/>
          <w:sz w:val="24"/>
          <w:szCs w:val="20"/>
          <w:highlight w:val="none"/>
        </w:rPr>
        <w:t>　</w:t>
      </w:r>
    </w:p>
    <w:p w14:paraId="27678D5E">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投标人（盖公章）：</w:t>
      </w:r>
      <w:r>
        <w:rPr>
          <w:rFonts w:hint="eastAsia" w:ascii="仿宋" w:hAnsi="仿宋" w:eastAsia="仿宋" w:cs="仿宋"/>
          <w:color w:val="auto"/>
          <w:sz w:val="24"/>
          <w:highlight w:val="none"/>
          <w:u w:val="single"/>
        </w:rPr>
        <w:t xml:space="preserve">                             </w:t>
      </w:r>
    </w:p>
    <w:p w14:paraId="4147B342">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法定代表人或授权代表（签字或盖章）：</w:t>
      </w:r>
      <w:r>
        <w:rPr>
          <w:rFonts w:hint="eastAsia" w:ascii="仿宋" w:hAnsi="仿宋" w:eastAsia="仿宋" w:cs="仿宋"/>
          <w:color w:val="auto"/>
          <w:sz w:val="24"/>
          <w:highlight w:val="none"/>
          <w:u w:val="single"/>
        </w:rPr>
        <w:t xml:space="preserve">           </w:t>
      </w:r>
    </w:p>
    <w:p w14:paraId="0A36AC33">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68CB672A">
      <w:pPr>
        <w:widowControl/>
        <w:spacing w:before="100" w:beforeAutospacing="1" w:after="100" w:afterAutospacing="1"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u w:val="single"/>
        </w:rPr>
        <w:t>注：符合《关于政府采购支持监狱企业发展有关问题的通知》价格扣减条件的投标人须提交。</w:t>
      </w:r>
    </w:p>
    <w:p w14:paraId="4F42DD20">
      <w:pPr>
        <w:spacing w:line="360" w:lineRule="auto"/>
        <w:rPr>
          <w:rFonts w:hint="eastAsia" w:ascii="仿宋" w:hAnsi="仿宋" w:eastAsia="仿宋" w:cs="仿宋"/>
          <w:color w:val="auto"/>
          <w:kern w:val="0"/>
          <w:sz w:val="24"/>
          <w:szCs w:val="20"/>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kern w:val="0"/>
          <w:sz w:val="24"/>
          <w:szCs w:val="20"/>
          <w:highlight w:val="none"/>
        </w:rPr>
        <w:t>（投标文件格式八）</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1B182E81">
      <w:pPr>
        <w:pStyle w:val="11"/>
        <w:rPr>
          <w:rFonts w:hint="eastAsia" w:ascii="仿宋" w:hAnsi="仿宋" w:eastAsia="仿宋" w:cs="仿宋"/>
          <w:color w:val="auto"/>
          <w:highlight w:val="none"/>
        </w:rPr>
      </w:pPr>
    </w:p>
    <w:p w14:paraId="5B3AC36B">
      <w:pPr>
        <w:pStyle w:val="5"/>
        <w:ind w:firstLine="0" w:firstLineChars="0"/>
        <w:jc w:val="center"/>
        <w:rPr>
          <w:rFonts w:hint="eastAsia" w:ascii="仿宋" w:hAnsi="仿宋" w:eastAsia="仿宋" w:cs="仿宋"/>
          <w:color w:val="auto"/>
          <w:sz w:val="32"/>
          <w:szCs w:val="32"/>
          <w:highlight w:val="none"/>
        </w:rPr>
      </w:pPr>
      <w:bookmarkStart w:id="955" w:name="_Toc25399"/>
      <w:bookmarkStart w:id="956" w:name="_Toc60928912"/>
      <w:bookmarkStart w:id="957" w:name="_Toc30493"/>
      <w:bookmarkStart w:id="958" w:name="_Toc6693"/>
      <w:bookmarkStart w:id="959" w:name="_Toc26016"/>
      <w:bookmarkStart w:id="960" w:name="_Toc60929144"/>
      <w:bookmarkStart w:id="961" w:name="_Toc532473513"/>
      <w:r>
        <w:rPr>
          <w:rFonts w:hint="eastAsia" w:ascii="仿宋" w:hAnsi="仿宋" w:eastAsia="仿宋" w:cs="仿宋"/>
          <w:color w:val="auto"/>
          <w:sz w:val="32"/>
          <w:szCs w:val="32"/>
          <w:highlight w:val="none"/>
        </w:rPr>
        <w:t>残疾人福利性单位声明函</w:t>
      </w:r>
      <w:bookmarkEnd w:id="955"/>
      <w:bookmarkEnd w:id="956"/>
      <w:bookmarkEnd w:id="957"/>
      <w:bookmarkEnd w:id="958"/>
      <w:bookmarkEnd w:id="959"/>
      <w:bookmarkEnd w:id="960"/>
    </w:p>
    <w:bookmarkEnd w:id="961"/>
    <w:p w14:paraId="08667A9D">
      <w:pPr>
        <w:spacing w:line="360" w:lineRule="auto"/>
        <w:ind w:left="1080" w:leftChars="257" w:hanging="540"/>
        <w:jc w:val="center"/>
        <w:rPr>
          <w:rFonts w:hint="eastAsia" w:ascii="仿宋" w:hAnsi="仿宋" w:eastAsia="仿宋" w:cs="仿宋"/>
          <w:color w:val="auto"/>
          <w:kern w:val="0"/>
          <w:sz w:val="24"/>
          <w:szCs w:val="20"/>
          <w:highlight w:val="none"/>
        </w:rPr>
      </w:pPr>
    </w:p>
    <w:p w14:paraId="718C4166">
      <w:pPr>
        <w:spacing w:line="360" w:lineRule="auto"/>
        <w:ind w:firstLine="567"/>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u w:val="single"/>
          <w:lang w:val="en-US" w:eastAsia="zh-CN"/>
        </w:rPr>
        <w:t>采购人名称</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rPr>
        <w:t>的</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u w:val="single"/>
          <w:lang w:val="en-US" w:eastAsia="zh-CN"/>
        </w:rPr>
        <w:t>项目名称</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rPr>
        <w:t>采购活动提供本单位制造的货物</w:t>
      </w:r>
      <w:r>
        <w:rPr>
          <w:rFonts w:hint="eastAsia" w:ascii="仿宋" w:hAnsi="仿宋" w:eastAsia="仿宋" w:cs="仿宋"/>
          <w:color w:val="auto"/>
          <w:kern w:val="0"/>
          <w:sz w:val="24"/>
          <w:highlight w:val="none"/>
        </w:rPr>
        <w:t>（由本单位承担提供服务）</w:t>
      </w:r>
      <w:r>
        <w:rPr>
          <w:rFonts w:hint="eastAsia" w:ascii="仿宋" w:hAnsi="仿宋" w:eastAsia="仿宋" w:cs="仿宋"/>
          <w:color w:val="auto"/>
          <w:kern w:val="0"/>
          <w:sz w:val="24"/>
          <w:szCs w:val="20"/>
          <w:highlight w:val="none"/>
        </w:rPr>
        <w:t>，或者提供其他残疾人福利性单位制造的货物（不包括使用非残疾人福利性单位注册商标的货物）。</w:t>
      </w:r>
    </w:p>
    <w:p w14:paraId="36982D29">
      <w:pPr>
        <w:spacing w:line="360" w:lineRule="auto"/>
        <w:ind w:left="1080" w:leftChars="257" w:hanging="54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rPr>
        <w:t>本单位对上述声明的真实性负责。如有虚假，将依法承担相应责任。</w:t>
      </w:r>
    </w:p>
    <w:p w14:paraId="6E806CE8">
      <w:pPr>
        <w:spacing w:line="360" w:lineRule="auto"/>
        <w:ind w:left="1080" w:leftChars="257" w:hanging="540"/>
        <w:jc w:val="center"/>
        <w:rPr>
          <w:rFonts w:hint="eastAsia" w:ascii="仿宋" w:hAnsi="仿宋" w:eastAsia="仿宋" w:cs="仿宋"/>
          <w:color w:val="auto"/>
          <w:kern w:val="0"/>
          <w:sz w:val="24"/>
          <w:szCs w:val="20"/>
          <w:highlight w:val="none"/>
        </w:rPr>
      </w:pPr>
    </w:p>
    <w:p w14:paraId="28395A74">
      <w:pPr>
        <w:spacing w:line="360" w:lineRule="auto"/>
        <w:ind w:left="1080" w:leftChars="257" w:hanging="540"/>
        <w:jc w:val="center"/>
        <w:rPr>
          <w:rFonts w:hint="eastAsia" w:ascii="仿宋" w:hAnsi="仿宋" w:eastAsia="仿宋" w:cs="仿宋"/>
          <w:color w:val="auto"/>
          <w:kern w:val="0"/>
          <w:sz w:val="24"/>
          <w:szCs w:val="20"/>
          <w:highlight w:val="none"/>
        </w:rPr>
      </w:pPr>
    </w:p>
    <w:p w14:paraId="628E5E31">
      <w:pPr>
        <w:spacing w:line="360" w:lineRule="auto"/>
        <w:ind w:left="1080" w:leftChars="257" w:hanging="540"/>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rPr>
        <w:t>残疾人福利性单位（</w:t>
      </w:r>
      <w:r>
        <w:rPr>
          <w:rFonts w:hint="eastAsia" w:ascii="仿宋" w:hAnsi="仿宋" w:eastAsia="仿宋" w:cs="仿宋"/>
          <w:color w:val="auto"/>
          <w:sz w:val="24"/>
          <w:highlight w:val="none"/>
        </w:rPr>
        <w:t>盖公章</w:t>
      </w:r>
      <w:r>
        <w:rPr>
          <w:rFonts w:hint="eastAsia" w:ascii="仿宋" w:hAnsi="仿宋" w:eastAsia="仿宋" w:cs="仿宋"/>
          <w:color w:val="auto"/>
          <w:kern w:val="0"/>
          <w:sz w:val="24"/>
          <w:szCs w:val="20"/>
          <w:highlight w:val="none"/>
        </w:rPr>
        <w:t>）：</w:t>
      </w:r>
      <w:r>
        <w:rPr>
          <w:rFonts w:hint="eastAsia" w:ascii="仿宋" w:hAnsi="仿宋" w:eastAsia="仿宋" w:cs="仿宋"/>
          <w:color w:val="auto"/>
          <w:kern w:val="0"/>
          <w:sz w:val="24"/>
          <w:szCs w:val="20"/>
          <w:highlight w:val="none"/>
          <w:u w:val="single"/>
        </w:rPr>
        <w:t xml:space="preserve">                        </w:t>
      </w:r>
    </w:p>
    <w:p w14:paraId="39265795">
      <w:pPr>
        <w:spacing w:line="360" w:lineRule="auto"/>
        <w:ind w:left="1080" w:leftChars="257" w:hanging="54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highlight w:val="none"/>
        </w:rPr>
        <w:t xml:space="preserve">法定代表人或授权代表（签字或盖章）:  </w:t>
      </w:r>
      <w:r>
        <w:rPr>
          <w:rFonts w:hint="eastAsia" w:ascii="仿宋" w:hAnsi="仿宋" w:eastAsia="仿宋" w:cs="仿宋"/>
          <w:color w:val="auto"/>
          <w:kern w:val="0"/>
          <w:sz w:val="24"/>
          <w:szCs w:val="20"/>
          <w:highlight w:val="none"/>
          <w:u w:val="single"/>
        </w:rPr>
        <w:t xml:space="preserve">               </w:t>
      </w:r>
      <w:r>
        <w:rPr>
          <w:rFonts w:hint="eastAsia" w:ascii="仿宋" w:hAnsi="仿宋" w:eastAsia="仿宋" w:cs="仿宋"/>
          <w:color w:val="auto"/>
          <w:kern w:val="0"/>
          <w:sz w:val="24"/>
          <w:highlight w:val="none"/>
        </w:rPr>
        <w:t xml:space="preserve">         </w:t>
      </w:r>
    </w:p>
    <w:p w14:paraId="588B512D">
      <w:pPr>
        <w:spacing w:line="360" w:lineRule="auto"/>
        <w:ind w:firstLine="600" w:firstLineChars="250"/>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rPr>
        <w:t>日  期：</w:t>
      </w:r>
      <w:r>
        <w:rPr>
          <w:rFonts w:hint="eastAsia" w:ascii="仿宋" w:hAnsi="仿宋" w:eastAsia="仿宋" w:cs="仿宋"/>
          <w:color w:val="auto"/>
          <w:kern w:val="0"/>
          <w:sz w:val="24"/>
          <w:szCs w:val="20"/>
          <w:highlight w:val="none"/>
          <w:u w:val="single"/>
        </w:rPr>
        <w:t xml:space="preserve">                                           </w:t>
      </w:r>
    </w:p>
    <w:p w14:paraId="5E674A5B">
      <w:pPr>
        <w:spacing w:line="360" w:lineRule="auto"/>
        <w:ind w:firstLine="600" w:firstLineChars="250"/>
        <w:rPr>
          <w:rFonts w:hint="eastAsia" w:ascii="仿宋" w:hAnsi="仿宋" w:eastAsia="仿宋" w:cs="仿宋"/>
          <w:color w:val="auto"/>
          <w:kern w:val="0"/>
          <w:sz w:val="24"/>
          <w:szCs w:val="20"/>
          <w:highlight w:val="none"/>
          <w:u w:val="single"/>
        </w:rPr>
      </w:pPr>
    </w:p>
    <w:p w14:paraId="1BE76D6A">
      <w:pPr>
        <w:spacing w:line="360" w:lineRule="auto"/>
        <w:ind w:firstLine="600" w:firstLineChars="250"/>
        <w:rPr>
          <w:rFonts w:hint="eastAsia" w:ascii="仿宋" w:hAnsi="仿宋" w:eastAsia="仿宋" w:cs="仿宋"/>
          <w:color w:val="auto"/>
          <w:kern w:val="0"/>
          <w:sz w:val="24"/>
          <w:szCs w:val="20"/>
          <w:highlight w:val="none"/>
          <w:u w:val="single"/>
        </w:rPr>
      </w:pPr>
    </w:p>
    <w:p w14:paraId="17D1E87C">
      <w:pPr>
        <w:spacing w:line="360" w:lineRule="auto"/>
        <w:ind w:firstLine="600" w:firstLineChars="250"/>
        <w:rPr>
          <w:rFonts w:hint="eastAsia" w:ascii="仿宋" w:hAnsi="仿宋" w:eastAsia="仿宋" w:cs="仿宋"/>
          <w:color w:val="auto"/>
          <w:kern w:val="0"/>
          <w:sz w:val="24"/>
          <w:szCs w:val="20"/>
          <w:highlight w:val="none"/>
          <w:u w:val="single"/>
        </w:rPr>
      </w:pPr>
    </w:p>
    <w:p w14:paraId="29B42C42">
      <w:pPr>
        <w:spacing w:line="360" w:lineRule="auto"/>
        <w:ind w:firstLine="600" w:firstLineChars="250"/>
        <w:rPr>
          <w:rFonts w:hint="eastAsia" w:ascii="仿宋" w:hAnsi="仿宋" w:eastAsia="仿宋" w:cs="仿宋"/>
          <w:color w:val="auto"/>
          <w:kern w:val="0"/>
          <w:sz w:val="24"/>
          <w:szCs w:val="20"/>
          <w:highlight w:val="none"/>
          <w:u w:val="single"/>
        </w:rPr>
      </w:pPr>
    </w:p>
    <w:p w14:paraId="240D3320">
      <w:pPr>
        <w:spacing w:line="360" w:lineRule="auto"/>
        <w:ind w:firstLine="600" w:firstLineChars="250"/>
        <w:rPr>
          <w:rFonts w:hint="eastAsia" w:ascii="仿宋" w:hAnsi="仿宋" w:eastAsia="仿宋" w:cs="仿宋"/>
          <w:color w:val="auto"/>
          <w:kern w:val="0"/>
          <w:sz w:val="24"/>
          <w:szCs w:val="20"/>
          <w:highlight w:val="none"/>
          <w:u w:val="single"/>
        </w:rPr>
      </w:pPr>
    </w:p>
    <w:p w14:paraId="650C224C">
      <w:pPr>
        <w:spacing w:line="360" w:lineRule="auto"/>
        <w:ind w:firstLine="600" w:firstLineChars="250"/>
        <w:rPr>
          <w:rFonts w:hint="eastAsia" w:ascii="仿宋" w:hAnsi="仿宋" w:eastAsia="仿宋" w:cs="仿宋"/>
          <w:color w:val="auto"/>
          <w:kern w:val="0"/>
          <w:sz w:val="24"/>
          <w:szCs w:val="20"/>
          <w:highlight w:val="none"/>
          <w:u w:val="single"/>
        </w:rPr>
      </w:pPr>
    </w:p>
    <w:p w14:paraId="40637142">
      <w:pPr>
        <w:spacing w:line="360" w:lineRule="auto"/>
        <w:rPr>
          <w:rFonts w:hint="eastAsia" w:ascii="仿宋" w:hAnsi="仿宋" w:eastAsia="仿宋" w:cs="仿宋"/>
          <w:color w:val="auto"/>
          <w:kern w:val="0"/>
          <w:sz w:val="24"/>
          <w:szCs w:val="20"/>
          <w:highlight w:val="none"/>
          <w:u w:val="single"/>
        </w:rPr>
      </w:pPr>
      <w:r>
        <w:rPr>
          <w:rFonts w:hint="eastAsia" w:ascii="仿宋" w:hAnsi="仿宋" w:eastAsia="仿宋" w:cs="仿宋"/>
          <w:color w:val="auto"/>
          <w:kern w:val="0"/>
          <w:sz w:val="24"/>
          <w:szCs w:val="20"/>
          <w:highlight w:val="none"/>
          <w:u w:val="single"/>
        </w:rPr>
        <w:t>注：符合《财政部 民政部 中国残疾人联合会关于促进残疾人就业政府采购政策的通知》价格扣减条件的投标人须提交。</w:t>
      </w:r>
    </w:p>
    <w:p w14:paraId="3DD9D7B0">
      <w:pPr>
        <w:widowControl/>
        <w:spacing w:before="100" w:beforeAutospacing="1" w:after="100" w:afterAutospacing="1" w:line="360" w:lineRule="auto"/>
        <w:rPr>
          <w:rFonts w:hint="eastAsia" w:ascii="仿宋" w:hAnsi="仿宋" w:eastAsia="仿宋" w:cs="仿宋"/>
          <w:color w:val="auto"/>
          <w:kern w:val="0"/>
          <w:sz w:val="24"/>
          <w:szCs w:val="20"/>
          <w:highlight w:val="none"/>
          <w:lang w:eastAsia="zh-CN"/>
        </w:rPr>
      </w:pPr>
      <w:r>
        <w:rPr>
          <w:rFonts w:hint="eastAsia" w:ascii="仿宋" w:hAnsi="仿宋" w:eastAsia="仿宋" w:cs="仿宋"/>
          <w:b/>
          <w:color w:val="auto"/>
          <w:sz w:val="24"/>
          <w:highlight w:val="none"/>
        </w:rPr>
        <w:br w:type="page"/>
      </w:r>
      <w:bookmarkEnd w:id="946"/>
      <w:bookmarkEnd w:id="947"/>
      <w:bookmarkEnd w:id="948"/>
      <w:r>
        <w:rPr>
          <w:rFonts w:hint="eastAsia" w:ascii="仿宋" w:hAnsi="仿宋" w:eastAsia="仿宋" w:cs="仿宋"/>
          <w:color w:val="auto"/>
          <w:kern w:val="0"/>
          <w:sz w:val="24"/>
          <w:szCs w:val="20"/>
          <w:highlight w:val="none"/>
        </w:rPr>
        <w:t>（投标文件格式</w:t>
      </w:r>
      <w:r>
        <w:rPr>
          <w:rFonts w:hint="eastAsia" w:ascii="仿宋" w:hAnsi="仿宋" w:eastAsia="仿宋" w:cs="仿宋"/>
          <w:color w:val="auto"/>
          <w:kern w:val="0"/>
          <w:sz w:val="24"/>
          <w:szCs w:val="20"/>
          <w:highlight w:val="none"/>
          <w:lang w:val="en-US" w:eastAsia="zh-CN"/>
        </w:rPr>
        <w:t>九</w:t>
      </w:r>
      <w:r>
        <w:rPr>
          <w:rFonts w:hint="eastAsia" w:ascii="仿宋" w:hAnsi="仿宋" w:eastAsia="仿宋" w:cs="仿宋"/>
          <w:color w:val="auto"/>
          <w:kern w:val="0"/>
          <w:sz w:val="24"/>
          <w:szCs w:val="20"/>
          <w:highlight w:val="none"/>
        </w:rPr>
        <w:t>）</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lang w:val="en-US" w:eastAsia="zh-CN"/>
        </w:rPr>
        <w:t>如适用</w:t>
      </w:r>
      <w:r>
        <w:rPr>
          <w:rFonts w:hint="eastAsia" w:ascii="仿宋" w:hAnsi="仿宋" w:eastAsia="仿宋" w:cs="仿宋"/>
          <w:color w:val="auto"/>
          <w:kern w:val="0"/>
          <w:sz w:val="24"/>
          <w:szCs w:val="20"/>
          <w:highlight w:val="none"/>
          <w:lang w:eastAsia="zh-CN"/>
        </w:rPr>
        <w:t>）</w:t>
      </w:r>
    </w:p>
    <w:p w14:paraId="036F0908">
      <w:pPr>
        <w:pStyle w:val="5"/>
        <w:ind w:firstLine="0" w:firstLineChars="0"/>
        <w:jc w:val="center"/>
        <w:rPr>
          <w:rFonts w:hint="eastAsia" w:ascii="仿宋" w:hAnsi="仿宋" w:eastAsia="仿宋" w:cs="仿宋"/>
          <w:b/>
          <w:color w:val="auto"/>
          <w:sz w:val="32"/>
          <w:szCs w:val="32"/>
          <w:highlight w:val="none"/>
          <w:lang w:eastAsia="zh-CN"/>
        </w:rPr>
      </w:pPr>
      <w:bookmarkStart w:id="962" w:name="_Toc30727"/>
      <w:bookmarkStart w:id="963" w:name="_Toc29133"/>
      <w:bookmarkStart w:id="964" w:name="_Toc24424"/>
      <w:bookmarkStart w:id="965" w:name="_Toc1847"/>
      <w:r>
        <w:rPr>
          <w:rFonts w:hint="eastAsia" w:ascii="仿宋" w:hAnsi="仿宋" w:eastAsia="仿宋" w:cs="仿宋"/>
          <w:b/>
          <w:color w:val="auto"/>
          <w:sz w:val="32"/>
          <w:szCs w:val="32"/>
          <w:highlight w:val="none"/>
          <w:lang w:eastAsia="zh-CN"/>
        </w:rPr>
        <w:t>关于符合本国产品标准的声明函</w:t>
      </w:r>
      <w:bookmarkEnd w:id="962"/>
      <w:bookmarkEnd w:id="963"/>
      <w:bookmarkEnd w:id="964"/>
      <w:bookmarkEnd w:id="965"/>
    </w:p>
    <w:p w14:paraId="3BC21E89">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6A633790">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1，生产厂为</w:t>
      </w:r>
      <w:r>
        <w:rPr>
          <w:rFonts w:hint="eastAsia" w:ascii="仿宋" w:hAnsi="仿宋" w:eastAsia="仿宋" w:cs="仿宋"/>
          <w:color w:val="auto"/>
          <w:kern w:val="0"/>
          <w:sz w:val="24"/>
          <w:szCs w:val="20"/>
          <w:highlight w:val="none"/>
          <w:u w:val="single"/>
          <w:lang w:eastAsia="zh-CN"/>
        </w:rPr>
        <w:t>（厂名）</w:t>
      </w:r>
      <w:r>
        <w:rPr>
          <w:rFonts w:hint="eastAsia" w:ascii="仿宋" w:hAnsi="仿宋" w:eastAsia="仿宋" w:cs="仿宋"/>
          <w:color w:val="auto"/>
          <w:kern w:val="0"/>
          <w:sz w:val="24"/>
          <w:szCs w:val="20"/>
          <w:highlight w:val="none"/>
          <w:u w:val="none"/>
          <w:lang w:eastAsia="zh-CN"/>
        </w:rPr>
        <w:t>2</w:t>
      </w:r>
      <w:r>
        <w:rPr>
          <w:rFonts w:hint="eastAsia" w:ascii="仿宋" w:hAnsi="仿宋" w:eastAsia="仿宋" w:cs="仿宋"/>
          <w:color w:val="auto"/>
          <w:kern w:val="0"/>
          <w:sz w:val="24"/>
          <w:szCs w:val="20"/>
          <w:highlight w:val="none"/>
          <w:lang w:eastAsia="zh-CN"/>
        </w:rPr>
        <w:t>，厂址为</w:t>
      </w:r>
      <w:r>
        <w:rPr>
          <w:rFonts w:hint="eastAsia" w:ascii="仿宋" w:hAnsi="仿宋" w:eastAsia="仿宋" w:cs="仿宋"/>
          <w:color w:val="auto"/>
          <w:kern w:val="0"/>
          <w:sz w:val="24"/>
          <w:szCs w:val="20"/>
          <w:highlight w:val="none"/>
          <w:u w:val="single"/>
          <w:lang w:eastAsia="zh-CN"/>
        </w:rPr>
        <w:t>（生产厂址）</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的中国境内生产的组件成本占比≥</w:t>
      </w:r>
      <w:r>
        <w:rPr>
          <w:rFonts w:hint="eastAsia" w:ascii="仿宋" w:hAnsi="仿宋" w:eastAsia="仿宋" w:cs="仿宋"/>
          <w:color w:val="auto"/>
          <w:kern w:val="0"/>
          <w:sz w:val="24"/>
          <w:szCs w:val="20"/>
          <w:highlight w:val="none"/>
          <w:u w:val="single"/>
          <w:lang w:eastAsia="zh-CN"/>
        </w:rPr>
        <w:t>（规定比例）</w:t>
      </w:r>
      <w:r>
        <w:rPr>
          <w:rFonts w:hint="eastAsia" w:ascii="仿宋" w:hAnsi="仿宋" w:eastAsia="仿宋" w:cs="仿宋"/>
          <w:color w:val="auto"/>
          <w:kern w:val="0"/>
          <w:sz w:val="24"/>
          <w:szCs w:val="20"/>
          <w:highlight w:val="none"/>
          <w:lang w:eastAsia="zh-CN"/>
        </w:rPr>
        <w:t>3。</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（关键组件）</w:t>
      </w:r>
      <w:r>
        <w:rPr>
          <w:rFonts w:hint="eastAsia" w:ascii="仿宋" w:hAnsi="仿宋" w:eastAsia="仿宋" w:cs="仿宋"/>
          <w:color w:val="auto"/>
          <w:kern w:val="0"/>
          <w:sz w:val="24"/>
          <w:szCs w:val="20"/>
          <w:highlight w:val="none"/>
          <w:lang w:eastAsia="zh-CN"/>
        </w:rPr>
        <w:t>4在中国境内生产。</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（关键工序）5</w:t>
      </w:r>
      <w:r>
        <w:rPr>
          <w:rFonts w:hint="eastAsia" w:ascii="仿宋" w:hAnsi="仿宋" w:eastAsia="仿宋" w:cs="仿宋"/>
          <w:color w:val="auto"/>
          <w:kern w:val="0"/>
          <w:sz w:val="24"/>
          <w:szCs w:val="20"/>
          <w:highlight w:val="none"/>
          <w:lang w:eastAsia="zh-CN"/>
        </w:rPr>
        <w:t>在中国境内完成。</w:t>
      </w:r>
    </w:p>
    <w:p w14:paraId="6D4C978B">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val="en-US" w:eastAsia="zh-CN"/>
        </w:rPr>
        <w:t>2</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1，生产厂为</w:t>
      </w:r>
      <w:r>
        <w:rPr>
          <w:rFonts w:hint="eastAsia" w:ascii="仿宋" w:hAnsi="仿宋" w:eastAsia="仿宋" w:cs="仿宋"/>
          <w:color w:val="auto"/>
          <w:kern w:val="0"/>
          <w:sz w:val="24"/>
          <w:szCs w:val="20"/>
          <w:highlight w:val="none"/>
          <w:u w:val="single"/>
          <w:lang w:eastAsia="zh-CN"/>
        </w:rPr>
        <w:t>（厂名）</w:t>
      </w:r>
      <w:r>
        <w:rPr>
          <w:rFonts w:hint="eastAsia" w:ascii="仿宋" w:hAnsi="仿宋" w:eastAsia="仿宋" w:cs="仿宋"/>
          <w:color w:val="auto"/>
          <w:kern w:val="0"/>
          <w:sz w:val="24"/>
          <w:szCs w:val="20"/>
          <w:highlight w:val="none"/>
          <w:u w:val="none"/>
          <w:lang w:eastAsia="zh-CN"/>
        </w:rPr>
        <w:t>2</w:t>
      </w:r>
      <w:r>
        <w:rPr>
          <w:rFonts w:hint="eastAsia" w:ascii="仿宋" w:hAnsi="仿宋" w:eastAsia="仿宋" w:cs="仿宋"/>
          <w:color w:val="auto"/>
          <w:kern w:val="0"/>
          <w:sz w:val="24"/>
          <w:szCs w:val="20"/>
          <w:highlight w:val="none"/>
          <w:lang w:eastAsia="zh-CN"/>
        </w:rPr>
        <w:t>，厂址为</w:t>
      </w:r>
      <w:r>
        <w:rPr>
          <w:rFonts w:hint="eastAsia" w:ascii="仿宋" w:hAnsi="仿宋" w:eastAsia="仿宋" w:cs="仿宋"/>
          <w:color w:val="auto"/>
          <w:kern w:val="0"/>
          <w:sz w:val="24"/>
          <w:szCs w:val="20"/>
          <w:highlight w:val="none"/>
          <w:u w:val="single"/>
          <w:lang w:eastAsia="zh-CN"/>
        </w:rPr>
        <w:t>（生产厂址）</w:t>
      </w:r>
      <w:r>
        <w:rPr>
          <w:rFonts w:hint="eastAsia" w:ascii="仿宋" w:hAnsi="仿宋" w:eastAsia="仿宋" w:cs="仿宋"/>
          <w:color w:val="auto"/>
          <w:kern w:val="0"/>
          <w:sz w:val="24"/>
          <w:szCs w:val="20"/>
          <w:highlight w:val="none"/>
          <w:lang w:eastAsia="zh-CN"/>
        </w:rPr>
        <w:t>。</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的中国境内生产的组件成本占比≥</w:t>
      </w:r>
      <w:r>
        <w:rPr>
          <w:rFonts w:hint="eastAsia" w:ascii="仿宋" w:hAnsi="仿宋" w:eastAsia="仿宋" w:cs="仿宋"/>
          <w:color w:val="auto"/>
          <w:kern w:val="0"/>
          <w:sz w:val="24"/>
          <w:szCs w:val="20"/>
          <w:highlight w:val="none"/>
          <w:u w:val="single"/>
          <w:lang w:eastAsia="zh-CN"/>
        </w:rPr>
        <w:t>（规定比例）</w:t>
      </w:r>
      <w:r>
        <w:rPr>
          <w:rFonts w:hint="eastAsia" w:ascii="仿宋" w:hAnsi="仿宋" w:eastAsia="仿宋" w:cs="仿宋"/>
          <w:color w:val="auto"/>
          <w:kern w:val="0"/>
          <w:sz w:val="24"/>
          <w:szCs w:val="20"/>
          <w:highlight w:val="none"/>
          <w:lang w:eastAsia="zh-CN"/>
        </w:rPr>
        <w:t>3。</w:t>
      </w:r>
      <w:r>
        <w:rPr>
          <w:rFonts w:hint="eastAsia" w:ascii="仿宋" w:hAnsi="仿宋" w:eastAsia="仿宋" w:cs="仿宋"/>
          <w:color w:val="auto"/>
          <w:kern w:val="0"/>
          <w:sz w:val="24"/>
          <w:szCs w:val="20"/>
          <w:highlight w:val="none"/>
          <w:u w:val="single"/>
          <w:lang w:eastAsia="zh-CN"/>
        </w:rPr>
        <w:t>（产品名称1）</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（关键组件）</w:t>
      </w:r>
      <w:r>
        <w:rPr>
          <w:rFonts w:hint="eastAsia" w:ascii="仿宋" w:hAnsi="仿宋" w:eastAsia="仿宋" w:cs="仿宋"/>
          <w:color w:val="auto"/>
          <w:kern w:val="0"/>
          <w:sz w:val="24"/>
          <w:szCs w:val="20"/>
          <w:highlight w:val="none"/>
          <w:lang w:eastAsia="zh-CN"/>
        </w:rPr>
        <w:t>4在中国境内生产。</w:t>
      </w:r>
      <w:r>
        <w:rPr>
          <w:rFonts w:hint="eastAsia" w:ascii="仿宋" w:hAnsi="仿宋" w:eastAsia="仿宋" w:cs="仿宋"/>
          <w:color w:val="auto"/>
          <w:kern w:val="0"/>
          <w:sz w:val="24"/>
          <w:szCs w:val="20"/>
          <w:highlight w:val="none"/>
          <w:u w:val="single"/>
          <w:lang w:eastAsia="zh-CN"/>
        </w:rPr>
        <w:t>（产品名称</w:t>
      </w:r>
      <w:r>
        <w:rPr>
          <w:rFonts w:hint="eastAsia" w:ascii="仿宋" w:hAnsi="仿宋" w:eastAsia="仿宋" w:cs="仿宋"/>
          <w:color w:val="auto"/>
          <w:kern w:val="0"/>
          <w:sz w:val="24"/>
          <w:szCs w:val="20"/>
          <w:highlight w:val="none"/>
          <w:u w:val="single"/>
          <w:lang w:val="en-US" w:eastAsia="zh-CN"/>
        </w:rPr>
        <w:t>2</w:t>
      </w:r>
      <w:r>
        <w:rPr>
          <w:rFonts w:hint="eastAsia" w:ascii="仿宋" w:hAnsi="仿宋" w:eastAsia="仿宋" w:cs="仿宋"/>
          <w:color w:val="auto"/>
          <w:kern w:val="0"/>
          <w:sz w:val="24"/>
          <w:szCs w:val="20"/>
          <w:highlight w:val="none"/>
          <w:u w:val="single"/>
          <w:lang w:eastAsia="zh-CN"/>
        </w:rPr>
        <w:t>）</w:t>
      </w:r>
      <w:r>
        <w:rPr>
          <w:rFonts w:hint="eastAsia" w:ascii="仿宋" w:hAnsi="仿宋" w:eastAsia="仿宋" w:cs="仿宋"/>
          <w:color w:val="auto"/>
          <w:kern w:val="0"/>
          <w:sz w:val="24"/>
          <w:szCs w:val="20"/>
          <w:highlight w:val="none"/>
          <w:lang w:eastAsia="zh-CN"/>
        </w:rPr>
        <w:t>的</w:t>
      </w:r>
      <w:r>
        <w:rPr>
          <w:rFonts w:hint="eastAsia" w:ascii="仿宋" w:hAnsi="仿宋" w:eastAsia="仿宋" w:cs="仿宋"/>
          <w:color w:val="auto"/>
          <w:kern w:val="0"/>
          <w:sz w:val="24"/>
          <w:szCs w:val="20"/>
          <w:highlight w:val="none"/>
          <w:u w:val="single"/>
          <w:lang w:eastAsia="zh-CN"/>
        </w:rPr>
        <w:t>（关键工序）5</w:t>
      </w:r>
      <w:r>
        <w:rPr>
          <w:rFonts w:hint="eastAsia" w:ascii="仿宋" w:hAnsi="仿宋" w:eastAsia="仿宋" w:cs="仿宋"/>
          <w:color w:val="auto"/>
          <w:kern w:val="0"/>
          <w:sz w:val="24"/>
          <w:szCs w:val="20"/>
          <w:highlight w:val="none"/>
          <w:lang w:eastAsia="zh-CN"/>
        </w:rPr>
        <w:t>在中国境内完成。</w:t>
      </w:r>
    </w:p>
    <w:p w14:paraId="60CE2D93">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w:t>
      </w:r>
    </w:p>
    <w:p w14:paraId="637F5FD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本公司（单位）对上述声明内容的真实性负责。如有虚假，愿承担相应法律责任。</w:t>
      </w:r>
    </w:p>
    <w:p w14:paraId="54B7FA1D">
      <w:pPr>
        <w:spacing w:line="360" w:lineRule="auto"/>
        <w:ind w:firstLine="567"/>
        <w:rPr>
          <w:rFonts w:hint="eastAsia" w:ascii="仿宋" w:hAnsi="仿宋" w:eastAsia="仿宋" w:cs="仿宋"/>
          <w:color w:val="auto"/>
          <w:kern w:val="0"/>
          <w:sz w:val="24"/>
          <w:szCs w:val="20"/>
          <w:highlight w:val="none"/>
          <w:lang w:eastAsia="zh-CN"/>
        </w:rPr>
      </w:pPr>
    </w:p>
    <w:p w14:paraId="759AE08D">
      <w:pPr>
        <w:spacing w:line="360" w:lineRule="auto"/>
        <w:ind w:firstLine="3283" w:firstLineChars="1368"/>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公司（单位）名称（盖章）：　        </w:t>
      </w:r>
    </w:p>
    <w:p w14:paraId="08755609">
      <w:pPr>
        <w:spacing w:line="360" w:lineRule="auto"/>
        <w:ind w:firstLine="3283" w:firstLineChars="1368"/>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日期：　     年　  月　  日         </w:t>
      </w:r>
    </w:p>
    <w:p w14:paraId="7C67F896">
      <w:pPr>
        <w:spacing w:line="360" w:lineRule="auto"/>
        <w:ind w:firstLine="567"/>
        <w:rPr>
          <w:rFonts w:hint="eastAsia" w:ascii="仿宋" w:hAnsi="仿宋" w:eastAsia="仿宋" w:cs="仿宋"/>
          <w:color w:val="auto"/>
          <w:kern w:val="0"/>
          <w:sz w:val="24"/>
          <w:szCs w:val="20"/>
          <w:highlight w:val="none"/>
          <w:lang w:eastAsia="zh-CN"/>
        </w:rPr>
      </w:pPr>
    </w:p>
    <w:p w14:paraId="15BA35B3">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__________________</w:t>
      </w:r>
    </w:p>
    <w:p w14:paraId="44A9E9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1.产品如有型号，请在“产品名称”栏一并填写。</w:t>
      </w:r>
    </w:p>
    <w:p w14:paraId="72A66EE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2.生产厂名与厂址应与生产厂营业执照载明的相关信息保持一致。</w:t>
      </w:r>
    </w:p>
    <w:p w14:paraId="7BD26929">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3.该产品的中国境内生产的组件成本占比相关要求实施前，“规定比例”栏可不填，下同。</w:t>
      </w:r>
    </w:p>
    <w:p w14:paraId="3358E2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4.该产品的关键组件要求实施前，“关键组件”栏可不填，下同。</w:t>
      </w:r>
    </w:p>
    <w:p w14:paraId="04FBD25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5.该产品的关键工序要求实施前，“关键工序”栏可不填，下同。</w:t>
      </w:r>
    </w:p>
    <w:p w14:paraId="64527705">
      <w:pPr>
        <w:ind w:firstLine="0" w:firstLineChars="0"/>
        <w:jc w:val="both"/>
        <w:outlineLvl w:val="9"/>
        <w:rPr>
          <w:rFonts w:hint="eastAsia" w:ascii="仿宋" w:hAnsi="仿宋" w:eastAsia="仿宋" w:cs="仿宋"/>
          <w:color w:val="auto"/>
          <w:kern w:val="0"/>
          <w:sz w:val="24"/>
          <w:szCs w:val="20"/>
          <w:highlight w:val="none"/>
          <w:lang w:eastAsia="zh-CN"/>
        </w:rPr>
      </w:pPr>
    </w:p>
    <w:p w14:paraId="4AD7C6A7">
      <w:pPr>
        <w:keepNext/>
        <w:keepLines/>
        <w:pageBreakBefore w:val="0"/>
        <w:widowControl w:val="0"/>
        <w:kinsoku/>
        <w:wordWrap/>
        <w:overflowPunct/>
        <w:topLinePunct w:val="0"/>
        <w:autoSpaceDE w:val="0"/>
        <w:autoSpaceDN w:val="0"/>
        <w:bidi w:val="0"/>
        <w:adjustRightInd w:val="0"/>
        <w:snapToGrid/>
        <w:ind w:firstLine="0" w:firstLineChars="0"/>
        <w:jc w:val="both"/>
        <w:textAlignment w:val="auto"/>
        <w:outlineLvl w:val="9"/>
        <w:rPr>
          <w:rFonts w:hint="eastAsia" w:ascii="仿宋" w:hAnsi="仿宋" w:eastAsia="仿宋" w:cs="仿宋"/>
          <w:color w:val="auto"/>
          <w:kern w:val="0"/>
          <w:sz w:val="24"/>
          <w:szCs w:val="20"/>
          <w:highlight w:val="none"/>
          <w:lang w:val="en-US" w:eastAsia="zh-CN"/>
        </w:rPr>
      </w:pPr>
      <w:r>
        <w:rPr>
          <w:rFonts w:hint="eastAsia" w:ascii="仿宋" w:hAnsi="仿宋" w:eastAsia="仿宋" w:cs="仿宋"/>
          <w:color w:val="auto"/>
          <w:kern w:val="0"/>
          <w:sz w:val="24"/>
          <w:szCs w:val="20"/>
          <w:highlight w:val="none"/>
          <w:lang w:val="en-US" w:eastAsia="zh-CN"/>
        </w:rPr>
        <w:t>注：产品在中国境内生产的组件成本，按照《中国境内生产的组件成本核算基本规则》计算。</w:t>
      </w:r>
    </w:p>
    <w:p w14:paraId="2285528D">
      <w:pPr>
        <w:pStyle w:val="5"/>
        <w:ind w:firstLine="0" w:firstLineChars="0"/>
        <w:jc w:val="center"/>
        <w:rPr>
          <w:rFonts w:hint="eastAsia" w:ascii="仿宋" w:hAnsi="仿宋" w:eastAsia="仿宋" w:cs="仿宋"/>
          <w:b/>
          <w:color w:val="auto"/>
          <w:sz w:val="32"/>
          <w:szCs w:val="32"/>
          <w:highlight w:val="none"/>
          <w:lang w:eastAsia="zh-CN"/>
        </w:rPr>
      </w:pPr>
      <w:bookmarkStart w:id="966" w:name="_Toc13809"/>
      <w:bookmarkStart w:id="967" w:name="_Toc11509"/>
      <w:bookmarkStart w:id="968" w:name="_Toc4852"/>
      <w:bookmarkStart w:id="969" w:name="_Toc28506"/>
      <w:r>
        <w:rPr>
          <w:rFonts w:hint="eastAsia" w:ascii="仿宋" w:hAnsi="仿宋" w:eastAsia="仿宋" w:cs="仿宋"/>
          <w:b/>
          <w:color w:val="auto"/>
          <w:sz w:val="32"/>
          <w:szCs w:val="32"/>
          <w:highlight w:val="none"/>
          <w:lang w:eastAsia="zh-CN"/>
        </w:rPr>
        <w:t>《本国产品说明》</w:t>
      </w:r>
      <w:bookmarkEnd w:id="966"/>
      <w:bookmarkEnd w:id="967"/>
      <w:bookmarkEnd w:id="968"/>
      <w:bookmarkEnd w:id="969"/>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2693"/>
        <w:gridCol w:w="1048"/>
        <w:gridCol w:w="1048"/>
        <w:gridCol w:w="1048"/>
        <w:gridCol w:w="2129"/>
      </w:tblGrid>
      <w:tr w14:paraId="5E92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573BD1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序号</w:t>
            </w:r>
          </w:p>
        </w:tc>
        <w:tc>
          <w:tcPr>
            <w:tcW w:w="2693" w:type="dxa"/>
            <w:vAlign w:val="center"/>
          </w:tcPr>
          <w:p w14:paraId="504D2800">
            <w:pPr>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采购标的</w:t>
            </w:r>
          </w:p>
          <w:p w14:paraId="186728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4"/>
                <w:highlight w:val="none"/>
                <w:lang w:val="en-US" w:eastAsia="zh-CN"/>
              </w:rPr>
              <w:t>（设备名称）</w:t>
            </w:r>
          </w:p>
        </w:tc>
        <w:tc>
          <w:tcPr>
            <w:tcW w:w="1048" w:type="dxa"/>
            <w:vAlign w:val="center"/>
          </w:tcPr>
          <w:p w14:paraId="201EC9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规格型号</w:t>
            </w:r>
          </w:p>
        </w:tc>
        <w:tc>
          <w:tcPr>
            <w:tcW w:w="1048" w:type="dxa"/>
            <w:vAlign w:val="center"/>
          </w:tcPr>
          <w:p w14:paraId="62F715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lang w:val="en-US" w:eastAsia="zh-CN"/>
              </w:rPr>
            </w:pPr>
            <w:r>
              <w:rPr>
                <w:rFonts w:hint="eastAsia" w:ascii="仿宋" w:hAnsi="仿宋" w:eastAsia="仿宋" w:cs="仿宋"/>
                <w:color w:val="auto"/>
                <w:kern w:val="0"/>
                <w:sz w:val="24"/>
                <w:szCs w:val="20"/>
                <w:highlight w:val="none"/>
                <w:lang w:val="en-US" w:eastAsia="zh-CN"/>
              </w:rPr>
              <w:t>数量</w:t>
            </w:r>
          </w:p>
        </w:tc>
        <w:tc>
          <w:tcPr>
            <w:tcW w:w="1048" w:type="dxa"/>
            <w:vAlign w:val="center"/>
          </w:tcPr>
          <w:p w14:paraId="28A290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本国产品</w:t>
            </w:r>
          </w:p>
        </w:tc>
        <w:tc>
          <w:tcPr>
            <w:tcW w:w="2129" w:type="dxa"/>
            <w:vAlign w:val="center"/>
          </w:tcPr>
          <w:p w14:paraId="193CC6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color w:val="auto"/>
                <w:kern w:val="0"/>
                <w:sz w:val="24"/>
                <w:szCs w:val="20"/>
                <w:highlight w:val="none"/>
                <w:lang w:eastAsia="zh-CN"/>
              </w:rPr>
              <w:t>主要产品/技术</w:t>
            </w:r>
            <w:r>
              <w:rPr>
                <w:rFonts w:hint="eastAsia" w:ascii="仿宋" w:hAnsi="仿宋" w:eastAsia="仿宋" w:cs="仿宋"/>
                <w:color w:val="auto"/>
                <w:kern w:val="0"/>
                <w:sz w:val="24"/>
                <w:szCs w:val="20"/>
                <w:highlight w:val="none"/>
                <w:vertAlign w:val="baseline"/>
                <w:lang w:eastAsia="zh-CN"/>
              </w:rPr>
              <w:t>成本在产品总成本中占比（%）</w:t>
            </w:r>
          </w:p>
        </w:tc>
      </w:tr>
      <w:tr w14:paraId="762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04BA1D24">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1</w:t>
            </w:r>
          </w:p>
        </w:tc>
        <w:tc>
          <w:tcPr>
            <w:tcW w:w="2693" w:type="dxa"/>
            <w:vAlign w:val="center"/>
          </w:tcPr>
          <w:p w14:paraId="7F7BD3FE">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AB3EF9D">
            <w:pPr>
              <w:pStyle w:val="199"/>
              <w:snapToGrid w:val="0"/>
              <w:jc w:val="center"/>
              <w:rPr>
                <w:rFonts w:hint="eastAsia" w:ascii="仿宋" w:hAnsi="仿宋" w:eastAsia="仿宋" w:cs="仿宋"/>
                <w:color w:val="auto"/>
                <w:sz w:val="21"/>
                <w:szCs w:val="21"/>
                <w:highlight w:val="none"/>
              </w:rPr>
            </w:pPr>
          </w:p>
        </w:tc>
        <w:tc>
          <w:tcPr>
            <w:tcW w:w="1048" w:type="dxa"/>
            <w:vAlign w:val="center"/>
          </w:tcPr>
          <w:p w14:paraId="3199941B">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17F586D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47FE653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578C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6CC0EEB2">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2</w:t>
            </w:r>
          </w:p>
        </w:tc>
        <w:tc>
          <w:tcPr>
            <w:tcW w:w="2693" w:type="dxa"/>
            <w:vAlign w:val="center"/>
          </w:tcPr>
          <w:p w14:paraId="4C4E2B11">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40B8DCE">
            <w:pPr>
              <w:pStyle w:val="199"/>
              <w:snapToGrid w:val="0"/>
              <w:jc w:val="center"/>
              <w:rPr>
                <w:rFonts w:hint="eastAsia" w:ascii="仿宋" w:hAnsi="仿宋" w:eastAsia="仿宋" w:cs="仿宋"/>
                <w:color w:val="auto"/>
                <w:sz w:val="21"/>
                <w:szCs w:val="21"/>
                <w:highlight w:val="none"/>
              </w:rPr>
            </w:pPr>
          </w:p>
        </w:tc>
        <w:tc>
          <w:tcPr>
            <w:tcW w:w="1048" w:type="dxa"/>
            <w:vAlign w:val="center"/>
          </w:tcPr>
          <w:p w14:paraId="1C6C6CB6">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5E3846F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3C1DCA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3EBC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5181A13A">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3</w:t>
            </w:r>
          </w:p>
        </w:tc>
        <w:tc>
          <w:tcPr>
            <w:tcW w:w="2693" w:type="dxa"/>
            <w:vAlign w:val="center"/>
          </w:tcPr>
          <w:p w14:paraId="370CFC7F">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5F669C89">
            <w:pPr>
              <w:pStyle w:val="199"/>
              <w:snapToGrid w:val="0"/>
              <w:jc w:val="center"/>
              <w:rPr>
                <w:rFonts w:hint="eastAsia" w:ascii="仿宋" w:hAnsi="仿宋" w:eastAsia="仿宋" w:cs="仿宋"/>
                <w:color w:val="auto"/>
                <w:sz w:val="21"/>
                <w:szCs w:val="21"/>
                <w:highlight w:val="none"/>
              </w:rPr>
            </w:pPr>
          </w:p>
        </w:tc>
        <w:tc>
          <w:tcPr>
            <w:tcW w:w="1048" w:type="dxa"/>
            <w:vAlign w:val="center"/>
          </w:tcPr>
          <w:p w14:paraId="17B3E90F">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07C08E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69A5E6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3E8D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4099EFE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4</w:t>
            </w:r>
          </w:p>
        </w:tc>
        <w:tc>
          <w:tcPr>
            <w:tcW w:w="2693" w:type="dxa"/>
            <w:vAlign w:val="center"/>
          </w:tcPr>
          <w:p w14:paraId="544F0A78">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762D4F69">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3A9047D9">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E3568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363A63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2465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267CDFE">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5</w:t>
            </w:r>
          </w:p>
        </w:tc>
        <w:tc>
          <w:tcPr>
            <w:tcW w:w="2693" w:type="dxa"/>
            <w:vAlign w:val="center"/>
          </w:tcPr>
          <w:p w14:paraId="62DDA8E5">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9AE07D0">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1E65B5D0">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1D74A9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64B8BD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56B79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1A70E9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6</w:t>
            </w:r>
          </w:p>
        </w:tc>
        <w:tc>
          <w:tcPr>
            <w:tcW w:w="2693" w:type="dxa"/>
            <w:vAlign w:val="center"/>
          </w:tcPr>
          <w:p w14:paraId="394F81AA">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699C2590">
            <w:pPr>
              <w:pStyle w:val="199"/>
              <w:snapToGrid w:val="0"/>
              <w:jc w:val="center"/>
              <w:rPr>
                <w:rFonts w:hint="eastAsia" w:ascii="仿宋" w:hAnsi="仿宋" w:eastAsia="仿宋" w:cs="仿宋"/>
                <w:color w:val="auto"/>
                <w:sz w:val="21"/>
                <w:szCs w:val="21"/>
                <w:highlight w:val="none"/>
              </w:rPr>
            </w:pPr>
          </w:p>
        </w:tc>
        <w:tc>
          <w:tcPr>
            <w:tcW w:w="1048" w:type="dxa"/>
            <w:vAlign w:val="center"/>
          </w:tcPr>
          <w:p w14:paraId="4DC67491">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492A87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20C99D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r w14:paraId="4885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6" w:type="dxa"/>
            <w:vAlign w:val="center"/>
          </w:tcPr>
          <w:p w14:paraId="2FDBD9B5">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val="0"/>
                <w:iCs w:val="0"/>
                <w:color w:val="auto"/>
                <w:kern w:val="0"/>
                <w:sz w:val="24"/>
                <w:szCs w:val="24"/>
                <w:highlight w:val="none"/>
                <w:u w:val="none"/>
                <w:lang w:val="en-US" w:eastAsia="zh-CN" w:bidi="ar"/>
              </w:rPr>
              <w:t>7</w:t>
            </w:r>
          </w:p>
        </w:tc>
        <w:tc>
          <w:tcPr>
            <w:tcW w:w="2693" w:type="dxa"/>
            <w:vAlign w:val="center"/>
          </w:tcPr>
          <w:p w14:paraId="5FF9B6C5">
            <w:pPr>
              <w:jc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2B54679A">
            <w:pPr>
              <w:pStyle w:val="199"/>
              <w:snapToGrid w:val="0"/>
              <w:jc w:val="center"/>
              <w:rPr>
                <w:rFonts w:hint="eastAsia" w:ascii="仿宋" w:hAnsi="仿宋" w:eastAsia="仿宋" w:cs="仿宋"/>
                <w:color w:val="auto"/>
                <w:spacing w:val="-2"/>
                <w:sz w:val="21"/>
                <w:szCs w:val="21"/>
                <w:highlight w:val="none"/>
              </w:rPr>
            </w:pPr>
          </w:p>
        </w:tc>
        <w:tc>
          <w:tcPr>
            <w:tcW w:w="1048" w:type="dxa"/>
            <w:vAlign w:val="center"/>
          </w:tcPr>
          <w:p w14:paraId="3851151E">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eastAsia" w:ascii="仿宋" w:hAnsi="仿宋" w:eastAsia="仿宋" w:cs="仿宋"/>
                <w:color w:val="auto"/>
                <w:kern w:val="0"/>
                <w:sz w:val="24"/>
                <w:szCs w:val="20"/>
                <w:highlight w:val="none"/>
                <w:vertAlign w:val="baseline"/>
                <w:lang w:eastAsia="zh-CN"/>
              </w:rPr>
            </w:pPr>
          </w:p>
        </w:tc>
        <w:tc>
          <w:tcPr>
            <w:tcW w:w="1048" w:type="dxa"/>
            <w:vAlign w:val="center"/>
          </w:tcPr>
          <w:p w14:paraId="7AE4AF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r>
              <w:rPr>
                <w:rFonts w:hint="eastAsia" w:ascii="仿宋" w:hAnsi="仿宋" w:eastAsia="仿宋" w:cs="仿宋"/>
                <w:i/>
                <w:iCs/>
                <w:color w:val="auto"/>
                <w:kern w:val="0"/>
                <w:sz w:val="24"/>
                <w:szCs w:val="20"/>
                <w:highlight w:val="none"/>
                <w:vertAlign w:val="baseline"/>
                <w:lang w:val="en-US" w:eastAsia="zh-CN"/>
              </w:rPr>
              <w:t>是/否</w:t>
            </w:r>
          </w:p>
        </w:tc>
        <w:tc>
          <w:tcPr>
            <w:tcW w:w="2129" w:type="dxa"/>
            <w:vAlign w:val="center"/>
          </w:tcPr>
          <w:p w14:paraId="16F7B1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val="en-US" w:eastAsia="zh-CN"/>
              </w:rPr>
            </w:pPr>
          </w:p>
        </w:tc>
      </w:tr>
      <w:tr w14:paraId="24A4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3" w:type="dxa"/>
            <w:gridSpan w:val="5"/>
            <w:vAlign w:val="center"/>
          </w:tcPr>
          <w:p w14:paraId="6A244364">
            <w:pPr>
              <w:keepNext w:val="0"/>
              <w:keepLines w:val="0"/>
              <w:pageBreakBefore w:val="0"/>
              <w:widowControl w:val="0"/>
              <w:kinsoku/>
              <w:wordWrap/>
              <w:overflowPunct/>
              <w:topLinePunct w:val="0"/>
              <w:autoSpaceDE/>
              <w:autoSpaceDN/>
              <w:bidi w:val="0"/>
              <w:adjustRightInd/>
              <w:snapToGrid/>
              <w:spacing w:line="400" w:lineRule="exact"/>
              <w:ind w:firstLine="567"/>
              <w:jc w:val="center"/>
              <w:textAlignment w:val="auto"/>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本国产品在产品总成本中占比合计</w:t>
            </w:r>
          </w:p>
        </w:tc>
        <w:tc>
          <w:tcPr>
            <w:tcW w:w="2129" w:type="dxa"/>
            <w:vAlign w:val="center"/>
          </w:tcPr>
          <w:p w14:paraId="15D8A07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0"/>
                <w:sz w:val="24"/>
                <w:szCs w:val="20"/>
                <w:highlight w:val="none"/>
                <w:vertAlign w:val="baseline"/>
                <w:lang w:eastAsia="zh-CN"/>
              </w:rPr>
            </w:pPr>
          </w:p>
        </w:tc>
      </w:tr>
    </w:tbl>
    <w:p w14:paraId="3F80943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 xml:space="preserve">   </w:t>
      </w:r>
    </w:p>
    <w:p w14:paraId="10E9BE5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供应商名称（盖章）：__________________</w:t>
      </w:r>
    </w:p>
    <w:p w14:paraId="0CF9B5B1">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日期：</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年</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月</w:t>
      </w:r>
      <w:r>
        <w:rPr>
          <w:rFonts w:hint="eastAsia" w:ascii="仿宋" w:hAnsi="仿宋" w:eastAsia="仿宋" w:cs="仿宋"/>
          <w:color w:val="auto"/>
          <w:kern w:val="0"/>
          <w:sz w:val="24"/>
          <w:szCs w:val="20"/>
          <w:highlight w:val="none"/>
          <w:lang w:val="en-US" w:eastAsia="zh-CN"/>
        </w:rPr>
        <w:t xml:space="preserve"> </w:t>
      </w:r>
      <w:r>
        <w:rPr>
          <w:rFonts w:hint="eastAsia" w:ascii="仿宋" w:hAnsi="仿宋" w:eastAsia="仿宋" w:cs="仿宋"/>
          <w:color w:val="auto"/>
          <w:kern w:val="0"/>
          <w:sz w:val="24"/>
          <w:szCs w:val="20"/>
          <w:highlight w:val="none"/>
          <w:lang w:eastAsia="zh-CN"/>
        </w:rPr>
        <w:t xml:space="preserve"> 日</w:t>
      </w:r>
    </w:p>
    <w:p w14:paraId="628E014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注：</w:t>
      </w:r>
    </w:p>
    <w:p w14:paraId="1B9FBE8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1. 供应商提供本国产品应符合《国务院办公厅关于在政府采购中实施本国产品标准及相关政策的通知》（国办发〔2025〕34 号），如后续有更新的，则以更新后的文件为准，按照《中国境内生产的组件成本核算基本规则》提供该产品成本在产品总成本中占比。</w:t>
      </w:r>
    </w:p>
    <w:p w14:paraId="52D561CA">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2. 供应商须同时出具《关于符合本国产品标准的声明函》或财政部会同有关部门规定的有关证明文件。出具符合要求的《声明函》或有关证明文件的，该产品视为本国产品。</w:t>
      </w:r>
    </w:p>
    <w:p w14:paraId="5DFD8CFF">
      <w:pPr>
        <w:spacing w:line="360" w:lineRule="auto"/>
        <w:ind w:firstLine="567"/>
        <w:rPr>
          <w:rFonts w:hint="eastAsia" w:ascii="仿宋" w:hAnsi="仿宋" w:eastAsia="仿宋" w:cs="仿宋"/>
          <w:color w:val="auto"/>
          <w:kern w:val="0"/>
          <w:sz w:val="24"/>
          <w:szCs w:val="20"/>
          <w:highlight w:val="none"/>
          <w:lang w:eastAsia="zh-CN"/>
        </w:rPr>
      </w:pPr>
    </w:p>
    <w:p w14:paraId="447E39BC">
      <w:pPr>
        <w:spacing w:line="360" w:lineRule="auto"/>
        <w:ind w:firstLine="567"/>
        <w:rPr>
          <w:rFonts w:hint="eastAsia" w:ascii="仿宋" w:hAnsi="仿宋" w:eastAsia="仿宋" w:cs="仿宋"/>
          <w:color w:val="auto"/>
          <w:kern w:val="0"/>
          <w:sz w:val="24"/>
          <w:szCs w:val="20"/>
          <w:highlight w:val="none"/>
          <w:lang w:eastAsia="zh-CN"/>
        </w:rPr>
      </w:pPr>
    </w:p>
    <w:p w14:paraId="554DED03">
      <w:pPr>
        <w:pStyle w:val="5"/>
        <w:ind w:firstLine="0" w:firstLineChars="0"/>
        <w:jc w:val="center"/>
        <w:rPr>
          <w:rFonts w:hint="eastAsia" w:ascii="仿宋" w:hAnsi="仿宋" w:eastAsia="仿宋" w:cs="仿宋"/>
          <w:i w:val="0"/>
          <w:iCs w:val="0"/>
          <w:caps w:val="0"/>
          <w:color w:val="auto"/>
          <w:spacing w:val="0"/>
          <w:sz w:val="36"/>
          <w:szCs w:val="36"/>
          <w:highlight w:val="none"/>
        </w:rPr>
      </w:pPr>
      <w:r>
        <w:rPr>
          <w:rFonts w:hint="eastAsia" w:ascii="仿宋" w:hAnsi="仿宋" w:eastAsia="仿宋" w:cs="仿宋"/>
          <w:color w:val="auto"/>
          <w:kern w:val="0"/>
          <w:sz w:val="24"/>
          <w:szCs w:val="20"/>
          <w:highlight w:val="none"/>
          <w:lang w:eastAsia="zh-CN"/>
        </w:rPr>
        <w:br w:type="page"/>
      </w:r>
      <w:bookmarkStart w:id="970" w:name="_Toc2787"/>
      <w:bookmarkStart w:id="971" w:name="_Toc5680"/>
      <w:bookmarkStart w:id="972" w:name="_Toc26832"/>
      <w:bookmarkStart w:id="973" w:name="_Toc17320"/>
      <w:r>
        <w:rPr>
          <w:rFonts w:hint="eastAsia" w:ascii="仿宋" w:hAnsi="仿宋" w:eastAsia="仿宋" w:cs="仿宋"/>
          <w:b/>
          <w:color w:val="auto"/>
          <w:sz w:val="32"/>
          <w:szCs w:val="32"/>
          <w:highlight w:val="none"/>
          <w:lang w:eastAsia="zh-CN"/>
        </w:rPr>
        <w:t>中国境内生产的组件成本核算基本规则</w:t>
      </w:r>
      <w:bookmarkEnd w:id="970"/>
      <w:bookmarkEnd w:id="971"/>
      <w:bookmarkEnd w:id="972"/>
      <w:bookmarkEnd w:id="973"/>
    </w:p>
    <w:p w14:paraId="5BEAAC80">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 </w:t>
      </w:r>
    </w:p>
    <w:p w14:paraId="195F377C">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CA81575">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一、产品的一级组件是指直接组成产品的组件。产品的二级组件是指直接组成产品一级组件的组件。一级组件不可分解的，视同二级组件。</w:t>
      </w:r>
    </w:p>
    <w:p w14:paraId="70C56452">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二、二级组件在中国境内生产的，其全部成本计入中国境内生产的组件成本；二级组件不在中国境内生产的，其成本不计入中国境内生产的组件成本。</w:t>
      </w:r>
    </w:p>
    <w:p w14:paraId="0CBBBA4C">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三、产品总成本和组件成本以相关会计核算数据、采购合同、进货记录等为基础进行计算。</w:t>
      </w:r>
    </w:p>
    <w:p w14:paraId="139D4E3F">
      <w:pPr>
        <w:spacing w:line="360" w:lineRule="auto"/>
        <w:ind w:firstLine="567"/>
        <w:rPr>
          <w:rFonts w:hint="eastAsia" w:ascii="仿宋" w:hAnsi="仿宋" w:eastAsia="仿宋" w:cs="仿宋"/>
          <w:color w:val="auto"/>
          <w:kern w:val="0"/>
          <w:sz w:val="24"/>
          <w:szCs w:val="20"/>
          <w:highlight w:val="none"/>
          <w:lang w:eastAsia="zh-CN"/>
        </w:rPr>
      </w:pPr>
      <w:r>
        <w:rPr>
          <w:rFonts w:hint="eastAsia" w:ascii="仿宋" w:hAnsi="仿宋" w:eastAsia="仿宋" w:cs="仿宋"/>
          <w:color w:val="auto"/>
          <w:kern w:val="0"/>
          <w:sz w:val="24"/>
          <w:szCs w:val="20"/>
          <w:highlight w:val="none"/>
          <w:lang w:eastAsia="zh-CN"/>
        </w:rPr>
        <w:t>四、需要对成本核算规则予以进一步明确的其他有关事项，由财政部会同有关部门另行规定。</w:t>
      </w:r>
    </w:p>
    <w:p w14:paraId="1736D920">
      <w:pPr>
        <w:spacing w:line="360" w:lineRule="auto"/>
        <w:ind w:firstLine="567"/>
        <w:rPr>
          <w:rFonts w:hint="eastAsia" w:ascii="仿宋" w:hAnsi="仿宋" w:eastAsia="仿宋" w:cs="仿宋"/>
          <w:color w:val="auto"/>
          <w:kern w:val="0"/>
          <w:sz w:val="24"/>
          <w:szCs w:val="20"/>
          <w:highlight w:val="none"/>
          <w:lang w:eastAsia="zh-CN"/>
        </w:rPr>
      </w:pPr>
    </w:p>
    <w:p w14:paraId="287D47CE">
      <w:pPr>
        <w:pStyle w:val="5"/>
        <w:ind w:firstLine="0" w:firstLineChars="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bookmarkStart w:id="974" w:name="_Toc13426"/>
      <w:bookmarkStart w:id="975" w:name="_Toc1610"/>
      <w:bookmarkStart w:id="976" w:name="_Toc1383"/>
      <w:bookmarkStart w:id="977" w:name="_Toc13962"/>
      <w:r>
        <w:rPr>
          <w:rFonts w:hint="eastAsia" w:ascii="仿宋" w:hAnsi="仿宋" w:eastAsia="仿宋" w:cs="仿宋"/>
          <w:color w:val="auto"/>
          <w:sz w:val="32"/>
          <w:szCs w:val="32"/>
          <w:highlight w:val="none"/>
        </w:rPr>
        <w:t>符合评分标准要求的</w:t>
      </w:r>
      <w:r>
        <w:rPr>
          <w:rFonts w:hint="eastAsia" w:ascii="仿宋" w:hAnsi="仿宋" w:eastAsia="仿宋" w:cs="仿宋"/>
          <w:color w:val="auto"/>
          <w:sz w:val="32"/>
          <w:szCs w:val="32"/>
          <w:highlight w:val="none"/>
          <w:lang w:val="en-US" w:eastAsia="zh-CN"/>
        </w:rPr>
        <w:t>技术、</w:t>
      </w:r>
      <w:r>
        <w:rPr>
          <w:rFonts w:hint="eastAsia" w:ascii="仿宋" w:hAnsi="仿宋" w:eastAsia="仿宋" w:cs="仿宋"/>
          <w:color w:val="auto"/>
          <w:sz w:val="32"/>
          <w:szCs w:val="32"/>
          <w:highlight w:val="none"/>
        </w:rPr>
        <w:t>商务文件</w:t>
      </w:r>
      <w:bookmarkEnd w:id="974"/>
      <w:bookmarkEnd w:id="975"/>
      <w:bookmarkEnd w:id="976"/>
      <w:bookmarkEnd w:id="977"/>
    </w:p>
    <w:p w14:paraId="65CB8E13">
      <w:pPr>
        <w:pStyle w:val="4"/>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9C8F0A2">
      <w:pPr>
        <w:pStyle w:val="5"/>
        <w:ind w:firstLine="0" w:firstLineChars="0"/>
        <w:jc w:val="center"/>
        <w:rPr>
          <w:rFonts w:hint="eastAsia" w:ascii="仿宋" w:hAnsi="仿宋" w:eastAsia="仿宋" w:cs="仿宋"/>
          <w:color w:val="auto"/>
          <w:sz w:val="32"/>
          <w:szCs w:val="32"/>
          <w:highlight w:val="none"/>
        </w:rPr>
      </w:pPr>
      <w:bookmarkStart w:id="978" w:name="_Toc11799"/>
      <w:bookmarkStart w:id="979" w:name="_Toc22447"/>
      <w:bookmarkStart w:id="980" w:name="_Toc155"/>
      <w:bookmarkStart w:id="981" w:name="_Toc19569"/>
      <w:bookmarkStart w:id="982" w:name="_Toc60929148"/>
      <w:bookmarkStart w:id="983" w:name="_Toc60928916"/>
      <w:r>
        <w:rPr>
          <w:rFonts w:hint="eastAsia" w:ascii="仿宋" w:hAnsi="仿宋" w:eastAsia="仿宋" w:cs="仿宋"/>
          <w:color w:val="auto"/>
          <w:sz w:val="32"/>
          <w:szCs w:val="32"/>
          <w:highlight w:val="none"/>
        </w:rPr>
        <w:t>投标方案或技术方案</w:t>
      </w:r>
      <w:bookmarkEnd w:id="978"/>
      <w:bookmarkEnd w:id="979"/>
      <w:bookmarkEnd w:id="980"/>
      <w:bookmarkEnd w:id="981"/>
      <w:bookmarkEnd w:id="982"/>
      <w:bookmarkEnd w:id="983"/>
      <w:bookmarkStart w:id="984" w:name="_Toc60929149"/>
      <w:bookmarkStart w:id="985" w:name="_Toc60928917"/>
    </w:p>
    <w:p w14:paraId="0E4EA029">
      <w:pPr>
        <w:pStyle w:val="11"/>
        <w:jc w:val="center"/>
        <w:rPr>
          <w:rFonts w:hint="eastAsia" w:ascii="仿宋" w:hAnsi="仿宋" w:eastAsia="仿宋" w:cs="仿宋"/>
          <w:color w:val="auto"/>
          <w:highlight w:val="none"/>
        </w:rPr>
      </w:pPr>
      <w:r>
        <w:rPr>
          <w:rFonts w:hint="eastAsia" w:ascii="仿宋" w:hAnsi="仿宋" w:eastAsia="仿宋" w:cs="仿宋"/>
          <w:color w:val="auto"/>
          <w:highlight w:val="none"/>
        </w:rPr>
        <w:t>（格式自拟，内容应包含评标办法中要求的内容）</w:t>
      </w:r>
      <w:bookmarkEnd w:id="984"/>
      <w:bookmarkEnd w:id="985"/>
    </w:p>
    <w:p w14:paraId="2CCCC80D">
      <w:pPr>
        <w:rPr>
          <w:rFonts w:hint="eastAsia" w:ascii="仿宋" w:hAnsi="仿宋" w:eastAsia="仿宋" w:cs="仿宋"/>
          <w:color w:val="auto"/>
          <w:highlight w:val="none"/>
        </w:rPr>
      </w:pPr>
    </w:p>
    <w:p w14:paraId="44D677C2">
      <w:pPr>
        <w:pStyle w:val="4"/>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6B0A050">
      <w:pPr>
        <w:pStyle w:val="5"/>
        <w:ind w:firstLine="0" w:firstLineChars="0"/>
        <w:jc w:val="center"/>
        <w:rPr>
          <w:rFonts w:hint="eastAsia" w:ascii="仿宋" w:hAnsi="仿宋" w:eastAsia="仿宋" w:cs="仿宋"/>
          <w:color w:val="auto"/>
          <w:sz w:val="32"/>
          <w:szCs w:val="32"/>
          <w:highlight w:val="none"/>
        </w:rPr>
      </w:pPr>
      <w:bookmarkStart w:id="986" w:name="_Toc27300"/>
      <w:bookmarkStart w:id="987" w:name="_Toc60928918"/>
      <w:bookmarkStart w:id="988" w:name="_Toc10692"/>
      <w:bookmarkStart w:id="989" w:name="_Toc7802"/>
      <w:bookmarkStart w:id="990" w:name="_Toc60929150"/>
      <w:bookmarkStart w:id="991" w:name="_Toc2788"/>
      <w:r>
        <w:rPr>
          <w:rFonts w:hint="eastAsia" w:ascii="仿宋" w:hAnsi="仿宋" w:eastAsia="仿宋" w:cs="仿宋"/>
          <w:color w:val="auto"/>
          <w:sz w:val="32"/>
          <w:szCs w:val="32"/>
          <w:highlight w:val="none"/>
        </w:rPr>
        <w:t>业绩一览表</w:t>
      </w:r>
      <w:bookmarkEnd w:id="986"/>
      <w:bookmarkEnd w:id="987"/>
      <w:bookmarkEnd w:id="988"/>
      <w:bookmarkEnd w:id="989"/>
      <w:bookmarkEnd w:id="990"/>
      <w:bookmarkEnd w:id="991"/>
    </w:p>
    <w:p w14:paraId="4E0A9D99">
      <w:pPr>
        <w:rPr>
          <w:rFonts w:hint="eastAsia" w:ascii="仿宋" w:hAnsi="仿宋" w:eastAsia="仿宋" w:cs="仿宋"/>
          <w:color w:val="auto"/>
          <w:sz w:val="24"/>
          <w:highlight w:val="none"/>
          <w:u w:val="single"/>
        </w:rPr>
      </w:pPr>
    </w:p>
    <w:tbl>
      <w:tblPr>
        <w:tblStyle w:val="3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80"/>
        <w:gridCol w:w="1800"/>
        <w:gridCol w:w="1441"/>
        <w:gridCol w:w="2700"/>
      </w:tblGrid>
      <w:tr w14:paraId="27BF9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6910B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980" w:type="dxa"/>
            <w:noWrap w:val="0"/>
            <w:vAlign w:val="center"/>
          </w:tcPr>
          <w:p w14:paraId="627A136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800" w:type="dxa"/>
            <w:tcBorders>
              <w:left w:val="single" w:color="auto" w:sz="4" w:space="0"/>
              <w:right w:val="single" w:color="auto" w:sz="4" w:space="0"/>
            </w:tcBorders>
            <w:noWrap w:val="0"/>
            <w:vAlign w:val="center"/>
          </w:tcPr>
          <w:p w14:paraId="5EF6035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合同金额（万元）</w:t>
            </w:r>
          </w:p>
        </w:tc>
        <w:tc>
          <w:tcPr>
            <w:tcW w:w="1441" w:type="dxa"/>
            <w:noWrap w:val="0"/>
            <w:vAlign w:val="center"/>
          </w:tcPr>
          <w:p w14:paraId="53A0183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完成日期</w:t>
            </w:r>
          </w:p>
        </w:tc>
        <w:tc>
          <w:tcPr>
            <w:tcW w:w="2700" w:type="dxa"/>
            <w:noWrap w:val="0"/>
            <w:vAlign w:val="center"/>
          </w:tcPr>
          <w:p w14:paraId="69772CD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业主名称、联系人及电话</w:t>
            </w:r>
          </w:p>
        </w:tc>
      </w:tr>
      <w:tr w14:paraId="56476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1214A89">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980" w:type="dxa"/>
            <w:noWrap w:val="0"/>
            <w:vAlign w:val="center"/>
          </w:tcPr>
          <w:p w14:paraId="2B064A2A">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14D58EC">
            <w:pPr>
              <w:jc w:val="center"/>
              <w:rPr>
                <w:rFonts w:hint="eastAsia" w:ascii="仿宋" w:hAnsi="仿宋" w:eastAsia="仿宋" w:cs="仿宋"/>
                <w:color w:val="auto"/>
                <w:sz w:val="24"/>
                <w:highlight w:val="none"/>
              </w:rPr>
            </w:pPr>
          </w:p>
        </w:tc>
        <w:tc>
          <w:tcPr>
            <w:tcW w:w="1441" w:type="dxa"/>
            <w:noWrap w:val="0"/>
            <w:vAlign w:val="center"/>
          </w:tcPr>
          <w:p w14:paraId="66CAE219">
            <w:pPr>
              <w:jc w:val="center"/>
              <w:rPr>
                <w:rFonts w:hint="eastAsia" w:ascii="仿宋" w:hAnsi="仿宋" w:eastAsia="仿宋" w:cs="仿宋"/>
                <w:color w:val="auto"/>
                <w:sz w:val="24"/>
                <w:highlight w:val="none"/>
              </w:rPr>
            </w:pPr>
          </w:p>
        </w:tc>
        <w:tc>
          <w:tcPr>
            <w:tcW w:w="2700" w:type="dxa"/>
            <w:noWrap w:val="0"/>
            <w:vAlign w:val="top"/>
          </w:tcPr>
          <w:p w14:paraId="7E34CABF">
            <w:pPr>
              <w:jc w:val="center"/>
              <w:rPr>
                <w:rFonts w:hint="eastAsia" w:ascii="仿宋" w:hAnsi="仿宋" w:eastAsia="仿宋" w:cs="仿宋"/>
                <w:color w:val="auto"/>
                <w:sz w:val="24"/>
                <w:highlight w:val="none"/>
              </w:rPr>
            </w:pPr>
          </w:p>
        </w:tc>
      </w:tr>
      <w:tr w14:paraId="7BB57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558E58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980" w:type="dxa"/>
            <w:noWrap w:val="0"/>
            <w:vAlign w:val="center"/>
          </w:tcPr>
          <w:p w14:paraId="3E44B2B5">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AFA7822">
            <w:pPr>
              <w:jc w:val="center"/>
              <w:rPr>
                <w:rFonts w:hint="eastAsia" w:ascii="仿宋" w:hAnsi="仿宋" w:eastAsia="仿宋" w:cs="仿宋"/>
                <w:color w:val="auto"/>
                <w:sz w:val="24"/>
                <w:highlight w:val="none"/>
              </w:rPr>
            </w:pPr>
          </w:p>
        </w:tc>
        <w:tc>
          <w:tcPr>
            <w:tcW w:w="1441" w:type="dxa"/>
            <w:noWrap w:val="0"/>
            <w:vAlign w:val="center"/>
          </w:tcPr>
          <w:p w14:paraId="5F8EE430">
            <w:pPr>
              <w:jc w:val="center"/>
              <w:rPr>
                <w:rFonts w:hint="eastAsia" w:ascii="仿宋" w:hAnsi="仿宋" w:eastAsia="仿宋" w:cs="仿宋"/>
                <w:color w:val="auto"/>
                <w:sz w:val="24"/>
                <w:highlight w:val="none"/>
              </w:rPr>
            </w:pPr>
          </w:p>
        </w:tc>
        <w:tc>
          <w:tcPr>
            <w:tcW w:w="2700" w:type="dxa"/>
            <w:noWrap w:val="0"/>
            <w:vAlign w:val="top"/>
          </w:tcPr>
          <w:p w14:paraId="16686554">
            <w:pPr>
              <w:jc w:val="center"/>
              <w:rPr>
                <w:rFonts w:hint="eastAsia" w:ascii="仿宋" w:hAnsi="仿宋" w:eastAsia="仿宋" w:cs="仿宋"/>
                <w:color w:val="auto"/>
                <w:sz w:val="24"/>
                <w:highlight w:val="none"/>
              </w:rPr>
            </w:pPr>
          </w:p>
        </w:tc>
      </w:tr>
      <w:tr w14:paraId="4FEC7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81B82B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980" w:type="dxa"/>
            <w:noWrap w:val="0"/>
            <w:vAlign w:val="center"/>
          </w:tcPr>
          <w:p w14:paraId="00B5037F">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16EF6FEA">
            <w:pPr>
              <w:jc w:val="center"/>
              <w:rPr>
                <w:rFonts w:hint="eastAsia" w:ascii="仿宋" w:hAnsi="仿宋" w:eastAsia="仿宋" w:cs="仿宋"/>
                <w:color w:val="auto"/>
                <w:sz w:val="24"/>
                <w:highlight w:val="none"/>
              </w:rPr>
            </w:pPr>
          </w:p>
        </w:tc>
        <w:tc>
          <w:tcPr>
            <w:tcW w:w="1441" w:type="dxa"/>
            <w:noWrap w:val="0"/>
            <w:vAlign w:val="center"/>
          </w:tcPr>
          <w:p w14:paraId="3B05B964">
            <w:pPr>
              <w:jc w:val="center"/>
              <w:rPr>
                <w:rFonts w:hint="eastAsia" w:ascii="仿宋" w:hAnsi="仿宋" w:eastAsia="仿宋" w:cs="仿宋"/>
                <w:color w:val="auto"/>
                <w:sz w:val="24"/>
                <w:highlight w:val="none"/>
              </w:rPr>
            </w:pPr>
          </w:p>
        </w:tc>
        <w:tc>
          <w:tcPr>
            <w:tcW w:w="2700" w:type="dxa"/>
            <w:noWrap w:val="0"/>
            <w:vAlign w:val="top"/>
          </w:tcPr>
          <w:p w14:paraId="3791F253">
            <w:pPr>
              <w:jc w:val="center"/>
              <w:rPr>
                <w:rFonts w:hint="eastAsia" w:ascii="仿宋" w:hAnsi="仿宋" w:eastAsia="仿宋" w:cs="仿宋"/>
                <w:color w:val="auto"/>
                <w:sz w:val="24"/>
                <w:highlight w:val="none"/>
              </w:rPr>
            </w:pPr>
          </w:p>
        </w:tc>
      </w:tr>
      <w:tr w14:paraId="701A1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3920EF0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980" w:type="dxa"/>
            <w:noWrap w:val="0"/>
            <w:vAlign w:val="center"/>
          </w:tcPr>
          <w:p w14:paraId="1C280501">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5E11C027">
            <w:pPr>
              <w:jc w:val="center"/>
              <w:rPr>
                <w:rFonts w:hint="eastAsia" w:ascii="仿宋" w:hAnsi="仿宋" w:eastAsia="仿宋" w:cs="仿宋"/>
                <w:color w:val="auto"/>
                <w:sz w:val="24"/>
                <w:highlight w:val="none"/>
              </w:rPr>
            </w:pPr>
          </w:p>
        </w:tc>
        <w:tc>
          <w:tcPr>
            <w:tcW w:w="1441" w:type="dxa"/>
            <w:noWrap w:val="0"/>
            <w:vAlign w:val="center"/>
          </w:tcPr>
          <w:p w14:paraId="26FF2281">
            <w:pPr>
              <w:jc w:val="center"/>
              <w:rPr>
                <w:rFonts w:hint="eastAsia" w:ascii="仿宋" w:hAnsi="仿宋" w:eastAsia="仿宋" w:cs="仿宋"/>
                <w:color w:val="auto"/>
                <w:sz w:val="24"/>
                <w:highlight w:val="none"/>
              </w:rPr>
            </w:pPr>
          </w:p>
        </w:tc>
        <w:tc>
          <w:tcPr>
            <w:tcW w:w="2700" w:type="dxa"/>
            <w:noWrap w:val="0"/>
            <w:vAlign w:val="top"/>
          </w:tcPr>
          <w:p w14:paraId="77436BD7">
            <w:pPr>
              <w:jc w:val="center"/>
              <w:rPr>
                <w:rFonts w:hint="eastAsia" w:ascii="仿宋" w:hAnsi="仿宋" w:eastAsia="仿宋" w:cs="仿宋"/>
                <w:color w:val="auto"/>
                <w:sz w:val="24"/>
                <w:highlight w:val="none"/>
              </w:rPr>
            </w:pPr>
          </w:p>
        </w:tc>
      </w:tr>
      <w:tr w14:paraId="277C6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254289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980" w:type="dxa"/>
            <w:noWrap w:val="0"/>
            <w:vAlign w:val="center"/>
          </w:tcPr>
          <w:p w14:paraId="77461CF9">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7805F77B">
            <w:pPr>
              <w:jc w:val="center"/>
              <w:rPr>
                <w:rFonts w:hint="eastAsia" w:ascii="仿宋" w:hAnsi="仿宋" w:eastAsia="仿宋" w:cs="仿宋"/>
                <w:color w:val="auto"/>
                <w:sz w:val="24"/>
                <w:highlight w:val="none"/>
              </w:rPr>
            </w:pPr>
          </w:p>
        </w:tc>
        <w:tc>
          <w:tcPr>
            <w:tcW w:w="1441" w:type="dxa"/>
            <w:noWrap w:val="0"/>
            <w:vAlign w:val="center"/>
          </w:tcPr>
          <w:p w14:paraId="736AE624">
            <w:pPr>
              <w:jc w:val="center"/>
              <w:rPr>
                <w:rFonts w:hint="eastAsia" w:ascii="仿宋" w:hAnsi="仿宋" w:eastAsia="仿宋" w:cs="仿宋"/>
                <w:color w:val="auto"/>
                <w:sz w:val="24"/>
                <w:highlight w:val="none"/>
              </w:rPr>
            </w:pPr>
          </w:p>
        </w:tc>
        <w:tc>
          <w:tcPr>
            <w:tcW w:w="2700" w:type="dxa"/>
            <w:noWrap w:val="0"/>
            <w:vAlign w:val="top"/>
          </w:tcPr>
          <w:p w14:paraId="59C93A03">
            <w:pPr>
              <w:jc w:val="center"/>
              <w:rPr>
                <w:rFonts w:hint="eastAsia" w:ascii="仿宋" w:hAnsi="仿宋" w:eastAsia="仿宋" w:cs="仿宋"/>
                <w:color w:val="auto"/>
                <w:sz w:val="24"/>
                <w:highlight w:val="none"/>
              </w:rPr>
            </w:pPr>
          </w:p>
        </w:tc>
      </w:tr>
      <w:tr w14:paraId="2194A4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022EAB2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980" w:type="dxa"/>
            <w:noWrap w:val="0"/>
            <w:vAlign w:val="center"/>
          </w:tcPr>
          <w:p w14:paraId="0D0B2CC8">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AAF591E">
            <w:pPr>
              <w:jc w:val="center"/>
              <w:rPr>
                <w:rFonts w:hint="eastAsia" w:ascii="仿宋" w:hAnsi="仿宋" w:eastAsia="仿宋" w:cs="仿宋"/>
                <w:color w:val="auto"/>
                <w:sz w:val="24"/>
                <w:highlight w:val="none"/>
              </w:rPr>
            </w:pPr>
          </w:p>
        </w:tc>
        <w:tc>
          <w:tcPr>
            <w:tcW w:w="1441" w:type="dxa"/>
            <w:noWrap w:val="0"/>
            <w:vAlign w:val="center"/>
          </w:tcPr>
          <w:p w14:paraId="631B8695">
            <w:pPr>
              <w:jc w:val="center"/>
              <w:rPr>
                <w:rFonts w:hint="eastAsia" w:ascii="仿宋" w:hAnsi="仿宋" w:eastAsia="仿宋" w:cs="仿宋"/>
                <w:color w:val="auto"/>
                <w:sz w:val="24"/>
                <w:highlight w:val="none"/>
              </w:rPr>
            </w:pPr>
          </w:p>
        </w:tc>
        <w:tc>
          <w:tcPr>
            <w:tcW w:w="2700" w:type="dxa"/>
            <w:noWrap w:val="0"/>
            <w:vAlign w:val="top"/>
          </w:tcPr>
          <w:p w14:paraId="32C76BBB">
            <w:pPr>
              <w:jc w:val="center"/>
              <w:rPr>
                <w:rFonts w:hint="eastAsia" w:ascii="仿宋" w:hAnsi="仿宋" w:eastAsia="仿宋" w:cs="仿宋"/>
                <w:color w:val="auto"/>
                <w:sz w:val="24"/>
                <w:highlight w:val="none"/>
              </w:rPr>
            </w:pPr>
          </w:p>
        </w:tc>
      </w:tr>
      <w:tr w14:paraId="4166C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435D2881">
            <w:pPr>
              <w:jc w:val="center"/>
              <w:rPr>
                <w:rFonts w:hint="eastAsia" w:ascii="仿宋" w:hAnsi="仿宋" w:eastAsia="仿宋" w:cs="仿宋"/>
                <w:color w:val="auto"/>
                <w:sz w:val="24"/>
                <w:highlight w:val="none"/>
              </w:rPr>
            </w:pPr>
          </w:p>
        </w:tc>
        <w:tc>
          <w:tcPr>
            <w:tcW w:w="1980" w:type="dxa"/>
            <w:noWrap w:val="0"/>
            <w:vAlign w:val="center"/>
          </w:tcPr>
          <w:p w14:paraId="088D0497">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6590C40E">
            <w:pPr>
              <w:jc w:val="center"/>
              <w:rPr>
                <w:rFonts w:hint="eastAsia" w:ascii="仿宋" w:hAnsi="仿宋" w:eastAsia="仿宋" w:cs="仿宋"/>
                <w:color w:val="auto"/>
                <w:sz w:val="24"/>
                <w:highlight w:val="none"/>
              </w:rPr>
            </w:pPr>
          </w:p>
        </w:tc>
        <w:tc>
          <w:tcPr>
            <w:tcW w:w="1441" w:type="dxa"/>
            <w:noWrap w:val="0"/>
            <w:vAlign w:val="center"/>
          </w:tcPr>
          <w:p w14:paraId="69942CDB">
            <w:pPr>
              <w:jc w:val="center"/>
              <w:rPr>
                <w:rFonts w:hint="eastAsia" w:ascii="仿宋" w:hAnsi="仿宋" w:eastAsia="仿宋" w:cs="仿宋"/>
                <w:color w:val="auto"/>
                <w:sz w:val="24"/>
                <w:highlight w:val="none"/>
              </w:rPr>
            </w:pPr>
          </w:p>
        </w:tc>
        <w:tc>
          <w:tcPr>
            <w:tcW w:w="2700" w:type="dxa"/>
            <w:noWrap w:val="0"/>
            <w:vAlign w:val="top"/>
          </w:tcPr>
          <w:p w14:paraId="7118793C">
            <w:pPr>
              <w:jc w:val="center"/>
              <w:rPr>
                <w:rFonts w:hint="eastAsia" w:ascii="仿宋" w:hAnsi="仿宋" w:eastAsia="仿宋" w:cs="仿宋"/>
                <w:color w:val="auto"/>
                <w:sz w:val="24"/>
                <w:highlight w:val="none"/>
              </w:rPr>
            </w:pPr>
          </w:p>
        </w:tc>
      </w:tr>
      <w:tr w14:paraId="30FC0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691E6189">
            <w:pPr>
              <w:jc w:val="center"/>
              <w:rPr>
                <w:rFonts w:hint="eastAsia" w:ascii="仿宋" w:hAnsi="仿宋" w:eastAsia="仿宋" w:cs="仿宋"/>
                <w:color w:val="auto"/>
                <w:sz w:val="24"/>
                <w:highlight w:val="none"/>
              </w:rPr>
            </w:pPr>
          </w:p>
        </w:tc>
        <w:tc>
          <w:tcPr>
            <w:tcW w:w="1980" w:type="dxa"/>
            <w:noWrap w:val="0"/>
            <w:vAlign w:val="center"/>
          </w:tcPr>
          <w:p w14:paraId="6B86FDE9">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095FFCD">
            <w:pPr>
              <w:jc w:val="center"/>
              <w:rPr>
                <w:rFonts w:hint="eastAsia" w:ascii="仿宋" w:hAnsi="仿宋" w:eastAsia="仿宋" w:cs="仿宋"/>
                <w:color w:val="auto"/>
                <w:sz w:val="24"/>
                <w:highlight w:val="none"/>
              </w:rPr>
            </w:pPr>
          </w:p>
        </w:tc>
        <w:tc>
          <w:tcPr>
            <w:tcW w:w="1441" w:type="dxa"/>
            <w:noWrap w:val="0"/>
            <w:vAlign w:val="center"/>
          </w:tcPr>
          <w:p w14:paraId="4D6CD6A6">
            <w:pPr>
              <w:jc w:val="center"/>
              <w:rPr>
                <w:rFonts w:hint="eastAsia" w:ascii="仿宋" w:hAnsi="仿宋" w:eastAsia="仿宋" w:cs="仿宋"/>
                <w:color w:val="auto"/>
                <w:sz w:val="24"/>
                <w:highlight w:val="none"/>
              </w:rPr>
            </w:pPr>
          </w:p>
        </w:tc>
        <w:tc>
          <w:tcPr>
            <w:tcW w:w="2700" w:type="dxa"/>
            <w:noWrap w:val="0"/>
            <w:vAlign w:val="top"/>
          </w:tcPr>
          <w:p w14:paraId="0436BBE0">
            <w:pPr>
              <w:jc w:val="center"/>
              <w:rPr>
                <w:rFonts w:hint="eastAsia" w:ascii="仿宋" w:hAnsi="仿宋" w:eastAsia="仿宋" w:cs="仿宋"/>
                <w:color w:val="auto"/>
                <w:sz w:val="24"/>
                <w:highlight w:val="none"/>
              </w:rPr>
            </w:pPr>
          </w:p>
        </w:tc>
      </w:tr>
      <w:tr w14:paraId="36249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71C7E7A">
            <w:pPr>
              <w:jc w:val="center"/>
              <w:rPr>
                <w:rFonts w:hint="eastAsia" w:ascii="仿宋" w:hAnsi="仿宋" w:eastAsia="仿宋" w:cs="仿宋"/>
                <w:color w:val="auto"/>
                <w:sz w:val="24"/>
                <w:highlight w:val="none"/>
              </w:rPr>
            </w:pPr>
          </w:p>
        </w:tc>
        <w:tc>
          <w:tcPr>
            <w:tcW w:w="1980" w:type="dxa"/>
            <w:noWrap w:val="0"/>
            <w:vAlign w:val="center"/>
          </w:tcPr>
          <w:p w14:paraId="33DA2850">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30826284">
            <w:pPr>
              <w:jc w:val="center"/>
              <w:rPr>
                <w:rFonts w:hint="eastAsia" w:ascii="仿宋" w:hAnsi="仿宋" w:eastAsia="仿宋" w:cs="仿宋"/>
                <w:color w:val="auto"/>
                <w:sz w:val="24"/>
                <w:highlight w:val="none"/>
              </w:rPr>
            </w:pPr>
          </w:p>
        </w:tc>
        <w:tc>
          <w:tcPr>
            <w:tcW w:w="1441" w:type="dxa"/>
            <w:noWrap w:val="0"/>
            <w:vAlign w:val="center"/>
          </w:tcPr>
          <w:p w14:paraId="29E8A00A">
            <w:pPr>
              <w:jc w:val="center"/>
              <w:rPr>
                <w:rFonts w:hint="eastAsia" w:ascii="仿宋" w:hAnsi="仿宋" w:eastAsia="仿宋" w:cs="仿宋"/>
                <w:color w:val="auto"/>
                <w:sz w:val="24"/>
                <w:highlight w:val="none"/>
              </w:rPr>
            </w:pPr>
          </w:p>
        </w:tc>
        <w:tc>
          <w:tcPr>
            <w:tcW w:w="2700" w:type="dxa"/>
            <w:noWrap w:val="0"/>
            <w:vAlign w:val="top"/>
          </w:tcPr>
          <w:p w14:paraId="79B6C0C4">
            <w:pPr>
              <w:jc w:val="center"/>
              <w:rPr>
                <w:rFonts w:hint="eastAsia" w:ascii="仿宋" w:hAnsi="仿宋" w:eastAsia="仿宋" w:cs="仿宋"/>
                <w:color w:val="auto"/>
                <w:sz w:val="24"/>
                <w:highlight w:val="none"/>
              </w:rPr>
            </w:pPr>
          </w:p>
        </w:tc>
      </w:tr>
      <w:tr w14:paraId="46198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748" w:type="dxa"/>
            <w:noWrap w:val="0"/>
            <w:vAlign w:val="center"/>
          </w:tcPr>
          <w:p w14:paraId="5005137C">
            <w:pPr>
              <w:jc w:val="center"/>
              <w:rPr>
                <w:rFonts w:hint="eastAsia" w:ascii="仿宋" w:hAnsi="仿宋" w:eastAsia="仿宋" w:cs="仿宋"/>
                <w:color w:val="auto"/>
                <w:sz w:val="24"/>
                <w:highlight w:val="none"/>
              </w:rPr>
            </w:pPr>
          </w:p>
        </w:tc>
        <w:tc>
          <w:tcPr>
            <w:tcW w:w="1980" w:type="dxa"/>
            <w:noWrap w:val="0"/>
            <w:vAlign w:val="center"/>
          </w:tcPr>
          <w:p w14:paraId="4ED01498">
            <w:pPr>
              <w:jc w:val="center"/>
              <w:rPr>
                <w:rFonts w:hint="eastAsia" w:ascii="仿宋" w:hAnsi="仿宋" w:eastAsia="仿宋" w:cs="仿宋"/>
                <w:color w:val="auto"/>
                <w:sz w:val="24"/>
                <w:highlight w:val="none"/>
              </w:rPr>
            </w:pPr>
          </w:p>
        </w:tc>
        <w:tc>
          <w:tcPr>
            <w:tcW w:w="1800" w:type="dxa"/>
            <w:tcBorders>
              <w:left w:val="single" w:color="auto" w:sz="4" w:space="0"/>
              <w:right w:val="single" w:color="auto" w:sz="4" w:space="0"/>
            </w:tcBorders>
            <w:noWrap w:val="0"/>
            <w:vAlign w:val="center"/>
          </w:tcPr>
          <w:p w14:paraId="14940117">
            <w:pPr>
              <w:jc w:val="center"/>
              <w:rPr>
                <w:rFonts w:hint="eastAsia" w:ascii="仿宋" w:hAnsi="仿宋" w:eastAsia="仿宋" w:cs="仿宋"/>
                <w:color w:val="auto"/>
                <w:sz w:val="24"/>
                <w:highlight w:val="none"/>
              </w:rPr>
            </w:pPr>
          </w:p>
        </w:tc>
        <w:tc>
          <w:tcPr>
            <w:tcW w:w="1441" w:type="dxa"/>
            <w:noWrap w:val="0"/>
            <w:vAlign w:val="center"/>
          </w:tcPr>
          <w:p w14:paraId="1A8B0B78">
            <w:pPr>
              <w:jc w:val="center"/>
              <w:rPr>
                <w:rFonts w:hint="eastAsia" w:ascii="仿宋" w:hAnsi="仿宋" w:eastAsia="仿宋" w:cs="仿宋"/>
                <w:color w:val="auto"/>
                <w:sz w:val="24"/>
                <w:highlight w:val="none"/>
              </w:rPr>
            </w:pPr>
          </w:p>
        </w:tc>
        <w:tc>
          <w:tcPr>
            <w:tcW w:w="2700" w:type="dxa"/>
            <w:noWrap w:val="0"/>
            <w:vAlign w:val="top"/>
          </w:tcPr>
          <w:p w14:paraId="612980F3">
            <w:pPr>
              <w:jc w:val="center"/>
              <w:rPr>
                <w:rFonts w:hint="eastAsia" w:ascii="仿宋" w:hAnsi="仿宋" w:eastAsia="仿宋" w:cs="仿宋"/>
                <w:color w:val="auto"/>
                <w:sz w:val="24"/>
                <w:highlight w:val="none"/>
              </w:rPr>
            </w:pPr>
          </w:p>
        </w:tc>
      </w:tr>
    </w:tbl>
    <w:p w14:paraId="42F74C7A">
      <w:pPr>
        <w:snapToGrid w:val="0"/>
        <w:ind w:left="349" w:hanging="348" w:hangingChars="166"/>
        <w:rPr>
          <w:rFonts w:hint="eastAsia" w:ascii="仿宋" w:hAnsi="仿宋" w:eastAsia="仿宋" w:cs="仿宋"/>
          <w:color w:val="auto"/>
          <w:highlight w:val="none"/>
        </w:rPr>
      </w:pPr>
    </w:p>
    <w:p w14:paraId="319170C1">
      <w:pPr>
        <w:snapToGrid w:val="0"/>
        <w:ind w:left="349" w:hanging="348" w:hangingChars="166"/>
        <w:rPr>
          <w:rFonts w:hint="eastAsia" w:ascii="仿宋" w:hAnsi="仿宋" w:eastAsia="仿宋" w:cs="仿宋"/>
          <w:color w:val="auto"/>
          <w:highlight w:val="none"/>
        </w:rPr>
      </w:pPr>
      <w:r>
        <w:rPr>
          <w:rFonts w:hint="eastAsia" w:ascii="仿宋" w:hAnsi="仿宋" w:eastAsia="仿宋" w:cs="仿宋"/>
          <w:color w:val="auto"/>
          <w:highlight w:val="none"/>
        </w:rPr>
        <w:t>注：1. 投标人应如实列出以上情况，如有隐瞒，一经查实将导致其投标申请被拒绝。</w:t>
      </w:r>
    </w:p>
    <w:p w14:paraId="5B25ECD6">
      <w:pPr>
        <w:rPr>
          <w:rFonts w:hint="eastAsia" w:ascii="仿宋" w:hAnsi="仿宋" w:eastAsia="仿宋" w:cs="仿宋"/>
          <w:color w:val="auto"/>
          <w:highlight w:val="none"/>
        </w:rPr>
      </w:pPr>
      <w:r>
        <w:rPr>
          <w:rFonts w:hint="eastAsia" w:ascii="仿宋" w:hAnsi="仿宋" w:eastAsia="仿宋" w:cs="仿宋"/>
          <w:color w:val="auto"/>
          <w:highlight w:val="none"/>
        </w:rPr>
        <w:t>2、提供双方签订的合同复印件加盖公章，无相关证明的项目在评审时将不予确认。</w:t>
      </w:r>
    </w:p>
    <w:p w14:paraId="44AA76D4">
      <w:pPr>
        <w:rPr>
          <w:rFonts w:hint="eastAsia" w:ascii="仿宋" w:hAnsi="仿宋" w:eastAsia="仿宋" w:cs="仿宋"/>
          <w:color w:val="auto"/>
          <w:highlight w:val="none"/>
        </w:rPr>
      </w:pPr>
    </w:p>
    <w:p w14:paraId="0AD8D483">
      <w:pPr>
        <w:pStyle w:val="11"/>
        <w:rPr>
          <w:rFonts w:hint="eastAsia" w:ascii="仿宋" w:hAnsi="仿宋" w:eastAsia="仿宋" w:cs="仿宋"/>
          <w:color w:val="auto"/>
          <w:highlight w:val="none"/>
        </w:rPr>
      </w:pPr>
    </w:p>
    <w:p w14:paraId="76E68AFA">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88241E7">
      <w:pPr>
        <w:pStyle w:val="5"/>
        <w:ind w:firstLine="0" w:firstLineChars="0"/>
        <w:jc w:val="center"/>
        <w:rPr>
          <w:rFonts w:hint="eastAsia" w:ascii="仿宋" w:hAnsi="仿宋" w:eastAsia="仿宋" w:cs="仿宋"/>
          <w:color w:val="auto"/>
          <w:sz w:val="32"/>
          <w:szCs w:val="32"/>
          <w:highlight w:val="none"/>
        </w:rPr>
      </w:pPr>
      <w:bookmarkStart w:id="992" w:name="_Toc60928919"/>
      <w:bookmarkStart w:id="993" w:name="_Toc27626"/>
      <w:bookmarkStart w:id="994" w:name="_Toc26246"/>
      <w:bookmarkStart w:id="995" w:name="_Toc13480"/>
      <w:bookmarkStart w:id="996" w:name="_Toc60929151"/>
      <w:bookmarkStart w:id="997" w:name="_Toc26027"/>
      <w:r>
        <w:rPr>
          <w:rFonts w:hint="eastAsia" w:ascii="仿宋" w:hAnsi="仿宋" w:eastAsia="仿宋" w:cs="仿宋"/>
          <w:color w:val="auto"/>
          <w:sz w:val="32"/>
          <w:szCs w:val="32"/>
          <w:highlight w:val="none"/>
        </w:rPr>
        <w:t>投标人须知前附表</w:t>
      </w:r>
      <w:r>
        <w:rPr>
          <w:rFonts w:hint="eastAsia" w:ascii="仿宋" w:hAnsi="仿宋" w:eastAsia="仿宋" w:cs="仿宋"/>
          <w:color w:val="auto"/>
          <w:sz w:val="32"/>
          <w:szCs w:val="32"/>
          <w:highlight w:val="none"/>
          <w:lang w:val="en-US" w:eastAsia="zh-CN"/>
        </w:rPr>
        <w:t>及评审所需</w:t>
      </w:r>
      <w:r>
        <w:rPr>
          <w:rFonts w:hint="eastAsia" w:ascii="仿宋" w:hAnsi="仿宋" w:eastAsia="仿宋" w:cs="仿宋"/>
          <w:color w:val="auto"/>
          <w:sz w:val="32"/>
          <w:szCs w:val="32"/>
          <w:highlight w:val="none"/>
        </w:rPr>
        <w:t>的其他文件</w:t>
      </w:r>
      <w:bookmarkEnd w:id="992"/>
      <w:bookmarkEnd w:id="993"/>
      <w:bookmarkEnd w:id="994"/>
      <w:bookmarkEnd w:id="995"/>
      <w:bookmarkEnd w:id="996"/>
      <w:bookmarkEnd w:id="997"/>
    </w:p>
    <w:p w14:paraId="2E8B392F">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0BB80440">
      <w:pPr>
        <w:pStyle w:val="4"/>
        <w:jc w:val="center"/>
        <w:rPr>
          <w:rFonts w:hint="eastAsia" w:ascii="仿宋" w:hAnsi="仿宋" w:eastAsia="仿宋" w:cs="仿宋"/>
          <w:color w:val="auto"/>
          <w:highlight w:val="none"/>
        </w:rPr>
      </w:pPr>
      <w:bookmarkStart w:id="998" w:name="_Toc9385"/>
      <w:r>
        <w:rPr>
          <w:rStyle w:val="50"/>
          <w:rFonts w:hint="eastAsia" w:ascii="仿宋" w:hAnsi="仿宋" w:eastAsia="仿宋" w:cs="仿宋"/>
          <w:color w:val="auto"/>
          <w:highlight w:val="none"/>
        </w:rPr>
        <w:t>第六章 投标文件格式</w:t>
      </w:r>
      <w:r>
        <w:rPr>
          <w:rStyle w:val="50"/>
          <w:rFonts w:hint="eastAsia" w:ascii="仿宋" w:hAnsi="仿宋" w:eastAsia="仿宋" w:cs="仿宋"/>
          <w:color w:val="auto"/>
          <w:highlight w:val="none"/>
          <w:lang w:eastAsia="zh-CN"/>
        </w:rPr>
        <w:t>（</w:t>
      </w:r>
      <w:r>
        <w:rPr>
          <w:rStyle w:val="50"/>
          <w:rFonts w:hint="eastAsia" w:ascii="仿宋" w:hAnsi="仿宋" w:eastAsia="仿宋" w:cs="仿宋"/>
          <w:color w:val="auto"/>
          <w:highlight w:val="none"/>
          <w:lang w:val="en-US" w:eastAsia="zh-CN"/>
        </w:rPr>
        <w:t>合同包8</w:t>
      </w:r>
      <w:r>
        <w:rPr>
          <w:rStyle w:val="50"/>
          <w:rFonts w:hint="eastAsia" w:ascii="仿宋" w:hAnsi="仿宋" w:eastAsia="仿宋" w:cs="仿宋"/>
          <w:color w:val="auto"/>
          <w:highlight w:val="none"/>
          <w:lang w:eastAsia="zh-CN"/>
        </w:rPr>
        <w:t>）</w:t>
      </w:r>
      <w:bookmarkEnd w:id="998"/>
    </w:p>
    <w:p w14:paraId="198EC5CC">
      <w:pPr>
        <w:rPr>
          <w:rFonts w:hint="eastAsia" w:ascii="仿宋" w:hAnsi="仿宋" w:eastAsia="仿宋" w:cs="仿宋"/>
          <w:color w:val="auto"/>
          <w:sz w:val="32"/>
          <w:szCs w:val="32"/>
          <w:highlight w:val="none"/>
        </w:rPr>
      </w:pPr>
    </w:p>
    <w:p w14:paraId="36F88E17">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2E35E7EB">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7FE0221A">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1E924BB6">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r>
        <w:rPr>
          <w:rFonts w:hint="eastAsia" w:ascii="仿宋" w:hAnsi="仿宋" w:eastAsia="仿宋" w:cs="仿宋"/>
          <w:b/>
          <w:color w:val="auto"/>
          <w:kern w:val="2"/>
          <w:sz w:val="30"/>
          <w:szCs w:val="30"/>
          <w:highlight w:val="none"/>
        </w:rPr>
        <w:t xml:space="preserve">招标编号： </w:t>
      </w:r>
    </w:p>
    <w:p w14:paraId="2F7BD0A9">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77B5C2E6">
      <w:pPr>
        <w:jc w:val="center"/>
        <w:rPr>
          <w:rFonts w:hint="eastAsia" w:ascii="仿宋" w:hAnsi="仿宋" w:eastAsia="仿宋" w:cs="仿宋"/>
          <w:color w:val="auto"/>
          <w:sz w:val="32"/>
          <w:szCs w:val="32"/>
          <w:highlight w:val="none"/>
        </w:rPr>
      </w:pPr>
    </w:p>
    <w:p w14:paraId="70D6E2CB">
      <w:pPr>
        <w:jc w:val="center"/>
        <w:rPr>
          <w:rFonts w:hint="eastAsia" w:ascii="仿宋" w:hAnsi="仿宋" w:eastAsia="仿宋" w:cs="仿宋"/>
          <w:b/>
          <w:color w:val="auto"/>
          <w:sz w:val="28"/>
          <w:szCs w:val="28"/>
          <w:highlight w:val="none"/>
          <w:u w:val="single"/>
        </w:rPr>
      </w:pP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28"/>
          <w:szCs w:val="28"/>
          <w:highlight w:val="none"/>
        </w:rPr>
        <w:t>（项目名称）</w:t>
      </w:r>
    </w:p>
    <w:p w14:paraId="4679EF54">
      <w:pPr>
        <w:spacing w:before="312" w:beforeLines="100"/>
        <w:jc w:val="center"/>
        <w:rPr>
          <w:rFonts w:hint="eastAsia" w:ascii="仿宋" w:hAnsi="仿宋" w:eastAsia="仿宋" w:cs="仿宋"/>
          <w:b/>
          <w:color w:val="auto"/>
          <w:sz w:val="44"/>
          <w:szCs w:val="44"/>
          <w:highlight w:val="none"/>
        </w:rPr>
      </w:pPr>
    </w:p>
    <w:p w14:paraId="710C7CCD">
      <w:pPr>
        <w:widowControl w:val="0"/>
        <w:spacing w:line="1000" w:lineRule="exact"/>
        <w:jc w:val="center"/>
        <w:rPr>
          <w:rFonts w:hint="eastAsia" w:ascii="仿宋" w:hAnsi="仿宋" w:eastAsia="仿宋" w:cs="仿宋"/>
          <w:b/>
          <w:color w:val="auto"/>
          <w:kern w:val="2"/>
          <w:sz w:val="52"/>
          <w:szCs w:val="52"/>
          <w:highlight w:val="none"/>
        </w:rPr>
      </w:pPr>
      <w:r>
        <w:rPr>
          <w:rFonts w:hint="eastAsia" w:ascii="仿宋" w:hAnsi="仿宋" w:eastAsia="仿宋" w:cs="仿宋"/>
          <w:b/>
          <w:color w:val="auto"/>
          <w:kern w:val="2"/>
          <w:sz w:val="52"/>
          <w:szCs w:val="52"/>
          <w:highlight w:val="none"/>
        </w:rPr>
        <w:t>投  标  文  件</w:t>
      </w:r>
    </w:p>
    <w:p w14:paraId="547005B7">
      <w:pPr>
        <w:jc w:val="center"/>
        <w:rPr>
          <w:rFonts w:hint="eastAsia" w:ascii="仿宋" w:hAnsi="仿宋" w:eastAsia="仿宋" w:cs="仿宋"/>
          <w:color w:val="auto"/>
          <w:sz w:val="32"/>
          <w:szCs w:val="32"/>
          <w:highlight w:val="none"/>
        </w:rPr>
      </w:pPr>
    </w:p>
    <w:p w14:paraId="41413511">
      <w:pPr>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技 术 部 分</w:t>
      </w:r>
    </w:p>
    <w:p w14:paraId="671D467B">
      <w:pPr>
        <w:jc w:val="center"/>
        <w:rPr>
          <w:rFonts w:hint="eastAsia" w:ascii="仿宋" w:hAnsi="仿宋" w:eastAsia="仿宋" w:cs="仿宋"/>
          <w:color w:val="auto"/>
          <w:sz w:val="28"/>
          <w:szCs w:val="28"/>
          <w:highlight w:val="none"/>
        </w:rPr>
      </w:pPr>
    </w:p>
    <w:p w14:paraId="618B4397">
      <w:pPr>
        <w:jc w:val="center"/>
        <w:rPr>
          <w:rFonts w:hint="eastAsia" w:ascii="仿宋" w:hAnsi="仿宋" w:eastAsia="仿宋" w:cs="仿宋"/>
          <w:color w:val="auto"/>
          <w:sz w:val="32"/>
          <w:szCs w:val="32"/>
          <w:highlight w:val="none"/>
        </w:rPr>
      </w:pPr>
    </w:p>
    <w:p w14:paraId="3256ECBF">
      <w:pPr>
        <w:jc w:val="center"/>
        <w:rPr>
          <w:rFonts w:hint="eastAsia" w:ascii="仿宋" w:hAnsi="仿宋" w:eastAsia="仿宋" w:cs="仿宋"/>
          <w:color w:val="auto"/>
          <w:sz w:val="32"/>
          <w:szCs w:val="32"/>
          <w:highlight w:val="none"/>
        </w:rPr>
      </w:pPr>
    </w:p>
    <w:p w14:paraId="4078E451">
      <w:pPr>
        <w:rPr>
          <w:rFonts w:hint="eastAsia" w:ascii="仿宋" w:hAnsi="仿宋" w:eastAsia="仿宋" w:cs="仿宋"/>
          <w:color w:val="auto"/>
          <w:sz w:val="32"/>
          <w:szCs w:val="32"/>
          <w:highlight w:val="none"/>
        </w:rPr>
      </w:pPr>
    </w:p>
    <w:p w14:paraId="25B094ED">
      <w:pPr>
        <w:jc w:val="center"/>
        <w:rPr>
          <w:rFonts w:hint="eastAsia" w:ascii="仿宋" w:hAnsi="仿宋" w:eastAsia="仿宋" w:cs="仿宋"/>
          <w:color w:val="auto"/>
          <w:sz w:val="32"/>
          <w:szCs w:val="32"/>
          <w:highlight w:val="none"/>
        </w:rPr>
      </w:pPr>
    </w:p>
    <w:p w14:paraId="5A1E1A4B">
      <w:pPr>
        <w:spacing w:line="360" w:lineRule="auto"/>
        <w:ind w:firstLine="980" w:firstLineChars="3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1B743D1">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4D7B2B3F">
      <w:pPr>
        <w:jc w:val="center"/>
        <w:rPr>
          <w:rFonts w:hint="eastAsia" w:ascii="仿宋" w:hAnsi="仿宋" w:eastAsia="仿宋" w:cs="仿宋"/>
          <w:color w:val="auto"/>
          <w:sz w:val="28"/>
          <w:szCs w:val="28"/>
          <w:highlight w:val="none"/>
        </w:rPr>
      </w:pPr>
    </w:p>
    <w:p w14:paraId="7209B103">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F19547A">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999" w:name="_Toc208427825"/>
      <w:bookmarkStart w:id="1000" w:name="_Toc5292"/>
      <w:bookmarkStart w:id="1001" w:name="_Toc208436188"/>
      <w:bookmarkStart w:id="1002" w:name="_Toc290389786"/>
      <w:bookmarkStart w:id="1003" w:name="_Toc291488673"/>
      <w:r>
        <w:rPr>
          <w:rFonts w:hint="eastAsia" w:ascii="仿宋" w:hAnsi="仿宋" w:eastAsia="仿宋" w:cs="仿宋"/>
          <w:b/>
          <w:color w:val="auto"/>
          <w:sz w:val="32"/>
          <w:highlight w:val="none"/>
        </w:rPr>
        <w:t>一、施工组织设计</w:t>
      </w:r>
      <w:bookmarkEnd w:id="999"/>
      <w:bookmarkEnd w:id="1000"/>
      <w:bookmarkEnd w:id="1001"/>
    </w:p>
    <w:p w14:paraId="7967C6AA">
      <w:pPr>
        <w:ind w:firstLine="422" w:firstLineChars="200"/>
        <w:textAlignment w:val="baseline"/>
        <w:rPr>
          <w:rFonts w:hint="eastAsia" w:ascii="仿宋" w:hAnsi="仿宋" w:eastAsia="仿宋" w:cs="仿宋"/>
          <w:b/>
          <w:color w:val="auto"/>
          <w:szCs w:val="21"/>
          <w:highlight w:val="none"/>
        </w:rPr>
      </w:pPr>
    </w:p>
    <w:p w14:paraId="69FFF6AD">
      <w:pPr>
        <w:spacing w:line="360" w:lineRule="auto"/>
        <w:ind w:firstLine="420" w:firstLineChars="200"/>
        <w:contextualSpacing/>
        <w:rPr>
          <w:rFonts w:hint="eastAsia" w:ascii="仿宋" w:hAnsi="仿宋" w:eastAsia="仿宋" w:cs="仿宋"/>
          <w:color w:val="auto"/>
          <w:szCs w:val="21"/>
          <w:highlight w:val="none"/>
        </w:rPr>
      </w:pPr>
      <w:bookmarkStart w:id="1004" w:name="_Toc249761917"/>
      <w:bookmarkStart w:id="1005" w:name="_Toc301514209"/>
      <w:bookmarkStart w:id="1006" w:name="_Toc342748440"/>
      <w:bookmarkStart w:id="1007" w:name="_Toc18323452"/>
      <w:r>
        <w:rPr>
          <w:rFonts w:hint="eastAsia" w:ascii="仿宋" w:hAnsi="仿宋" w:eastAsia="仿宋" w:cs="仿宋"/>
          <w:color w:val="auto"/>
          <w:szCs w:val="21"/>
          <w:highlight w:val="none"/>
        </w:rPr>
        <w:t>1、投标人编制施工组织设计的要求：编制时应采用文字并结合图表形式说明施工方法；拟投入的主要施工设备情况、拟配备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bookmarkEnd w:id="1004"/>
    </w:p>
    <w:p w14:paraId="601786F1">
      <w:pPr>
        <w:spacing w:line="360" w:lineRule="auto"/>
        <w:ind w:firstLine="422" w:firstLineChars="200"/>
        <w:contextualSpacing/>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2、</w:t>
      </w:r>
      <w:r>
        <w:rPr>
          <w:rFonts w:hint="eastAsia" w:ascii="仿宋" w:hAnsi="仿宋" w:eastAsia="仿宋" w:cs="仿宋"/>
          <w:color w:val="auto"/>
          <w:szCs w:val="21"/>
          <w:highlight w:val="none"/>
        </w:rPr>
        <w:t>施工组织设计除采用文字表述下列项目外，必要时还应附图表说明。</w:t>
      </w:r>
    </w:p>
    <w:p w14:paraId="5298C997">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1.施工方案总体说明</w:t>
      </w:r>
    </w:p>
    <w:p w14:paraId="76FEB81E">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2.确保工程质量的技术组织措施</w:t>
      </w:r>
    </w:p>
    <w:p w14:paraId="195C0C5C">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3.确保安全生产的技术组织措施</w:t>
      </w:r>
    </w:p>
    <w:p w14:paraId="22A396C2">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4.确保文明施工的技术组织措施及环境保护措</w:t>
      </w:r>
    </w:p>
    <w:p w14:paraId="3BC5BC06">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5.项目经理部组成人员</w:t>
      </w:r>
    </w:p>
    <w:p w14:paraId="6215E7E0">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6.施工机械配备和材料投入计划</w:t>
      </w:r>
    </w:p>
    <w:p w14:paraId="17B4BF4A">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7.施工进度表或施工网络图</w:t>
      </w:r>
    </w:p>
    <w:p w14:paraId="505359ED">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8.劳动力安排计划及劳务分包情况表</w:t>
      </w:r>
    </w:p>
    <w:p w14:paraId="368824E7">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9.新技术、新产品、新工艺、新材料应用</w:t>
      </w:r>
    </w:p>
    <w:p w14:paraId="7060E9FA">
      <w:pPr>
        <w:shd w:val="clear" w:color="auto" w:fill="FFFFFF"/>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施工组织设计必须包括上述内容；但不限于上述内容，可扩展。除采用文字表述外可附下列图表，图表及格式要求附后。</w:t>
      </w:r>
    </w:p>
    <w:p w14:paraId="4B7687B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附表1  拟投入本标段的主要施工设备表</w:t>
      </w:r>
    </w:p>
    <w:p w14:paraId="2FDDAE00">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附表2  拟配备本标段的试验和检测仪器设备表</w:t>
      </w:r>
    </w:p>
    <w:p w14:paraId="184BACFA">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附表3  劳动力计划表</w:t>
      </w:r>
    </w:p>
    <w:p w14:paraId="64106D45">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附表4  计划开、竣工日期和施工进度网络图</w:t>
      </w:r>
    </w:p>
    <w:p w14:paraId="4F50748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附表5  项目管理机构</w:t>
      </w:r>
    </w:p>
    <w:p w14:paraId="44364ECB">
      <w:pPr>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60399D3B">
      <w:pPr>
        <w:rPr>
          <w:rFonts w:hint="eastAsia" w:ascii="仿宋" w:hAnsi="仿宋" w:eastAsia="仿宋" w:cs="仿宋"/>
          <w:color w:val="auto"/>
          <w:sz w:val="28"/>
          <w:szCs w:val="28"/>
          <w:highlight w:val="none"/>
        </w:rPr>
      </w:pPr>
      <w:bookmarkStart w:id="1008" w:name="_Toc251353042"/>
      <w:bookmarkStart w:id="1009" w:name="_Toc251352173"/>
      <w:bookmarkStart w:id="1010" w:name="_Toc251352790"/>
      <w:bookmarkStart w:id="1011" w:name="_Toc251676172"/>
      <w:bookmarkStart w:id="1012" w:name="_Toc249764683"/>
      <w:bookmarkStart w:id="1013" w:name="_Toc249764879"/>
      <w:bookmarkStart w:id="1014" w:name="_Toc249791200"/>
      <w:bookmarkStart w:id="1015" w:name="_Toc249775859"/>
      <w:bookmarkStart w:id="1016" w:name="_Toc249790839"/>
      <w:bookmarkStart w:id="1017" w:name="_Toc249343458"/>
      <w:bookmarkStart w:id="1018" w:name="_Toc360525437"/>
      <w:bookmarkStart w:id="1019" w:name="_Toc251352659"/>
      <w:bookmarkStart w:id="1020" w:name="_Toc251576814"/>
      <w:bookmarkStart w:id="1021" w:name="_Toc249791331"/>
      <w:bookmarkStart w:id="1022" w:name="_Toc250045049"/>
      <w:bookmarkStart w:id="1023" w:name="_Toc249791066"/>
      <w:bookmarkStart w:id="1024" w:name="_Toc251353172"/>
      <w:r>
        <w:rPr>
          <w:rFonts w:hint="eastAsia" w:ascii="仿宋" w:hAnsi="仿宋" w:eastAsia="仿宋" w:cs="仿宋"/>
          <w:b/>
          <w:bCs/>
          <w:color w:val="auto"/>
          <w:sz w:val="28"/>
          <w:szCs w:val="28"/>
          <w:highlight w:val="none"/>
        </w:rPr>
        <w:br w:type="page"/>
      </w:r>
    </w:p>
    <w:p w14:paraId="10133D6D">
      <w:pPr>
        <w:pStyle w:val="6"/>
        <w:spacing w:line="360" w:lineRule="auto"/>
        <w:contextualSpacing/>
        <w:rPr>
          <w:rFonts w:hint="eastAsia" w:ascii="仿宋" w:hAnsi="仿宋" w:eastAsia="仿宋" w:cs="仿宋"/>
          <w:b w:val="0"/>
          <w:color w:val="auto"/>
          <w:highlight w:val="none"/>
        </w:rPr>
      </w:pPr>
      <w:r>
        <w:rPr>
          <w:rFonts w:hint="eastAsia" w:ascii="仿宋" w:hAnsi="仿宋" w:eastAsia="仿宋" w:cs="仿宋"/>
          <w:b w:val="0"/>
          <w:bCs w:val="0"/>
          <w:color w:val="auto"/>
          <w:highlight w:val="none"/>
        </w:rPr>
        <w:t>附表1：拟投入的主要施工机械设备表</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p>
    <w:tbl>
      <w:tblPr>
        <w:tblStyle w:val="3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072"/>
        <w:gridCol w:w="708"/>
        <w:gridCol w:w="567"/>
        <w:gridCol w:w="914"/>
        <w:gridCol w:w="992"/>
        <w:gridCol w:w="1417"/>
        <w:gridCol w:w="993"/>
        <w:gridCol w:w="992"/>
        <w:gridCol w:w="780"/>
      </w:tblGrid>
      <w:tr w14:paraId="5B70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26AECA53">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72" w:type="dxa"/>
            <w:noWrap w:val="0"/>
            <w:vAlign w:val="center"/>
          </w:tcPr>
          <w:p w14:paraId="77E2584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设备名称</w:t>
            </w:r>
          </w:p>
        </w:tc>
        <w:tc>
          <w:tcPr>
            <w:tcW w:w="708" w:type="dxa"/>
            <w:noWrap w:val="0"/>
            <w:vAlign w:val="center"/>
          </w:tcPr>
          <w:p w14:paraId="242BEA9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571AFFB">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567" w:type="dxa"/>
            <w:noWrap w:val="0"/>
            <w:vAlign w:val="center"/>
          </w:tcPr>
          <w:p w14:paraId="1339646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914" w:type="dxa"/>
            <w:noWrap w:val="0"/>
            <w:vAlign w:val="center"/>
          </w:tcPr>
          <w:p w14:paraId="1A506D0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4CD8429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992" w:type="dxa"/>
            <w:noWrap w:val="0"/>
            <w:vAlign w:val="center"/>
          </w:tcPr>
          <w:p w14:paraId="4F432C2D">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w:t>
            </w:r>
          </w:p>
          <w:p w14:paraId="766D0B5E">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年份</w:t>
            </w:r>
          </w:p>
        </w:tc>
        <w:tc>
          <w:tcPr>
            <w:tcW w:w="1417" w:type="dxa"/>
            <w:noWrap w:val="0"/>
            <w:vAlign w:val="center"/>
          </w:tcPr>
          <w:p w14:paraId="1A0EF3FD">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额定功率</w:t>
            </w:r>
          </w:p>
          <w:p w14:paraId="69C3ABE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KW )</w:t>
            </w:r>
          </w:p>
        </w:tc>
        <w:tc>
          <w:tcPr>
            <w:tcW w:w="993" w:type="dxa"/>
            <w:noWrap w:val="0"/>
            <w:vAlign w:val="center"/>
          </w:tcPr>
          <w:p w14:paraId="15EEE72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463B325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能力</w:t>
            </w:r>
          </w:p>
        </w:tc>
        <w:tc>
          <w:tcPr>
            <w:tcW w:w="992" w:type="dxa"/>
            <w:noWrap w:val="0"/>
            <w:vAlign w:val="center"/>
          </w:tcPr>
          <w:p w14:paraId="1CDF150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用于施</w:t>
            </w:r>
          </w:p>
          <w:p w14:paraId="5EE4E63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工部位</w:t>
            </w:r>
          </w:p>
        </w:tc>
        <w:tc>
          <w:tcPr>
            <w:tcW w:w="780" w:type="dxa"/>
            <w:noWrap w:val="0"/>
            <w:vAlign w:val="center"/>
          </w:tcPr>
          <w:p w14:paraId="2541C340">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2C1B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5C2CFB4E">
            <w:pPr>
              <w:contextualSpacing/>
              <w:jc w:val="center"/>
              <w:rPr>
                <w:rFonts w:hint="eastAsia" w:ascii="仿宋" w:hAnsi="仿宋" w:eastAsia="仿宋" w:cs="仿宋"/>
                <w:color w:val="auto"/>
                <w:szCs w:val="21"/>
                <w:highlight w:val="none"/>
              </w:rPr>
            </w:pPr>
          </w:p>
        </w:tc>
        <w:tc>
          <w:tcPr>
            <w:tcW w:w="1072" w:type="dxa"/>
            <w:noWrap w:val="0"/>
            <w:vAlign w:val="center"/>
          </w:tcPr>
          <w:p w14:paraId="5FEF6189">
            <w:pPr>
              <w:contextualSpacing/>
              <w:jc w:val="center"/>
              <w:rPr>
                <w:rFonts w:hint="eastAsia" w:ascii="仿宋" w:hAnsi="仿宋" w:eastAsia="仿宋" w:cs="仿宋"/>
                <w:color w:val="auto"/>
                <w:szCs w:val="21"/>
                <w:highlight w:val="none"/>
              </w:rPr>
            </w:pPr>
          </w:p>
        </w:tc>
        <w:tc>
          <w:tcPr>
            <w:tcW w:w="708" w:type="dxa"/>
            <w:noWrap w:val="0"/>
            <w:vAlign w:val="center"/>
          </w:tcPr>
          <w:p w14:paraId="6C67F921">
            <w:pPr>
              <w:contextualSpacing/>
              <w:jc w:val="center"/>
              <w:rPr>
                <w:rFonts w:hint="eastAsia" w:ascii="仿宋" w:hAnsi="仿宋" w:eastAsia="仿宋" w:cs="仿宋"/>
                <w:color w:val="auto"/>
                <w:szCs w:val="21"/>
                <w:highlight w:val="none"/>
              </w:rPr>
            </w:pPr>
          </w:p>
        </w:tc>
        <w:tc>
          <w:tcPr>
            <w:tcW w:w="567" w:type="dxa"/>
            <w:noWrap w:val="0"/>
            <w:vAlign w:val="center"/>
          </w:tcPr>
          <w:p w14:paraId="5C55F688">
            <w:pPr>
              <w:contextualSpacing/>
              <w:jc w:val="center"/>
              <w:rPr>
                <w:rFonts w:hint="eastAsia" w:ascii="仿宋" w:hAnsi="仿宋" w:eastAsia="仿宋" w:cs="仿宋"/>
                <w:color w:val="auto"/>
                <w:szCs w:val="21"/>
                <w:highlight w:val="none"/>
              </w:rPr>
            </w:pPr>
          </w:p>
        </w:tc>
        <w:tc>
          <w:tcPr>
            <w:tcW w:w="914" w:type="dxa"/>
            <w:noWrap w:val="0"/>
            <w:vAlign w:val="center"/>
          </w:tcPr>
          <w:p w14:paraId="5CA306E6">
            <w:pPr>
              <w:contextualSpacing/>
              <w:jc w:val="center"/>
              <w:rPr>
                <w:rFonts w:hint="eastAsia" w:ascii="仿宋" w:hAnsi="仿宋" w:eastAsia="仿宋" w:cs="仿宋"/>
                <w:color w:val="auto"/>
                <w:szCs w:val="21"/>
                <w:highlight w:val="none"/>
              </w:rPr>
            </w:pPr>
          </w:p>
        </w:tc>
        <w:tc>
          <w:tcPr>
            <w:tcW w:w="992" w:type="dxa"/>
            <w:noWrap w:val="0"/>
            <w:vAlign w:val="center"/>
          </w:tcPr>
          <w:p w14:paraId="71B87191">
            <w:pPr>
              <w:contextualSpacing/>
              <w:jc w:val="center"/>
              <w:rPr>
                <w:rFonts w:hint="eastAsia" w:ascii="仿宋" w:hAnsi="仿宋" w:eastAsia="仿宋" w:cs="仿宋"/>
                <w:color w:val="auto"/>
                <w:szCs w:val="21"/>
                <w:highlight w:val="none"/>
              </w:rPr>
            </w:pPr>
          </w:p>
        </w:tc>
        <w:tc>
          <w:tcPr>
            <w:tcW w:w="1417" w:type="dxa"/>
            <w:noWrap w:val="0"/>
            <w:vAlign w:val="center"/>
          </w:tcPr>
          <w:p w14:paraId="137327B7">
            <w:pPr>
              <w:contextualSpacing/>
              <w:jc w:val="center"/>
              <w:rPr>
                <w:rFonts w:hint="eastAsia" w:ascii="仿宋" w:hAnsi="仿宋" w:eastAsia="仿宋" w:cs="仿宋"/>
                <w:color w:val="auto"/>
                <w:szCs w:val="21"/>
                <w:highlight w:val="none"/>
              </w:rPr>
            </w:pPr>
          </w:p>
        </w:tc>
        <w:tc>
          <w:tcPr>
            <w:tcW w:w="993" w:type="dxa"/>
            <w:noWrap w:val="0"/>
            <w:vAlign w:val="center"/>
          </w:tcPr>
          <w:p w14:paraId="189A1FA2">
            <w:pPr>
              <w:contextualSpacing/>
              <w:jc w:val="center"/>
              <w:rPr>
                <w:rFonts w:hint="eastAsia" w:ascii="仿宋" w:hAnsi="仿宋" w:eastAsia="仿宋" w:cs="仿宋"/>
                <w:color w:val="auto"/>
                <w:szCs w:val="21"/>
                <w:highlight w:val="none"/>
              </w:rPr>
            </w:pPr>
          </w:p>
        </w:tc>
        <w:tc>
          <w:tcPr>
            <w:tcW w:w="992" w:type="dxa"/>
            <w:noWrap w:val="0"/>
            <w:vAlign w:val="center"/>
          </w:tcPr>
          <w:p w14:paraId="1A945D93">
            <w:pPr>
              <w:contextualSpacing/>
              <w:jc w:val="center"/>
              <w:rPr>
                <w:rFonts w:hint="eastAsia" w:ascii="仿宋" w:hAnsi="仿宋" w:eastAsia="仿宋" w:cs="仿宋"/>
                <w:color w:val="auto"/>
                <w:szCs w:val="21"/>
                <w:highlight w:val="none"/>
              </w:rPr>
            </w:pPr>
          </w:p>
        </w:tc>
        <w:tc>
          <w:tcPr>
            <w:tcW w:w="780" w:type="dxa"/>
            <w:noWrap w:val="0"/>
            <w:vAlign w:val="center"/>
          </w:tcPr>
          <w:p w14:paraId="33A5D97E">
            <w:pPr>
              <w:contextualSpacing/>
              <w:jc w:val="center"/>
              <w:rPr>
                <w:rFonts w:hint="eastAsia" w:ascii="仿宋" w:hAnsi="仿宋" w:eastAsia="仿宋" w:cs="仿宋"/>
                <w:color w:val="auto"/>
                <w:szCs w:val="21"/>
                <w:highlight w:val="none"/>
              </w:rPr>
            </w:pPr>
          </w:p>
        </w:tc>
      </w:tr>
      <w:tr w14:paraId="5192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0406EDC6">
            <w:pPr>
              <w:contextualSpacing/>
              <w:jc w:val="center"/>
              <w:rPr>
                <w:rFonts w:hint="eastAsia" w:ascii="仿宋" w:hAnsi="仿宋" w:eastAsia="仿宋" w:cs="仿宋"/>
                <w:color w:val="auto"/>
                <w:szCs w:val="21"/>
                <w:highlight w:val="none"/>
              </w:rPr>
            </w:pPr>
          </w:p>
        </w:tc>
        <w:tc>
          <w:tcPr>
            <w:tcW w:w="1072" w:type="dxa"/>
            <w:noWrap w:val="0"/>
            <w:vAlign w:val="center"/>
          </w:tcPr>
          <w:p w14:paraId="4E35976E">
            <w:pPr>
              <w:contextualSpacing/>
              <w:jc w:val="center"/>
              <w:rPr>
                <w:rFonts w:hint="eastAsia" w:ascii="仿宋" w:hAnsi="仿宋" w:eastAsia="仿宋" w:cs="仿宋"/>
                <w:color w:val="auto"/>
                <w:szCs w:val="21"/>
                <w:highlight w:val="none"/>
              </w:rPr>
            </w:pPr>
          </w:p>
        </w:tc>
        <w:tc>
          <w:tcPr>
            <w:tcW w:w="708" w:type="dxa"/>
            <w:noWrap w:val="0"/>
            <w:vAlign w:val="center"/>
          </w:tcPr>
          <w:p w14:paraId="3ECE8FFA">
            <w:pPr>
              <w:contextualSpacing/>
              <w:jc w:val="center"/>
              <w:rPr>
                <w:rFonts w:hint="eastAsia" w:ascii="仿宋" w:hAnsi="仿宋" w:eastAsia="仿宋" w:cs="仿宋"/>
                <w:color w:val="auto"/>
                <w:szCs w:val="21"/>
                <w:highlight w:val="none"/>
              </w:rPr>
            </w:pPr>
          </w:p>
        </w:tc>
        <w:tc>
          <w:tcPr>
            <w:tcW w:w="567" w:type="dxa"/>
            <w:noWrap w:val="0"/>
            <w:vAlign w:val="center"/>
          </w:tcPr>
          <w:p w14:paraId="3B091985">
            <w:pPr>
              <w:contextualSpacing/>
              <w:jc w:val="center"/>
              <w:rPr>
                <w:rFonts w:hint="eastAsia" w:ascii="仿宋" w:hAnsi="仿宋" w:eastAsia="仿宋" w:cs="仿宋"/>
                <w:color w:val="auto"/>
                <w:szCs w:val="21"/>
                <w:highlight w:val="none"/>
              </w:rPr>
            </w:pPr>
          </w:p>
        </w:tc>
        <w:tc>
          <w:tcPr>
            <w:tcW w:w="914" w:type="dxa"/>
            <w:noWrap w:val="0"/>
            <w:vAlign w:val="center"/>
          </w:tcPr>
          <w:p w14:paraId="4164969D">
            <w:pPr>
              <w:contextualSpacing/>
              <w:jc w:val="center"/>
              <w:rPr>
                <w:rFonts w:hint="eastAsia" w:ascii="仿宋" w:hAnsi="仿宋" w:eastAsia="仿宋" w:cs="仿宋"/>
                <w:color w:val="auto"/>
                <w:szCs w:val="21"/>
                <w:highlight w:val="none"/>
              </w:rPr>
            </w:pPr>
          </w:p>
        </w:tc>
        <w:tc>
          <w:tcPr>
            <w:tcW w:w="992" w:type="dxa"/>
            <w:noWrap w:val="0"/>
            <w:vAlign w:val="center"/>
          </w:tcPr>
          <w:p w14:paraId="121571D8">
            <w:pPr>
              <w:contextualSpacing/>
              <w:jc w:val="center"/>
              <w:rPr>
                <w:rFonts w:hint="eastAsia" w:ascii="仿宋" w:hAnsi="仿宋" w:eastAsia="仿宋" w:cs="仿宋"/>
                <w:color w:val="auto"/>
                <w:szCs w:val="21"/>
                <w:highlight w:val="none"/>
              </w:rPr>
            </w:pPr>
          </w:p>
        </w:tc>
        <w:tc>
          <w:tcPr>
            <w:tcW w:w="1417" w:type="dxa"/>
            <w:noWrap w:val="0"/>
            <w:vAlign w:val="center"/>
          </w:tcPr>
          <w:p w14:paraId="404C8C55">
            <w:pPr>
              <w:contextualSpacing/>
              <w:jc w:val="center"/>
              <w:rPr>
                <w:rFonts w:hint="eastAsia" w:ascii="仿宋" w:hAnsi="仿宋" w:eastAsia="仿宋" w:cs="仿宋"/>
                <w:color w:val="auto"/>
                <w:szCs w:val="21"/>
                <w:highlight w:val="none"/>
              </w:rPr>
            </w:pPr>
          </w:p>
        </w:tc>
        <w:tc>
          <w:tcPr>
            <w:tcW w:w="993" w:type="dxa"/>
            <w:noWrap w:val="0"/>
            <w:vAlign w:val="center"/>
          </w:tcPr>
          <w:p w14:paraId="544FF10F">
            <w:pPr>
              <w:contextualSpacing/>
              <w:jc w:val="center"/>
              <w:rPr>
                <w:rFonts w:hint="eastAsia" w:ascii="仿宋" w:hAnsi="仿宋" w:eastAsia="仿宋" w:cs="仿宋"/>
                <w:color w:val="auto"/>
                <w:szCs w:val="21"/>
                <w:highlight w:val="none"/>
              </w:rPr>
            </w:pPr>
          </w:p>
        </w:tc>
        <w:tc>
          <w:tcPr>
            <w:tcW w:w="992" w:type="dxa"/>
            <w:noWrap w:val="0"/>
            <w:vAlign w:val="center"/>
          </w:tcPr>
          <w:p w14:paraId="740B8CAF">
            <w:pPr>
              <w:contextualSpacing/>
              <w:jc w:val="center"/>
              <w:rPr>
                <w:rFonts w:hint="eastAsia" w:ascii="仿宋" w:hAnsi="仿宋" w:eastAsia="仿宋" w:cs="仿宋"/>
                <w:color w:val="auto"/>
                <w:szCs w:val="21"/>
                <w:highlight w:val="none"/>
              </w:rPr>
            </w:pPr>
          </w:p>
        </w:tc>
        <w:tc>
          <w:tcPr>
            <w:tcW w:w="780" w:type="dxa"/>
            <w:noWrap w:val="0"/>
            <w:vAlign w:val="center"/>
          </w:tcPr>
          <w:p w14:paraId="64B0EDE8">
            <w:pPr>
              <w:contextualSpacing/>
              <w:jc w:val="center"/>
              <w:rPr>
                <w:rFonts w:hint="eastAsia" w:ascii="仿宋" w:hAnsi="仿宋" w:eastAsia="仿宋" w:cs="仿宋"/>
                <w:color w:val="auto"/>
                <w:szCs w:val="21"/>
                <w:highlight w:val="none"/>
              </w:rPr>
            </w:pPr>
          </w:p>
        </w:tc>
      </w:tr>
      <w:tr w14:paraId="75B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5878C70">
            <w:pPr>
              <w:contextualSpacing/>
              <w:jc w:val="center"/>
              <w:rPr>
                <w:rFonts w:hint="eastAsia" w:ascii="仿宋" w:hAnsi="仿宋" w:eastAsia="仿宋" w:cs="仿宋"/>
                <w:color w:val="auto"/>
                <w:szCs w:val="21"/>
                <w:highlight w:val="none"/>
              </w:rPr>
            </w:pPr>
          </w:p>
        </w:tc>
        <w:tc>
          <w:tcPr>
            <w:tcW w:w="1072" w:type="dxa"/>
            <w:noWrap w:val="0"/>
            <w:vAlign w:val="center"/>
          </w:tcPr>
          <w:p w14:paraId="576C3964">
            <w:pPr>
              <w:contextualSpacing/>
              <w:jc w:val="center"/>
              <w:rPr>
                <w:rFonts w:hint="eastAsia" w:ascii="仿宋" w:hAnsi="仿宋" w:eastAsia="仿宋" w:cs="仿宋"/>
                <w:color w:val="auto"/>
                <w:szCs w:val="21"/>
                <w:highlight w:val="none"/>
              </w:rPr>
            </w:pPr>
          </w:p>
        </w:tc>
        <w:tc>
          <w:tcPr>
            <w:tcW w:w="708" w:type="dxa"/>
            <w:noWrap w:val="0"/>
            <w:vAlign w:val="center"/>
          </w:tcPr>
          <w:p w14:paraId="5A3DA8CF">
            <w:pPr>
              <w:contextualSpacing/>
              <w:jc w:val="center"/>
              <w:rPr>
                <w:rFonts w:hint="eastAsia" w:ascii="仿宋" w:hAnsi="仿宋" w:eastAsia="仿宋" w:cs="仿宋"/>
                <w:color w:val="auto"/>
                <w:szCs w:val="21"/>
                <w:highlight w:val="none"/>
              </w:rPr>
            </w:pPr>
          </w:p>
        </w:tc>
        <w:tc>
          <w:tcPr>
            <w:tcW w:w="567" w:type="dxa"/>
            <w:noWrap w:val="0"/>
            <w:vAlign w:val="center"/>
          </w:tcPr>
          <w:p w14:paraId="433FDF7E">
            <w:pPr>
              <w:contextualSpacing/>
              <w:jc w:val="center"/>
              <w:rPr>
                <w:rFonts w:hint="eastAsia" w:ascii="仿宋" w:hAnsi="仿宋" w:eastAsia="仿宋" w:cs="仿宋"/>
                <w:color w:val="auto"/>
                <w:szCs w:val="21"/>
                <w:highlight w:val="none"/>
              </w:rPr>
            </w:pPr>
          </w:p>
        </w:tc>
        <w:tc>
          <w:tcPr>
            <w:tcW w:w="914" w:type="dxa"/>
            <w:noWrap w:val="0"/>
            <w:vAlign w:val="center"/>
          </w:tcPr>
          <w:p w14:paraId="1A86028E">
            <w:pPr>
              <w:contextualSpacing/>
              <w:jc w:val="center"/>
              <w:rPr>
                <w:rFonts w:hint="eastAsia" w:ascii="仿宋" w:hAnsi="仿宋" w:eastAsia="仿宋" w:cs="仿宋"/>
                <w:color w:val="auto"/>
                <w:szCs w:val="21"/>
                <w:highlight w:val="none"/>
              </w:rPr>
            </w:pPr>
          </w:p>
        </w:tc>
        <w:tc>
          <w:tcPr>
            <w:tcW w:w="992" w:type="dxa"/>
            <w:noWrap w:val="0"/>
            <w:vAlign w:val="center"/>
          </w:tcPr>
          <w:p w14:paraId="5A61A51C">
            <w:pPr>
              <w:contextualSpacing/>
              <w:jc w:val="center"/>
              <w:rPr>
                <w:rFonts w:hint="eastAsia" w:ascii="仿宋" w:hAnsi="仿宋" w:eastAsia="仿宋" w:cs="仿宋"/>
                <w:color w:val="auto"/>
                <w:szCs w:val="21"/>
                <w:highlight w:val="none"/>
              </w:rPr>
            </w:pPr>
          </w:p>
        </w:tc>
        <w:tc>
          <w:tcPr>
            <w:tcW w:w="1417" w:type="dxa"/>
            <w:noWrap w:val="0"/>
            <w:vAlign w:val="center"/>
          </w:tcPr>
          <w:p w14:paraId="2898A89D">
            <w:pPr>
              <w:contextualSpacing/>
              <w:jc w:val="center"/>
              <w:rPr>
                <w:rFonts w:hint="eastAsia" w:ascii="仿宋" w:hAnsi="仿宋" w:eastAsia="仿宋" w:cs="仿宋"/>
                <w:color w:val="auto"/>
                <w:szCs w:val="21"/>
                <w:highlight w:val="none"/>
              </w:rPr>
            </w:pPr>
          </w:p>
        </w:tc>
        <w:tc>
          <w:tcPr>
            <w:tcW w:w="993" w:type="dxa"/>
            <w:noWrap w:val="0"/>
            <w:vAlign w:val="center"/>
          </w:tcPr>
          <w:p w14:paraId="311B2C1B">
            <w:pPr>
              <w:contextualSpacing/>
              <w:jc w:val="center"/>
              <w:rPr>
                <w:rFonts w:hint="eastAsia" w:ascii="仿宋" w:hAnsi="仿宋" w:eastAsia="仿宋" w:cs="仿宋"/>
                <w:color w:val="auto"/>
                <w:szCs w:val="21"/>
                <w:highlight w:val="none"/>
              </w:rPr>
            </w:pPr>
          </w:p>
        </w:tc>
        <w:tc>
          <w:tcPr>
            <w:tcW w:w="992" w:type="dxa"/>
            <w:noWrap w:val="0"/>
            <w:vAlign w:val="center"/>
          </w:tcPr>
          <w:p w14:paraId="476F31B6">
            <w:pPr>
              <w:contextualSpacing/>
              <w:jc w:val="center"/>
              <w:rPr>
                <w:rFonts w:hint="eastAsia" w:ascii="仿宋" w:hAnsi="仿宋" w:eastAsia="仿宋" w:cs="仿宋"/>
                <w:color w:val="auto"/>
                <w:szCs w:val="21"/>
                <w:highlight w:val="none"/>
              </w:rPr>
            </w:pPr>
          </w:p>
        </w:tc>
        <w:tc>
          <w:tcPr>
            <w:tcW w:w="780" w:type="dxa"/>
            <w:noWrap w:val="0"/>
            <w:vAlign w:val="center"/>
          </w:tcPr>
          <w:p w14:paraId="2F8E6502">
            <w:pPr>
              <w:contextualSpacing/>
              <w:jc w:val="center"/>
              <w:rPr>
                <w:rFonts w:hint="eastAsia" w:ascii="仿宋" w:hAnsi="仿宋" w:eastAsia="仿宋" w:cs="仿宋"/>
                <w:color w:val="auto"/>
                <w:szCs w:val="21"/>
                <w:highlight w:val="none"/>
              </w:rPr>
            </w:pPr>
          </w:p>
        </w:tc>
      </w:tr>
      <w:tr w14:paraId="10F0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55AC39B">
            <w:pPr>
              <w:contextualSpacing/>
              <w:jc w:val="center"/>
              <w:rPr>
                <w:rFonts w:hint="eastAsia" w:ascii="仿宋" w:hAnsi="仿宋" w:eastAsia="仿宋" w:cs="仿宋"/>
                <w:color w:val="auto"/>
                <w:szCs w:val="21"/>
                <w:highlight w:val="none"/>
              </w:rPr>
            </w:pPr>
          </w:p>
        </w:tc>
        <w:tc>
          <w:tcPr>
            <w:tcW w:w="1072" w:type="dxa"/>
            <w:noWrap w:val="0"/>
            <w:vAlign w:val="center"/>
          </w:tcPr>
          <w:p w14:paraId="21096604">
            <w:pPr>
              <w:contextualSpacing/>
              <w:jc w:val="center"/>
              <w:rPr>
                <w:rFonts w:hint="eastAsia" w:ascii="仿宋" w:hAnsi="仿宋" w:eastAsia="仿宋" w:cs="仿宋"/>
                <w:color w:val="auto"/>
                <w:szCs w:val="21"/>
                <w:highlight w:val="none"/>
              </w:rPr>
            </w:pPr>
          </w:p>
        </w:tc>
        <w:tc>
          <w:tcPr>
            <w:tcW w:w="708" w:type="dxa"/>
            <w:noWrap w:val="0"/>
            <w:vAlign w:val="center"/>
          </w:tcPr>
          <w:p w14:paraId="1CC38A57">
            <w:pPr>
              <w:contextualSpacing/>
              <w:jc w:val="center"/>
              <w:rPr>
                <w:rFonts w:hint="eastAsia" w:ascii="仿宋" w:hAnsi="仿宋" w:eastAsia="仿宋" w:cs="仿宋"/>
                <w:color w:val="auto"/>
                <w:szCs w:val="21"/>
                <w:highlight w:val="none"/>
              </w:rPr>
            </w:pPr>
          </w:p>
        </w:tc>
        <w:tc>
          <w:tcPr>
            <w:tcW w:w="567" w:type="dxa"/>
            <w:noWrap w:val="0"/>
            <w:vAlign w:val="center"/>
          </w:tcPr>
          <w:p w14:paraId="17066876">
            <w:pPr>
              <w:contextualSpacing/>
              <w:jc w:val="center"/>
              <w:rPr>
                <w:rFonts w:hint="eastAsia" w:ascii="仿宋" w:hAnsi="仿宋" w:eastAsia="仿宋" w:cs="仿宋"/>
                <w:color w:val="auto"/>
                <w:szCs w:val="21"/>
                <w:highlight w:val="none"/>
              </w:rPr>
            </w:pPr>
          </w:p>
        </w:tc>
        <w:tc>
          <w:tcPr>
            <w:tcW w:w="914" w:type="dxa"/>
            <w:noWrap w:val="0"/>
            <w:vAlign w:val="center"/>
          </w:tcPr>
          <w:p w14:paraId="63C767E5">
            <w:pPr>
              <w:contextualSpacing/>
              <w:jc w:val="center"/>
              <w:rPr>
                <w:rFonts w:hint="eastAsia" w:ascii="仿宋" w:hAnsi="仿宋" w:eastAsia="仿宋" w:cs="仿宋"/>
                <w:color w:val="auto"/>
                <w:szCs w:val="21"/>
                <w:highlight w:val="none"/>
              </w:rPr>
            </w:pPr>
          </w:p>
        </w:tc>
        <w:tc>
          <w:tcPr>
            <w:tcW w:w="992" w:type="dxa"/>
            <w:noWrap w:val="0"/>
            <w:vAlign w:val="center"/>
          </w:tcPr>
          <w:p w14:paraId="1A81FD9B">
            <w:pPr>
              <w:contextualSpacing/>
              <w:jc w:val="center"/>
              <w:rPr>
                <w:rFonts w:hint="eastAsia" w:ascii="仿宋" w:hAnsi="仿宋" w:eastAsia="仿宋" w:cs="仿宋"/>
                <w:color w:val="auto"/>
                <w:szCs w:val="21"/>
                <w:highlight w:val="none"/>
              </w:rPr>
            </w:pPr>
          </w:p>
        </w:tc>
        <w:tc>
          <w:tcPr>
            <w:tcW w:w="1417" w:type="dxa"/>
            <w:noWrap w:val="0"/>
            <w:vAlign w:val="center"/>
          </w:tcPr>
          <w:p w14:paraId="4DB87B0E">
            <w:pPr>
              <w:contextualSpacing/>
              <w:jc w:val="center"/>
              <w:rPr>
                <w:rFonts w:hint="eastAsia" w:ascii="仿宋" w:hAnsi="仿宋" w:eastAsia="仿宋" w:cs="仿宋"/>
                <w:color w:val="auto"/>
                <w:szCs w:val="21"/>
                <w:highlight w:val="none"/>
              </w:rPr>
            </w:pPr>
          </w:p>
        </w:tc>
        <w:tc>
          <w:tcPr>
            <w:tcW w:w="993" w:type="dxa"/>
            <w:noWrap w:val="0"/>
            <w:vAlign w:val="center"/>
          </w:tcPr>
          <w:p w14:paraId="2EB938D4">
            <w:pPr>
              <w:contextualSpacing/>
              <w:jc w:val="center"/>
              <w:rPr>
                <w:rFonts w:hint="eastAsia" w:ascii="仿宋" w:hAnsi="仿宋" w:eastAsia="仿宋" w:cs="仿宋"/>
                <w:color w:val="auto"/>
                <w:szCs w:val="21"/>
                <w:highlight w:val="none"/>
              </w:rPr>
            </w:pPr>
          </w:p>
        </w:tc>
        <w:tc>
          <w:tcPr>
            <w:tcW w:w="992" w:type="dxa"/>
            <w:noWrap w:val="0"/>
            <w:vAlign w:val="center"/>
          </w:tcPr>
          <w:p w14:paraId="657444B0">
            <w:pPr>
              <w:contextualSpacing/>
              <w:jc w:val="center"/>
              <w:rPr>
                <w:rFonts w:hint="eastAsia" w:ascii="仿宋" w:hAnsi="仿宋" w:eastAsia="仿宋" w:cs="仿宋"/>
                <w:color w:val="auto"/>
                <w:szCs w:val="21"/>
                <w:highlight w:val="none"/>
              </w:rPr>
            </w:pPr>
          </w:p>
        </w:tc>
        <w:tc>
          <w:tcPr>
            <w:tcW w:w="780" w:type="dxa"/>
            <w:noWrap w:val="0"/>
            <w:vAlign w:val="center"/>
          </w:tcPr>
          <w:p w14:paraId="5E691743">
            <w:pPr>
              <w:contextualSpacing/>
              <w:jc w:val="center"/>
              <w:rPr>
                <w:rFonts w:hint="eastAsia" w:ascii="仿宋" w:hAnsi="仿宋" w:eastAsia="仿宋" w:cs="仿宋"/>
                <w:color w:val="auto"/>
                <w:szCs w:val="21"/>
                <w:highlight w:val="none"/>
              </w:rPr>
            </w:pPr>
          </w:p>
        </w:tc>
      </w:tr>
      <w:tr w14:paraId="4CD5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56762D9D">
            <w:pPr>
              <w:contextualSpacing/>
              <w:jc w:val="center"/>
              <w:rPr>
                <w:rFonts w:hint="eastAsia" w:ascii="仿宋" w:hAnsi="仿宋" w:eastAsia="仿宋" w:cs="仿宋"/>
                <w:color w:val="auto"/>
                <w:szCs w:val="21"/>
                <w:highlight w:val="none"/>
              </w:rPr>
            </w:pPr>
          </w:p>
        </w:tc>
        <w:tc>
          <w:tcPr>
            <w:tcW w:w="1072" w:type="dxa"/>
            <w:noWrap w:val="0"/>
            <w:vAlign w:val="center"/>
          </w:tcPr>
          <w:p w14:paraId="716A8CA2">
            <w:pPr>
              <w:contextualSpacing/>
              <w:jc w:val="center"/>
              <w:rPr>
                <w:rFonts w:hint="eastAsia" w:ascii="仿宋" w:hAnsi="仿宋" w:eastAsia="仿宋" w:cs="仿宋"/>
                <w:color w:val="auto"/>
                <w:szCs w:val="21"/>
                <w:highlight w:val="none"/>
              </w:rPr>
            </w:pPr>
          </w:p>
        </w:tc>
        <w:tc>
          <w:tcPr>
            <w:tcW w:w="708" w:type="dxa"/>
            <w:noWrap w:val="0"/>
            <w:vAlign w:val="center"/>
          </w:tcPr>
          <w:p w14:paraId="12803313">
            <w:pPr>
              <w:contextualSpacing/>
              <w:jc w:val="center"/>
              <w:rPr>
                <w:rFonts w:hint="eastAsia" w:ascii="仿宋" w:hAnsi="仿宋" w:eastAsia="仿宋" w:cs="仿宋"/>
                <w:color w:val="auto"/>
                <w:szCs w:val="21"/>
                <w:highlight w:val="none"/>
              </w:rPr>
            </w:pPr>
          </w:p>
        </w:tc>
        <w:tc>
          <w:tcPr>
            <w:tcW w:w="567" w:type="dxa"/>
            <w:noWrap w:val="0"/>
            <w:vAlign w:val="center"/>
          </w:tcPr>
          <w:p w14:paraId="432BF25C">
            <w:pPr>
              <w:contextualSpacing/>
              <w:jc w:val="center"/>
              <w:rPr>
                <w:rFonts w:hint="eastAsia" w:ascii="仿宋" w:hAnsi="仿宋" w:eastAsia="仿宋" w:cs="仿宋"/>
                <w:color w:val="auto"/>
                <w:szCs w:val="21"/>
                <w:highlight w:val="none"/>
              </w:rPr>
            </w:pPr>
          </w:p>
        </w:tc>
        <w:tc>
          <w:tcPr>
            <w:tcW w:w="914" w:type="dxa"/>
            <w:noWrap w:val="0"/>
            <w:vAlign w:val="center"/>
          </w:tcPr>
          <w:p w14:paraId="1286364C">
            <w:pPr>
              <w:contextualSpacing/>
              <w:jc w:val="center"/>
              <w:rPr>
                <w:rFonts w:hint="eastAsia" w:ascii="仿宋" w:hAnsi="仿宋" w:eastAsia="仿宋" w:cs="仿宋"/>
                <w:color w:val="auto"/>
                <w:szCs w:val="21"/>
                <w:highlight w:val="none"/>
              </w:rPr>
            </w:pPr>
          </w:p>
        </w:tc>
        <w:tc>
          <w:tcPr>
            <w:tcW w:w="992" w:type="dxa"/>
            <w:noWrap w:val="0"/>
            <w:vAlign w:val="center"/>
          </w:tcPr>
          <w:p w14:paraId="21F014DF">
            <w:pPr>
              <w:contextualSpacing/>
              <w:jc w:val="center"/>
              <w:rPr>
                <w:rFonts w:hint="eastAsia" w:ascii="仿宋" w:hAnsi="仿宋" w:eastAsia="仿宋" w:cs="仿宋"/>
                <w:color w:val="auto"/>
                <w:szCs w:val="21"/>
                <w:highlight w:val="none"/>
              </w:rPr>
            </w:pPr>
          </w:p>
        </w:tc>
        <w:tc>
          <w:tcPr>
            <w:tcW w:w="1417" w:type="dxa"/>
            <w:noWrap w:val="0"/>
            <w:vAlign w:val="center"/>
          </w:tcPr>
          <w:p w14:paraId="6E860D24">
            <w:pPr>
              <w:contextualSpacing/>
              <w:jc w:val="center"/>
              <w:rPr>
                <w:rFonts w:hint="eastAsia" w:ascii="仿宋" w:hAnsi="仿宋" w:eastAsia="仿宋" w:cs="仿宋"/>
                <w:color w:val="auto"/>
                <w:szCs w:val="21"/>
                <w:highlight w:val="none"/>
              </w:rPr>
            </w:pPr>
          </w:p>
        </w:tc>
        <w:tc>
          <w:tcPr>
            <w:tcW w:w="993" w:type="dxa"/>
            <w:noWrap w:val="0"/>
            <w:vAlign w:val="center"/>
          </w:tcPr>
          <w:p w14:paraId="5AE8F988">
            <w:pPr>
              <w:contextualSpacing/>
              <w:jc w:val="center"/>
              <w:rPr>
                <w:rFonts w:hint="eastAsia" w:ascii="仿宋" w:hAnsi="仿宋" w:eastAsia="仿宋" w:cs="仿宋"/>
                <w:color w:val="auto"/>
                <w:szCs w:val="21"/>
                <w:highlight w:val="none"/>
              </w:rPr>
            </w:pPr>
          </w:p>
        </w:tc>
        <w:tc>
          <w:tcPr>
            <w:tcW w:w="992" w:type="dxa"/>
            <w:noWrap w:val="0"/>
            <w:vAlign w:val="center"/>
          </w:tcPr>
          <w:p w14:paraId="3344B182">
            <w:pPr>
              <w:contextualSpacing/>
              <w:jc w:val="center"/>
              <w:rPr>
                <w:rFonts w:hint="eastAsia" w:ascii="仿宋" w:hAnsi="仿宋" w:eastAsia="仿宋" w:cs="仿宋"/>
                <w:color w:val="auto"/>
                <w:szCs w:val="21"/>
                <w:highlight w:val="none"/>
              </w:rPr>
            </w:pPr>
          </w:p>
        </w:tc>
        <w:tc>
          <w:tcPr>
            <w:tcW w:w="780" w:type="dxa"/>
            <w:noWrap w:val="0"/>
            <w:vAlign w:val="center"/>
          </w:tcPr>
          <w:p w14:paraId="3D04CA29">
            <w:pPr>
              <w:contextualSpacing/>
              <w:jc w:val="center"/>
              <w:rPr>
                <w:rFonts w:hint="eastAsia" w:ascii="仿宋" w:hAnsi="仿宋" w:eastAsia="仿宋" w:cs="仿宋"/>
                <w:color w:val="auto"/>
                <w:szCs w:val="21"/>
                <w:highlight w:val="none"/>
              </w:rPr>
            </w:pPr>
          </w:p>
        </w:tc>
      </w:tr>
      <w:tr w14:paraId="685E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7FD2C72A">
            <w:pPr>
              <w:contextualSpacing/>
              <w:jc w:val="center"/>
              <w:rPr>
                <w:rFonts w:hint="eastAsia" w:ascii="仿宋" w:hAnsi="仿宋" w:eastAsia="仿宋" w:cs="仿宋"/>
                <w:color w:val="auto"/>
                <w:szCs w:val="21"/>
                <w:highlight w:val="none"/>
              </w:rPr>
            </w:pPr>
          </w:p>
        </w:tc>
        <w:tc>
          <w:tcPr>
            <w:tcW w:w="1072" w:type="dxa"/>
            <w:noWrap w:val="0"/>
            <w:vAlign w:val="center"/>
          </w:tcPr>
          <w:p w14:paraId="298A4790">
            <w:pPr>
              <w:contextualSpacing/>
              <w:jc w:val="center"/>
              <w:rPr>
                <w:rFonts w:hint="eastAsia" w:ascii="仿宋" w:hAnsi="仿宋" w:eastAsia="仿宋" w:cs="仿宋"/>
                <w:color w:val="auto"/>
                <w:szCs w:val="21"/>
                <w:highlight w:val="none"/>
              </w:rPr>
            </w:pPr>
          </w:p>
        </w:tc>
        <w:tc>
          <w:tcPr>
            <w:tcW w:w="708" w:type="dxa"/>
            <w:noWrap w:val="0"/>
            <w:vAlign w:val="center"/>
          </w:tcPr>
          <w:p w14:paraId="10B56515">
            <w:pPr>
              <w:contextualSpacing/>
              <w:jc w:val="center"/>
              <w:rPr>
                <w:rFonts w:hint="eastAsia" w:ascii="仿宋" w:hAnsi="仿宋" w:eastAsia="仿宋" w:cs="仿宋"/>
                <w:color w:val="auto"/>
                <w:szCs w:val="21"/>
                <w:highlight w:val="none"/>
              </w:rPr>
            </w:pPr>
          </w:p>
        </w:tc>
        <w:tc>
          <w:tcPr>
            <w:tcW w:w="567" w:type="dxa"/>
            <w:noWrap w:val="0"/>
            <w:vAlign w:val="center"/>
          </w:tcPr>
          <w:p w14:paraId="15B84498">
            <w:pPr>
              <w:contextualSpacing/>
              <w:jc w:val="center"/>
              <w:rPr>
                <w:rFonts w:hint="eastAsia" w:ascii="仿宋" w:hAnsi="仿宋" w:eastAsia="仿宋" w:cs="仿宋"/>
                <w:color w:val="auto"/>
                <w:szCs w:val="21"/>
                <w:highlight w:val="none"/>
              </w:rPr>
            </w:pPr>
          </w:p>
        </w:tc>
        <w:tc>
          <w:tcPr>
            <w:tcW w:w="914" w:type="dxa"/>
            <w:noWrap w:val="0"/>
            <w:vAlign w:val="center"/>
          </w:tcPr>
          <w:p w14:paraId="415EB480">
            <w:pPr>
              <w:contextualSpacing/>
              <w:jc w:val="center"/>
              <w:rPr>
                <w:rFonts w:hint="eastAsia" w:ascii="仿宋" w:hAnsi="仿宋" w:eastAsia="仿宋" w:cs="仿宋"/>
                <w:color w:val="auto"/>
                <w:szCs w:val="21"/>
                <w:highlight w:val="none"/>
              </w:rPr>
            </w:pPr>
          </w:p>
        </w:tc>
        <w:tc>
          <w:tcPr>
            <w:tcW w:w="992" w:type="dxa"/>
            <w:noWrap w:val="0"/>
            <w:vAlign w:val="center"/>
          </w:tcPr>
          <w:p w14:paraId="65C9B3F2">
            <w:pPr>
              <w:contextualSpacing/>
              <w:jc w:val="center"/>
              <w:rPr>
                <w:rFonts w:hint="eastAsia" w:ascii="仿宋" w:hAnsi="仿宋" w:eastAsia="仿宋" w:cs="仿宋"/>
                <w:color w:val="auto"/>
                <w:szCs w:val="21"/>
                <w:highlight w:val="none"/>
              </w:rPr>
            </w:pPr>
          </w:p>
        </w:tc>
        <w:tc>
          <w:tcPr>
            <w:tcW w:w="1417" w:type="dxa"/>
            <w:noWrap w:val="0"/>
            <w:vAlign w:val="center"/>
          </w:tcPr>
          <w:p w14:paraId="08259350">
            <w:pPr>
              <w:contextualSpacing/>
              <w:jc w:val="center"/>
              <w:rPr>
                <w:rFonts w:hint="eastAsia" w:ascii="仿宋" w:hAnsi="仿宋" w:eastAsia="仿宋" w:cs="仿宋"/>
                <w:color w:val="auto"/>
                <w:szCs w:val="21"/>
                <w:highlight w:val="none"/>
              </w:rPr>
            </w:pPr>
          </w:p>
        </w:tc>
        <w:tc>
          <w:tcPr>
            <w:tcW w:w="993" w:type="dxa"/>
            <w:noWrap w:val="0"/>
            <w:vAlign w:val="center"/>
          </w:tcPr>
          <w:p w14:paraId="35A64F8F">
            <w:pPr>
              <w:contextualSpacing/>
              <w:jc w:val="center"/>
              <w:rPr>
                <w:rFonts w:hint="eastAsia" w:ascii="仿宋" w:hAnsi="仿宋" w:eastAsia="仿宋" w:cs="仿宋"/>
                <w:color w:val="auto"/>
                <w:szCs w:val="21"/>
                <w:highlight w:val="none"/>
              </w:rPr>
            </w:pPr>
          </w:p>
        </w:tc>
        <w:tc>
          <w:tcPr>
            <w:tcW w:w="992" w:type="dxa"/>
            <w:noWrap w:val="0"/>
            <w:vAlign w:val="center"/>
          </w:tcPr>
          <w:p w14:paraId="7696A903">
            <w:pPr>
              <w:contextualSpacing/>
              <w:jc w:val="center"/>
              <w:rPr>
                <w:rFonts w:hint="eastAsia" w:ascii="仿宋" w:hAnsi="仿宋" w:eastAsia="仿宋" w:cs="仿宋"/>
                <w:color w:val="auto"/>
                <w:szCs w:val="21"/>
                <w:highlight w:val="none"/>
              </w:rPr>
            </w:pPr>
          </w:p>
        </w:tc>
        <w:tc>
          <w:tcPr>
            <w:tcW w:w="780" w:type="dxa"/>
            <w:noWrap w:val="0"/>
            <w:vAlign w:val="center"/>
          </w:tcPr>
          <w:p w14:paraId="312FE500">
            <w:pPr>
              <w:contextualSpacing/>
              <w:jc w:val="center"/>
              <w:rPr>
                <w:rFonts w:hint="eastAsia" w:ascii="仿宋" w:hAnsi="仿宋" w:eastAsia="仿宋" w:cs="仿宋"/>
                <w:color w:val="auto"/>
                <w:szCs w:val="21"/>
                <w:highlight w:val="none"/>
              </w:rPr>
            </w:pPr>
          </w:p>
        </w:tc>
      </w:tr>
      <w:tr w14:paraId="5B61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26E9CB1E">
            <w:pPr>
              <w:contextualSpacing/>
              <w:jc w:val="center"/>
              <w:rPr>
                <w:rFonts w:hint="eastAsia" w:ascii="仿宋" w:hAnsi="仿宋" w:eastAsia="仿宋" w:cs="仿宋"/>
                <w:color w:val="auto"/>
                <w:szCs w:val="21"/>
                <w:highlight w:val="none"/>
              </w:rPr>
            </w:pPr>
          </w:p>
        </w:tc>
        <w:tc>
          <w:tcPr>
            <w:tcW w:w="1072" w:type="dxa"/>
            <w:noWrap w:val="0"/>
            <w:vAlign w:val="center"/>
          </w:tcPr>
          <w:p w14:paraId="515ED989">
            <w:pPr>
              <w:contextualSpacing/>
              <w:jc w:val="center"/>
              <w:rPr>
                <w:rFonts w:hint="eastAsia" w:ascii="仿宋" w:hAnsi="仿宋" w:eastAsia="仿宋" w:cs="仿宋"/>
                <w:color w:val="auto"/>
                <w:szCs w:val="21"/>
                <w:highlight w:val="none"/>
              </w:rPr>
            </w:pPr>
          </w:p>
        </w:tc>
        <w:tc>
          <w:tcPr>
            <w:tcW w:w="708" w:type="dxa"/>
            <w:noWrap w:val="0"/>
            <w:vAlign w:val="center"/>
          </w:tcPr>
          <w:p w14:paraId="123C6380">
            <w:pPr>
              <w:contextualSpacing/>
              <w:jc w:val="center"/>
              <w:rPr>
                <w:rFonts w:hint="eastAsia" w:ascii="仿宋" w:hAnsi="仿宋" w:eastAsia="仿宋" w:cs="仿宋"/>
                <w:color w:val="auto"/>
                <w:szCs w:val="21"/>
                <w:highlight w:val="none"/>
              </w:rPr>
            </w:pPr>
          </w:p>
        </w:tc>
        <w:tc>
          <w:tcPr>
            <w:tcW w:w="567" w:type="dxa"/>
            <w:noWrap w:val="0"/>
            <w:vAlign w:val="center"/>
          </w:tcPr>
          <w:p w14:paraId="46503ADF">
            <w:pPr>
              <w:contextualSpacing/>
              <w:jc w:val="center"/>
              <w:rPr>
                <w:rFonts w:hint="eastAsia" w:ascii="仿宋" w:hAnsi="仿宋" w:eastAsia="仿宋" w:cs="仿宋"/>
                <w:color w:val="auto"/>
                <w:szCs w:val="21"/>
                <w:highlight w:val="none"/>
              </w:rPr>
            </w:pPr>
          </w:p>
        </w:tc>
        <w:tc>
          <w:tcPr>
            <w:tcW w:w="914" w:type="dxa"/>
            <w:noWrap w:val="0"/>
            <w:vAlign w:val="center"/>
          </w:tcPr>
          <w:p w14:paraId="7295DD17">
            <w:pPr>
              <w:contextualSpacing/>
              <w:jc w:val="center"/>
              <w:rPr>
                <w:rFonts w:hint="eastAsia" w:ascii="仿宋" w:hAnsi="仿宋" w:eastAsia="仿宋" w:cs="仿宋"/>
                <w:color w:val="auto"/>
                <w:szCs w:val="21"/>
                <w:highlight w:val="none"/>
              </w:rPr>
            </w:pPr>
          </w:p>
        </w:tc>
        <w:tc>
          <w:tcPr>
            <w:tcW w:w="992" w:type="dxa"/>
            <w:noWrap w:val="0"/>
            <w:vAlign w:val="center"/>
          </w:tcPr>
          <w:p w14:paraId="2A35CDD5">
            <w:pPr>
              <w:contextualSpacing/>
              <w:jc w:val="center"/>
              <w:rPr>
                <w:rFonts w:hint="eastAsia" w:ascii="仿宋" w:hAnsi="仿宋" w:eastAsia="仿宋" w:cs="仿宋"/>
                <w:color w:val="auto"/>
                <w:szCs w:val="21"/>
                <w:highlight w:val="none"/>
              </w:rPr>
            </w:pPr>
          </w:p>
        </w:tc>
        <w:tc>
          <w:tcPr>
            <w:tcW w:w="1417" w:type="dxa"/>
            <w:noWrap w:val="0"/>
            <w:vAlign w:val="center"/>
          </w:tcPr>
          <w:p w14:paraId="0DFE0C05">
            <w:pPr>
              <w:contextualSpacing/>
              <w:jc w:val="center"/>
              <w:rPr>
                <w:rFonts w:hint="eastAsia" w:ascii="仿宋" w:hAnsi="仿宋" w:eastAsia="仿宋" w:cs="仿宋"/>
                <w:color w:val="auto"/>
                <w:szCs w:val="21"/>
                <w:highlight w:val="none"/>
              </w:rPr>
            </w:pPr>
          </w:p>
        </w:tc>
        <w:tc>
          <w:tcPr>
            <w:tcW w:w="993" w:type="dxa"/>
            <w:noWrap w:val="0"/>
            <w:vAlign w:val="center"/>
          </w:tcPr>
          <w:p w14:paraId="48F9602B">
            <w:pPr>
              <w:contextualSpacing/>
              <w:jc w:val="center"/>
              <w:rPr>
                <w:rFonts w:hint="eastAsia" w:ascii="仿宋" w:hAnsi="仿宋" w:eastAsia="仿宋" w:cs="仿宋"/>
                <w:color w:val="auto"/>
                <w:szCs w:val="21"/>
                <w:highlight w:val="none"/>
              </w:rPr>
            </w:pPr>
          </w:p>
        </w:tc>
        <w:tc>
          <w:tcPr>
            <w:tcW w:w="992" w:type="dxa"/>
            <w:noWrap w:val="0"/>
            <w:vAlign w:val="center"/>
          </w:tcPr>
          <w:p w14:paraId="0A719C37">
            <w:pPr>
              <w:contextualSpacing/>
              <w:jc w:val="center"/>
              <w:rPr>
                <w:rFonts w:hint="eastAsia" w:ascii="仿宋" w:hAnsi="仿宋" w:eastAsia="仿宋" w:cs="仿宋"/>
                <w:color w:val="auto"/>
                <w:szCs w:val="21"/>
                <w:highlight w:val="none"/>
              </w:rPr>
            </w:pPr>
          </w:p>
        </w:tc>
        <w:tc>
          <w:tcPr>
            <w:tcW w:w="780" w:type="dxa"/>
            <w:noWrap w:val="0"/>
            <w:vAlign w:val="center"/>
          </w:tcPr>
          <w:p w14:paraId="2DDDD5BD">
            <w:pPr>
              <w:contextualSpacing/>
              <w:jc w:val="center"/>
              <w:rPr>
                <w:rFonts w:hint="eastAsia" w:ascii="仿宋" w:hAnsi="仿宋" w:eastAsia="仿宋" w:cs="仿宋"/>
                <w:color w:val="auto"/>
                <w:szCs w:val="21"/>
                <w:highlight w:val="none"/>
              </w:rPr>
            </w:pPr>
          </w:p>
        </w:tc>
      </w:tr>
      <w:tr w14:paraId="430C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1EB4A50C">
            <w:pPr>
              <w:contextualSpacing/>
              <w:jc w:val="center"/>
              <w:rPr>
                <w:rFonts w:hint="eastAsia" w:ascii="仿宋" w:hAnsi="仿宋" w:eastAsia="仿宋" w:cs="仿宋"/>
                <w:color w:val="auto"/>
                <w:szCs w:val="21"/>
                <w:highlight w:val="none"/>
              </w:rPr>
            </w:pPr>
          </w:p>
        </w:tc>
        <w:tc>
          <w:tcPr>
            <w:tcW w:w="1072" w:type="dxa"/>
            <w:noWrap w:val="0"/>
            <w:vAlign w:val="center"/>
          </w:tcPr>
          <w:p w14:paraId="229F13DC">
            <w:pPr>
              <w:contextualSpacing/>
              <w:jc w:val="center"/>
              <w:rPr>
                <w:rFonts w:hint="eastAsia" w:ascii="仿宋" w:hAnsi="仿宋" w:eastAsia="仿宋" w:cs="仿宋"/>
                <w:color w:val="auto"/>
                <w:szCs w:val="21"/>
                <w:highlight w:val="none"/>
              </w:rPr>
            </w:pPr>
          </w:p>
        </w:tc>
        <w:tc>
          <w:tcPr>
            <w:tcW w:w="708" w:type="dxa"/>
            <w:noWrap w:val="0"/>
            <w:vAlign w:val="center"/>
          </w:tcPr>
          <w:p w14:paraId="733A8E4D">
            <w:pPr>
              <w:contextualSpacing/>
              <w:jc w:val="center"/>
              <w:rPr>
                <w:rFonts w:hint="eastAsia" w:ascii="仿宋" w:hAnsi="仿宋" w:eastAsia="仿宋" w:cs="仿宋"/>
                <w:color w:val="auto"/>
                <w:szCs w:val="21"/>
                <w:highlight w:val="none"/>
              </w:rPr>
            </w:pPr>
          </w:p>
        </w:tc>
        <w:tc>
          <w:tcPr>
            <w:tcW w:w="567" w:type="dxa"/>
            <w:noWrap w:val="0"/>
            <w:vAlign w:val="center"/>
          </w:tcPr>
          <w:p w14:paraId="78C3EBEC">
            <w:pPr>
              <w:contextualSpacing/>
              <w:jc w:val="center"/>
              <w:rPr>
                <w:rFonts w:hint="eastAsia" w:ascii="仿宋" w:hAnsi="仿宋" w:eastAsia="仿宋" w:cs="仿宋"/>
                <w:color w:val="auto"/>
                <w:szCs w:val="21"/>
                <w:highlight w:val="none"/>
              </w:rPr>
            </w:pPr>
          </w:p>
        </w:tc>
        <w:tc>
          <w:tcPr>
            <w:tcW w:w="914" w:type="dxa"/>
            <w:noWrap w:val="0"/>
            <w:vAlign w:val="center"/>
          </w:tcPr>
          <w:p w14:paraId="710E18AE">
            <w:pPr>
              <w:contextualSpacing/>
              <w:jc w:val="center"/>
              <w:rPr>
                <w:rFonts w:hint="eastAsia" w:ascii="仿宋" w:hAnsi="仿宋" w:eastAsia="仿宋" w:cs="仿宋"/>
                <w:color w:val="auto"/>
                <w:szCs w:val="21"/>
                <w:highlight w:val="none"/>
              </w:rPr>
            </w:pPr>
          </w:p>
        </w:tc>
        <w:tc>
          <w:tcPr>
            <w:tcW w:w="992" w:type="dxa"/>
            <w:noWrap w:val="0"/>
            <w:vAlign w:val="center"/>
          </w:tcPr>
          <w:p w14:paraId="77698134">
            <w:pPr>
              <w:contextualSpacing/>
              <w:jc w:val="center"/>
              <w:rPr>
                <w:rFonts w:hint="eastAsia" w:ascii="仿宋" w:hAnsi="仿宋" w:eastAsia="仿宋" w:cs="仿宋"/>
                <w:color w:val="auto"/>
                <w:szCs w:val="21"/>
                <w:highlight w:val="none"/>
              </w:rPr>
            </w:pPr>
          </w:p>
        </w:tc>
        <w:tc>
          <w:tcPr>
            <w:tcW w:w="1417" w:type="dxa"/>
            <w:noWrap w:val="0"/>
            <w:vAlign w:val="center"/>
          </w:tcPr>
          <w:p w14:paraId="3E7C8F59">
            <w:pPr>
              <w:contextualSpacing/>
              <w:jc w:val="center"/>
              <w:rPr>
                <w:rFonts w:hint="eastAsia" w:ascii="仿宋" w:hAnsi="仿宋" w:eastAsia="仿宋" w:cs="仿宋"/>
                <w:color w:val="auto"/>
                <w:szCs w:val="21"/>
                <w:highlight w:val="none"/>
              </w:rPr>
            </w:pPr>
          </w:p>
        </w:tc>
        <w:tc>
          <w:tcPr>
            <w:tcW w:w="993" w:type="dxa"/>
            <w:noWrap w:val="0"/>
            <w:vAlign w:val="center"/>
          </w:tcPr>
          <w:p w14:paraId="3A671971">
            <w:pPr>
              <w:contextualSpacing/>
              <w:jc w:val="center"/>
              <w:rPr>
                <w:rFonts w:hint="eastAsia" w:ascii="仿宋" w:hAnsi="仿宋" w:eastAsia="仿宋" w:cs="仿宋"/>
                <w:color w:val="auto"/>
                <w:szCs w:val="21"/>
                <w:highlight w:val="none"/>
              </w:rPr>
            </w:pPr>
          </w:p>
        </w:tc>
        <w:tc>
          <w:tcPr>
            <w:tcW w:w="992" w:type="dxa"/>
            <w:noWrap w:val="0"/>
            <w:vAlign w:val="center"/>
          </w:tcPr>
          <w:p w14:paraId="0A15BD2C">
            <w:pPr>
              <w:contextualSpacing/>
              <w:jc w:val="center"/>
              <w:rPr>
                <w:rFonts w:hint="eastAsia" w:ascii="仿宋" w:hAnsi="仿宋" w:eastAsia="仿宋" w:cs="仿宋"/>
                <w:color w:val="auto"/>
                <w:szCs w:val="21"/>
                <w:highlight w:val="none"/>
              </w:rPr>
            </w:pPr>
          </w:p>
        </w:tc>
        <w:tc>
          <w:tcPr>
            <w:tcW w:w="780" w:type="dxa"/>
            <w:noWrap w:val="0"/>
            <w:vAlign w:val="center"/>
          </w:tcPr>
          <w:p w14:paraId="5986D10F">
            <w:pPr>
              <w:contextualSpacing/>
              <w:jc w:val="center"/>
              <w:rPr>
                <w:rFonts w:hint="eastAsia" w:ascii="仿宋" w:hAnsi="仿宋" w:eastAsia="仿宋" w:cs="仿宋"/>
                <w:color w:val="auto"/>
                <w:szCs w:val="21"/>
                <w:highlight w:val="none"/>
              </w:rPr>
            </w:pPr>
          </w:p>
        </w:tc>
      </w:tr>
      <w:tr w14:paraId="2574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4C2D8DC7">
            <w:pPr>
              <w:contextualSpacing/>
              <w:jc w:val="center"/>
              <w:rPr>
                <w:rFonts w:hint="eastAsia" w:ascii="仿宋" w:hAnsi="仿宋" w:eastAsia="仿宋" w:cs="仿宋"/>
                <w:color w:val="auto"/>
                <w:szCs w:val="21"/>
                <w:highlight w:val="none"/>
              </w:rPr>
            </w:pPr>
          </w:p>
        </w:tc>
        <w:tc>
          <w:tcPr>
            <w:tcW w:w="1072" w:type="dxa"/>
            <w:noWrap w:val="0"/>
            <w:vAlign w:val="center"/>
          </w:tcPr>
          <w:p w14:paraId="18FEB9DA">
            <w:pPr>
              <w:contextualSpacing/>
              <w:jc w:val="center"/>
              <w:rPr>
                <w:rFonts w:hint="eastAsia" w:ascii="仿宋" w:hAnsi="仿宋" w:eastAsia="仿宋" w:cs="仿宋"/>
                <w:color w:val="auto"/>
                <w:szCs w:val="21"/>
                <w:highlight w:val="none"/>
              </w:rPr>
            </w:pPr>
          </w:p>
        </w:tc>
        <w:tc>
          <w:tcPr>
            <w:tcW w:w="708" w:type="dxa"/>
            <w:noWrap w:val="0"/>
            <w:vAlign w:val="center"/>
          </w:tcPr>
          <w:p w14:paraId="72B7E690">
            <w:pPr>
              <w:contextualSpacing/>
              <w:jc w:val="center"/>
              <w:rPr>
                <w:rFonts w:hint="eastAsia" w:ascii="仿宋" w:hAnsi="仿宋" w:eastAsia="仿宋" w:cs="仿宋"/>
                <w:color w:val="auto"/>
                <w:szCs w:val="21"/>
                <w:highlight w:val="none"/>
              </w:rPr>
            </w:pPr>
          </w:p>
        </w:tc>
        <w:tc>
          <w:tcPr>
            <w:tcW w:w="567" w:type="dxa"/>
            <w:noWrap w:val="0"/>
            <w:vAlign w:val="center"/>
          </w:tcPr>
          <w:p w14:paraId="5372F8AB">
            <w:pPr>
              <w:contextualSpacing/>
              <w:jc w:val="center"/>
              <w:rPr>
                <w:rFonts w:hint="eastAsia" w:ascii="仿宋" w:hAnsi="仿宋" w:eastAsia="仿宋" w:cs="仿宋"/>
                <w:color w:val="auto"/>
                <w:szCs w:val="21"/>
                <w:highlight w:val="none"/>
              </w:rPr>
            </w:pPr>
          </w:p>
        </w:tc>
        <w:tc>
          <w:tcPr>
            <w:tcW w:w="914" w:type="dxa"/>
            <w:noWrap w:val="0"/>
            <w:vAlign w:val="center"/>
          </w:tcPr>
          <w:p w14:paraId="6F467A12">
            <w:pPr>
              <w:contextualSpacing/>
              <w:jc w:val="center"/>
              <w:rPr>
                <w:rFonts w:hint="eastAsia" w:ascii="仿宋" w:hAnsi="仿宋" w:eastAsia="仿宋" w:cs="仿宋"/>
                <w:color w:val="auto"/>
                <w:szCs w:val="21"/>
                <w:highlight w:val="none"/>
              </w:rPr>
            </w:pPr>
          </w:p>
        </w:tc>
        <w:tc>
          <w:tcPr>
            <w:tcW w:w="992" w:type="dxa"/>
            <w:noWrap w:val="0"/>
            <w:vAlign w:val="center"/>
          </w:tcPr>
          <w:p w14:paraId="2C9FF9C6">
            <w:pPr>
              <w:contextualSpacing/>
              <w:jc w:val="center"/>
              <w:rPr>
                <w:rFonts w:hint="eastAsia" w:ascii="仿宋" w:hAnsi="仿宋" w:eastAsia="仿宋" w:cs="仿宋"/>
                <w:color w:val="auto"/>
                <w:szCs w:val="21"/>
                <w:highlight w:val="none"/>
              </w:rPr>
            </w:pPr>
          </w:p>
        </w:tc>
        <w:tc>
          <w:tcPr>
            <w:tcW w:w="1417" w:type="dxa"/>
            <w:noWrap w:val="0"/>
            <w:vAlign w:val="center"/>
          </w:tcPr>
          <w:p w14:paraId="060EF5E6">
            <w:pPr>
              <w:contextualSpacing/>
              <w:jc w:val="center"/>
              <w:rPr>
                <w:rFonts w:hint="eastAsia" w:ascii="仿宋" w:hAnsi="仿宋" w:eastAsia="仿宋" w:cs="仿宋"/>
                <w:color w:val="auto"/>
                <w:szCs w:val="21"/>
                <w:highlight w:val="none"/>
              </w:rPr>
            </w:pPr>
          </w:p>
        </w:tc>
        <w:tc>
          <w:tcPr>
            <w:tcW w:w="993" w:type="dxa"/>
            <w:noWrap w:val="0"/>
            <w:vAlign w:val="center"/>
          </w:tcPr>
          <w:p w14:paraId="0E90AF06">
            <w:pPr>
              <w:contextualSpacing/>
              <w:jc w:val="center"/>
              <w:rPr>
                <w:rFonts w:hint="eastAsia" w:ascii="仿宋" w:hAnsi="仿宋" w:eastAsia="仿宋" w:cs="仿宋"/>
                <w:color w:val="auto"/>
                <w:szCs w:val="21"/>
                <w:highlight w:val="none"/>
              </w:rPr>
            </w:pPr>
          </w:p>
        </w:tc>
        <w:tc>
          <w:tcPr>
            <w:tcW w:w="992" w:type="dxa"/>
            <w:noWrap w:val="0"/>
            <w:vAlign w:val="center"/>
          </w:tcPr>
          <w:p w14:paraId="0203312A">
            <w:pPr>
              <w:contextualSpacing/>
              <w:jc w:val="center"/>
              <w:rPr>
                <w:rFonts w:hint="eastAsia" w:ascii="仿宋" w:hAnsi="仿宋" w:eastAsia="仿宋" w:cs="仿宋"/>
                <w:color w:val="auto"/>
                <w:szCs w:val="21"/>
                <w:highlight w:val="none"/>
              </w:rPr>
            </w:pPr>
          </w:p>
        </w:tc>
        <w:tc>
          <w:tcPr>
            <w:tcW w:w="780" w:type="dxa"/>
            <w:noWrap w:val="0"/>
            <w:vAlign w:val="center"/>
          </w:tcPr>
          <w:p w14:paraId="684D2FFD">
            <w:pPr>
              <w:contextualSpacing/>
              <w:jc w:val="center"/>
              <w:rPr>
                <w:rFonts w:hint="eastAsia" w:ascii="仿宋" w:hAnsi="仿宋" w:eastAsia="仿宋" w:cs="仿宋"/>
                <w:color w:val="auto"/>
                <w:szCs w:val="21"/>
                <w:highlight w:val="none"/>
              </w:rPr>
            </w:pPr>
          </w:p>
        </w:tc>
      </w:tr>
      <w:tr w14:paraId="1F2E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07FA3715">
            <w:pPr>
              <w:contextualSpacing/>
              <w:jc w:val="center"/>
              <w:rPr>
                <w:rFonts w:hint="eastAsia" w:ascii="仿宋" w:hAnsi="仿宋" w:eastAsia="仿宋" w:cs="仿宋"/>
                <w:color w:val="auto"/>
                <w:szCs w:val="21"/>
                <w:highlight w:val="none"/>
              </w:rPr>
            </w:pPr>
          </w:p>
        </w:tc>
        <w:tc>
          <w:tcPr>
            <w:tcW w:w="1072" w:type="dxa"/>
            <w:noWrap w:val="0"/>
            <w:vAlign w:val="center"/>
          </w:tcPr>
          <w:p w14:paraId="6292FD70">
            <w:pPr>
              <w:contextualSpacing/>
              <w:jc w:val="center"/>
              <w:rPr>
                <w:rFonts w:hint="eastAsia" w:ascii="仿宋" w:hAnsi="仿宋" w:eastAsia="仿宋" w:cs="仿宋"/>
                <w:color w:val="auto"/>
                <w:szCs w:val="21"/>
                <w:highlight w:val="none"/>
              </w:rPr>
            </w:pPr>
          </w:p>
        </w:tc>
        <w:tc>
          <w:tcPr>
            <w:tcW w:w="708" w:type="dxa"/>
            <w:noWrap w:val="0"/>
            <w:vAlign w:val="center"/>
          </w:tcPr>
          <w:p w14:paraId="588C7431">
            <w:pPr>
              <w:contextualSpacing/>
              <w:jc w:val="center"/>
              <w:rPr>
                <w:rFonts w:hint="eastAsia" w:ascii="仿宋" w:hAnsi="仿宋" w:eastAsia="仿宋" w:cs="仿宋"/>
                <w:color w:val="auto"/>
                <w:szCs w:val="21"/>
                <w:highlight w:val="none"/>
              </w:rPr>
            </w:pPr>
          </w:p>
        </w:tc>
        <w:tc>
          <w:tcPr>
            <w:tcW w:w="567" w:type="dxa"/>
            <w:noWrap w:val="0"/>
            <w:vAlign w:val="center"/>
          </w:tcPr>
          <w:p w14:paraId="73A898F7">
            <w:pPr>
              <w:contextualSpacing/>
              <w:jc w:val="center"/>
              <w:rPr>
                <w:rFonts w:hint="eastAsia" w:ascii="仿宋" w:hAnsi="仿宋" w:eastAsia="仿宋" w:cs="仿宋"/>
                <w:color w:val="auto"/>
                <w:szCs w:val="21"/>
                <w:highlight w:val="none"/>
              </w:rPr>
            </w:pPr>
          </w:p>
        </w:tc>
        <w:tc>
          <w:tcPr>
            <w:tcW w:w="914" w:type="dxa"/>
            <w:noWrap w:val="0"/>
            <w:vAlign w:val="center"/>
          </w:tcPr>
          <w:p w14:paraId="78CB302B">
            <w:pPr>
              <w:contextualSpacing/>
              <w:jc w:val="center"/>
              <w:rPr>
                <w:rFonts w:hint="eastAsia" w:ascii="仿宋" w:hAnsi="仿宋" w:eastAsia="仿宋" w:cs="仿宋"/>
                <w:color w:val="auto"/>
                <w:szCs w:val="21"/>
                <w:highlight w:val="none"/>
              </w:rPr>
            </w:pPr>
          </w:p>
        </w:tc>
        <w:tc>
          <w:tcPr>
            <w:tcW w:w="992" w:type="dxa"/>
            <w:noWrap w:val="0"/>
            <w:vAlign w:val="center"/>
          </w:tcPr>
          <w:p w14:paraId="0531C498">
            <w:pPr>
              <w:contextualSpacing/>
              <w:jc w:val="center"/>
              <w:rPr>
                <w:rFonts w:hint="eastAsia" w:ascii="仿宋" w:hAnsi="仿宋" w:eastAsia="仿宋" w:cs="仿宋"/>
                <w:color w:val="auto"/>
                <w:szCs w:val="21"/>
                <w:highlight w:val="none"/>
              </w:rPr>
            </w:pPr>
          </w:p>
        </w:tc>
        <w:tc>
          <w:tcPr>
            <w:tcW w:w="1417" w:type="dxa"/>
            <w:noWrap w:val="0"/>
            <w:vAlign w:val="center"/>
          </w:tcPr>
          <w:p w14:paraId="5B327078">
            <w:pPr>
              <w:contextualSpacing/>
              <w:jc w:val="center"/>
              <w:rPr>
                <w:rFonts w:hint="eastAsia" w:ascii="仿宋" w:hAnsi="仿宋" w:eastAsia="仿宋" w:cs="仿宋"/>
                <w:color w:val="auto"/>
                <w:szCs w:val="21"/>
                <w:highlight w:val="none"/>
              </w:rPr>
            </w:pPr>
          </w:p>
        </w:tc>
        <w:tc>
          <w:tcPr>
            <w:tcW w:w="993" w:type="dxa"/>
            <w:noWrap w:val="0"/>
            <w:vAlign w:val="center"/>
          </w:tcPr>
          <w:p w14:paraId="35208C83">
            <w:pPr>
              <w:contextualSpacing/>
              <w:jc w:val="center"/>
              <w:rPr>
                <w:rFonts w:hint="eastAsia" w:ascii="仿宋" w:hAnsi="仿宋" w:eastAsia="仿宋" w:cs="仿宋"/>
                <w:color w:val="auto"/>
                <w:szCs w:val="21"/>
                <w:highlight w:val="none"/>
              </w:rPr>
            </w:pPr>
          </w:p>
        </w:tc>
        <w:tc>
          <w:tcPr>
            <w:tcW w:w="992" w:type="dxa"/>
            <w:noWrap w:val="0"/>
            <w:vAlign w:val="center"/>
          </w:tcPr>
          <w:p w14:paraId="7B91DB1F">
            <w:pPr>
              <w:contextualSpacing/>
              <w:jc w:val="center"/>
              <w:rPr>
                <w:rFonts w:hint="eastAsia" w:ascii="仿宋" w:hAnsi="仿宋" w:eastAsia="仿宋" w:cs="仿宋"/>
                <w:color w:val="auto"/>
                <w:szCs w:val="21"/>
                <w:highlight w:val="none"/>
              </w:rPr>
            </w:pPr>
          </w:p>
        </w:tc>
        <w:tc>
          <w:tcPr>
            <w:tcW w:w="780" w:type="dxa"/>
            <w:noWrap w:val="0"/>
            <w:vAlign w:val="center"/>
          </w:tcPr>
          <w:p w14:paraId="33714897">
            <w:pPr>
              <w:contextualSpacing/>
              <w:jc w:val="center"/>
              <w:rPr>
                <w:rFonts w:hint="eastAsia" w:ascii="仿宋" w:hAnsi="仿宋" w:eastAsia="仿宋" w:cs="仿宋"/>
                <w:color w:val="auto"/>
                <w:szCs w:val="21"/>
                <w:highlight w:val="none"/>
              </w:rPr>
            </w:pPr>
          </w:p>
        </w:tc>
      </w:tr>
      <w:tr w14:paraId="5799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3682E47C">
            <w:pPr>
              <w:contextualSpacing/>
              <w:jc w:val="center"/>
              <w:rPr>
                <w:rFonts w:hint="eastAsia" w:ascii="仿宋" w:hAnsi="仿宋" w:eastAsia="仿宋" w:cs="仿宋"/>
                <w:color w:val="auto"/>
                <w:szCs w:val="21"/>
                <w:highlight w:val="none"/>
              </w:rPr>
            </w:pPr>
          </w:p>
        </w:tc>
        <w:tc>
          <w:tcPr>
            <w:tcW w:w="1072" w:type="dxa"/>
            <w:noWrap w:val="0"/>
            <w:vAlign w:val="center"/>
          </w:tcPr>
          <w:p w14:paraId="0E2ED1FA">
            <w:pPr>
              <w:contextualSpacing/>
              <w:jc w:val="center"/>
              <w:rPr>
                <w:rFonts w:hint="eastAsia" w:ascii="仿宋" w:hAnsi="仿宋" w:eastAsia="仿宋" w:cs="仿宋"/>
                <w:color w:val="auto"/>
                <w:szCs w:val="21"/>
                <w:highlight w:val="none"/>
              </w:rPr>
            </w:pPr>
          </w:p>
        </w:tc>
        <w:tc>
          <w:tcPr>
            <w:tcW w:w="708" w:type="dxa"/>
            <w:noWrap w:val="0"/>
            <w:vAlign w:val="center"/>
          </w:tcPr>
          <w:p w14:paraId="21CB1213">
            <w:pPr>
              <w:contextualSpacing/>
              <w:jc w:val="center"/>
              <w:rPr>
                <w:rFonts w:hint="eastAsia" w:ascii="仿宋" w:hAnsi="仿宋" w:eastAsia="仿宋" w:cs="仿宋"/>
                <w:color w:val="auto"/>
                <w:szCs w:val="21"/>
                <w:highlight w:val="none"/>
              </w:rPr>
            </w:pPr>
          </w:p>
        </w:tc>
        <w:tc>
          <w:tcPr>
            <w:tcW w:w="567" w:type="dxa"/>
            <w:noWrap w:val="0"/>
            <w:vAlign w:val="center"/>
          </w:tcPr>
          <w:p w14:paraId="57613AA9">
            <w:pPr>
              <w:contextualSpacing/>
              <w:jc w:val="center"/>
              <w:rPr>
                <w:rFonts w:hint="eastAsia" w:ascii="仿宋" w:hAnsi="仿宋" w:eastAsia="仿宋" w:cs="仿宋"/>
                <w:color w:val="auto"/>
                <w:szCs w:val="21"/>
                <w:highlight w:val="none"/>
              </w:rPr>
            </w:pPr>
          </w:p>
        </w:tc>
        <w:tc>
          <w:tcPr>
            <w:tcW w:w="914" w:type="dxa"/>
            <w:noWrap w:val="0"/>
            <w:vAlign w:val="center"/>
          </w:tcPr>
          <w:p w14:paraId="234D7BB3">
            <w:pPr>
              <w:contextualSpacing/>
              <w:jc w:val="center"/>
              <w:rPr>
                <w:rFonts w:hint="eastAsia" w:ascii="仿宋" w:hAnsi="仿宋" w:eastAsia="仿宋" w:cs="仿宋"/>
                <w:color w:val="auto"/>
                <w:szCs w:val="21"/>
                <w:highlight w:val="none"/>
              </w:rPr>
            </w:pPr>
          </w:p>
        </w:tc>
        <w:tc>
          <w:tcPr>
            <w:tcW w:w="992" w:type="dxa"/>
            <w:noWrap w:val="0"/>
            <w:vAlign w:val="center"/>
          </w:tcPr>
          <w:p w14:paraId="0CD2F56C">
            <w:pPr>
              <w:contextualSpacing/>
              <w:jc w:val="center"/>
              <w:rPr>
                <w:rFonts w:hint="eastAsia" w:ascii="仿宋" w:hAnsi="仿宋" w:eastAsia="仿宋" w:cs="仿宋"/>
                <w:color w:val="auto"/>
                <w:szCs w:val="21"/>
                <w:highlight w:val="none"/>
              </w:rPr>
            </w:pPr>
          </w:p>
        </w:tc>
        <w:tc>
          <w:tcPr>
            <w:tcW w:w="1417" w:type="dxa"/>
            <w:noWrap w:val="0"/>
            <w:vAlign w:val="center"/>
          </w:tcPr>
          <w:p w14:paraId="2DC7F9C5">
            <w:pPr>
              <w:contextualSpacing/>
              <w:jc w:val="center"/>
              <w:rPr>
                <w:rFonts w:hint="eastAsia" w:ascii="仿宋" w:hAnsi="仿宋" w:eastAsia="仿宋" w:cs="仿宋"/>
                <w:color w:val="auto"/>
                <w:szCs w:val="21"/>
                <w:highlight w:val="none"/>
              </w:rPr>
            </w:pPr>
          </w:p>
        </w:tc>
        <w:tc>
          <w:tcPr>
            <w:tcW w:w="993" w:type="dxa"/>
            <w:noWrap w:val="0"/>
            <w:vAlign w:val="center"/>
          </w:tcPr>
          <w:p w14:paraId="10B58DB0">
            <w:pPr>
              <w:contextualSpacing/>
              <w:jc w:val="center"/>
              <w:rPr>
                <w:rFonts w:hint="eastAsia" w:ascii="仿宋" w:hAnsi="仿宋" w:eastAsia="仿宋" w:cs="仿宋"/>
                <w:color w:val="auto"/>
                <w:szCs w:val="21"/>
                <w:highlight w:val="none"/>
              </w:rPr>
            </w:pPr>
          </w:p>
        </w:tc>
        <w:tc>
          <w:tcPr>
            <w:tcW w:w="992" w:type="dxa"/>
            <w:noWrap w:val="0"/>
            <w:vAlign w:val="center"/>
          </w:tcPr>
          <w:p w14:paraId="1FB8945E">
            <w:pPr>
              <w:contextualSpacing/>
              <w:jc w:val="center"/>
              <w:rPr>
                <w:rFonts w:hint="eastAsia" w:ascii="仿宋" w:hAnsi="仿宋" w:eastAsia="仿宋" w:cs="仿宋"/>
                <w:color w:val="auto"/>
                <w:szCs w:val="21"/>
                <w:highlight w:val="none"/>
              </w:rPr>
            </w:pPr>
          </w:p>
        </w:tc>
        <w:tc>
          <w:tcPr>
            <w:tcW w:w="780" w:type="dxa"/>
            <w:noWrap w:val="0"/>
            <w:vAlign w:val="center"/>
          </w:tcPr>
          <w:p w14:paraId="7034DCA6">
            <w:pPr>
              <w:contextualSpacing/>
              <w:jc w:val="center"/>
              <w:rPr>
                <w:rFonts w:hint="eastAsia" w:ascii="仿宋" w:hAnsi="仿宋" w:eastAsia="仿宋" w:cs="仿宋"/>
                <w:color w:val="auto"/>
                <w:szCs w:val="21"/>
                <w:highlight w:val="none"/>
              </w:rPr>
            </w:pPr>
          </w:p>
        </w:tc>
      </w:tr>
      <w:tr w14:paraId="2423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154D5FD4">
            <w:pPr>
              <w:contextualSpacing/>
              <w:jc w:val="center"/>
              <w:rPr>
                <w:rFonts w:hint="eastAsia" w:ascii="仿宋" w:hAnsi="仿宋" w:eastAsia="仿宋" w:cs="仿宋"/>
                <w:color w:val="auto"/>
                <w:szCs w:val="21"/>
                <w:highlight w:val="none"/>
              </w:rPr>
            </w:pPr>
          </w:p>
        </w:tc>
        <w:tc>
          <w:tcPr>
            <w:tcW w:w="1072" w:type="dxa"/>
            <w:noWrap w:val="0"/>
            <w:vAlign w:val="center"/>
          </w:tcPr>
          <w:p w14:paraId="1E619FE1">
            <w:pPr>
              <w:contextualSpacing/>
              <w:jc w:val="center"/>
              <w:rPr>
                <w:rFonts w:hint="eastAsia" w:ascii="仿宋" w:hAnsi="仿宋" w:eastAsia="仿宋" w:cs="仿宋"/>
                <w:color w:val="auto"/>
                <w:szCs w:val="21"/>
                <w:highlight w:val="none"/>
              </w:rPr>
            </w:pPr>
          </w:p>
        </w:tc>
        <w:tc>
          <w:tcPr>
            <w:tcW w:w="708" w:type="dxa"/>
            <w:noWrap w:val="0"/>
            <w:vAlign w:val="center"/>
          </w:tcPr>
          <w:p w14:paraId="1DC41199">
            <w:pPr>
              <w:contextualSpacing/>
              <w:jc w:val="center"/>
              <w:rPr>
                <w:rFonts w:hint="eastAsia" w:ascii="仿宋" w:hAnsi="仿宋" w:eastAsia="仿宋" w:cs="仿宋"/>
                <w:color w:val="auto"/>
                <w:szCs w:val="21"/>
                <w:highlight w:val="none"/>
              </w:rPr>
            </w:pPr>
          </w:p>
        </w:tc>
        <w:tc>
          <w:tcPr>
            <w:tcW w:w="567" w:type="dxa"/>
            <w:noWrap w:val="0"/>
            <w:vAlign w:val="center"/>
          </w:tcPr>
          <w:p w14:paraId="09DF72C1">
            <w:pPr>
              <w:contextualSpacing/>
              <w:jc w:val="center"/>
              <w:rPr>
                <w:rFonts w:hint="eastAsia" w:ascii="仿宋" w:hAnsi="仿宋" w:eastAsia="仿宋" w:cs="仿宋"/>
                <w:color w:val="auto"/>
                <w:szCs w:val="21"/>
                <w:highlight w:val="none"/>
              </w:rPr>
            </w:pPr>
          </w:p>
        </w:tc>
        <w:tc>
          <w:tcPr>
            <w:tcW w:w="914" w:type="dxa"/>
            <w:noWrap w:val="0"/>
            <w:vAlign w:val="center"/>
          </w:tcPr>
          <w:p w14:paraId="21A861E3">
            <w:pPr>
              <w:contextualSpacing/>
              <w:jc w:val="center"/>
              <w:rPr>
                <w:rFonts w:hint="eastAsia" w:ascii="仿宋" w:hAnsi="仿宋" w:eastAsia="仿宋" w:cs="仿宋"/>
                <w:color w:val="auto"/>
                <w:szCs w:val="21"/>
                <w:highlight w:val="none"/>
              </w:rPr>
            </w:pPr>
          </w:p>
        </w:tc>
        <w:tc>
          <w:tcPr>
            <w:tcW w:w="992" w:type="dxa"/>
            <w:noWrap w:val="0"/>
            <w:vAlign w:val="center"/>
          </w:tcPr>
          <w:p w14:paraId="56A5EFD2">
            <w:pPr>
              <w:contextualSpacing/>
              <w:jc w:val="center"/>
              <w:rPr>
                <w:rFonts w:hint="eastAsia" w:ascii="仿宋" w:hAnsi="仿宋" w:eastAsia="仿宋" w:cs="仿宋"/>
                <w:color w:val="auto"/>
                <w:szCs w:val="21"/>
                <w:highlight w:val="none"/>
              </w:rPr>
            </w:pPr>
          </w:p>
        </w:tc>
        <w:tc>
          <w:tcPr>
            <w:tcW w:w="1417" w:type="dxa"/>
            <w:noWrap w:val="0"/>
            <w:vAlign w:val="center"/>
          </w:tcPr>
          <w:p w14:paraId="3BDC4D2C">
            <w:pPr>
              <w:contextualSpacing/>
              <w:jc w:val="center"/>
              <w:rPr>
                <w:rFonts w:hint="eastAsia" w:ascii="仿宋" w:hAnsi="仿宋" w:eastAsia="仿宋" w:cs="仿宋"/>
                <w:color w:val="auto"/>
                <w:szCs w:val="21"/>
                <w:highlight w:val="none"/>
              </w:rPr>
            </w:pPr>
          </w:p>
        </w:tc>
        <w:tc>
          <w:tcPr>
            <w:tcW w:w="993" w:type="dxa"/>
            <w:noWrap w:val="0"/>
            <w:vAlign w:val="center"/>
          </w:tcPr>
          <w:p w14:paraId="6E2F47A1">
            <w:pPr>
              <w:contextualSpacing/>
              <w:jc w:val="center"/>
              <w:rPr>
                <w:rFonts w:hint="eastAsia" w:ascii="仿宋" w:hAnsi="仿宋" w:eastAsia="仿宋" w:cs="仿宋"/>
                <w:color w:val="auto"/>
                <w:szCs w:val="21"/>
                <w:highlight w:val="none"/>
              </w:rPr>
            </w:pPr>
          </w:p>
        </w:tc>
        <w:tc>
          <w:tcPr>
            <w:tcW w:w="992" w:type="dxa"/>
            <w:noWrap w:val="0"/>
            <w:vAlign w:val="center"/>
          </w:tcPr>
          <w:p w14:paraId="392341C9">
            <w:pPr>
              <w:contextualSpacing/>
              <w:jc w:val="center"/>
              <w:rPr>
                <w:rFonts w:hint="eastAsia" w:ascii="仿宋" w:hAnsi="仿宋" w:eastAsia="仿宋" w:cs="仿宋"/>
                <w:color w:val="auto"/>
                <w:szCs w:val="21"/>
                <w:highlight w:val="none"/>
              </w:rPr>
            </w:pPr>
          </w:p>
        </w:tc>
        <w:tc>
          <w:tcPr>
            <w:tcW w:w="780" w:type="dxa"/>
            <w:noWrap w:val="0"/>
            <w:vAlign w:val="center"/>
          </w:tcPr>
          <w:p w14:paraId="2B655CF9">
            <w:pPr>
              <w:contextualSpacing/>
              <w:jc w:val="center"/>
              <w:rPr>
                <w:rFonts w:hint="eastAsia" w:ascii="仿宋" w:hAnsi="仿宋" w:eastAsia="仿宋" w:cs="仿宋"/>
                <w:color w:val="auto"/>
                <w:szCs w:val="21"/>
                <w:highlight w:val="none"/>
              </w:rPr>
            </w:pPr>
          </w:p>
        </w:tc>
      </w:tr>
      <w:tr w14:paraId="6AE32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67" w:type="dxa"/>
            <w:noWrap w:val="0"/>
            <w:vAlign w:val="center"/>
          </w:tcPr>
          <w:p w14:paraId="6D5BA681">
            <w:pPr>
              <w:contextualSpacing/>
              <w:jc w:val="center"/>
              <w:rPr>
                <w:rFonts w:hint="eastAsia" w:ascii="仿宋" w:hAnsi="仿宋" w:eastAsia="仿宋" w:cs="仿宋"/>
                <w:color w:val="auto"/>
                <w:szCs w:val="21"/>
                <w:highlight w:val="none"/>
              </w:rPr>
            </w:pPr>
          </w:p>
        </w:tc>
        <w:tc>
          <w:tcPr>
            <w:tcW w:w="1072" w:type="dxa"/>
            <w:noWrap w:val="0"/>
            <w:vAlign w:val="center"/>
          </w:tcPr>
          <w:p w14:paraId="1DDFE095">
            <w:pPr>
              <w:contextualSpacing/>
              <w:jc w:val="center"/>
              <w:rPr>
                <w:rFonts w:hint="eastAsia" w:ascii="仿宋" w:hAnsi="仿宋" w:eastAsia="仿宋" w:cs="仿宋"/>
                <w:color w:val="auto"/>
                <w:szCs w:val="21"/>
                <w:highlight w:val="none"/>
              </w:rPr>
            </w:pPr>
          </w:p>
        </w:tc>
        <w:tc>
          <w:tcPr>
            <w:tcW w:w="708" w:type="dxa"/>
            <w:noWrap w:val="0"/>
            <w:vAlign w:val="center"/>
          </w:tcPr>
          <w:p w14:paraId="01826B46">
            <w:pPr>
              <w:contextualSpacing/>
              <w:jc w:val="center"/>
              <w:rPr>
                <w:rFonts w:hint="eastAsia" w:ascii="仿宋" w:hAnsi="仿宋" w:eastAsia="仿宋" w:cs="仿宋"/>
                <w:color w:val="auto"/>
                <w:szCs w:val="21"/>
                <w:highlight w:val="none"/>
              </w:rPr>
            </w:pPr>
          </w:p>
        </w:tc>
        <w:tc>
          <w:tcPr>
            <w:tcW w:w="567" w:type="dxa"/>
            <w:noWrap w:val="0"/>
            <w:vAlign w:val="center"/>
          </w:tcPr>
          <w:p w14:paraId="6497BECB">
            <w:pPr>
              <w:contextualSpacing/>
              <w:jc w:val="center"/>
              <w:rPr>
                <w:rFonts w:hint="eastAsia" w:ascii="仿宋" w:hAnsi="仿宋" w:eastAsia="仿宋" w:cs="仿宋"/>
                <w:color w:val="auto"/>
                <w:szCs w:val="21"/>
                <w:highlight w:val="none"/>
              </w:rPr>
            </w:pPr>
          </w:p>
        </w:tc>
        <w:tc>
          <w:tcPr>
            <w:tcW w:w="914" w:type="dxa"/>
            <w:noWrap w:val="0"/>
            <w:vAlign w:val="center"/>
          </w:tcPr>
          <w:p w14:paraId="5E3F9827">
            <w:pPr>
              <w:contextualSpacing/>
              <w:jc w:val="center"/>
              <w:rPr>
                <w:rFonts w:hint="eastAsia" w:ascii="仿宋" w:hAnsi="仿宋" w:eastAsia="仿宋" w:cs="仿宋"/>
                <w:color w:val="auto"/>
                <w:szCs w:val="21"/>
                <w:highlight w:val="none"/>
              </w:rPr>
            </w:pPr>
          </w:p>
        </w:tc>
        <w:tc>
          <w:tcPr>
            <w:tcW w:w="992" w:type="dxa"/>
            <w:noWrap w:val="0"/>
            <w:vAlign w:val="center"/>
          </w:tcPr>
          <w:p w14:paraId="0EFA8393">
            <w:pPr>
              <w:contextualSpacing/>
              <w:jc w:val="center"/>
              <w:rPr>
                <w:rFonts w:hint="eastAsia" w:ascii="仿宋" w:hAnsi="仿宋" w:eastAsia="仿宋" w:cs="仿宋"/>
                <w:color w:val="auto"/>
                <w:szCs w:val="21"/>
                <w:highlight w:val="none"/>
              </w:rPr>
            </w:pPr>
          </w:p>
        </w:tc>
        <w:tc>
          <w:tcPr>
            <w:tcW w:w="1417" w:type="dxa"/>
            <w:noWrap w:val="0"/>
            <w:vAlign w:val="center"/>
          </w:tcPr>
          <w:p w14:paraId="320E2E54">
            <w:pPr>
              <w:contextualSpacing/>
              <w:jc w:val="center"/>
              <w:rPr>
                <w:rFonts w:hint="eastAsia" w:ascii="仿宋" w:hAnsi="仿宋" w:eastAsia="仿宋" w:cs="仿宋"/>
                <w:color w:val="auto"/>
                <w:szCs w:val="21"/>
                <w:highlight w:val="none"/>
              </w:rPr>
            </w:pPr>
          </w:p>
        </w:tc>
        <w:tc>
          <w:tcPr>
            <w:tcW w:w="993" w:type="dxa"/>
            <w:noWrap w:val="0"/>
            <w:vAlign w:val="center"/>
          </w:tcPr>
          <w:p w14:paraId="28C9F492">
            <w:pPr>
              <w:contextualSpacing/>
              <w:jc w:val="center"/>
              <w:rPr>
                <w:rFonts w:hint="eastAsia" w:ascii="仿宋" w:hAnsi="仿宋" w:eastAsia="仿宋" w:cs="仿宋"/>
                <w:color w:val="auto"/>
                <w:szCs w:val="21"/>
                <w:highlight w:val="none"/>
              </w:rPr>
            </w:pPr>
          </w:p>
        </w:tc>
        <w:tc>
          <w:tcPr>
            <w:tcW w:w="992" w:type="dxa"/>
            <w:noWrap w:val="0"/>
            <w:vAlign w:val="center"/>
          </w:tcPr>
          <w:p w14:paraId="4ADEDC59">
            <w:pPr>
              <w:contextualSpacing/>
              <w:jc w:val="center"/>
              <w:rPr>
                <w:rFonts w:hint="eastAsia" w:ascii="仿宋" w:hAnsi="仿宋" w:eastAsia="仿宋" w:cs="仿宋"/>
                <w:color w:val="auto"/>
                <w:szCs w:val="21"/>
                <w:highlight w:val="none"/>
              </w:rPr>
            </w:pPr>
          </w:p>
        </w:tc>
        <w:tc>
          <w:tcPr>
            <w:tcW w:w="780" w:type="dxa"/>
            <w:noWrap w:val="0"/>
            <w:vAlign w:val="center"/>
          </w:tcPr>
          <w:p w14:paraId="0A665762">
            <w:pPr>
              <w:contextualSpacing/>
              <w:jc w:val="center"/>
              <w:rPr>
                <w:rFonts w:hint="eastAsia" w:ascii="仿宋" w:hAnsi="仿宋" w:eastAsia="仿宋" w:cs="仿宋"/>
                <w:color w:val="auto"/>
                <w:szCs w:val="21"/>
                <w:highlight w:val="none"/>
              </w:rPr>
            </w:pPr>
          </w:p>
        </w:tc>
      </w:tr>
    </w:tbl>
    <w:p w14:paraId="4D341C9B">
      <w:pPr>
        <w:shd w:val="clear" w:color="auto" w:fill="FFFFFF"/>
        <w:spacing w:line="360" w:lineRule="auto"/>
        <w:contextualSpacing/>
        <w:jc w:val="center"/>
        <w:rPr>
          <w:rFonts w:hint="eastAsia" w:ascii="仿宋" w:hAnsi="仿宋" w:eastAsia="仿宋" w:cs="仿宋"/>
          <w:color w:val="auto"/>
          <w:sz w:val="44"/>
          <w:szCs w:val="44"/>
          <w:highlight w:val="none"/>
        </w:rPr>
      </w:pPr>
    </w:p>
    <w:p w14:paraId="4A4DE95F">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0C38B786">
      <w:pPr>
        <w:pStyle w:val="6"/>
        <w:spacing w:line="360" w:lineRule="auto"/>
        <w:rPr>
          <w:rFonts w:hint="eastAsia" w:ascii="仿宋" w:hAnsi="仿宋" w:eastAsia="仿宋" w:cs="仿宋"/>
          <w:b w:val="0"/>
          <w:color w:val="auto"/>
          <w:highlight w:val="none"/>
        </w:rPr>
      </w:pPr>
      <w:bookmarkStart w:id="1025" w:name="_Toc251576815"/>
      <w:bookmarkStart w:id="1026" w:name="_Toc249764880"/>
      <w:bookmarkStart w:id="1027" w:name="_Toc251352791"/>
      <w:bookmarkStart w:id="1028" w:name="_Toc251352660"/>
      <w:bookmarkStart w:id="1029" w:name="_Toc251353173"/>
      <w:bookmarkStart w:id="1030" w:name="_Toc251352174"/>
      <w:bookmarkStart w:id="1031" w:name="_Toc249791201"/>
      <w:bookmarkStart w:id="1032" w:name="_Toc251353043"/>
      <w:bookmarkStart w:id="1033" w:name="_Toc250045050"/>
      <w:bookmarkStart w:id="1034" w:name="_Toc360525438"/>
      <w:bookmarkStart w:id="1035" w:name="_Toc249790840"/>
      <w:bookmarkStart w:id="1036" w:name="_Toc249791067"/>
      <w:bookmarkStart w:id="1037" w:name="_Toc249775860"/>
      <w:bookmarkStart w:id="1038" w:name="_Toc249343459"/>
      <w:bookmarkStart w:id="1039" w:name="_Toc251676173"/>
      <w:bookmarkStart w:id="1040" w:name="_Toc249764684"/>
      <w:bookmarkStart w:id="1041" w:name="_Toc249791332"/>
      <w:r>
        <w:rPr>
          <w:rFonts w:hint="eastAsia" w:ascii="仿宋" w:hAnsi="仿宋" w:eastAsia="仿宋" w:cs="仿宋"/>
          <w:b w:val="0"/>
          <w:bCs w:val="0"/>
          <w:color w:val="auto"/>
          <w:highlight w:val="none"/>
        </w:rPr>
        <w:t>附表2：拟配备的试验和检测仪器设备表</w:t>
      </w:r>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tbl>
      <w:tblPr>
        <w:tblStyle w:val="34"/>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131"/>
        <w:gridCol w:w="1177"/>
        <w:gridCol w:w="707"/>
        <w:gridCol w:w="824"/>
        <w:gridCol w:w="1175"/>
        <w:gridCol w:w="1656"/>
        <w:gridCol w:w="996"/>
        <w:gridCol w:w="816"/>
      </w:tblGrid>
      <w:tr w14:paraId="738B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E25E9C1">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E60B79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仪器设备</w:t>
            </w:r>
          </w:p>
          <w:p w14:paraId="07B0D475">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名称</w:t>
            </w:r>
          </w:p>
        </w:tc>
        <w:tc>
          <w:tcPr>
            <w:tcW w:w="1177" w:type="dxa"/>
            <w:tcBorders>
              <w:top w:val="outset" w:color="auto" w:sz="6" w:space="0"/>
              <w:left w:val="outset" w:color="auto" w:sz="6" w:space="0"/>
              <w:bottom w:val="outset" w:color="auto" w:sz="6" w:space="0"/>
              <w:right w:val="outset" w:color="auto" w:sz="6" w:space="0"/>
            </w:tcBorders>
            <w:noWrap w:val="0"/>
            <w:vAlign w:val="center"/>
          </w:tcPr>
          <w:p w14:paraId="32B28AE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1A34ABAB">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707" w:type="dxa"/>
            <w:tcBorders>
              <w:top w:val="outset" w:color="auto" w:sz="6" w:space="0"/>
              <w:left w:val="outset" w:color="auto" w:sz="6" w:space="0"/>
              <w:bottom w:val="outset" w:color="auto" w:sz="6" w:space="0"/>
              <w:right w:val="outset" w:color="auto" w:sz="6" w:space="0"/>
            </w:tcBorders>
            <w:noWrap w:val="0"/>
            <w:vAlign w:val="center"/>
          </w:tcPr>
          <w:p w14:paraId="0851FD33">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24" w:type="dxa"/>
            <w:tcBorders>
              <w:top w:val="outset" w:color="auto" w:sz="6" w:space="0"/>
              <w:left w:val="outset" w:color="auto" w:sz="6" w:space="0"/>
              <w:bottom w:val="outset" w:color="auto" w:sz="6" w:space="0"/>
              <w:right w:val="outset" w:color="auto" w:sz="6" w:space="0"/>
            </w:tcBorders>
            <w:noWrap w:val="0"/>
            <w:vAlign w:val="center"/>
          </w:tcPr>
          <w:p w14:paraId="18242E87">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国别</w:t>
            </w:r>
          </w:p>
          <w:p w14:paraId="781AF94F">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产地</w:t>
            </w: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0EA6608">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制造年份</w:t>
            </w: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EC9AF4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己使用台时数</w:t>
            </w:r>
          </w:p>
        </w:tc>
        <w:tc>
          <w:tcPr>
            <w:tcW w:w="996" w:type="dxa"/>
            <w:tcBorders>
              <w:top w:val="outset" w:color="auto" w:sz="6" w:space="0"/>
              <w:left w:val="outset" w:color="auto" w:sz="6" w:space="0"/>
              <w:bottom w:val="outset" w:color="auto" w:sz="6" w:space="0"/>
              <w:right w:val="outset" w:color="auto" w:sz="6" w:space="0"/>
            </w:tcBorders>
            <w:noWrap w:val="0"/>
            <w:vAlign w:val="center"/>
          </w:tcPr>
          <w:p w14:paraId="30CA9871">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用途</w:t>
            </w:r>
          </w:p>
        </w:tc>
        <w:tc>
          <w:tcPr>
            <w:tcW w:w="816" w:type="dxa"/>
            <w:tcBorders>
              <w:top w:val="outset" w:color="auto" w:sz="6" w:space="0"/>
              <w:left w:val="outset" w:color="auto" w:sz="6" w:space="0"/>
              <w:bottom w:val="outset" w:color="auto" w:sz="6" w:space="0"/>
              <w:right w:val="outset" w:color="auto" w:sz="6" w:space="0"/>
            </w:tcBorders>
            <w:noWrap w:val="0"/>
            <w:vAlign w:val="center"/>
          </w:tcPr>
          <w:p w14:paraId="4DD05945">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7C29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AF718B4">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3DE29357">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8225FA4">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05AA1B11">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A269D6B">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6F65B13">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3D45F1C">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1E0DC0F">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05F3CB06">
            <w:pPr>
              <w:contextualSpacing/>
              <w:jc w:val="center"/>
              <w:rPr>
                <w:rFonts w:hint="eastAsia" w:ascii="仿宋" w:hAnsi="仿宋" w:eastAsia="仿宋" w:cs="仿宋"/>
                <w:color w:val="auto"/>
                <w:szCs w:val="21"/>
                <w:highlight w:val="none"/>
              </w:rPr>
            </w:pPr>
          </w:p>
        </w:tc>
      </w:tr>
      <w:tr w14:paraId="150A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1CBD04D1">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323A55A4">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2F014F44">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35E5995">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0E1FE2F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99F4609">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4C2C9A42">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CBA47EB">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7CEB68C0">
            <w:pPr>
              <w:contextualSpacing/>
              <w:jc w:val="center"/>
              <w:rPr>
                <w:rFonts w:hint="eastAsia" w:ascii="仿宋" w:hAnsi="仿宋" w:eastAsia="仿宋" w:cs="仿宋"/>
                <w:color w:val="auto"/>
                <w:szCs w:val="21"/>
                <w:highlight w:val="none"/>
              </w:rPr>
            </w:pPr>
          </w:p>
        </w:tc>
      </w:tr>
      <w:tr w14:paraId="469B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4A7981C">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924A662">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15D0E188">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0AD60E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1FD2CC48">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1B8DD1F4">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7179BFC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C8FC641">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00524AE9">
            <w:pPr>
              <w:contextualSpacing/>
              <w:jc w:val="center"/>
              <w:rPr>
                <w:rFonts w:hint="eastAsia" w:ascii="仿宋" w:hAnsi="仿宋" w:eastAsia="仿宋" w:cs="仿宋"/>
                <w:color w:val="auto"/>
                <w:szCs w:val="21"/>
                <w:highlight w:val="none"/>
              </w:rPr>
            </w:pPr>
          </w:p>
        </w:tc>
      </w:tr>
      <w:tr w14:paraId="2823B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A9722DE">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2F5197DA">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EDCEAD0">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8D36108">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1887B2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1F8D7A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CD8414F">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646A942">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537831F">
            <w:pPr>
              <w:contextualSpacing/>
              <w:jc w:val="center"/>
              <w:rPr>
                <w:rFonts w:hint="eastAsia" w:ascii="仿宋" w:hAnsi="仿宋" w:eastAsia="仿宋" w:cs="仿宋"/>
                <w:color w:val="auto"/>
                <w:szCs w:val="21"/>
                <w:highlight w:val="none"/>
              </w:rPr>
            </w:pPr>
          </w:p>
        </w:tc>
      </w:tr>
      <w:tr w14:paraId="19F2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368A4AD0">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CCA2DFB">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452462BE">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39AC680C">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3956B095">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5E61DF2">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0B7D46CE">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31AB2130">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CB65C30">
            <w:pPr>
              <w:contextualSpacing/>
              <w:jc w:val="center"/>
              <w:rPr>
                <w:rFonts w:hint="eastAsia" w:ascii="仿宋" w:hAnsi="仿宋" w:eastAsia="仿宋" w:cs="仿宋"/>
                <w:color w:val="auto"/>
                <w:szCs w:val="21"/>
                <w:highlight w:val="none"/>
              </w:rPr>
            </w:pPr>
          </w:p>
        </w:tc>
      </w:tr>
      <w:tr w14:paraId="1541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40229A28">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C11CBC6">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38C34B2">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70A95C5">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F162484">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2F339C2C">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1FF0A205">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6FB0415">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421CB8F9">
            <w:pPr>
              <w:contextualSpacing/>
              <w:jc w:val="center"/>
              <w:rPr>
                <w:rFonts w:hint="eastAsia" w:ascii="仿宋" w:hAnsi="仿宋" w:eastAsia="仿宋" w:cs="仿宋"/>
                <w:color w:val="auto"/>
                <w:szCs w:val="21"/>
                <w:highlight w:val="none"/>
              </w:rPr>
            </w:pPr>
          </w:p>
        </w:tc>
      </w:tr>
      <w:tr w14:paraId="26E63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6A0F5F7E">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12BCC0FC">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FAFB857">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5775262E">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7ED48F78">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046E3A9A">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6018656C">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2A7CDFE">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44399395">
            <w:pPr>
              <w:contextualSpacing/>
              <w:jc w:val="center"/>
              <w:rPr>
                <w:rFonts w:hint="eastAsia" w:ascii="仿宋" w:hAnsi="仿宋" w:eastAsia="仿宋" w:cs="仿宋"/>
                <w:color w:val="auto"/>
                <w:szCs w:val="21"/>
                <w:highlight w:val="none"/>
              </w:rPr>
            </w:pPr>
          </w:p>
        </w:tc>
      </w:tr>
      <w:tr w14:paraId="7A45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185E133B">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7BA877C7">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72FFD5D6">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65CB16D6">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6641CB5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3458725">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38FE7CC3">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3BEBC36">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2209D83F">
            <w:pPr>
              <w:contextualSpacing/>
              <w:jc w:val="center"/>
              <w:rPr>
                <w:rFonts w:hint="eastAsia" w:ascii="仿宋" w:hAnsi="仿宋" w:eastAsia="仿宋" w:cs="仿宋"/>
                <w:color w:val="auto"/>
                <w:szCs w:val="21"/>
                <w:highlight w:val="none"/>
              </w:rPr>
            </w:pPr>
          </w:p>
        </w:tc>
      </w:tr>
      <w:tr w14:paraId="1E44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561BB892">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00E68D66">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0725A82F">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4FCDD23B">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41B646CE">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31E736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0C52E352">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A9935AF">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63ECD938">
            <w:pPr>
              <w:contextualSpacing/>
              <w:jc w:val="center"/>
              <w:rPr>
                <w:rFonts w:hint="eastAsia" w:ascii="仿宋" w:hAnsi="仿宋" w:eastAsia="仿宋" w:cs="仿宋"/>
                <w:color w:val="auto"/>
                <w:szCs w:val="21"/>
                <w:highlight w:val="none"/>
              </w:rPr>
            </w:pPr>
          </w:p>
        </w:tc>
      </w:tr>
      <w:tr w14:paraId="4B6B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2056E987">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461D3EE3">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536B3968">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D773EC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3D11BD6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460CA268">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55F2FC7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5F7B0F68">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6DA96DFC">
            <w:pPr>
              <w:contextualSpacing/>
              <w:jc w:val="center"/>
              <w:rPr>
                <w:rFonts w:hint="eastAsia" w:ascii="仿宋" w:hAnsi="仿宋" w:eastAsia="仿宋" w:cs="仿宋"/>
                <w:color w:val="auto"/>
                <w:szCs w:val="21"/>
                <w:highlight w:val="none"/>
              </w:rPr>
            </w:pPr>
          </w:p>
        </w:tc>
      </w:tr>
      <w:tr w14:paraId="59EC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3BA8662F">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5552158">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233EBA9D">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27DD8B02">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2C2527A0">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1B3C187">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4F1D94DE">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2DD7DB22">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501C28B3">
            <w:pPr>
              <w:contextualSpacing/>
              <w:jc w:val="center"/>
              <w:rPr>
                <w:rFonts w:hint="eastAsia" w:ascii="仿宋" w:hAnsi="仿宋" w:eastAsia="仿宋" w:cs="仿宋"/>
                <w:color w:val="auto"/>
                <w:szCs w:val="21"/>
                <w:highlight w:val="none"/>
              </w:rPr>
            </w:pPr>
          </w:p>
        </w:tc>
      </w:tr>
      <w:tr w14:paraId="3884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4B610E4B">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5D6BD92A">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06559CBC">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7E3527AB">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5AFADCF9">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34F3998E">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1F5C5709">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334B2714">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7D0765E1">
            <w:pPr>
              <w:contextualSpacing/>
              <w:jc w:val="center"/>
              <w:rPr>
                <w:rFonts w:hint="eastAsia" w:ascii="仿宋" w:hAnsi="仿宋" w:eastAsia="仿宋" w:cs="仿宋"/>
                <w:color w:val="auto"/>
                <w:szCs w:val="21"/>
                <w:highlight w:val="none"/>
              </w:rPr>
            </w:pPr>
          </w:p>
        </w:tc>
      </w:tr>
      <w:tr w14:paraId="7A2E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90" w:type="dxa"/>
            <w:tcBorders>
              <w:top w:val="outset" w:color="auto" w:sz="6" w:space="0"/>
              <w:left w:val="outset" w:color="auto" w:sz="6" w:space="0"/>
              <w:bottom w:val="outset" w:color="auto" w:sz="6" w:space="0"/>
              <w:right w:val="outset" w:color="auto" w:sz="6" w:space="0"/>
            </w:tcBorders>
            <w:noWrap w:val="0"/>
            <w:vAlign w:val="center"/>
          </w:tcPr>
          <w:p w14:paraId="6DA9749D">
            <w:pPr>
              <w:contextualSpacing/>
              <w:jc w:val="center"/>
              <w:rPr>
                <w:rFonts w:hint="eastAsia" w:ascii="仿宋" w:hAnsi="仿宋" w:eastAsia="仿宋" w:cs="仿宋"/>
                <w:color w:val="auto"/>
                <w:szCs w:val="21"/>
                <w:highlight w:val="none"/>
              </w:rPr>
            </w:pPr>
          </w:p>
        </w:tc>
        <w:tc>
          <w:tcPr>
            <w:tcW w:w="1131" w:type="dxa"/>
            <w:tcBorders>
              <w:top w:val="outset" w:color="auto" w:sz="6" w:space="0"/>
              <w:left w:val="outset" w:color="auto" w:sz="6" w:space="0"/>
              <w:bottom w:val="outset" w:color="auto" w:sz="6" w:space="0"/>
              <w:right w:val="outset" w:color="auto" w:sz="6" w:space="0"/>
            </w:tcBorders>
            <w:noWrap w:val="0"/>
            <w:vAlign w:val="center"/>
          </w:tcPr>
          <w:p w14:paraId="1749AD39">
            <w:pPr>
              <w:contextualSpacing/>
              <w:jc w:val="center"/>
              <w:rPr>
                <w:rFonts w:hint="eastAsia" w:ascii="仿宋" w:hAnsi="仿宋" w:eastAsia="仿宋" w:cs="仿宋"/>
                <w:color w:val="auto"/>
                <w:szCs w:val="21"/>
                <w:highlight w:val="none"/>
              </w:rPr>
            </w:pPr>
          </w:p>
        </w:tc>
        <w:tc>
          <w:tcPr>
            <w:tcW w:w="1177" w:type="dxa"/>
            <w:tcBorders>
              <w:top w:val="outset" w:color="auto" w:sz="6" w:space="0"/>
              <w:left w:val="outset" w:color="auto" w:sz="6" w:space="0"/>
              <w:bottom w:val="outset" w:color="auto" w:sz="6" w:space="0"/>
              <w:right w:val="outset" w:color="auto" w:sz="6" w:space="0"/>
            </w:tcBorders>
            <w:noWrap w:val="0"/>
            <w:vAlign w:val="center"/>
          </w:tcPr>
          <w:p w14:paraId="342FF6FA">
            <w:pPr>
              <w:contextualSpacing/>
              <w:jc w:val="center"/>
              <w:rPr>
                <w:rFonts w:hint="eastAsia" w:ascii="仿宋" w:hAnsi="仿宋" w:eastAsia="仿宋" w:cs="仿宋"/>
                <w:color w:val="auto"/>
                <w:szCs w:val="21"/>
                <w:highlight w:val="none"/>
              </w:rPr>
            </w:pPr>
          </w:p>
        </w:tc>
        <w:tc>
          <w:tcPr>
            <w:tcW w:w="707" w:type="dxa"/>
            <w:tcBorders>
              <w:top w:val="outset" w:color="auto" w:sz="6" w:space="0"/>
              <w:left w:val="outset" w:color="auto" w:sz="6" w:space="0"/>
              <w:bottom w:val="outset" w:color="auto" w:sz="6" w:space="0"/>
              <w:right w:val="outset" w:color="auto" w:sz="6" w:space="0"/>
            </w:tcBorders>
            <w:noWrap w:val="0"/>
            <w:vAlign w:val="center"/>
          </w:tcPr>
          <w:p w14:paraId="04893273">
            <w:pPr>
              <w:contextualSpacing/>
              <w:jc w:val="center"/>
              <w:rPr>
                <w:rFonts w:hint="eastAsia" w:ascii="仿宋" w:hAnsi="仿宋" w:eastAsia="仿宋" w:cs="仿宋"/>
                <w:color w:val="auto"/>
                <w:szCs w:val="21"/>
                <w:highlight w:val="none"/>
              </w:rPr>
            </w:pPr>
          </w:p>
        </w:tc>
        <w:tc>
          <w:tcPr>
            <w:tcW w:w="824" w:type="dxa"/>
            <w:tcBorders>
              <w:top w:val="outset" w:color="auto" w:sz="6" w:space="0"/>
              <w:left w:val="outset" w:color="auto" w:sz="6" w:space="0"/>
              <w:bottom w:val="outset" w:color="auto" w:sz="6" w:space="0"/>
              <w:right w:val="outset" w:color="auto" w:sz="6" w:space="0"/>
            </w:tcBorders>
            <w:noWrap w:val="0"/>
            <w:vAlign w:val="center"/>
          </w:tcPr>
          <w:p w14:paraId="7C441BFD">
            <w:pPr>
              <w:contextualSpacing/>
              <w:jc w:val="center"/>
              <w:rPr>
                <w:rFonts w:hint="eastAsia" w:ascii="仿宋" w:hAnsi="仿宋" w:eastAsia="仿宋" w:cs="仿宋"/>
                <w:color w:val="auto"/>
                <w:szCs w:val="21"/>
                <w:highlight w:val="none"/>
              </w:rPr>
            </w:pPr>
          </w:p>
        </w:tc>
        <w:tc>
          <w:tcPr>
            <w:tcW w:w="1175" w:type="dxa"/>
            <w:tcBorders>
              <w:top w:val="outset" w:color="auto" w:sz="6" w:space="0"/>
              <w:left w:val="outset" w:color="auto" w:sz="6" w:space="0"/>
              <w:bottom w:val="outset" w:color="auto" w:sz="6" w:space="0"/>
              <w:right w:val="outset" w:color="auto" w:sz="6" w:space="0"/>
            </w:tcBorders>
            <w:noWrap w:val="0"/>
            <w:vAlign w:val="center"/>
          </w:tcPr>
          <w:p w14:paraId="5D031E8D">
            <w:pPr>
              <w:contextualSpacing/>
              <w:jc w:val="center"/>
              <w:rPr>
                <w:rFonts w:hint="eastAsia" w:ascii="仿宋" w:hAnsi="仿宋" w:eastAsia="仿宋" w:cs="仿宋"/>
                <w:color w:val="auto"/>
                <w:szCs w:val="21"/>
                <w:highlight w:val="none"/>
              </w:rPr>
            </w:pPr>
          </w:p>
        </w:tc>
        <w:tc>
          <w:tcPr>
            <w:tcW w:w="1656" w:type="dxa"/>
            <w:tcBorders>
              <w:top w:val="outset" w:color="auto" w:sz="6" w:space="0"/>
              <w:left w:val="outset" w:color="auto" w:sz="6" w:space="0"/>
              <w:bottom w:val="outset" w:color="auto" w:sz="6" w:space="0"/>
              <w:right w:val="outset" w:color="auto" w:sz="6" w:space="0"/>
            </w:tcBorders>
            <w:noWrap w:val="0"/>
            <w:vAlign w:val="center"/>
          </w:tcPr>
          <w:p w14:paraId="3B01E610">
            <w:pPr>
              <w:contextualSpacing/>
              <w:jc w:val="center"/>
              <w:rPr>
                <w:rFonts w:hint="eastAsia" w:ascii="仿宋" w:hAnsi="仿宋" w:eastAsia="仿宋" w:cs="仿宋"/>
                <w:color w:val="auto"/>
                <w:szCs w:val="21"/>
                <w:highlight w:val="none"/>
              </w:rPr>
            </w:pPr>
          </w:p>
        </w:tc>
        <w:tc>
          <w:tcPr>
            <w:tcW w:w="996" w:type="dxa"/>
            <w:tcBorders>
              <w:top w:val="outset" w:color="auto" w:sz="6" w:space="0"/>
              <w:left w:val="outset" w:color="auto" w:sz="6" w:space="0"/>
              <w:bottom w:val="outset" w:color="auto" w:sz="6" w:space="0"/>
              <w:right w:val="outset" w:color="auto" w:sz="6" w:space="0"/>
            </w:tcBorders>
            <w:noWrap w:val="0"/>
            <w:vAlign w:val="center"/>
          </w:tcPr>
          <w:p w14:paraId="6698C708">
            <w:pPr>
              <w:contextualSpacing/>
              <w:jc w:val="center"/>
              <w:rPr>
                <w:rFonts w:hint="eastAsia" w:ascii="仿宋" w:hAnsi="仿宋" w:eastAsia="仿宋" w:cs="仿宋"/>
                <w:color w:val="auto"/>
                <w:szCs w:val="21"/>
                <w:highlight w:val="none"/>
              </w:rPr>
            </w:pPr>
          </w:p>
        </w:tc>
        <w:tc>
          <w:tcPr>
            <w:tcW w:w="816" w:type="dxa"/>
            <w:tcBorders>
              <w:top w:val="outset" w:color="auto" w:sz="6" w:space="0"/>
              <w:left w:val="outset" w:color="auto" w:sz="6" w:space="0"/>
              <w:bottom w:val="outset" w:color="auto" w:sz="6" w:space="0"/>
              <w:right w:val="outset" w:color="auto" w:sz="6" w:space="0"/>
            </w:tcBorders>
            <w:noWrap w:val="0"/>
            <w:vAlign w:val="center"/>
          </w:tcPr>
          <w:p w14:paraId="1A45F271">
            <w:pPr>
              <w:contextualSpacing/>
              <w:jc w:val="center"/>
              <w:rPr>
                <w:rFonts w:hint="eastAsia" w:ascii="仿宋" w:hAnsi="仿宋" w:eastAsia="仿宋" w:cs="仿宋"/>
                <w:color w:val="auto"/>
                <w:szCs w:val="21"/>
                <w:highlight w:val="none"/>
              </w:rPr>
            </w:pPr>
          </w:p>
        </w:tc>
      </w:tr>
    </w:tbl>
    <w:p w14:paraId="721C6565">
      <w:pPr>
        <w:shd w:val="clear" w:color="auto" w:fill="FFFFFF"/>
        <w:spacing w:line="360" w:lineRule="auto"/>
        <w:contextualSpacing/>
        <w:jc w:val="center"/>
        <w:rPr>
          <w:rFonts w:hint="eastAsia" w:ascii="仿宋" w:hAnsi="仿宋" w:eastAsia="仿宋" w:cs="仿宋"/>
          <w:color w:val="auto"/>
          <w:sz w:val="44"/>
          <w:szCs w:val="44"/>
          <w:highlight w:val="none"/>
        </w:rPr>
      </w:pPr>
    </w:p>
    <w:p w14:paraId="1A02CEEF">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7ED5F395">
      <w:pPr>
        <w:pStyle w:val="6"/>
        <w:spacing w:before="0" w:after="0" w:line="360" w:lineRule="auto"/>
        <w:rPr>
          <w:rFonts w:hint="eastAsia" w:ascii="仿宋" w:hAnsi="仿宋" w:eastAsia="仿宋" w:cs="仿宋"/>
          <w:b w:val="0"/>
          <w:color w:val="auto"/>
          <w:highlight w:val="none"/>
        </w:rPr>
      </w:pPr>
      <w:bookmarkStart w:id="1042" w:name="_Toc250045051"/>
      <w:bookmarkStart w:id="1043" w:name="_Toc249791333"/>
      <w:bookmarkStart w:id="1044" w:name="_Toc249790841"/>
      <w:bookmarkStart w:id="1045" w:name="_Toc249764685"/>
      <w:bookmarkStart w:id="1046" w:name="_Toc251352661"/>
      <w:bookmarkStart w:id="1047" w:name="_Toc251676174"/>
      <w:bookmarkStart w:id="1048" w:name="_Toc360525439"/>
      <w:bookmarkStart w:id="1049" w:name="_Toc249791202"/>
      <w:bookmarkStart w:id="1050" w:name="_Toc251353174"/>
      <w:bookmarkStart w:id="1051" w:name="_Toc251353044"/>
      <w:bookmarkStart w:id="1052" w:name="_Toc249791068"/>
      <w:bookmarkStart w:id="1053" w:name="_Toc249343460"/>
      <w:bookmarkStart w:id="1054" w:name="_Toc249775861"/>
      <w:bookmarkStart w:id="1055" w:name="_Toc249764881"/>
      <w:bookmarkStart w:id="1056" w:name="_Toc251576816"/>
      <w:bookmarkStart w:id="1057" w:name="_Toc251352792"/>
      <w:bookmarkStart w:id="1058" w:name="_Toc251352175"/>
      <w:r>
        <w:rPr>
          <w:rFonts w:hint="eastAsia" w:ascii="仿宋" w:hAnsi="仿宋" w:eastAsia="仿宋" w:cs="仿宋"/>
          <w:b w:val="0"/>
          <w:bCs w:val="0"/>
          <w:color w:val="auto"/>
          <w:highlight w:val="none"/>
        </w:rPr>
        <w:t>附表3：劳动力计划表</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14:paraId="67982B5F">
      <w:pPr>
        <w:spacing w:line="360" w:lineRule="auto"/>
        <w:ind w:firstLine="7440" w:firstLineChars="3100"/>
        <w:rPr>
          <w:rFonts w:hint="eastAsia" w:ascii="仿宋" w:hAnsi="仿宋" w:eastAsia="仿宋" w:cs="仿宋"/>
          <w:color w:val="auto"/>
          <w:sz w:val="24"/>
          <w:highlight w:val="none"/>
        </w:rPr>
      </w:pPr>
      <w:r>
        <w:rPr>
          <w:rFonts w:hint="eastAsia" w:ascii="仿宋" w:hAnsi="仿宋" w:eastAsia="仿宋" w:cs="仿宋"/>
          <w:color w:val="auto"/>
          <w:sz w:val="24"/>
          <w:highlight w:val="none"/>
        </w:rPr>
        <w:t>单位：人</w:t>
      </w:r>
    </w:p>
    <w:tbl>
      <w:tblPr>
        <w:tblStyle w:val="34"/>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11"/>
        <w:gridCol w:w="1112"/>
        <w:gridCol w:w="1111"/>
        <w:gridCol w:w="1111"/>
        <w:gridCol w:w="1112"/>
        <w:gridCol w:w="1111"/>
        <w:gridCol w:w="1112"/>
      </w:tblGrid>
      <w:tr w14:paraId="5D112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449ADB9">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工种</w:t>
            </w:r>
          </w:p>
        </w:tc>
        <w:tc>
          <w:tcPr>
            <w:tcW w:w="7780" w:type="dxa"/>
            <w:gridSpan w:val="7"/>
            <w:tcBorders>
              <w:top w:val="outset" w:color="auto" w:sz="6" w:space="0"/>
              <w:left w:val="outset" w:color="auto" w:sz="6" w:space="0"/>
              <w:bottom w:val="outset" w:color="auto" w:sz="6" w:space="0"/>
              <w:right w:val="outset" w:color="auto" w:sz="6" w:space="0"/>
            </w:tcBorders>
            <w:noWrap w:val="0"/>
            <w:vAlign w:val="center"/>
          </w:tcPr>
          <w:p w14:paraId="257520D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按工程施工阶段投入劳动力情况</w:t>
            </w:r>
          </w:p>
        </w:tc>
      </w:tr>
      <w:tr w14:paraId="44A2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00FD498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524918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05819D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62CBC9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273619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ABC7C1F">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8E1CC61">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B5D8A86">
            <w:pPr>
              <w:spacing w:line="700" w:lineRule="exact"/>
              <w:ind w:firstLine="420" w:firstLineChars="200"/>
              <w:rPr>
                <w:rFonts w:hint="eastAsia" w:ascii="仿宋" w:hAnsi="仿宋" w:eastAsia="仿宋" w:cs="仿宋"/>
                <w:color w:val="auto"/>
                <w:szCs w:val="21"/>
                <w:highlight w:val="none"/>
              </w:rPr>
            </w:pPr>
          </w:p>
        </w:tc>
      </w:tr>
      <w:tr w14:paraId="24561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21F58A95">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58FC4C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F7833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9421C18">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BB4514F">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131B270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B8523F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83664A0">
            <w:pPr>
              <w:spacing w:line="700" w:lineRule="exact"/>
              <w:ind w:firstLine="420" w:firstLineChars="200"/>
              <w:rPr>
                <w:rFonts w:hint="eastAsia" w:ascii="仿宋" w:hAnsi="仿宋" w:eastAsia="仿宋" w:cs="仿宋"/>
                <w:color w:val="auto"/>
                <w:szCs w:val="21"/>
                <w:highlight w:val="none"/>
              </w:rPr>
            </w:pPr>
          </w:p>
        </w:tc>
      </w:tr>
      <w:tr w14:paraId="6F600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436ABC9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050283F">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62714E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F4D7A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DE8DCD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9604C2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DAA70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BD81303">
            <w:pPr>
              <w:spacing w:line="700" w:lineRule="exact"/>
              <w:ind w:firstLine="420" w:firstLineChars="200"/>
              <w:rPr>
                <w:rFonts w:hint="eastAsia" w:ascii="仿宋" w:hAnsi="仿宋" w:eastAsia="仿宋" w:cs="仿宋"/>
                <w:color w:val="auto"/>
                <w:szCs w:val="21"/>
                <w:highlight w:val="none"/>
              </w:rPr>
            </w:pPr>
          </w:p>
        </w:tc>
      </w:tr>
      <w:tr w14:paraId="1457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57CD44D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ABD0F39">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B805C90">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517AAA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2E749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FFDFDB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CA1A1D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A79FD5E">
            <w:pPr>
              <w:spacing w:line="700" w:lineRule="exact"/>
              <w:ind w:firstLine="420" w:firstLineChars="200"/>
              <w:rPr>
                <w:rFonts w:hint="eastAsia" w:ascii="仿宋" w:hAnsi="仿宋" w:eastAsia="仿宋" w:cs="仿宋"/>
                <w:color w:val="auto"/>
                <w:szCs w:val="21"/>
                <w:highlight w:val="none"/>
              </w:rPr>
            </w:pPr>
          </w:p>
        </w:tc>
      </w:tr>
      <w:tr w14:paraId="7B95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0A296A6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7B12283">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D21E9A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5B795D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E4EC51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12558E4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426751B9">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3389C6B">
            <w:pPr>
              <w:spacing w:line="700" w:lineRule="exact"/>
              <w:ind w:firstLine="420" w:firstLineChars="200"/>
              <w:rPr>
                <w:rFonts w:hint="eastAsia" w:ascii="仿宋" w:hAnsi="仿宋" w:eastAsia="仿宋" w:cs="仿宋"/>
                <w:color w:val="auto"/>
                <w:szCs w:val="21"/>
                <w:highlight w:val="none"/>
              </w:rPr>
            </w:pPr>
          </w:p>
        </w:tc>
      </w:tr>
      <w:tr w14:paraId="7EFB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AEA36F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16F5D8D">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70776906">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E23A876">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8AE7A8E">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506524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6D9AEB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0DB12206">
            <w:pPr>
              <w:spacing w:line="700" w:lineRule="exact"/>
              <w:ind w:firstLine="420" w:firstLineChars="200"/>
              <w:rPr>
                <w:rFonts w:hint="eastAsia" w:ascii="仿宋" w:hAnsi="仿宋" w:eastAsia="仿宋" w:cs="仿宋"/>
                <w:color w:val="auto"/>
                <w:szCs w:val="21"/>
                <w:highlight w:val="none"/>
              </w:rPr>
            </w:pPr>
          </w:p>
        </w:tc>
      </w:tr>
      <w:tr w14:paraId="4D2CC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2ACBFDC4">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A6D9C5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C500E55">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EECB31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833CC5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D2BF61D">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5595D77">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609F3801">
            <w:pPr>
              <w:spacing w:line="700" w:lineRule="exact"/>
              <w:ind w:firstLine="420" w:firstLineChars="200"/>
              <w:rPr>
                <w:rFonts w:hint="eastAsia" w:ascii="仿宋" w:hAnsi="仿宋" w:eastAsia="仿宋" w:cs="仿宋"/>
                <w:color w:val="auto"/>
                <w:szCs w:val="21"/>
                <w:highlight w:val="none"/>
              </w:rPr>
            </w:pPr>
          </w:p>
        </w:tc>
      </w:tr>
      <w:tr w14:paraId="19FF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6284B64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0AEAA08">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9F060F9">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BA2DE6C">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AB0248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8D632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068C0A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E15ABAE">
            <w:pPr>
              <w:spacing w:line="700" w:lineRule="exact"/>
              <w:ind w:firstLine="420" w:firstLineChars="200"/>
              <w:rPr>
                <w:rFonts w:hint="eastAsia" w:ascii="仿宋" w:hAnsi="仿宋" w:eastAsia="仿宋" w:cs="仿宋"/>
                <w:color w:val="auto"/>
                <w:szCs w:val="21"/>
                <w:highlight w:val="none"/>
              </w:rPr>
            </w:pPr>
          </w:p>
        </w:tc>
      </w:tr>
      <w:tr w14:paraId="1363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1B8A719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0F155E1">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F3E5779">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231450E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5614C65">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29813EF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D91E61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C59A692">
            <w:pPr>
              <w:spacing w:line="700" w:lineRule="exact"/>
              <w:ind w:firstLine="420" w:firstLineChars="200"/>
              <w:rPr>
                <w:rFonts w:hint="eastAsia" w:ascii="仿宋" w:hAnsi="仿宋" w:eastAsia="仿宋" w:cs="仿宋"/>
                <w:color w:val="auto"/>
                <w:szCs w:val="21"/>
                <w:highlight w:val="none"/>
              </w:rPr>
            </w:pPr>
          </w:p>
        </w:tc>
      </w:tr>
      <w:tr w14:paraId="3A6F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7441916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1DB3DE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349131F">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282BC9E">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44D47FB">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21203D9B">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FBFA63A">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7EE148D">
            <w:pPr>
              <w:spacing w:line="700" w:lineRule="exact"/>
              <w:ind w:firstLine="420" w:firstLineChars="200"/>
              <w:rPr>
                <w:rFonts w:hint="eastAsia" w:ascii="仿宋" w:hAnsi="仿宋" w:eastAsia="仿宋" w:cs="仿宋"/>
                <w:color w:val="auto"/>
                <w:szCs w:val="21"/>
                <w:highlight w:val="none"/>
              </w:rPr>
            </w:pPr>
          </w:p>
        </w:tc>
      </w:tr>
      <w:tr w14:paraId="522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6E7ECC67">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3C8AAEC3">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48001792">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88DD03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CC05D84">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5EA2CE83">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5383091E">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7879DCC">
            <w:pPr>
              <w:spacing w:line="700" w:lineRule="exact"/>
              <w:ind w:firstLine="420" w:firstLineChars="200"/>
              <w:rPr>
                <w:rFonts w:hint="eastAsia" w:ascii="仿宋" w:hAnsi="仿宋" w:eastAsia="仿宋" w:cs="仿宋"/>
                <w:color w:val="auto"/>
                <w:szCs w:val="21"/>
                <w:highlight w:val="none"/>
              </w:rPr>
            </w:pPr>
          </w:p>
        </w:tc>
      </w:tr>
      <w:tr w14:paraId="71794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11" w:type="dxa"/>
            <w:tcBorders>
              <w:top w:val="outset" w:color="auto" w:sz="6" w:space="0"/>
              <w:left w:val="outset" w:color="auto" w:sz="6" w:space="0"/>
              <w:bottom w:val="outset" w:color="auto" w:sz="6" w:space="0"/>
              <w:right w:val="outset" w:color="auto" w:sz="6" w:space="0"/>
            </w:tcBorders>
            <w:noWrap w:val="0"/>
            <w:vAlign w:val="center"/>
          </w:tcPr>
          <w:p w14:paraId="7A087D18">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01D16FDC">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730BAFD4">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7662D7BA">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118AE5BA">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2363BF1">
            <w:pPr>
              <w:contextualSpacing/>
              <w:jc w:val="center"/>
              <w:rPr>
                <w:rFonts w:hint="eastAsia" w:ascii="仿宋" w:hAnsi="仿宋" w:eastAsia="仿宋" w:cs="仿宋"/>
                <w:color w:val="auto"/>
                <w:szCs w:val="21"/>
                <w:highlight w:val="none"/>
              </w:rPr>
            </w:pPr>
          </w:p>
        </w:tc>
        <w:tc>
          <w:tcPr>
            <w:tcW w:w="1111" w:type="dxa"/>
            <w:tcBorders>
              <w:top w:val="outset" w:color="auto" w:sz="6" w:space="0"/>
              <w:left w:val="outset" w:color="auto" w:sz="6" w:space="0"/>
              <w:bottom w:val="outset" w:color="auto" w:sz="6" w:space="0"/>
              <w:right w:val="outset" w:color="auto" w:sz="6" w:space="0"/>
            </w:tcBorders>
            <w:noWrap w:val="0"/>
            <w:vAlign w:val="center"/>
          </w:tcPr>
          <w:p w14:paraId="6DF7EE40">
            <w:pPr>
              <w:contextualSpacing/>
              <w:jc w:val="center"/>
              <w:rPr>
                <w:rFonts w:hint="eastAsia" w:ascii="仿宋" w:hAnsi="仿宋" w:eastAsia="仿宋" w:cs="仿宋"/>
                <w:color w:val="auto"/>
                <w:szCs w:val="21"/>
                <w:highlight w:val="none"/>
              </w:rPr>
            </w:pPr>
          </w:p>
        </w:tc>
        <w:tc>
          <w:tcPr>
            <w:tcW w:w="1112" w:type="dxa"/>
            <w:tcBorders>
              <w:top w:val="outset" w:color="auto" w:sz="6" w:space="0"/>
              <w:left w:val="outset" w:color="auto" w:sz="6" w:space="0"/>
              <w:bottom w:val="outset" w:color="auto" w:sz="6" w:space="0"/>
              <w:right w:val="outset" w:color="auto" w:sz="6" w:space="0"/>
            </w:tcBorders>
            <w:noWrap w:val="0"/>
            <w:vAlign w:val="center"/>
          </w:tcPr>
          <w:p w14:paraId="37B4532C">
            <w:pPr>
              <w:spacing w:line="700" w:lineRule="exact"/>
              <w:ind w:firstLine="420" w:firstLineChars="200"/>
              <w:rPr>
                <w:rFonts w:hint="eastAsia" w:ascii="仿宋" w:hAnsi="仿宋" w:eastAsia="仿宋" w:cs="仿宋"/>
                <w:color w:val="auto"/>
                <w:szCs w:val="21"/>
                <w:highlight w:val="none"/>
              </w:rPr>
            </w:pPr>
          </w:p>
        </w:tc>
      </w:tr>
    </w:tbl>
    <w:p w14:paraId="5CC27302">
      <w:pPr>
        <w:rPr>
          <w:rFonts w:hint="eastAsia" w:ascii="仿宋" w:hAnsi="仿宋" w:eastAsia="仿宋" w:cs="仿宋"/>
          <w:color w:val="auto"/>
          <w:highlight w:val="none"/>
        </w:rPr>
      </w:pPr>
      <w:bookmarkStart w:id="1059" w:name="_Toc251352662"/>
      <w:bookmarkStart w:id="1060" w:name="_Toc250045052"/>
      <w:bookmarkStart w:id="1061" w:name="_Toc251352176"/>
      <w:bookmarkStart w:id="1062" w:name="_Toc249343461"/>
      <w:bookmarkStart w:id="1063" w:name="_Toc251352793"/>
      <w:bookmarkStart w:id="1064" w:name="_Toc249791069"/>
      <w:bookmarkStart w:id="1065" w:name="_Toc251353175"/>
      <w:bookmarkStart w:id="1066" w:name="_Toc249791203"/>
      <w:bookmarkStart w:id="1067" w:name="_Toc249791334"/>
      <w:bookmarkStart w:id="1068" w:name="_Toc249764882"/>
      <w:bookmarkStart w:id="1069" w:name="_Toc251676175"/>
      <w:bookmarkStart w:id="1070" w:name="_Toc360525440"/>
      <w:bookmarkStart w:id="1071" w:name="_Toc251576817"/>
      <w:bookmarkStart w:id="1072" w:name="_Toc251353045"/>
      <w:bookmarkStart w:id="1073" w:name="_Toc249775862"/>
      <w:bookmarkStart w:id="1074" w:name="_Toc249790842"/>
      <w:bookmarkStart w:id="1075" w:name="_Toc249764686"/>
    </w:p>
    <w:p w14:paraId="4DA28A1B">
      <w:pPr>
        <w:rPr>
          <w:rFonts w:hint="eastAsia" w:ascii="仿宋" w:hAnsi="仿宋" w:eastAsia="仿宋" w:cs="仿宋"/>
          <w:color w:val="auto"/>
          <w:sz w:val="24"/>
          <w:highlight w:val="none"/>
        </w:rPr>
      </w:pPr>
      <w:r>
        <w:rPr>
          <w:rFonts w:hint="eastAsia" w:ascii="仿宋" w:hAnsi="仿宋" w:eastAsia="仿宋" w:cs="仿宋"/>
          <w:b/>
          <w:bCs/>
          <w:color w:val="auto"/>
          <w:highlight w:val="none"/>
        </w:rPr>
        <w:br w:type="page"/>
      </w:r>
    </w:p>
    <w:p w14:paraId="5A6870FF">
      <w:pPr>
        <w:pStyle w:val="6"/>
        <w:spacing w:before="0" w:after="0" w:line="360"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附表4：计划开、竣工日期和施工进度网络图</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p>
    <w:p w14:paraId="7C7436DA">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1、投标人应递交施工进度网络图或施工进度表，说明按招标文件要求的计划工期进行施工的各个关键日期。</w:t>
      </w:r>
    </w:p>
    <w:p w14:paraId="2D059F48">
      <w:pPr>
        <w:spacing w:line="360" w:lineRule="auto"/>
        <w:ind w:firstLine="420" w:firstLineChars="200"/>
        <w:contextualSpacing/>
        <w:rPr>
          <w:rFonts w:hint="eastAsia" w:ascii="仿宋" w:hAnsi="仿宋" w:eastAsia="仿宋" w:cs="仿宋"/>
          <w:color w:val="auto"/>
          <w:szCs w:val="21"/>
          <w:highlight w:val="none"/>
        </w:rPr>
      </w:pPr>
      <w:r>
        <w:rPr>
          <w:rFonts w:hint="eastAsia" w:ascii="仿宋" w:hAnsi="仿宋" w:eastAsia="仿宋" w:cs="仿宋"/>
          <w:color w:val="auto"/>
          <w:szCs w:val="21"/>
          <w:highlight w:val="none"/>
        </w:rPr>
        <w:t>2、施工进度表可采用网络图（或横道图）表示。</w:t>
      </w:r>
    </w:p>
    <w:p w14:paraId="4027BC13">
      <w:pPr>
        <w:rPr>
          <w:rFonts w:hint="eastAsia" w:ascii="仿宋" w:hAnsi="仿宋" w:eastAsia="仿宋" w:cs="仿宋"/>
          <w:color w:val="auto"/>
          <w:highlight w:val="none"/>
        </w:rPr>
      </w:pPr>
      <w:bookmarkStart w:id="1076" w:name="_Toc251353176"/>
      <w:bookmarkStart w:id="1077" w:name="_Toc251676176"/>
      <w:bookmarkStart w:id="1078" w:name="_Toc251352177"/>
      <w:bookmarkStart w:id="1079" w:name="_Toc251576818"/>
      <w:bookmarkStart w:id="1080" w:name="_Toc360525441"/>
      <w:bookmarkStart w:id="1081" w:name="_Toc249343462"/>
      <w:bookmarkStart w:id="1082" w:name="_Toc249791335"/>
      <w:bookmarkStart w:id="1083" w:name="_Toc249791204"/>
      <w:bookmarkStart w:id="1084" w:name="_Toc249764687"/>
      <w:bookmarkStart w:id="1085" w:name="_Toc249775863"/>
      <w:bookmarkStart w:id="1086" w:name="_Toc249791070"/>
      <w:bookmarkStart w:id="1087" w:name="_Toc251352794"/>
      <w:bookmarkStart w:id="1088" w:name="_Toc251352663"/>
      <w:bookmarkStart w:id="1089" w:name="_Toc249790843"/>
      <w:bookmarkStart w:id="1090" w:name="_Toc251353046"/>
      <w:bookmarkStart w:id="1091" w:name="_Toc250045053"/>
      <w:bookmarkStart w:id="1092" w:name="_Toc249764883"/>
    </w:p>
    <w:p w14:paraId="32483622">
      <w:pPr>
        <w:rPr>
          <w:rFonts w:hint="eastAsia" w:ascii="仿宋" w:hAnsi="仿宋" w:eastAsia="仿宋" w:cs="仿宋"/>
          <w:color w:val="auto"/>
          <w:highlight w:val="none"/>
        </w:rPr>
      </w:pPr>
    </w:p>
    <w:p w14:paraId="4957E164">
      <w:pPr>
        <w:rPr>
          <w:rFonts w:hint="eastAsia" w:ascii="仿宋" w:hAnsi="仿宋" w:eastAsia="仿宋" w:cs="仿宋"/>
          <w:color w:val="auto"/>
          <w:szCs w:val="21"/>
          <w:highlight w:val="none"/>
        </w:rPr>
      </w:pPr>
    </w:p>
    <w:p w14:paraId="2DD93D7B">
      <w:pPr>
        <w:rPr>
          <w:rFonts w:hint="eastAsia" w:ascii="仿宋" w:hAnsi="仿宋" w:eastAsia="仿宋" w:cs="仿宋"/>
          <w:color w:val="auto"/>
          <w:szCs w:val="21"/>
          <w:highlight w:val="none"/>
        </w:rPr>
      </w:pPr>
    </w:p>
    <w:p w14:paraId="348824DD">
      <w:pPr>
        <w:rPr>
          <w:rFonts w:hint="eastAsia" w:ascii="仿宋" w:hAnsi="仿宋" w:eastAsia="仿宋" w:cs="仿宋"/>
          <w:color w:val="auto"/>
          <w:szCs w:val="21"/>
          <w:highlight w:val="none"/>
        </w:rPr>
      </w:pPr>
    </w:p>
    <w:p w14:paraId="3200F9AE">
      <w:pPr>
        <w:rPr>
          <w:rFonts w:hint="eastAsia" w:ascii="仿宋" w:hAnsi="仿宋" w:eastAsia="仿宋" w:cs="仿宋"/>
          <w:color w:val="auto"/>
          <w:szCs w:val="21"/>
          <w:highlight w:val="none"/>
        </w:rPr>
      </w:pPr>
    </w:p>
    <w:p w14:paraId="27D863BA">
      <w:pPr>
        <w:rPr>
          <w:rFonts w:hint="eastAsia" w:ascii="仿宋" w:hAnsi="仿宋" w:eastAsia="仿宋" w:cs="仿宋"/>
          <w:color w:val="auto"/>
          <w:szCs w:val="21"/>
          <w:highlight w:val="none"/>
        </w:rPr>
      </w:pPr>
    </w:p>
    <w:p w14:paraId="234A457B">
      <w:pPr>
        <w:rPr>
          <w:rFonts w:hint="eastAsia" w:ascii="仿宋" w:hAnsi="仿宋" w:eastAsia="仿宋" w:cs="仿宋"/>
          <w:color w:val="auto"/>
          <w:szCs w:val="21"/>
          <w:highlight w:val="none"/>
        </w:rPr>
      </w:pPr>
    </w:p>
    <w:p w14:paraId="4D102F28">
      <w:pPr>
        <w:spacing w:line="360" w:lineRule="auto"/>
        <w:ind w:firstLine="422" w:firstLineChars="200"/>
        <w:contextualSpacing/>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r>
    </w:p>
    <w:p w14:paraId="7B0E34DC">
      <w:pPr>
        <w:pStyle w:val="6"/>
        <w:spacing w:before="0" w:after="0" w:line="360" w:lineRule="auto"/>
        <w:contextualSpacing/>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附表5：</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Start w:id="1093" w:name="_Toc249791205"/>
      <w:bookmarkStart w:id="1094" w:name="_Toc249791071"/>
      <w:bookmarkStart w:id="1095" w:name="_Toc249764884"/>
      <w:bookmarkStart w:id="1096" w:name="_Toc251352795"/>
      <w:bookmarkStart w:id="1097" w:name="_Toc249343463"/>
      <w:bookmarkStart w:id="1098" w:name="_Toc251353177"/>
      <w:bookmarkStart w:id="1099" w:name="_Toc249764688"/>
      <w:bookmarkStart w:id="1100" w:name="_Toc249791336"/>
      <w:bookmarkStart w:id="1101" w:name="_Toc251352664"/>
      <w:bookmarkStart w:id="1102" w:name="_Toc360525442"/>
      <w:bookmarkStart w:id="1103" w:name="_Toc251676177"/>
      <w:bookmarkStart w:id="1104" w:name="_Toc250045054"/>
      <w:bookmarkStart w:id="1105" w:name="_Toc249790844"/>
      <w:bookmarkStart w:id="1106" w:name="_Toc249775864"/>
      <w:bookmarkStart w:id="1107" w:name="_Toc251576819"/>
      <w:bookmarkStart w:id="1108" w:name="_Toc251352178"/>
      <w:bookmarkStart w:id="1109" w:name="_Toc251353047"/>
      <w:bookmarkStart w:id="1110" w:name="_Toc235704412"/>
      <w:bookmarkStart w:id="1111" w:name="_Toc235177166"/>
      <w:bookmarkStart w:id="1112" w:name="_Toc228800047"/>
      <w:bookmarkStart w:id="1113" w:name="_Toc228770175"/>
      <w:bookmarkStart w:id="1114" w:name="_Toc229747284"/>
      <w:bookmarkStart w:id="1115" w:name="_Toc228802112"/>
      <w:bookmarkStart w:id="1116" w:name="_Toc228800287"/>
      <w:bookmarkStart w:id="1117" w:name="_Toc228802847"/>
      <w:bookmarkStart w:id="1118" w:name="_Toc228803379"/>
      <w:bookmarkStart w:id="1119" w:name="_Toc228802420"/>
      <w:bookmarkStart w:id="1120" w:name="_Toc228800353"/>
      <w:r>
        <w:rPr>
          <w:rFonts w:hint="eastAsia" w:ascii="仿宋" w:hAnsi="仿宋" w:eastAsia="仿宋" w:cs="仿宋"/>
          <w:color w:val="auto"/>
          <w:sz w:val="21"/>
          <w:szCs w:val="21"/>
          <w:highlight w:val="none"/>
        </w:rPr>
        <w:t>项目管理机构</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14:paraId="518AA42D">
      <w:pPr>
        <w:rPr>
          <w:rFonts w:hint="eastAsia" w:ascii="仿宋" w:hAnsi="仿宋" w:eastAsia="仿宋" w:cs="仿宋"/>
          <w:color w:val="auto"/>
          <w:highlight w:val="none"/>
        </w:rPr>
      </w:pPr>
    </w:p>
    <w:bookmarkEnd w:id="1110"/>
    <w:bookmarkEnd w:id="1111"/>
    <w:bookmarkEnd w:id="1112"/>
    <w:bookmarkEnd w:id="1113"/>
    <w:bookmarkEnd w:id="1114"/>
    <w:bookmarkEnd w:id="1115"/>
    <w:bookmarkEnd w:id="1116"/>
    <w:bookmarkEnd w:id="1117"/>
    <w:bookmarkEnd w:id="1118"/>
    <w:bookmarkEnd w:id="1119"/>
    <w:bookmarkEnd w:id="1120"/>
    <w:p w14:paraId="2F89334E">
      <w:pPr>
        <w:spacing w:line="360" w:lineRule="auto"/>
        <w:contextualSpacing/>
        <w:jc w:val="center"/>
        <w:rPr>
          <w:rFonts w:hint="eastAsia" w:ascii="仿宋" w:hAnsi="仿宋" w:eastAsia="仿宋" w:cs="仿宋"/>
          <w:color w:val="auto"/>
          <w:sz w:val="24"/>
          <w:highlight w:val="none"/>
        </w:rPr>
      </w:pPr>
      <w:bookmarkStart w:id="1121" w:name="_Toc442173550"/>
      <w:bookmarkStart w:id="1122" w:name="_Toc249761918"/>
      <w:r>
        <w:rPr>
          <w:rFonts w:hint="eastAsia" w:ascii="仿宋" w:hAnsi="仿宋" w:eastAsia="仿宋" w:cs="仿宋"/>
          <w:color w:val="auto"/>
          <w:sz w:val="24"/>
          <w:highlight w:val="none"/>
        </w:rPr>
        <w:t>（一）项目管理机构组成表</w:t>
      </w:r>
      <w:bookmarkEnd w:id="1121"/>
      <w:bookmarkEnd w:id="1122"/>
    </w:p>
    <w:tbl>
      <w:tblPr>
        <w:tblStyle w:val="34"/>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286"/>
        <w:gridCol w:w="1328"/>
        <w:gridCol w:w="1069"/>
      </w:tblGrid>
      <w:tr w14:paraId="27F8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14" w:type="dxa"/>
            <w:vMerge w:val="restart"/>
            <w:noWrap w:val="0"/>
            <w:vAlign w:val="center"/>
          </w:tcPr>
          <w:p w14:paraId="17C0B36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726" w:type="dxa"/>
            <w:vMerge w:val="restart"/>
            <w:noWrap w:val="0"/>
            <w:vAlign w:val="center"/>
          </w:tcPr>
          <w:p w14:paraId="1D59F93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889" w:type="dxa"/>
            <w:vMerge w:val="restart"/>
            <w:noWrap w:val="0"/>
            <w:vAlign w:val="center"/>
          </w:tcPr>
          <w:p w14:paraId="2279958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6045" w:type="dxa"/>
            <w:gridSpan w:val="5"/>
            <w:noWrap w:val="0"/>
            <w:vAlign w:val="center"/>
          </w:tcPr>
          <w:p w14:paraId="3B4AB770">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职业或职业资格证明</w:t>
            </w:r>
          </w:p>
        </w:tc>
        <w:tc>
          <w:tcPr>
            <w:tcW w:w="1069" w:type="dxa"/>
            <w:vMerge w:val="restart"/>
            <w:noWrap w:val="0"/>
            <w:vAlign w:val="center"/>
          </w:tcPr>
          <w:p w14:paraId="1E0A174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3020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14" w:type="dxa"/>
            <w:vMerge w:val="continue"/>
            <w:noWrap w:val="0"/>
            <w:vAlign w:val="center"/>
          </w:tcPr>
          <w:p w14:paraId="2A065C4B">
            <w:pPr>
              <w:jc w:val="center"/>
              <w:rPr>
                <w:rFonts w:hint="eastAsia" w:ascii="仿宋" w:hAnsi="仿宋" w:eastAsia="仿宋" w:cs="仿宋"/>
                <w:color w:val="auto"/>
                <w:szCs w:val="21"/>
                <w:highlight w:val="none"/>
              </w:rPr>
            </w:pPr>
          </w:p>
        </w:tc>
        <w:tc>
          <w:tcPr>
            <w:tcW w:w="726" w:type="dxa"/>
            <w:vMerge w:val="continue"/>
            <w:noWrap w:val="0"/>
            <w:vAlign w:val="center"/>
          </w:tcPr>
          <w:p w14:paraId="6B06C0AD">
            <w:pPr>
              <w:jc w:val="center"/>
              <w:rPr>
                <w:rFonts w:hint="eastAsia" w:ascii="仿宋" w:hAnsi="仿宋" w:eastAsia="仿宋" w:cs="仿宋"/>
                <w:color w:val="auto"/>
                <w:szCs w:val="21"/>
                <w:highlight w:val="none"/>
              </w:rPr>
            </w:pPr>
          </w:p>
        </w:tc>
        <w:tc>
          <w:tcPr>
            <w:tcW w:w="889" w:type="dxa"/>
            <w:vMerge w:val="continue"/>
            <w:noWrap w:val="0"/>
            <w:vAlign w:val="center"/>
          </w:tcPr>
          <w:p w14:paraId="510B6650">
            <w:pPr>
              <w:jc w:val="center"/>
              <w:rPr>
                <w:rFonts w:hint="eastAsia" w:ascii="仿宋" w:hAnsi="仿宋" w:eastAsia="仿宋" w:cs="仿宋"/>
                <w:color w:val="auto"/>
                <w:szCs w:val="21"/>
                <w:highlight w:val="none"/>
              </w:rPr>
            </w:pPr>
          </w:p>
        </w:tc>
        <w:tc>
          <w:tcPr>
            <w:tcW w:w="1451" w:type="dxa"/>
            <w:noWrap w:val="0"/>
            <w:vAlign w:val="center"/>
          </w:tcPr>
          <w:p w14:paraId="79F5B52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证书名称</w:t>
            </w:r>
          </w:p>
        </w:tc>
        <w:tc>
          <w:tcPr>
            <w:tcW w:w="900" w:type="dxa"/>
            <w:noWrap w:val="0"/>
            <w:vAlign w:val="center"/>
          </w:tcPr>
          <w:p w14:paraId="6192F55C">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级别</w:t>
            </w:r>
          </w:p>
        </w:tc>
        <w:tc>
          <w:tcPr>
            <w:tcW w:w="1080" w:type="dxa"/>
            <w:noWrap w:val="0"/>
            <w:vAlign w:val="center"/>
          </w:tcPr>
          <w:p w14:paraId="1E21073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证号</w:t>
            </w:r>
          </w:p>
        </w:tc>
        <w:tc>
          <w:tcPr>
            <w:tcW w:w="1286" w:type="dxa"/>
            <w:noWrap w:val="0"/>
            <w:vAlign w:val="center"/>
          </w:tcPr>
          <w:p w14:paraId="4CA13B9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专业</w:t>
            </w:r>
          </w:p>
        </w:tc>
        <w:tc>
          <w:tcPr>
            <w:tcW w:w="1328" w:type="dxa"/>
            <w:noWrap w:val="0"/>
            <w:vAlign w:val="center"/>
          </w:tcPr>
          <w:p w14:paraId="4AECD32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w:t>
            </w:r>
          </w:p>
        </w:tc>
        <w:tc>
          <w:tcPr>
            <w:tcW w:w="1069" w:type="dxa"/>
            <w:vMerge w:val="continue"/>
            <w:noWrap w:val="0"/>
            <w:vAlign w:val="center"/>
          </w:tcPr>
          <w:p w14:paraId="7DA06FB4">
            <w:pPr>
              <w:jc w:val="center"/>
              <w:rPr>
                <w:rFonts w:hint="eastAsia" w:ascii="仿宋" w:hAnsi="仿宋" w:eastAsia="仿宋" w:cs="仿宋"/>
                <w:color w:val="auto"/>
                <w:szCs w:val="21"/>
                <w:highlight w:val="none"/>
              </w:rPr>
            </w:pPr>
          </w:p>
        </w:tc>
      </w:tr>
      <w:tr w14:paraId="0D33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7DE5EC5F">
            <w:pPr>
              <w:jc w:val="center"/>
              <w:rPr>
                <w:rFonts w:hint="eastAsia" w:ascii="仿宋" w:hAnsi="仿宋" w:eastAsia="仿宋" w:cs="仿宋"/>
                <w:color w:val="auto"/>
                <w:szCs w:val="21"/>
                <w:highlight w:val="none"/>
              </w:rPr>
            </w:pPr>
          </w:p>
        </w:tc>
        <w:tc>
          <w:tcPr>
            <w:tcW w:w="726" w:type="dxa"/>
            <w:noWrap w:val="0"/>
            <w:vAlign w:val="top"/>
          </w:tcPr>
          <w:p w14:paraId="3E9A0C7E">
            <w:pPr>
              <w:jc w:val="center"/>
              <w:rPr>
                <w:rFonts w:hint="eastAsia" w:ascii="仿宋" w:hAnsi="仿宋" w:eastAsia="仿宋" w:cs="仿宋"/>
                <w:color w:val="auto"/>
                <w:szCs w:val="21"/>
                <w:highlight w:val="none"/>
              </w:rPr>
            </w:pPr>
          </w:p>
        </w:tc>
        <w:tc>
          <w:tcPr>
            <w:tcW w:w="889" w:type="dxa"/>
            <w:noWrap w:val="0"/>
            <w:vAlign w:val="top"/>
          </w:tcPr>
          <w:p w14:paraId="62885B09">
            <w:pPr>
              <w:jc w:val="center"/>
              <w:rPr>
                <w:rFonts w:hint="eastAsia" w:ascii="仿宋" w:hAnsi="仿宋" w:eastAsia="仿宋" w:cs="仿宋"/>
                <w:color w:val="auto"/>
                <w:szCs w:val="21"/>
                <w:highlight w:val="none"/>
              </w:rPr>
            </w:pPr>
          </w:p>
        </w:tc>
        <w:tc>
          <w:tcPr>
            <w:tcW w:w="1451" w:type="dxa"/>
            <w:noWrap w:val="0"/>
            <w:vAlign w:val="top"/>
          </w:tcPr>
          <w:p w14:paraId="4B0A66E7">
            <w:pPr>
              <w:jc w:val="center"/>
              <w:rPr>
                <w:rFonts w:hint="eastAsia" w:ascii="仿宋" w:hAnsi="仿宋" w:eastAsia="仿宋" w:cs="仿宋"/>
                <w:color w:val="auto"/>
                <w:szCs w:val="21"/>
                <w:highlight w:val="none"/>
              </w:rPr>
            </w:pPr>
          </w:p>
        </w:tc>
        <w:tc>
          <w:tcPr>
            <w:tcW w:w="900" w:type="dxa"/>
            <w:noWrap w:val="0"/>
            <w:vAlign w:val="top"/>
          </w:tcPr>
          <w:p w14:paraId="58F244D2">
            <w:pPr>
              <w:jc w:val="center"/>
              <w:rPr>
                <w:rFonts w:hint="eastAsia" w:ascii="仿宋" w:hAnsi="仿宋" w:eastAsia="仿宋" w:cs="仿宋"/>
                <w:color w:val="auto"/>
                <w:szCs w:val="21"/>
                <w:highlight w:val="none"/>
              </w:rPr>
            </w:pPr>
          </w:p>
        </w:tc>
        <w:tc>
          <w:tcPr>
            <w:tcW w:w="1080" w:type="dxa"/>
            <w:noWrap w:val="0"/>
            <w:vAlign w:val="top"/>
          </w:tcPr>
          <w:p w14:paraId="645E96E1">
            <w:pPr>
              <w:jc w:val="center"/>
              <w:rPr>
                <w:rFonts w:hint="eastAsia" w:ascii="仿宋" w:hAnsi="仿宋" w:eastAsia="仿宋" w:cs="仿宋"/>
                <w:color w:val="auto"/>
                <w:szCs w:val="21"/>
                <w:highlight w:val="none"/>
              </w:rPr>
            </w:pPr>
          </w:p>
        </w:tc>
        <w:tc>
          <w:tcPr>
            <w:tcW w:w="1286" w:type="dxa"/>
            <w:noWrap w:val="0"/>
            <w:vAlign w:val="top"/>
          </w:tcPr>
          <w:p w14:paraId="273B8DA3">
            <w:pPr>
              <w:jc w:val="center"/>
              <w:rPr>
                <w:rFonts w:hint="eastAsia" w:ascii="仿宋" w:hAnsi="仿宋" w:eastAsia="仿宋" w:cs="仿宋"/>
                <w:color w:val="auto"/>
                <w:szCs w:val="21"/>
                <w:highlight w:val="none"/>
              </w:rPr>
            </w:pPr>
          </w:p>
        </w:tc>
        <w:tc>
          <w:tcPr>
            <w:tcW w:w="1328" w:type="dxa"/>
            <w:noWrap w:val="0"/>
            <w:vAlign w:val="top"/>
          </w:tcPr>
          <w:p w14:paraId="748D78CA">
            <w:pPr>
              <w:jc w:val="center"/>
              <w:rPr>
                <w:rFonts w:hint="eastAsia" w:ascii="仿宋" w:hAnsi="仿宋" w:eastAsia="仿宋" w:cs="仿宋"/>
                <w:color w:val="auto"/>
                <w:szCs w:val="21"/>
                <w:highlight w:val="none"/>
              </w:rPr>
            </w:pPr>
          </w:p>
        </w:tc>
        <w:tc>
          <w:tcPr>
            <w:tcW w:w="1069" w:type="dxa"/>
            <w:noWrap w:val="0"/>
            <w:vAlign w:val="top"/>
          </w:tcPr>
          <w:p w14:paraId="6867290A">
            <w:pPr>
              <w:jc w:val="center"/>
              <w:rPr>
                <w:rFonts w:hint="eastAsia" w:ascii="仿宋" w:hAnsi="仿宋" w:eastAsia="仿宋" w:cs="仿宋"/>
                <w:color w:val="auto"/>
                <w:szCs w:val="21"/>
                <w:highlight w:val="none"/>
              </w:rPr>
            </w:pPr>
          </w:p>
        </w:tc>
      </w:tr>
      <w:tr w14:paraId="436C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1BB85A31">
            <w:pPr>
              <w:rPr>
                <w:rFonts w:hint="eastAsia" w:ascii="仿宋" w:hAnsi="仿宋" w:eastAsia="仿宋" w:cs="仿宋"/>
                <w:color w:val="auto"/>
                <w:sz w:val="24"/>
                <w:highlight w:val="none"/>
              </w:rPr>
            </w:pPr>
          </w:p>
        </w:tc>
        <w:tc>
          <w:tcPr>
            <w:tcW w:w="726" w:type="dxa"/>
            <w:noWrap w:val="0"/>
            <w:vAlign w:val="top"/>
          </w:tcPr>
          <w:p w14:paraId="03965487">
            <w:pPr>
              <w:rPr>
                <w:rFonts w:hint="eastAsia" w:ascii="仿宋" w:hAnsi="仿宋" w:eastAsia="仿宋" w:cs="仿宋"/>
                <w:color w:val="auto"/>
                <w:sz w:val="24"/>
                <w:highlight w:val="none"/>
              </w:rPr>
            </w:pPr>
          </w:p>
        </w:tc>
        <w:tc>
          <w:tcPr>
            <w:tcW w:w="889" w:type="dxa"/>
            <w:noWrap w:val="0"/>
            <w:vAlign w:val="top"/>
          </w:tcPr>
          <w:p w14:paraId="2F982A1C">
            <w:pPr>
              <w:rPr>
                <w:rFonts w:hint="eastAsia" w:ascii="仿宋" w:hAnsi="仿宋" w:eastAsia="仿宋" w:cs="仿宋"/>
                <w:color w:val="auto"/>
                <w:sz w:val="24"/>
                <w:highlight w:val="none"/>
              </w:rPr>
            </w:pPr>
          </w:p>
        </w:tc>
        <w:tc>
          <w:tcPr>
            <w:tcW w:w="1451" w:type="dxa"/>
            <w:noWrap w:val="0"/>
            <w:vAlign w:val="top"/>
          </w:tcPr>
          <w:p w14:paraId="2FBC59B3">
            <w:pPr>
              <w:rPr>
                <w:rFonts w:hint="eastAsia" w:ascii="仿宋" w:hAnsi="仿宋" w:eastAsia="仿宋" w:cs="仿宋"/>
                <w:color w:val="auto"/>
                <w:sz w:val="24"/>
                <w:highlight w:val="none"/>
              </w:rPr>
            </w:pPr>
          </w:p>
        </w:tc>
        <w:tc>
          <w:tcPr>
            <w:tcW w:w="900" w:type="dxa"/>
            <w:noWrap w:val="0"/>
            <w:vAlign w:val="top"/>
          </w:tcPr>
          <w:p w14:paraId="3F352EE6">
            <w:pPr>
              <w:rPr>
                <w:rFonts w:hint="eastAsia" w:ascii="仿宋" w:hAnsi="仿宋" w:eastAsia="仿宋" w:cs="仿宋"/>
                <w:color w:val="auto"/>
                <w:sz w:val="24"/>
                <w:highlight w:val="none"/>
              </w:rPr>
            </w:pPr>
          </w:p>
        </w:tc>
        <w:tc>
          <w:tcPr>
            <w:tcW w:w="1080" w:type="dxa"/>
            <w:noWrap w:val="0"/>
            <w:vAlign w:val="top"/>
          </w:tcPr>
          <w:p w14:paraId="41232D1A">
            <w:pPr>
              <w:rPr>
                <w:rFonts w:hint="eastAsia" w:ascii="仿宋" w:hAnsi="仿宋" w:eastAsia="仿宋" w:cs="仿宋"/>
                <w:color w:val="auto"/>
                <w:sz w:val="24"/>
                <w:highlight w:val="none"/>
              </w:rPr>
            </w:pPr>
          </w:p>
        </w:tc>
        <w:tc>
          <w:tcPr>
            <w:tcW w:w="1286" w:type="dxa"/>
            <w:noWrap w:val="0"/>
            <w:vAlign w:val="top"/>
          </w:tcPr>
          <w:p w14:paraId="24760F8C">
            <w:pPr>
              <w:rPr>
                <w:rFonts w:hint="eastAsia" w:ascii="仿宋" w:hAnsi="仿宋" w:eastAsia="仿宋" w:cs="仿宋"/>
                <w:color w:val="auto"/>
                <w:sz w:val="24"/>
                <w:highlight w:val="none"/>
              </w:rPr>
            </w:pPr>
          </w:p>
        </w:tc>
        <w:tc>
          <w:tcPr>
            <w:tcW w:w="1328" w:type="dxa"/>
            <w:noWrap w:val="0"/>
            <w:vAlign w:val="top"/>
          </w:tcPr>
          <w:p w14:paraId="05D53EEC">
            <w:pPr>
              <w:rPr>
                <w:rFonts w:hint="eastAsia" w:ascii="仿宋" w:hAnsi="仿宋" w:eastAsia="仿宋" w:cs="仿宋"/>
                <w:color w:val="auto"/>
                <w:sz w:val="24"/>
                <w:highlight w:val="none"/>
              </w:rPr>
            </w:pPr>
          </w:p>
        </w:tc>
        <w:tc>
          <w:tcPr>
            <w:tcW w:w="1069" w:type="dxa"/>
            <w:noWrap w:val="0"/>
            <w:vAlign w:val="top"/>
          </w:tcPr>
          <w:p w14:paraId="55624DC7">
            <w:pPr>
              <w:rPr>
                <w:rFonts w:hint="eastAsia" w:ascii="仿宋" w:hAnsi="仿宋" w:eastAsia="仿宋" w:cs="仿宋"/>
                <w:color w:val="auto"/>
                <w:sz w:val="24"/>
                <w:highlight w:val="none"/>
              </w:rPr>
            </w:pPr>
          </w:p>
        </w:tc>
      </w:tr>
      <w:tr w14:paraId="18D5B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03FF7B76">
            <w:pPr>
              <w:rPr>
                <w:rFonts w:hint="eastAsia" w:ascii="仿宋" w:hAnsi="仿宋" w:eastAsia="仿宋" w:cs="仿宋"/>
                <w:color w:val="auto"/>
                <w:sz w:val="24"/>
                <w:highlight w:val="none"/>
              </w:rPr>
            </w:pPr>
          </w:p>
        </w:tc>
        <w:tc>
          <w:tcPr>
            <w:tcW w:w="726" w:type="dxa"/>
            <w:noWrap w:val="0"/>
            <w:vAlign w:val="top"/>
          </w:tcPr>
          <w:p w14:paraId="5F320FDE">
            <w:pPr>
              <w:rPr>
                <w:rFonts w:hint="eastAsia" w:ascii="仿宋" w:hAnsi="仿宋" w:eastAsia="仿宋" w:cs="仿宋"/>
                <w:color w:val="auto"/>
                <w:sz w:val="24"/>
                <w:highlight w:val="none"/>
              </w:rPr>
            </w:pPr>
          </w:p>
        </w:tc>
        <w:tc>
          <w:tcPr>
            <w:tcW w:w="889" w:type="dxa"/>
            <w:noWrap w:val="0"/>
            <w:vAlign w:val="top"/>
          </w:tcPr>
          <w:p w14:paraId="13E7226B">
            <w:pPr>
              <w:rPr>
                <w:rFonts w:hint="eastAsia" w:ascii="仿宋" w:hAnsi="仿宋" w:eastAsia="仿宋" w:cs="仿宋"/>
                <w:color w:val="auto"/>
                <w:sz w:val="24"/>
                <w:highlight w:val="none"/>
              </w:rPr>
            </w:pPr>
          </w:p>
        </w:tc>
        <w:tc>
          <w:tcPr>
            <w:tcW w:w="1451" w:type="dxa"/>
            <w:noWrap w:val="0"/>
            <w:vAlign w:val="top"/>
          </w:tcPr>
          <w:p w14:paraId="2036D18F">
            <w:pPr>
              <w:rPr>
                <w:rFonts w:hint="eastAsia" w:ascii="仿宋" w:hAnsi="仿宋" w:eastAsia="仿宋" w:cs="仿宋"/>
                <w:color w:val="auto"/>
                <w:sz w:val="24"/>
                <w:highlight w:val="none"/>
              </w:rPr>
            </w:pPr>
          </w:p>
        </w:tc>
        <w:tc>
          <w:tcPr>
            <w:tcW w:w="900" w:type="dxa"/>
            <w:noWrap w:val="0"/>
            <w:vAlign w:val="top"/>
          </w:tcPr>
          <w:p w14:paraId="51DD5BA1">
            <w:pPr>
              <w:rPr>
                <w:rFonts w:hint="eastAsia" w:ascii="仿宋" w:hAnsi="仿宋" w:eastAsia="仿宋" w:cs="仿宋"/>
                <w:color w:val="auto"/>
                <w:sz w:val="24"/>
                <w:highlight w:val="none"/>
              </w:rPr>
            </w:pPr>
          </w:p>
        </w:tc>
        <w:tc>
          <w:tcPr>
            <w:tcW w:w="1080" w:type="dxa"/>
            <w:noWrap w:val="0"/>
            <w:vAlign w:val="top"/>
          </w:tcPr>
          <w:p w14:paraId="29911070">
            <w:pPr>
              <w:rPr>
                <w:rFonts w:hint="eastAsia" w:ascii="仿宋" w:hAnsi="仿宋" w:eastAsia="仿宋" w:cs="仿宋"/>
                <w:color w:val="auto"/>
                <w:sz w:val="24"/>
                <w:highlight w:val="none"/>
              </w:rPr>
            </w:pPr>
          </w:p>
        </w:tc>
        <w:tc>
          <w:tcPr>
            <w:tcW w:w="1286" w:type="dxa"/>
            <w:noWrap w:val="0"/>
            <w:vAlign w:val="top"/>
          </w:tcPr>
          <w:p w14:paraId="781FD182">
            <w:pPr>
              <w:rPr>
                <w:rFonts w:hint="eastAsia" w:ascii="仿宋" w:hAnsi="仿宋" w:eastAsia="仿宋" w:cs="仿宋"/>
                <w:color w:val="auto"/>
                <w:sz w:val="24"/>
                <w:highlight w:val="none"/>
              </w:rPr>
            </w:pPr>
          </w:p>
        </w:tc>
        <w:tc>
          <w:tcPr>
            <w:tcW w:w="1328" w:type="dxa"/>
            <w:noWrap w:val="0"/>
            <w:vAlign w:val="top"/>
          </w:tcPr>
          <w:p w14:paraId="3DEDFFDF">
            <w:pPr>
              <w:rPr>
                <w:rFonts w:hint="eastAsia" w:ascii="仿宋" w:hAnsi="仿宋" w:eastAsia="仿宋" w:cs="仿宋"/>
                <w:color w:val="auto"/>
                <w:sz w:val="24"/>
                <w:highlight w:val="none"/>
              </w:rPr>
            </w:pPr>
          </w:p>
        </w:tc>
        <w:tc>
          <w:tcPr>
            <w:tcW w:w="1069" w:type="dxa"/>
            <w:noWrap w:val="0"/>
            <w:vAlign w:val="top"/>
          </w:tcPr>
          <w:p w14:paraId="24F068BB">
            <w:pPr>
              <w:rPr>
                <w:rFonts w:hint="eastAsia" w:ascii="仿宋" w:hAnsi="仿宋" w:eastAsia="仿宋" w:cs="仿宋"/>
                <w:color w:val="auto"/>
                <w:sz w:val="24"/>
                <w:highlight w:val="none"/>
              </w:rPr>
            </w:pPr>
          </w:p>
        </w:tc>
      </w:tr>
      <w:tr w14:paraId="7C3A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7766A8D9">
            <w:pPr>
              <w:rPr>
                <w:rFonts w:hint="eastAsia" w:ascii="仿宋" w:hAnsi="仿宋" w:eastAsia="仿宋" w:cs="仿宋"/>
                <w:color w:val="auto"/>
                <w:sz w:val="24"/>
                <w:highlight w:val="none"/>
              </w:rPr>
            </w:pPr>
          </w:p>
        </w:tc>
        <w:tc>
          <w:tcPr>
            <w:tcW w:w="726" w:type="dxa"/>
            <w:noWrap w:val="0"/>
            <w:vAlign w:val="top"/>
          </w:tcPr>
          <w:p w14:paraId="16BE3BBA">
            <w:pPr>
              <w:rPr>
                <w:rFonts w:hint="eastAsia" w:ascii="仿宋" w:hAnsi="仿宋" w:eastAsia="仿宋" w:cs="仿宋"/>
                <w:color w:val="auto"/>
                <w:sz w:val="24"/>
                <w:highlight w:val="none"/>
              </w:rPr>
            </w:pPr>
          </w:p>
        </w:tc>
        <w:tc>
          <w:tcPr>
            <w:tcW w:w="889" w:type="dxa"/>
            <w:noWrap w:val="0"/>
            <w:vAlign w:val="top"/>
          </w:tcPr>
          <w:p w14:paraId="14581411">
            <w:pPr>
              <w:rPr>
                <w:rFonts w:hint="eastAsia" w:ascii="仿宋" w:hAnsi="仿宋" w:eastAsia="仿宋" w:cs="仿宋"/>
                <w:color w:val="auto"/>
                <w:sz w:val="24"/>
                <w:highlight w:val="none"/>
              </w:rPr>
            </w:pPr>
          </w:p>
        </w:tc>
        <w:tc>
          <w:tcPr>
            <w:tcW w:w="1451" w:type="dxa"/>
            <w:noWrap w:val="0"/>
            <w:vAlign w:val="top"/>
          </w:tcPr>
          <w:p w14:paraId="0AA5ED59">
            <w:pPr>
              <w:rPr>
                <w:rFonts w:hint="eastAsia" w:ascii="仿宋" w:hAnsi="仿宋" w:eastAsia="仿宋" w:cs="仿宋"/>
                <w:color w:val="auto"/>
                <w:sz w:val="24"/>
                <w:highlight w:val="none"/>
              </w:rPr>
            </w:pPr>
          </w:p>
        </w:tc>
        <w:tc>
          <w:tcPr>
            <w:tcW w:w="900" w:type="dxa"/>
            <w:noWrap w:val="0"/>
            <w:vAlign w:val="top"/>
          </w:tcPr>
          <w:p w14:paraId="3CDDD235">
            <w:pPr>
              <w:rPr>
                <w:rFonts w:hint="eastAsia" w:ascii="仿宋" w:hAnsi="仿宋" w:eastAsia="仿宋" w:cs="仿宋"/>
                <w:color w:val="auto"/>
                <w:sz w:val="24"/>
                <w:highlight w:val="none"/>
              </w:rPr>
            </w:pPr>
          </w:p>
        </w:tc>
        <w:tc>
          <w:tcPr>
            <w:tcW w:w="1080" w:type="dxa"/>
            <w:noWrap w:val="0"/>
            <w:vAlign w:val="top"/>
          </w:tcPr>
          <w:p w14:paraId="2FF8B259">
            <w:pPr>
              <w:rPr>
                <w:rFonts w:hint="eastAsia" w:ascii="仿宋" w:hAnsi="仿宋" w:eastAsia="仿宋" w:cs="仿宋"/>
                <w:color w:val="auto"/>
                <w:sz w:val="24"/>
                <w:highlight w:val="none"/>
              </w:rPr>
            </w:pPr>
          </w:p>
        </w:tc>
        <w:tc>
          <w:tcPr>
            <w:tcW w:w="1286" w:type="dxa"/>
            <w:noWrap w:val="0"/>
            <w:vAlign w:val="top"/>
          </w:tcPr>
          <w:p w14:paraId="298E38E8">
            <w:pPr>
              <w:rPr>
                <w:rFonts w:hint="eastAsia" w:ascii="仿宋" w:hAnsi="仿宋" w:eastAsia="仿宋" w:cs="仿宋"/>
                <w:color w:val="auto"/>
                <w:sz w:val="24"/>
                <w:highlight w:val="none"/>
              </w:rPr>
            </w:pPr>
          </w:p>
        </w:tc>
        <w:tc>
          <w:tcPr>
            <w:tcW w:w="1328" w:type="dxa"/>
            <w:noWrap w:val="0"/>
            <w:vAlign w:val="top"/>
          </w:tcPr>
          <w:p w14:paraId="0A5F40F7">
            <w:pPr>
              <w:rPr>
                <w:rFonts w:hint="eastAsia" w:ascii="仿宋" w:hAnsi="仿宋" w:eastAsia="仿宋" w:cs="仿宋"/>
                <w:color w:val="auto"/>
                <w:sz w:val="24"/>
                <w:highlight w:val="none"/>
              </w:rPr>
            </w:pPr>
          </w:p>
        </w:tc>
        <w:tc>
          <w:tcPr>
            <w:tcW w:w="1069" w:type="dxa"/>
            <w:noWrap w:val="0"/>
            <w:vAlign w:val="top"/>
          </w:tcPr>
          <w:p w14:paraId="51AB8087">
            <w:pPr>
              <w:rPr>
                <w:rFonts w:hint="eastAsia" w:ascii="仿宋" w:hAnsi="仿宋" w:eastAsia="仿宋" w:cs="仿宋"/>
                <w:color w:val="auto"/>
                <w:sz w:val="24"/>
                <w:highlight w:val="none"/>
              </w:rPr>
            </w:pPr>
          </w:p>
        </w:tc>
      </w:tr>
      <w:tr w14:paraId="0565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4173F21E">
            <w:pPr>
              <w:rPr>
                <w:rFonts w:hint="eastAsia" w:ascii="仿宋" w:hAnsi="仿宋" w:eastAsia="仿宋" w:cs="仿宋"/>
                <w:color w:val="auto"/>
                <w:sz w:val="24"/>
                <w:highlight w:val="none"/>
              </w:rPr>
            </w:pPr>
          </w:p>
        </w:tc>
        <w:tc>
          <w:tcPr>
            <w:tcW w:w="726" w:type="dxa"/>
            <w:noWrap w:val="0"/>
            <w:vAlign w:val="top"/>
          </w:tcPr>
          <w:p w14:paraId="12FB4601">
            <w:pPr>
              <w:rPr>
                <w:rFonts w:hint="eastAsia" w:ascii="仿宋" w:hAnsi="仿宋" w:eastAsia="仿宋" w:cs="仿宋"/>
                <w:color w:val="auto"/>
                <w:sz w:val="24"/>
                <w:highlight w:val="none"/>
              </w:rPr>
            </w:pPr>
          </w:p>
        </w:tc>
        <w:tc>
          <w:tcPr>
            <w:tcW w:w="889" w:type="dxa"/>
            <w:noWrap w:val="0"/>
            <w:vAlign w:val="top"/>
          </w:tcPr>
          <w:p w14:paraId="0E021448">
            <w:pPr>
              <w:rPr>
                <w:rFonts w:hint="eastAsia" w:ascii="仿宋" w:hAnsi="仿宋" w:eastAsia="仿宋" w:cs="仿宋"/>
                <w:color w:val="auto"/>
                <w:sz w:val="24"/>
                <w:highlight w:val="none"/>
              </w:rPr>
            </w:pPr>
          </w:p>
        </w:tc>
        <w:tc>
          <w:tcPr>
            <w:tcW w:w="1451" w:type="dxa"/>
            <w:noWrap w:val="0"/>
            <w:vAlign w:val="top"/>
          </w:tcPr>
          <w:p w14:paraId="5669FD81">
            <w:pPr>
              <w:rPr>
                <w:rFonts w:hint="eastAsia" w:ascii="仿宋" w:hAnsi="仿宋" w:eastAsia="仿宋" w:cs="仿宋"/>
                <w:color w:val="auto"/>
                <w:sz w:val="24"/>
                <w:highlight w:val="none"/>
              </w:rPr>
            </w:pPr>
          </w:p>
        </w:tc>
        <w:tc>
          <w:tcPr>
            <w:tcW w:w="900" w:type="dxa"/>
            <w:noWrap w:val="0"/>
            <w:vAlign w:val="top"/>
          </w:tcPr>
          <w:p w14:paraId="5E2DDCF0">
            <w:pPr>
              <w:rPr>
                <w:rFonts w:hint="eastAsia" w:ascii="仿宋" w:hAnsi="仿宋" w:eastAsia="仿宋" w:cs="仿宋"/>
                <w:color w:val="auto"/>
                <w:sz w:val="24"/>
                <w:highlight w:val="none"/>
              </w:rPr>
            </w:pPr>
          </w:p>
        </w:tc>
        <w:tc>
          <w:tcPr>
            <w:tcW w:w="1080" w:type="dxa"/>
            <w:noWrap w:val="0"/>
            <w:vAlign w:val="top"/>
          </w:tcPr>
          <w:p w14:paraId="401FA937">
            <w:pPr>
              <w:rPr>
                <w:rFonts w:hint="eastAsia" w:ascii="仿宋" w:hAnsi="仿宋" w:eastAsia="仿宋" w:cs="仿宋"/>
                <w:color w:val="auto"/>
                <w:sz w:val="24"/>
                <w:highlight w:val="none"/>
              </w:rPr>
            </w:pPr>
          </w:p>
        </w:tc>
        <w:tc>
          <w:tcPr>
            <w:tcW w:w="1286" w:type="dxa"/>
            <w:noWrap w:val="0"/>
            <w:vAlign w:val="top"/>
          </w:tcPr>
          <w:p w14:paraId="5A2A0FCF">
            <w:pPr>
              <w:rPr>
                <w:rFonts w:hint="eastAsia" w:ascii="仿宋" w:hAnsi="仿宋" w:eastAsia="仿宋" w:cs="仿宋"/>
                <w:color w:val="auto"/>
                <w:sz w:val="24"/>
                <w:highlight w:val="none"/>
              </w:rPr>
            </w:pPr>
          </w:p>
        </w:tc>
        <w:tc>
          <w:tcPr>
            <w:tcW w:w="1328" w:type="dxa"/>
            <w:noWrap w:val="0"/>
            <w:vAlign w:val="top"/>
          </w:tcPr>
          <w:p w14:paraId="64900330">
            <w:pPr>
              <w:rPr>
                <w:rFonts w:hint="eastAsia" w:ascii="仿宋" w:hAnsi="仿宋" w:eastAsia="仿宋" w:cs="仿宋"/>
                <w:color w:val="auto"/>
                <w:sz w:val="24"/>
                <w:highlight w:val="none"/>
              </w:rPr>
            </w:pPr>
          </w:p>
        </w:tc>
        <w:tc>
          <w:tcPr>
            <w:tcW w:w="1069" w:type="dxa"/>
            <w:noWrap w:val="0"/>
            <w:vAlign w:val="top"/>
          </w:tcPr>
          <w:p w14:paraId="5EAB55FC">
            <w:pPr>
              <w:rPr>
                <w:rFonts w:hint="eastAsia" w:ascii="仿宋" w:hAnsi="仿宋" w:eastAsia="仿宋" w:cs="仿宋"/>
                <w:color w:val="auto"/>
                <w:sz w:val="24"/>
                <w:highlight w:val="none"/>
              </w:rPr>
            </w:pPr>
          </w:p>
        </w:tc>
      </w:tr>
      <w:tr w14:paraId="1E16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2754224F">
            <w:pPr>
              <w:rPr>
                <w:rFonts w:hint="eastAsia" w:ascii="仿宋" w:hAnsi="仿宋" w:eastAsia="仿宋" w:cs="仿宋"/>
                <w:color w:val="auto"/>
                <w:sz w:val="24"/>
                <w:highlight w:val="none"/>
              </w:rPr>
            </w:pPr>
          </w:p>
        </w:tc>
        <w:tc>
          <w:tcPr>
            <w:tcW w:w="726" w:type="dxa"/>
            <w:noWrap w:val="0"/>
            <w:vAlign w:val="top"/>
          </w:tcPr>
          <w:p w14:paraId="237E40C7">
            <w:pPr>
              <w:rPr>
                <w:rFonts w:hint="eastAsia" w:ascii="仿宋" w:hAnsi="仿宋" w:eastAsia="仿宋" w:cs="仿宋"/>
                <w:color w:val="auto"/>
                <w:sz w:val="24"/>
                <w:highlight w:val="none"/>
              </w:rPr>
            </w:pPr>
          </w:p>
        </w:tc>
        <w:tc>
          <w:tcPr>
            <w:tcW w:w="889" w:type="dxa"/>
            <w:noWrap w:val="0"/>
            <w:vAlign w:val="top"/>
          </w:tcPr>
          <w:p w14:paraId="16BDB2CE">
            <w:pPr>
              <w:rPr>
                <w:rFonts w:hint="eastAsia" w:ascii="仿宋" w:hAnsi="仿宋" w:eastAsia="仿宋" w:cs="仿宋"/>
                <w:color w:val="auto"/>
                <w:sz w:val="24"/>
                <w:highlight w:val="none"/>
              </w:rPr>
            </w:pPr>
          </w:p>
        </w:tc>
        <w:tc>
          <w:tcPr>
            <w:tcW w:w="1451" w:type="dxa"/>
            <w:noWrap w:val="0"/>
            <w:vAlign w:val="top"/>
          </w:tcPr>
          <w:p w14:paraId="4E068D8E">
            <w:pPr>
              <w:rPr>
                <w:rFonts w:hint="eastAsia" w:ascii="仿宋" w:hAnsi="仿宋" w:eastAsia="仿宋" w:cs="仿宋"/>
                <w:color w:val="auto"/>
                <w:sz w:val="24"/>
                <w:highlight w:val="none"/>
              </w:rPr>
            </w:pPr>
          </w:p>
        </w:tc>
        <w:tc>
          <w:tcPr>
            <w:tcW w:w="900" w:type="dxa"/>
            <w:noWrap w:val="0"/>
            <w:vAlign w:val="top"/>
          </w:tcPr>
          <w:p w14:paraId="2BF10235">
            <w:pPr>
              <w:rPr>
                <w:rFonts w:hint="eastAsia" w:ascii="仿宋" w:hAnsi="仿宋" w:eastAsia="仿宋" w:cs="仿宋"/>
                <w:color w:val="auto"/>
                <w:sz w:val="24"/>
                <w:highlight w:val="none"/>
              </w:rPr>
            </w:pPr>
          </w:p>
        </w:tc>
        <w:tc>
          <w:tcPr>
            <w:tcW w:w="1080" w:type="dxa"/>
            <w:noWrap w:val="0"/>
            <w:vAlign w:val="top"/>
          </w:tcPr>
          <w:p w14:paraId="7E2E9713">
            <w:pPr>
              <w:rPr>
                <w:rFonts w:hint="eastAsia" w:ascii="仿宋" w:hAnsi="仿宋" w:eastAsia="仿宋" w:cs="仿宋"/>
                <w:color w:val="auto"/>
                <w:sz w:val="24"/>
                <w:highlight w:val="none"/>
              </w:rPr>
            </w:pPr>
          </w:p>
        </w:tc>
        <w:tc>
          <w:tcPr>
            <w:tcW w:w="1286" w:type="dxa"/>
            <w:noWrap w:val="0"/>
            <w:vAlign w:val="top"/>
          </w:tcPr>
          <w:p w14:paraId="208520C1">
            <w:pPr>
              <w:rPr>
                <w:rFonts w:hint="eastAsia" w:ascii="仿宋" w:hAnsi="仿宋" w:eastAsia="仿宋" w:cs="仿宋"/>
                <w:color w:val="auto"/>
                <w:sz w:val="24"/>
                <w:highlight w:val="none"/>
              </w:rPr>
            </w:pPr>
          </w:p>
        </w:tc>
        <w:tc>
          <w:tcPr>
            <w:tcW w:w="1328" w:type="dxa"/>
            <w:noWrap w:val="0"/>
            <w:vAlign w:val="top"/>
          </w:tcPr>
          <w:p w14:paraId="40BC033E">
            <w:pPr>
              <w:rPr>
                <w:rFonts w:hint="eastAsia" w:ascii="仿宋" w:hAnsi="仿宋" w:eastAsia="仿宋" w:cs="仿宋"/>
                <w:color w:val="auto"/>
                <w:sz w:val="24"/>
                <w:highlight w:val="none"/>
              </w:rPr>
            </w:pPr>
          </w:p>
        </w:tc>
        <w:tc>
          <w:tcPr>
            <w:tcW w:w="1069" w:type="dxa"/>
            <w:noWrap w:val="0"/>
            <w:vAlign w:val="top"/>
          </w:tcPr>
          <w:p w14:paraId="0AE4E50C">
            <w:pPr>
              <w:rPr>
                <w:rFonts w:hint="eastAsia" w:ascii="仿宋" w:hAnsi="仿宋" w:eastAsia="仿宋" w:cs="仿宋"/>
                <w:color w:val="auto"/>
                <w:sz w:val="24"/>
                <w:highlight w:val="none"/>
              </w:rPr>
            </w:pPr>
          </w:p>
        </w:tc>
      </w:tr>
      <w:tr w14:paraId="09B4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2BCE5B20">
            <w:pPr>
              <w:rPr>
                <w:rFonts w:hint="eastAsia" w:ascii="仿宋" w:hAnsi="仿宋" w:eastAsia="仿宋" w:cs="仿宋"/>
                <w:color w:val="auto"/>
                <w:sz w:val="24"/>
                <w:highlight w:val="none"/>
              </w:rPr>
            </w:pPr>
          </w:p>
        </w:tc>
        <w:tc>
          <w:tcPr>
            <w:tcW w:w="726" w:type="dxa"/>
            <w:noWrap w:val="0"/>
            <w:vAlign w:val="top"/>
          </w:tcPr>
          <w:p w14:paraId="4A647A18">
            <w:pPr>
              <w:rPr>
                <w:rFonts w:hint="eastAsia" w:ascii="仿宋" w:hAnsi="仿宋" w:eastAsia="仿宋" w:cs="仿宋"/>
                <w:color w:val="auto"/>
                <w:sz w:val="24"/>
                <w:highlight w:val="none"/>
              </w:rPr>
            </w:pPr>
          </w:p>
        </w:tc>
        <w:tc>
          <w:tcPr>
            <w:tcW w:w="889" w:type="dxa"/>
            <w:noWrap w:val="0"/>
            <w:vAlign w:val="top"/>
          </w:tcPr>
          <w:p w14:paraId="3221B274">
            <w:pPr>
              <w:rPr>
                <w:rFonts w:hint="eastAsia" w:ascii="仿宋" w:hAnsi="仿宋" w:eastAsia="仿宋" w:cs="仿宋"/>
                <w:color w:val="auto"/>
                <w:sz w:val="24"/>
                <w:highlight w:val="none"/>
              </w:rPr>
            </w:pPr>
          </w:p>
        </w:tc>
        <w:tc>
          <w:tcPr>
            <w:tcW w:w="1451" w:type="dxa"/>
            <w:noWrap w:val="0"/>
            <w:vAlign w:val="top"/>
          </w:tcPr>
          <w:p w14:paraId="4D39C545">
            <w:pPr>
              <w:rPr>
                <w:rFonts w:hint="eastAsia" w:ascii="仿宋" w:hAnsi="仿宋" w:eastAsia="仿宋" w:cs="仿宋"/>
                <w:color w:val="auto"/>
                <w:sz w:val="24"/>
                <w:highlight w:val="none"/>
              </w:rPr>
            </w:pPr>
          </w:p>
        </w:tc>
        <w:tc>
          <w:tcPr>
            <w:tcW w:w="900" w:type="dxa"/>
            <w:noWrap w:val="0"/>
            <w:vAlign w:val="top"/>
          </w:tcPr>
          <w:p w14:paraId="191DDBA7">
            <w:pPr>
              <w:rPr>
                <w:rFonts w:hint="eastAsia" w:ascii="仿宋" w:hAnsi="仿宋" w:eastAsia="仿宋" w:cs="仿宋"/>
                <w:color w:val="auto"/>
                <w:sz w:val="24"/>
                <w:highlight w:val="none"/>
              </w:rPr>
            </w:pPr>
          </w:p>
        </w:tc>
        <w:tc>
          <w:tcPr>
            <w:tcW w:w="1080" w:type="dxa"/>
            <w:noWrap w:val="0"/>
            <w:vAlign w:val="top"/>
          </w:tcPr>
          <w:p w14:paraId="2CB21B3B">
            <w:pPr>
              <w:rPr>
                <w:rFonts w:hint="eastAsia" w:ascii="仿宋" w:hAnsi="仿宋" w:eastAsia="仿宋" w:cs="仿宋"/>
                <w:color w:val="auto"/>
                <w:sz w:val="24"/>
                <w:highlight w:val="none"/>
              </w:rPr>
            </w:pPr>
          </w:p>
        </w:tc>
        <w:tc>
          <w:tcPr>
            <w:tcW w:w="1286" w:type="dxa"/>
            <w:noWrap w:val="0"/>
            <w:vAlign w:val="top"/>
          </w:tcPr>
          <w:p w14:paraId="7DC7D56B">
            <w:pPr>
              <w:rPr>
                <w:rFonts w:hint="eastAsia" w:ascii="仿宋" w:hAnsi="仿宋" w:eastAsia="仿宋" w:cs="仿宋"/>
                <w:color w:val="auto"/>
                <w:sz w:val="24"/>
                <w:highlight w:val="none"/>
              </w:rPr>
            </w:pPr>
          </w:p>
        </w:tc>
        <w:tc>
          <w:tcPr>
            <w:tcW w:w="1328" w:type="dxa"/>
            <w:noWrap w:val="0"/>
            <w:vAlign w:val="top"/>
          </w:tcPr>
          <w:p w14:paraId="1C875397">
            <w:pPr>
              <w:rPr>
                <w:rFonts w:hint="eastAsia" w:ascii="仿宋" w:hAnsi="仿宋" w:eastAsia="仿宋" w:cs="仿宋"/>
                <w:color w:val="auto"/>
                <w:sz w:val="24"/>
                <w:highlight w:val="none"/>
              </w:rPr>
            </w:pPr>
          </w:p>
        </w:tc>
        <w:tc>
          <w:tcPr>
            <w:tcW w:w="1069" w:type="dxa"/>
            <w:noWrap w:val="0"/>
            <w:vAlign w:val="top"/>
          </w:tcPr>
          <w:p w14:paraId="113F9AF4">
            <w:pPr>
              <w:rPr>
                <w:rFonts w:hint="eastAsia" w:ascii="仿宋" w:hAnsi="仿宋" w:eastAsia="仿宋" w:cs="仿宋"/>
                <w:color w:val="auto"/>
                <w:sz w:val="24"/>
                <w:highlight w:val="none"/>
              </w:rPr>
            </w:pPr>
          </w:p>
        </w:tc>
      </w:tr>
      <w:tr w14:paraId="32B3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6734E825">
            <w:pPr>
              <w:rPr>
                <w:rFonts w:hint="eastAsia" w:ascii="仿宋" w:hAnsi="仿宋" w:eastAsia="仿宋" w:cs="仿宋"/>
                <w:color w:val="auto"/>
                <w:sz w:val="24"/>
                <w:highlight w:val="none"/>
              </w:rPr>
            </w:pPr>
          </w:p>
        </w:tc>
        <w:tc>
          <w:tcPr>
            <w:tcW w:w="726" w:type="dxa"/>
            <w:noWrap w:val="0"/>
            <w:vAlign w:val="top"/>
          </w:tcPr>
          <w:p w14:paraId="60F28818">
            <w:pPr>
              <w:rPr>
                <w:rFonts w:hint="eastAsia" w:ascii="仿宋" w:hAnsi="仿宋" w:eastAsia="仿宋" w:cs="仿宋"/>
                <w:color w:val="auto"/>
                <w:sz w:val="24"/>
                <w:highlight w:val="none"/>
              </w:rPr>
            </w:pPr>
          </w:p>
        </w:tc>
        <w:tc>
          <w:tcPr>
            <w:tcW w:w="889" w:type="dxa"/>
            <w:noWrap w:val="0"/>
            <w:vAlign w:val="top"/>
          </w:tcPr>
          <w:p w14:paraId="31BC0D0B">
            <w:pPr>
              <w:rPr>
                <w:rFonts w:hint="eastAsia" w:ascii="仿宋" w:hAnsi="仿宋" w:eastAsia="仿宋" w:cs="仿宋"/>
                <w:color w:val="auto"/>
                <w:sz w:val="24"/>
                <w:highlight w:val="none"/>
              </w:rPr>
            </w:pPr>
          </w:p>
        </w:tc>
        <w:tc>
          <w:tcPr>
            <w:tcW w:w="1451" w:type="dxa"/>
            <w:noWrap w:val="0"/>
            <w:vAlign w:val="top"/>
          </w:tcPr>
          <w:p w14:paraId="3B453D10">
            <w:pPr>
              <w:rPr>
                <w:rFonts w:hint="eastAsia" w:ascii="仿宋" w:hAnsi="仿宋" w:eastAsia="仿宋" w:cs="仿宋"/>
                <w:color w:val="auto"/>
                <w:sz w:val="24"/>
                <w:highlight w:val="none"/>
              </w:rPr>
            </w:pPr>
          </w:p>
        </w:tc>
        <w:tc>
          <w:tcPr>
            <w:tcW w:w="900" w:type="dxa"/>
            <w:noWrap w:val="0"/>
            <w:vAlign w:val="top"/>
          </w:tcPr>
          <w:p w14:paraId="1137FE55">
            <w:pPr>
              <w:rPr>
                <w:rFonts w:hint="eastAsia" w:ascii="仿宋" w:hAnsi="仿宋" w:eastAsia="仿宋" w:cs="仿宋"/>
                <w:color w:val="auto"/>
                <w:sz w:val="24"/>
                <w:highlight w:val="none"/>
              </w:rPr>
            </w:pPr>
          </w:p>
        </w:tc>
        <w:tc>
          <w:tcPr>
            <w:tcW w:w="1080" w:type="dxa"/>
            <w:noWrap w:val="0"/>
            <w:vAlign w:val="top"/>
          </w:tcPr>
          <w:p w14:paraId="563D0159">
            <w:pPr>
              <w:rPr>
                <w:rFonts w:hint="eastAsia" w:ascii="仿宋" w:hAnsi="仿宋" w:eastAsia="仿宋" w:cs="仿宋"/>
                <w:color w:val="auto"/>
                <w:sz w:val="24"/>
                <w:highlight w:val="none"/>
              </w:rPr>
            </w:pPr>
          </w:p>
        </w:tc>
        <w:tc>
          <w:tcPr>
            <w:tcW w:w="1286" w:type="dxa"/>
            <w:noWrap w:val="0"/>
            <w:vAlign w:val="top"/>
          </w:tcPr>
          <w:p w14:paraId="15E01079">
            <w:pPr>
              <w:rPr>
                <w:rFonts w:hint="eastAsia" w:ascii="仿宋" w:hAnsi="仿宋" w:eastAsia="仿宋" w:cs="仿宋"/>
                <w:color w:val="auto"/>
                <w:sz w:val="24"/>
                <w:highlight w:val="none"/>
              </w:rPr>
            </w:pPr>
          </w:p>
        </w:tc>
        <w:tc>
          <w:tcPr>
            <w:tcW w:w="1328" w:type="dxa"/>
            <w:noWrap w:val="0"/>
            <w:vAlign w:val="top"/>
          </w:tcPr>
          <w:p w14:paraId="5C4E5726">
            <w:pPr>
              <w:rPr>
                <w:rFonts w:hint="eastAsia" w:ascii="仿宋" w:hAnsi="仿宋" w:eastAsia="仿宋" w:cs="仿宋"/>
                <w:color w:val="auto"/>
                <w:sz w:val="24"/>
                <w:highlight w:val="none"/>
              </w:rPr>
            </w:pPr>
          </w:p>
        </w:tc>
        <w:tc>
          <w:tcPr>
            <w:tcW w:w="1069" w:type="dxa"/>
            <w:noWrap w:val="0"/>
            <w:vAlign w:val="top"/>
          </w:tcPr>
          <w:p w14:paraId="3D6ADFB3">
            <w:pPr>
              <w:rPr>
                <w:rFonts w:hint="eastAsia" w:ascii="仿宋" w:hAnsi="仿宋" w:eastAsia="仿宋" w:cs="仿宋"/>
                <w:color w:val="auto"/>
                <w:sz w:val="24"/>
                <w:highlight w:val="none"/>
              </w:rPr>
            </w:pPr>
          </w:p>
        </w:tc>
      </w:tr>
      <w:tr w14:paraId="2C08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67077169">
            <w:pPr>
              <w:rPr>
                <w:rFonts w:hint="eastAsia" w:ascii="仿宋" w:hAnsi="仿宋" w:eastAsia="仿宋" w:cs="仿宋"/>
                <w:color w:val="auto"/>
                <w:sz w:val="24"/>
                <w:highlight w:val="none"/>
              </w:rPr>
            </w:pPr>
          </w:p>
        </w:tc>
        <w:tc>
          <w:tcPr>
            <w:tcW w:w="726" w:type="dxa"/>
            <w:noWrap w:val="0"/>
            <w:vAlign w:val="top"/>
          </w:tcPr>
          <w:p w14:paraId="2DC32F81">
            <w:pPr>
              <w:rPr>
                <w:rFonts w:hint="eastAsia" w:ascii="仿宋" w:hAnsi="仿宋" w:eastAsia="仿宋" w:cs="仿宋"/>
                <w:color w:val="auto"/>
                <w:sz w:val="24"/>
                <w:highlight w:val="none"/>
              </w:rPr>
            </w:pPr>
          </w:p>
        </w:tc>
        <w:tc>
          <w:tcPr>
            <w:tcW w:w="889" w:type="dxa"/>
            <w:noWrap w:val="0"/>
            <w:vAlign w:val="top"/>
          </w:tcPr>
          <w:p w14:paraId="2F1A417B">
            <w:pPr>
              <w:rPr>
                <w:rFonts w:hint="eastAsia" w:ascii="仿宋" w:hAnsi="仿宋" w:eastAsia="仿宋" w:cs="仿宋"/>
                <w:color w:val="auto"/>
                <w:sz w:val="24"/>
                <w:highlight w:val="none"/>
              </w:rPr>
            </w:pPr>
          </w:p>
        </w:tc>
        <w:tc>
          <w:tcPr>
            <w:tcW w:w="1451" w:type="dxa"/>
            <w:noWrap w:val="0"/>
            <w:vAlign w:val="top"/>
          </w:tcPr>
          <w:p w14:paraId="6891CBBC">
            <w:pPr>
              <w:rPr>
                <w:rFonts w:hint="eastAsia" w:ascii="仿宋" w:hAnsi="仿宋" w:eastAsia="仿宋" w:cs="仿宋"/>
                <w:color w:val="auto"/>
                <w:sz w:val="24"/>
                <w:highlight w:val="none"/>
              </w:rPr>
            </w:pPr>
          </w:p>
        </w:tc>
        <w:tc>
          <w:tcPr>
            <w:tcW w:w="900" w:type="dxa"/>
            <w:noWrap w:val="0"/>
            <w:vAlign w:val="top"/>
          </w:tcPr>
          <w:p w14:paraId="2D29F08E">
            <w:pPr>
              <w:rPr>
                <w:rFonts w:hint="eastAsia" w:ascii="仿宋" w:hAnsi="仿宋" w:eastAsia="仿宋" w:cs="仿宋"/>
                <w:color w:val="auto"/>
                <w:sz w:val="24"/>
                <w:highlight w:val="none"/>
              </w:rPr>
            </w:pPr>
          </w:p>
        </w:tc>
        <w:tc>
          <w:tcPr>
            <w:tcW w:w="1080" w:type="dxa"/>
            <w:noWrap w:val="0"/>
            <w:vAlign w:val="top"/>
          </w:tcPr>
          <w:p w14:paraId="3A4277B6">
            <w:pPr>
              <w:rPr>
                <w:rFonts w:hint="eastAsia" w:ascii="仿宋" w:hAnsi="仿宋" w:eastAsia="仿宋" w:cs="仿宋"/>
                <w:color w:val="auto"/>
                <w:sz w:val="24"/>
                <w:highlight w:val="none"/>
              </w:rPr>
            </w:pPr>
          </w:p>
        </w:tc>
        <w:tc>
          <w:tcPr>
            <w:tcW w:w="1286" w:type="dxa"/>
            <w:noWrap w:val="0"/>
            <w:vAlign w:val="top"/>
          </w:tcPr>
          <w:p w14:paraId="33EA633B">
            <w:pPr>
              <w:rPr>
                <w:rFonts w:hint="eastAsia" w:ascii="仿宋" w:hAnsi="仿宋" w:eastAsia="仿宋" w:cs="仿宋"/>
                <w:color w:val="auto"/>
                <w:sz w:val="24"/>
                <w:highlight w:val="none"/>
              </w:rPr>
            </w:pPr>
          </w:p>
        </w:tc>
        <w:tc>
          <w:tcPr>
            <w:tcW w:w="1328" w:type="dxa"/>
            <w:noWrap w:val="0"/>
            <w:vAlign w:val="top"/>
          </w:tcPr>
          <w:p w14:paraId="71C356AB">
            <w:pPr>
              <w:rPr>
                <w:rFonts w:hint="eastAsia" w:ascii="仿宋" w:hAnsi="仿宋" w:eastAsia="仿宋" w:cs="仿宋"/>
                <w:color w:val="auto"/>
                <w:sz w:val="24"/>
                <w:highlight w:val="none"/>
              </w:rPr>
            </w:pPr>
          </w:p>
        </w:tc>
        <w:tc>
          <w:tcPr>
            <w:tcW w:w="1069" w:type="dxa"/>
            <w:noWrap w:val="0"/>
            <w:vAlign w:val="top"/>
          </w:tcPr>
          <w:p w14:paraId="394D3C6B">
            <w:pPr>
              <w:rPr>
                <w:rFonts w:hint="eastAsia" w:ascii="仿宋" w:hAnsi="仿宋" w:eastAsia="仿宋" w:cs="仿宋"/>
                <w:color w:val="auto"/>
                <w:sz w:val="24"/>
                <w:highlight w:val="none"/>
              </w:rPr>
            </w:pPr>
          </w:p>
        </w:tc>
      </w:tr>
      <w:tr w14:paraId="6DCD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612FA36E">
            <w:pPr>
              <w:rPr>
                <w:rFonts w:hint="eastAsia" w:ascii="仿宋" w:hAnsi="仿宋" w:eastAsia="仿宋" w:cs="仿宋"/>
                <w:color w:val="auto"/>
                <w:sz w:val="24"/>
                <w:highlight w:val="none"/>
              </w:rPr>
            </w:pPr>
          </w:p>
        </w:tc>
        <w:tc>
          <w:tcPr>
            <w:tcW w:w="726" w:type="dxa"/>
            <w:noWrap w:val="0"/>
            <w:vAlign w:val="top"/>
          </w:tcPr>
          <w:p w14:paraId="53CAD86D">
            <w:pPr>
              <w:rPr>
                <w:rFonts w:hint="eastAsia" w:ascii="仿宋" w:hAnsi="仿宋" w:eastAsia="仿宋" w:cs="仿宋"/>
                <w:color w:val="auto"/>
                <w:sz w:val="24"/>
                <w:highlight w:val="none"/>
              </w:rPr>
            </w:pPr>
          </w:p>
        </w:tc>
        <w:tc>
          <w:tcPr>
            <w:tcW w:w="889" w:type="dxa"/>
            <w:noWrap w:val="0"/>
            <w:vAlign w:val="top"/>
          </w:tcPr>
          <w:p w14:paraId="6F48D1FB">
            <w:pPr>
              <w:rPr>
                <w:rFonts w:hint="eastAsia" w:ascii="仿宋" w:hAnsi="仿宋" w:eastAsia="仿宋" w:cs="仿宋"/>
                <w:color w:val="auto"/>
                <w:sz w:val="24"/>
                <w:highlight w:val="none"/>
              </w:rPr>
            </w:pPr>
          </w:p>
        </w:tc>
        <w:tc>
          <w:tcPr>
            <w:tcW w:w="1451" w:type="dxa"/>
            <w:noWrap w:val="0"/>
            <w:vAlign w:val="top"/>
          </w:tcPr>
          <w:p w14:paraId="6AD8196E">
            <w:pPr>
              <w:rPr>
                <w:rFonts w:hint="eastAsia" w:ascii="仿宋" w:hAnsi="仿宋" w:eastAsia="仿宋" w:cs="仿宋"/>
                <w:color w:val="auto"/>
                <w:sz w:val="24"/>
                <w:highlight w:val="none"/>
              </w:rPr>
            </w:pPr>
          </w:p>
        </w:tc>
        <w:tc>
          <w:tcPr>
            <w:tcW w:w="900" w:type="dxa"/>
            <w:noWrap w:val="0"/>
            <w:vAlign w:val="top"/>
          </w:tcPr>
          <w:p w14:paraId="14123030">
            <w:pPr>
              <w:rPr>
                <w:rFonts w:hint="eastAsia" w:ascii="仿宋" w:hAnsi="仿宋" w:eastAsia="仿宋" w:cs="仿宋"/>
                <w:color w:val="auto"/>
                <w:sz w:val="24"/>
                <w:highlight w:val="none"/>
              </w:rPr>
            </w:pPr>
          </w:p>
        </w:tc>
        <w:tc>
          <w:tcPr>
            <w:tcW w:w="1080" w:type="dxa"/>
            <w:noWrap w:val="0"/>
            <w:vAlign w:val="top"/>
          </w:tcPr>
          <w:p w14:paraId="7DA7AED6">
            <w:pPr>
              <w:rPr>
                <w:rFonts w:hint="eastAsia" w:ascii="仿宋" w:hAnsi="仿宋" w:eastAsia="仿宋" w:cs="仿宋"/>
                <w:color w:val="auto"/>
                <w:sz w:val="24"/>
                <w:highlight w:val="none"/>
              </w:rPr>
            </w:pPr>
          </w:p>
        </w:tc>
        <w:tc>
          <w:tcPr>
            <w:tcW w:w="1286" w:type="dxa"/>
            <w:noWrap w:val="0"/>
            <w:vAlign w:val="top"/>
          </w:tcPr>
          <w:p w14:paraId="14CAABE4">
            <w:pPr>
              <w:rPr>
                <w:rFonts w:hint="eastAsia" w:ascii="仿宋" w:hAnsi="仿宋" w:eastAsia="仿宋" w:cs="仿宋"/>
                <w:color w:val="auto"/>
                <w:sz w:val="24"/>
                <w:highlight w:val="none"/>
              </w:rPr>
            </w:pPr>
          </w:p>
        </w:tc>
        <w:tc>
          <w:tcPr>
            <w:tcW w:w="1328" w:type="dxa"/>
            <w:noWrap w:val="0"/>
            <w:vAlign w:val="top"/>
          </w:tcPr>
          <w:p w14:paraId="09DA44F3">
            <w:pPr>
              <w:rPr>
                <w:rFonts w:hint="eastAsia" w:ascii="仿宋" w:hAnsi="仿宋" w:eastAsia="仿宋" w:cs="仿宋"/>
                <w:color w:val="auto"/>
                <w:sz w:val="24"/>
                <w:highlight w:val="none"/>
              </w:rPr>
            </w:pPr>
          </w:p>
        </w:tc>
        <w:tc>
          <w:tcPr>
            <w:tcW w:w="1069" w:type="dxa"/>
            <w:noWrap w:val="0"/>
            <w:vAlign w:val="top"/>
          </w:tcPr>
          <w:p w14:paraId="37CE51F4">
            <w:pPr>
              <w:rPr>
                <w:rFonts w:hint="eastAsia" w:ascii="仿宋" w:hAnsi="仿宋" w:eastAsia="仿宋" w:cs="仿宋"/>
                <w:color w:val="auto"/>
                <w:sz w:val="24"/>
                <w:highlight w:val="none"/>
              </w:rPr>
            </w:pPr>
          </w:p>
        </w:tc>
      </w:tr>
      <w:tr w14:paraId="4175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14" w:type="dxa"/>
            <w:noWrap w:val="0"/>
            <w:vAlign w:val="top"/>
          </w:tcPr>
          <w:p w14:paraId="41AA9A47">
            <w:pPr>
              <w:rPr>
                <w:rFonts w:hint="eastAsia" w:ascii="仿宋" w:hAnsi="仿宋" w:eastAsia="仿宋" w:cs="仿宋"/>
                <w:color w:val="auto"/>
                <w:sz w:val="24"/>
                <w:highlight w:val="none"/>
              </w:rPr>
            </w:pPr>
          </w:p>
        </w:tc>
        <w:tc>
          <w:tcPr>
            <w:tcW w:w="726" w:type="dxa"/>
            <w:noWrap w:val="0"/>
            <w:vAlign w:val="top"/>
          </w:tcPr>
          <w:p w14:paraId="6072FD4A">
            <w:pPr>
              <w:rPr>
                <w:rFonts w:hint="eastAsia" w:ascii="仿宋" w:hAnsi="仿宋" w:eastAsia="仿宋" w:cs="仿宋"/>
                <w:color w:val="auto"/>
                <w:sz w:val="24"/>
                <w:highlight w:val="none"/>
              </w:rPr>
            </w:pPr>
          </w:p>
        </w:tc>
        <w:tc>
          <w:tcPr>
            <w:tcW w:w="889" w:type="dxa"/>
            <w:noWrap w:val="0"/>
            <w:vAlign w:val="top"/>
          </w:tcPr>
          <w:p w14:paraId="723AEEE4">
            <w:pPr>
              <w:rPr>
                <w:rFonts w:hint="eastAsia" w:ascii="仿宋" w:hAnsi="仿宋" w:eastAsia="仿宋" w:cs="仿宋"/>
                <w:color w:val="auto"/>
                <w:sz w:val="24"/>
                <w:highlight w:val="none"/>
              </w:rPr>
            </w:pPr>
          </w:p>
        </w:tc>
        <w:tc>
          <w:tcPr>
            <w:tcW w:w="1451" w:type="dxa"/>
            <w:noWrap w:val="0"/>
            <w:vAlign w:val="top"/>
          </w:tcPr>
          <w:p w14:paraId="107D484E">
            <w:pPr>
              <w:rPr>
                <w:rFonts w:hint="eastAsia" w:ascii="仿宋" w:hAnsi="仿宋" w:eastAsia="仿宋" w:cs="仿宋"/>
                <w:color w:val="auto"/>
                <w:sz w:val="24"/>
                <w:highlight w:val="none"/>
              </w:rPr>
            </w:pPr>
          </w:p>
        </w:tc>
        <w:tc>
          <w:tcPr>
            <w:tcW w:w="900" w:type="dxa"/>
            <w:noWrap w:val="0"/>
            <w:vAlign w:val="top"/>
          </w:tcPr>
          <w:p w14:paraId="4580BA4E">
            <w:pPr>
              <w:rPr>
                <w:rFonts w:hint="eastAsia" w:ascii="仿宋" w:hAnsi="仿宋" w:eastAsia="仿宋" w:cs="仿宋"/>
                <w:color w:val="auto"/>
                <w:sz w:val="24"/>
                <w:highlight w:val="none"/>
              </w:rPr>
            </w:pPr>
          </w:p>
        </w:tc>
        <w:tc>
          <w:tcPr>
            <w:tcW w:w="1080" w:type="dxa"/>
            <w:noWrap w:val="0"/>
            <w:vAlign w:val="top"/>
          </w:tcPr>
          <w:p w14:paraId="43555E35">
            <w:pPr>
              <w:rPr>
                <w:rFonts w:hint="eastAsia" w:ascii="仿宋" w:hAnsi="仿宋" w:eastAsia="仿宋" w:cs="仿宋"/>
                <w:color w:val="auto"/>
                <w:sz w:val="24"/>
                <w:highlight w:val="none"/>
              </w:rPr>
            </w:pPr>
          </w:p>
        </w:tc>
        <w:tc>
          <w:tcPr>
            <w:tcW w:w="1286" w:type="dxa"/>
            <w:noWrap w:val="0"/>
            <w:vAlign w:val="top"/>
          </w:tcPr>
          <w:p w14:paraId="0716A440">
            <w:pPr>
              <w:rPr>
                <w:rFonts w:hint="eastAsia" w:ascii="仿宋" w:hAnsi="仿宋" w:eastAsia="仿宋" w:cs="仿宋"/>
                <w:color w:val="auto"/>
                <w:sz w:val="24"/>
                <w:highlight w:val="none"/>
              </w:rPr>
            </w:pPr>
          </w:p>
        </w:tc>
        <w:tc>
          <w:tcPr>
            <w:tcW w:w="1328" w:type="dxa"/>
            <w:noWrap w:val="0"/>
            <w:vAlign w:val="top"/>
          </w:tcPr>
          <w:p w14:paraId="00BD2BAB">
            <w:pPr>
              <w:rPr>
                <w:rFonts w:hint="eastAsia" w:ascii="仿宋" w:hAnsi="仿宋" w:eastAsia="仿宋" w:cs="仿宋"/>
                <w:color w:val="auto"/>
                <w:sz w:val="24"/>
                <w:highlight w:val="none"/>
              </w:rPr>
            </w:pPr>
          </w:p>
        </w:tc>
        <w:tc>
          <w:tcPr>
            <w:tcW w:w="1069" w:type="dxa"/>
            <w:noWrap w:val="0"/>
            <w:vAlign w:val="top"/>
          </w:tcPr>
          <w:p w14:paraId="3A180E6D">
            <w:pPr>
              <w:rPr>
                <w:rFonts w:hint="eastAsia" w:ascii="仿宋" w:hAnsi="仿宋" w:eastAsia="仿宋" w:cs="仿宋"/>
                <w:color w:val="auto"/>
                <w:sz w:val="24"/>
                <w:highlight w:val="none"/>
              </w:rPr>
            </w:pPr>
          </w:p>
        </w:tc>
      </w:tr>
      <w:tr w14:paraId="14F0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14" w:type="dxa"/>
            <w:noWrap w:val="0"/>
            <w:vAlign w:val="top"/>
          </w:tcPr>
          <w:p w14:paraId="3BA29610">
            <w:pPr>
              <w:rPr>
                <w:rFonts w:hint="eastAsia" w:ascii="仿宋" w:hAnsi="仿宋" w:eastAsia="仿宋" w:cs="仿宋"/>
                <w:color w:val="auto"/>
                <w:sz w:val="24"/>
                <w:highlight w:val="none"/>
              </w:rPr>
            </w:pPr>
          </w:p>
        </w:tc>
        <w:tc>
          <w:tcPr>
            <w:tcW w:w="726" w:type="dxa"/>
            <w:noWrap w:val="0"/>
            <w:vAlign w:val="top"/>
          </w:tcPr>
          <w:p w14:paraId="16E44CFB">
            <w:pPr>
              <w:rPr>
                <w:rFonts w:hint="eastAsia" w:ascii="仿宋" w:hAnsi="仿宋" w:eastAsia="仿宋" w:cs="仿宋"/>
                <w:color w:val="auto"/>
                <w:sz w:val="24"/>
                <w:highlight w:val="none"/>
              </w:rPr>
            </w:pPr>
          </w:p>
        </w:tc>
        <w:tc>
          <w:tcPr>
            <w:tcW w:w="889" w:type="dxa"/>
            <w:noWrap w:val="0"/>
            <w:vAlign w:val="top"/>
          </w:tcPr>
          <w:p w14:paraId="6170D0BE">
            <w:pPr>
              <w:rPr>
                <w:rFonts w:hint="eastAsia" w:ascii="仿宋" w:hAnsi="仿宋" w:eastAsia="仿宋" w:cs="仿宋"/>
                <w:color w:val="auto"/>
                <w:sz w:val="24"/>
                <w:highlight w:val="none"/>
              </w:rPr>
            </w:pPr>
          </w:p>
        </w:tc>
        <w:tc>
          <w:tcPr>
            <w:tcW w:w="1451" w:type="dxa"/>
            <w:noWrap w:val="0"/>
            <w:vAlign w:val="top"/>
          </w:tcPr>
          <w:p w14:paraId="1017F8CC">
            <w:pPr>
              <w:rPr>
                <w:rFonts w:hint="eastAsia" w:ascii="仿宋" w:hAnsi="仿宋" w:eastAsia="仿宋" w:cs="仿宋"/>
                <w:color w:val="auto"/>
                <w:sz w:val="24"/>
                <w:highlight w:val="none"/>
              </w:rPr>
            </w:pPr>
          </w:p>
        </w:tc>
        <w:tc>
          <w:tcPr>
            <w:tcW w:w="900" w:type="dxa"/>
            <w:noWrap w:val="0"/>
            <w:vAlign w:val="top"/>
          </w:tcPr>
          <w:p w14:paraId="603E8DE3">
            <w:pPr>
              <w:rPr>
                <w:rFonts w:hint="eastAsia" w:ascii="仿宋" w:hAnsi="仿宋" w:eastAsia="仿宋" w:cs="仿宋"/>
                <w:color w:val="auto"/>
                <w:sz w:val="24"/>
                <w:highlight w:val="none"/>
              </w:rPr>
            </w:pPr>
          </w:p>
        </w:tc>
        <w:tc>
          <w:tcPr>
            <w:tcW w:w="1080" w:type="dxa"/>
            <w:noWrap w:val="0"/>
            <w:vAlign w:val="top"/>
          </w:tcPr>
          <w:p w14:paraId="0CE7F841">
            <w:pPr>
              <w:rPr>
                <w:rFonts w:hint="eastAsia" w:ascii="仿宋" w:hAnsi="仿宋" w:eastAsia="仿宋" w:cs="仿宋"/>
                <w:color w:val="auto"/>
                <w:sz w:val="24"/>
                <w:highlight w:val="none"/>
              </w:rPr>
            </w:pPr>
          </w:p>
        </w:tc>
        <w:tc>
          <w:tcPr>
            <w:tcW w:w="1286" w:type="dxa"/>
            <w:noWrap w:val="0"/>
            <w:vAlign w:val="top"/>
          </w:tcPr>
          <w:p w14:paraId="0211EB71">
            <w:pPr>
              <w:rPr>
                <w:rFonts w:hint="eastAsia" w:ascii="仿宋" w:hAnsi="仿宋" w:eastAsia="仿宋" w:cs="仿宋"/>
                <w:color w:val="auto"/>
                <w:sz w:val="24"/>
                <w:highlight w:val="none"/>
              </w:rPr>
            </w:pPr>
          </w:p>
        </w:tc>
        <w:tc>
          <w:tcPr>
            <w:tcW w:w="1328" w:type="dxa"/>
            <w:noWrap w:val="0"/>
            <w:vAlign w:val="top"/>
          </w:tcPr>
          <w:p w14:paraId="54167E17">
            <w:pPr>
              <w:rPr>
                <w:rFonts w:hint="eastAsia" w:ascii="仿宋" w:hAnsi="仿宋" w:eastAsia="仿宋" w:cs="仿宋"/>
                <w:color w:val="auto"/>
                <w:sz w:val="24"/>
                <w:highlight w:val="none"/>
              </w:rPr>
            </w:pPr>
          </w:p>
        </w:tc>
        <w:tc>
          <w:tcPr>
            <w:tcW w:w="1069" w:type="dxa"/>
            <w:noWrap w:val="0"/>
            <w:vAlign w:val="top"/>
          </w:tcPr>
          <w:p w14:paraId="2271B72F">
            <w:pPr>
              <w:rPr>
                <w:rFonts w:hint="eastAsia" w:ascii="仿宋" w:hAnsi="仿宋" w:eastAsia="仿宋" w:cs="仿宋"/>
                <w:color w:val="auto"/>
                <w:sz w:val="24"/>
                <w:highlight w:val="none"/>
              </w:rPr>
            </w:pPr>
          </w:p>
        </w:tc>
      </w:tr>
    </w:tbl>
    <w:p w14:paraId="5C9900A3">
      <w:pPr>
        <w:adjustRightInd w:val="0"/>
        <w:jc w:val="center"/>
        <w:rPr>
          <w:rFonts w:hint="eastAsia" w:ascii="仿宋" w:hAnsi="仿宋" w:eastAsia="仿宋" w:cs="仿宋"/>
          <w:b/>
          <w:color w:val="auto"/>
          <w:sz w:val="28"/>
          <w:szCs w:val="28"/>
          <w:highlight w:val="none"/>
        </w:rPr>
      </w:pPr>
      <w:bookmarkStart w:id="1123" w:name="_Toc442173551"/>
      <w:bookmarkStart w:id="1124" w:name="_Toc249761919"/>
    </w:p>
    <w:p w14:paraId="273EF078">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7D9C79F4">
      <w:pPr>
        <w:spacing w:line="360" w:lineRule="auto"/>
        <w:contextualSpacing/>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（二）主要人员简历表</w:t>
      </w:r>
      <w:bookmarkEnd w:id="1123"/>
      <w:bookmarkEnd w:id="1124"/>
    </w:p>
    <w:p w14:paraId="4A69BFDA">
      <w:pPr>
        <w:spacing w:line="360" w:lineRule="auto"/>
        <w:contextualSpacing/>
        <w:jc w:val="center"/>
        <w:rPr>
          <w:rFonts w:hint="eastAsia" w:ascii="仿宋" w:hAnsi="仿宋" w:eastAsia="仿宋" w:cs="仿宋"/>
          <w:b/>
          <w:color w:val="auto"/>
          <w:sz w:val="24"/>
          <w:highlight w:val="none"/>
        </w:rPr>
      </w:pPr>
    </w:p>
    <w:p w14:paraId="35407E02">
      <w:pPr>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拟派项目经理和其他人员附身份证、职称证、学历证，资格证书（如有）复印件，管理过的项目业绩须附证明其所任技术职务的企业文件或用户证明。以上复印件均加盖投标人红色公章。</w:t>
      </w:r>
    </w:p>
    <w:p w14:paraId="5378AE06">
      <w:pPr>
        <w:spacing w:line="360" w:lineRule="auto"/>
        <w:ind w:firstLine="360" w:firstLineChars="150"/>
        <w:contextualSpacing/>
        <w:rPr>
          <w:rFonts w:hint="eastAsia" w:ascii="仿宋" w:hAnsi="仿宋" w:eastAsia="仿宋" w:cs="仿宋"/>
          <w:color w:val="auto"/>
          <w:sz w:val="24"/>
          <w:highlight w:val="none"/>
        </w:rPr>
      </w:pPr>
    </w:p>
    <w:tbl>
      <w:tblPr>
        <w:tblStyle w:val="34"/>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1649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15" w:type="dxa"/>
            <w:gridSpan w:val="2"/>
            <w:noWrap w:val="0"/>
            <w:vAlign w:val="center"/>
          </w:tcPr>
          <w:p w14:paraId="6F19447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1625" w:type="dxa"/>
            <w:noWrap w:val="0"/>
            <w:vAlign w:val="center"/>
          </w:tcPr>
          <w:p w14:paraId="4900A85F">
            <w:pPr>
              <w:jc w:val="center"/>
              <w:rPr>
                <w:rFonts w:hint="eastAsia" w:ascii="仿宋" w:hAnsi="仿宋" w:eastAsia="仿宋" w:cs="仿宋"/>
                <w:color w:val="auto"/>
                <w:szCs w:val="21"/>
                <w:highlight w:val="none"/>
              </w:rPr>
            </w:pPr>
          </w:p>
        </w:tc>
        <w:tc>
          <w:tcPr>
            <w:tcW w:w="1080" w:type="dxa"/>
            <w:noWrap w:val="0"/>
            <w:vAlign w:val="center"/>
          </w:tcPr>
          <w:p w14:paraId="1F53F87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年龄</w:t>
            </w:r>
          </w:p>
        </w:tc>
        <w:tc>
          <w:tcPr>
            <w:tcW w:w="1440" w:type="dxa"/>
            <w:gridSpan w:val="2"/>
            <w:noWrap w:val="0"/>
            <w:vAlign w:val="center"/>
          </w:tcPr>
          <w:p w14:paraId="7F6D8488">
            <w:pPr>
              <w:jc w:val="center"/>
              <w:rPr>
                <w:rFonts w:hint="eastAsia" w:ascii="仿宋" w:hAnsi="仿宋" w:eastAsia="仿宋" w:cs="仿宋"/>
                <w:color w:val="auto"/>
                <w:szCs w:val="21"/>
                <w:highlight w:val="none"/>
              </w:rPr>
            </w:pPr>
          </w:p>
        </w:tc>
        <w:tc>
          <w:tcPr>
            <w:tcW w:w="1980" w:type="dxa"/>
            <w:gridSpan w:val="2"/>
            <w:noWrap w:val="0"/>
            <w:vAlign w:val="center"/>
          </w:tcPr>
          <w:p w14:paraId="725BFCC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学历</w:t>
            </w:r>
          </w:p>
        </w:tc>
        <w:tc>
          <w:tcPr>
            <w:tcW w:w="1789" w:type="dxa"/>
            <w:noWrap w:val="0"/>
            <w:vAlign w:val="center"/>
          </w:tcPr>
          <w:p w14:paraId="2A02FD34">
            <w:pPr>
              <w:jc w:val="center"/>
              <w:rPr>
                <w:rFonts w:hint="eastAsia" w:ascii="仿宋" w:hAnsi="仿宋" w:eastAsia="仿宋" w:cs="仿宋"/>
                <w:color w:val="auto"/>
                <w:szCs w:val="21"/>
                <w:highlight w:val="none"/>
              </w:rPr>
            </w:pPr>
          </w:p>
        </w:tc>
      </w:tr>
      <w:tr w14:paraId="0C1C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15" w:type="dxa"/>
            <w:gridSpan w:val="2"/>
            <w:noWrap w:val="0"/>
            <w:vAlign w:val="center"/>
          </w:tcPr>
          <w:p w14:paraId="074B9CA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职称</w:t>
            </w:r>
          </w:p>
        </w:tc>
        <w:tc>
          <w:tcPr>
            <w:tcW w:w="1625" w:type="dxa"/>
            <w:noWrap w:val="0"/>
            <w:vAlign w:val="center"/>
          </w:tcPr>
          <w:p w14:paraId="2790C577">
            <w:pPr>
              <w:jc w:val="center"/>
              <w:rPr>
                <w:rFonts w:hint="eastAsia" w:ascii="仿宋" w:hAnsi="仿宋" w:eastAsia="仿宋" w:cs="仿宋"/>
                <w:color w:val="auto"/>
                <w:szCs w:val="21"/>
                <w:highlight w:val="none"/>
              </w:rPr>
            </w:pPr>
          </w:p>
        </w:tc>
        <w:tc>
          <w:tcPr>
            <w:tcW w:w="1080" w:type="dxa"/>
            <w:noWrap w:val="0"/>
            <w:vAlign w:val="center"/>
          </w:tcPr>
          <w:p w14:paraId="43FD1A2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职务</w:t>
            </w:r>
          </w:p>
        </w:tc>
        <w:tc>
          <w:tcPr>
            <w:tcW w:w="1440" w:type="dxa"/>
            <w:gridSpan w:val="2"/>
            <w:noWrap w:val="0"/>
            <w:vAlign w:val="center"/>
          </w:tcPr>
          <w:p w14:paraId="608ED687">
            <w:pPr>
              <w:jc w:val="center"/>
              <w:rPr>
                <w:rFonts w:hint="eastAsia" w:ascii="仿宋" w:hAnsi="仿宋" w:eastAsia="仿宋" w:cs="仿宋"/>
                <w:color w:val="auto"/>
                <w:szCs w:val="21"/>
                <w:highlight w:val="none"/>
              </w:rPr>
            </w:pPr>
          </w:p>
        </w:tc>
        <w:tc>
          <w:tcPr>
            <w:tcW w:w="1980" w:type="dxa"/>
            <w:gridSpan w:val="2"/>
            <w:noWrap w:val="0"/>
            <w:vAlign w:val="center"/>
          </w:tcPr>
          <w:p w14:paraId="043A342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拟在本合同任职</w:t>
            </w:r>
          </w:p>
        </w:tc>
        <w:tc>
          <w:tcPr>
            <w:tcW w:w="1789" w:type="dxa"/>
            <w:noWrap w:val="0"/>
            <w:vAlign w:val="center"/>
          </w:tcPr>
          <w:p w14:paraId="30C943E8">
            <w:pPr>
              <w:jc w:val="center"/>
              <w:rPr>
                <w:rFonts w:hint="eastAsia" w:ascii="仿宋" w:hAnsi="仿宋" w:eastAsia="仿宋" w:cs="仿宋"/>
                <w:color w:val="auto"/>
                <w:szCs w:val="21"/>
                <w:highlight w:val="none"/>
              </w:rPr>
            </w:pPr>
          </w:p>
        </w:tc>
      </w:tr>
      <w:tr w14:paraId="0DA8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15" w:type="dxa"/>
            <w:gridSpan w:val="2"/>
            <w:noWrap w:val="0"/>
            <w:vAlign w:val="center"/>
          </w:tcPr>
          <w:p w14:paraId="74D6A59F">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毕业学校</w:t>
            </w:r>
          </w:p>
        </w:tc>
        <w:tc>
          <w:tcPr>
            <w:tcW w:w="7914" w:type="dxa"/>
            <w:gridSpan w:val="7"/>
            <w:noWrap w:val="0"/>
            <w:vAlign w:val="center"/>
          </w:tcPr>
          <w:p w14:paraId="679B5C5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年毕业于学校专业</w:t>
            </w:r>
          </w:p>
        </w:tc>
      </w:tr>
      <w:tr w14:paraId="651C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529" w:type="dxa"/>
            <w:gridSpan w:val="9"/>
            <w:noWrap w:val="0"/>
            <w:vAlign w:val="center"/>
          </w:tcPr>
          <w:p w14:paraId="3A1D1644">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主要工作经历</w:t>
            </w:r>
          </w:p>
        </w:tc>
      </w:tr>
      <w:tr w14:paraId="78266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1B7970FC">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时间</w:t>
            </w:r>
          </w:p>
        </w:tc>
        <w:tc>
          <w:tcPr>
            <w:tcW w:w="3960" w:type="dxa"/>
            <w:gridSpan w:val="4"/>
            <w:noWrap w:val="0"/>
            <w:vAlign w:val="center"/>
          </w:tcPr>
          <w:p w14:paraId="329AD952">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参加过的类似项目施工</w:t>
            </w:r>
          </w:p>
        </w:tc>
        <w:tc>
          <w:tcPr>
            <w:tcW w:w="1792" w:type="dxa"/>
            <w:gridSpan w:val="2"/>
            <w:noWrap w:val="0"/>
            <w:vAlign w:val="center"/>
          </w:tcPr>
          <w:p w14:paraId="10122E12">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担任职务</w:t>
            </w:r>
          </w:p>
        </w:tc>
        <w:tc>
          <w:tcPr>
            <w:tcW w:w="2517" w:type="dxa"/>
            <w:gridSpan w:val="2"/>
            <w:noWrap w:val="0"/>
            <w:vAlign w:val="center"/>
          </w:tcPr>
          <w:p w14:paraId="4ADA5EAA">
            <w:pPr>
              <w:contextualSpacing/>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发包人及联系电话</w:t>
            </w:r>
          </w:p>
        </w:tc>
      </w:tr>
      <w:tr w14:paraId="0A33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2F8896B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6A3B8B2">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34465CE9">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AA52536">
            <w:pPr>
              <w:contextualSpacing/>
              <w:jc w:val="center"/>
              <w:rPr>
                <w:rFonts w:hint="eastAsia" w:ascii="仿宋" w:hAnsi="仿宋" w:eastAsia="仿宋" w:cs="仿宋"/>
                <w:color w:val="auto"/>
                <w:szCs w:val="21"/>
                <w:highlight w:val="none"/>
              </w:rPr>
            </w:pPr>
          </w:p>
        </w:tc>
      </w:tr>
      <w:tr w14:paraId="538E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260" w:type="dxa"/>
            <w:noWrap w:val="0"/>
            <w:vAlign w:val="center"/>
          </w:tcPr>
          <w:p w14:paraId="26178EAF">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9B31C57">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4FF7F4CE">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48494C6">
            <w:pPr>
              <w:contextualSpacing/>
              <w:jc w:val="center"/>
              <w:rPr>
                <w:rFonts w:hint="eastAsia" w:ascii="仿宋" w:hAnsi="仿宋" w:eastAsia="仿宋" w:cs="仿宋"/>
                <w:color w:val="auto"/>
                <w:szCs w:val="21"/>
                <w:highlight w:val="none"/>
              </w:rPr>
            </w:pPr>
          </w:p>
        </w:tc>
      </w:tr>
      <w:tr w14:paraId="75B9B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260" w:type="dxa"/>
            <w:noWrap w:val="0"/>
            <w:vAlign w:val="center"/>
          </w:tcPr>
          <w:p w14:paraId="486E942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7B419AF">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BAC3B50">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3724D2A3">
            <w:pPr>
              <w:contextualSpacing/>
              <w:jc w:val="center"/>
              <w:rPr>
                <w:rFonts w:hint="eastAsia" w:ascii="仿宋" w:hAnsi="仿宋" w:eastAsia="仿宋" w:cs="仿宋"/>
                <w:color w:val="auto"/>
                <w:szCs w:val="21"/>
                <w:highlight w:val="none"/>
              </w:rPr>
            </w:pPr>
          </w:p>
        </w:tc>
      </w:tr>
      <w:tr w14:paraId="1E798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260" w:type="dxa"/>
            <w:noWrap w:val="0"/>
            <w:vAlign w:val="center"/>
          </w:tcPr>
          <w:p w14:paraId="26808235">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7608C9D">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82FCBA8">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6B426964">
            <w:pPr>
              <w:contextualSpacing/>
              <w:jc w:val="center"/>
              <w:rPr>
                <w:rFonts w:hint="eastAsia" w:ascii="仿宋" w:hAnsi="仿宋" w:eastAsia="仿宋" w:cs="仿宋"/>
                <w:color w:val="auto"/>
                <w:szCs w:val="21"/>
                <w:highlight w:val="none"/>
              </w:rPr>
            </w:pPr>
          </w:p>
        </w:tc>
      </w:tr>
      <w:tr w14:paraId="465B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260" w:type="dxa"/>
            <w:noWrap w:val="0"/>
            <w:vAlign w:val="center"/>
          </w:tcPr>
          <w:p w14:paraId="7081D688">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496C558F">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027B58C4">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002546A9">
            <w:pPr>
              <w:contextualSpacing/>
              <w:jc w:val="center"/>
              <w:rPr>
                <w:rFonts w:hint="eastAsia" w:ascii="仿宋" w:hAnsi="仿宋" w:eastAsia="仿宋" w:cs="仿宋"/>
                <w:color w:val="auto"/>
                <w:szCs w:val="21"/>
                <w:highlight w:val="none"/>
              </w:rPr>
            </w:pPr>
          </w:p>
        </w:tc>
      </w:tr>
      <w:tr w14:paraId="328A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260" w:type="dxa"/>
            <w:noWrap w:val="0"/>
            <w:vAlign w:val="center"/>
          </w:tcPr>
          <w:p w14:paraId="12C666E9">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59464DB3">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6592B09">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5BF9B094">
            <w:pPr>
              <w:contextualSpacing/>
              <w:jc w:val="center"/>
              <w:rPr>
                <w:rFonts w:hint="eastAsia" w:ascii="仿宋" w:hAnsi="仿宋" w:eastAsia="仿宋" w:cs="仿宋"/>
                <w:color w:val="auto"/>
                <w:szCs w:val="21"/>
                <w:highlight w:val="none"/>
              </w:rPr>
            </w:pPr>
          </w:p>
        </w:tc>
      </w:tr>
      <w:tr w14:paraId="0703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60" w:type="dxa"/>
            <w:noWrap w:val="0"/>
            <w:vAlign w:val="center"/>
          </w:tcPr>
          <w:p w14:paraId="62538D36">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3EDC743A">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279623E5">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0F131220">
            <w:pPr>
              <w:contextualSpacing/>
              <w:jc w:val="center"/>
              <w:rPr>
                <w:rFonts w:hint="eastAsia" w:ascii="仿宋" w:hAnsi="仿宋" w:eastAsia="仿宋" w:cs="仿宋"/>
                <w:color w:val="auto"/>
                <w:szCs w:val="21"/>
                <w:highlight w:val="none"/>
              </w:rPr>
            </w:pPr>
          </w:p>
        </w:tc>
      </w:tr>
      <w:tr w14:paraId="1937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60" w:type="dxa"/>
            <w:noWrap w:val="0"/>
            <w:vAlign w:val="center"/>
          </w:tcPr>
          <w:p w14:paraId="0F749AFD">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4CB86A6C">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7CF11DDE">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28551183">
            <w:pPr>
              <w:contextualSpacing/>
              <w:jc w:val="center"/>
              <w:rPr>
                <w:rFonts w:hint="eastAsia" w:ascii="仿宋" w:hAnsi="仿宋" w:eastAsia="仿宋" w:cs="仿宋"/>
                <w:color w:val="auto"/>
                <w:szCs w:val="21"/>
                <w:highlight w:val="none"/>
              </w:rPr>
            </w:pPr>
          </w:p>
        </w:tc>
      </w:tr>
      <w:tr w14:paraId="7A7C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260" w:type="dxa"/>
            <w:noWrap w:val="0"/>
            <w:vAlign w:val="center"/>
          </w:tcPr>
          <w:p w14:paraId="1094A2A5">
            <w:pPr>
              <w:contextualSpacing/>
              <w:jc w:val="center"/>
              <w:rPr>
                <w:rFonts w:hint="eastAsia" w:ascii="仿宋" w:hAnsi="仿宋" w:eastAsia="仿宋" w:cs="仿宋"/>
                <w:color w:val="auto"/>
                <w:szCs w:val="21"/>
                <w:highlight w:val="none"/>
              </w:rPr>
            </w:pPr>
          </w:p>
        </w:tc>
        <w:tc>
          <w:tcPr>
            <w:tcW w:w="3960" w:type="dxa"/>
            <w:gridSpan w:val="4"/>
            <w:noWrap w:val="0"/>
            <w:vAlign w:val="center"/>
          </w:tcPr>
          <w:p w14:paraId="148F4153">
            <w:pPr>
              <w:contextualSpacing/>
              <w:jc w:val="center"/>
              <w:rPr>
                <w:rFonts w:hint="eastAsia" w:ascii="仿宋" w:hAnsi="仿宋" w:eastAsia="仿宋" w:cs="仿宋"/>
                <w:color w:val="auto"/>
                <w:szCs w:val="21"/>
                <w:highlight w:val="none"/>
              </w:rPr>
            </w:pPr>
          </w:p>
        </w:tc>
        <w:tc>
          <w:tcPr>
            <w:tcW w:w="1792" w:type="dxa"/>
            <w:gridSpan w:val="2"/>
            <w:noWrap w:val="0"/>
            <w:vAlign w:val="center"/>
          </w:tcPr>
          <w:p w14:paraId="464A8031">
            <w:pPr>
              <w:contextualSpacing/>
              <w:jc w:val="center"/>
              <w:rPr>
                <w:rFonts w:hint="eastAsia" w:ascii="仿宋" w:hAnsi="仿宋" w:eastAsia="仿宋" w:cs="仿宋"/>
                <w:color w:val="auto"/>
                <w:szCs w:val="21"/>
                <w:highlight w:val="none"/>
              </w:rPr>
            </w:pPr>
          </w:p>
        </w:tc>
        <w:tc>
          <w:tcPr>
            <w:tcW w:w="2517" w:type="dxa"/>
            <w:gridSpan w:val="2"/>
            <w:noWrap w:val="0"/>
            <w:vAlign w:val="center"/>
          </w:tcPr>
          <w:p w14:paraId="5555356B">
            <w:pPr>
              <w:contextualSpacing/>
              <w:jc w:val="center"/>
              <w:rPr>
                <w:rFonts w:hint="eastAsia" w:ascii="仿宋" w:hAnsi="仿宋" w:eastAsia="仿宋" w:cs="仿宋"/>
                <w:color w:val="auto"/>
                <w:szCs w:val="21"/>
                <w:highlight w:val="none"/>
              </w:rPr>
            </w:pPr>
          </w:p>
        </w:tc>
      </w:tr>
    </w:tbl>
    <w:p w14:paraId="2A7357F9">
      <w:pPr>
        <w:spacing w:line="360" w:lineRule="auto"/>
        <w:ind w:firstLine="420" w:firstLineChars="200"/>
        <w:rPr>
          <w:rFonts w:hint="eastAsia" w:ascii="仿宋" w:hAnsi="仿宋" w:eastAsia="仿宋" w:cs="仿宋"/>
          <w:color w:val="auto"/>
          <w:szCs w:val="21"/>
          <w:highlight w:val="none"/>
        </w:rPr>
      </w:pPr>
    </w:p>
    <w:p w14:paraId="09342C92">
      <w:pPr>
        <w:pStyle w:val="202"/>
        <w:rPr>
          <w:rFonts w:hint="eastAsia" w:ascii="仿宋" w:hAnsi="仿宋" w:eastAsia="仿宋" w:cs="仿宋"/>
          <w:color w:val="auto"/>
          <w:highlight w:val="none"/>
        </w:rPr>
      </w:pPr>
    </w:p>
    <w:p w14:paraId="26158D9B">
      <w:pPr>
        <w:pStyle w:val="202"/>
        <w:rPr>
          <w:rFonts w:hint="eastAsia" w:ascii="仿宋" w:hAnsi="仿宋" w:eastAsia="仿宋" w:cs="仿宋"/>
          <w:color w:val="auto"/>
          <w:highlight w:val="none"/>
        </w:rPr>
      </w:pPr>
    </w:p>
    <w:p w14:paraId="13FF34CB">
      <w:pPr>
        <w:pStyle w:val="202"/>
        <w:rPr>
          <w:rFonts w:hint="eastAsia" w:ascii="仿宋" w:hAnsi="仿宋" w:eastAsia="仿宋" w:cs="仿宋"/>
          <w:color w:val="auto"/>
          <w:highlight w:val="none"/>
        </w:rPr>
      </w:pPr>
    </w:p>
    <w:p w14:paraId="7A81913F">
      <w:pPr>
        <w:rPr>
          <w:rFonts w:hint="eastAsia" w:ascii="仿宋" w:hAnsi="仿宋" w:eastAsia="仿宋" w:cs="仿宋"/>
          <w:color w:val="auto"/>
          <w:highlight w:val="none"/>
        </w:rPr>
      </w:pPr>
    </w:p>
    <w:bookmarkEnd w:id="1005"/>
    <w:bookmarkEnd w:id="1006"/>
    <w:bookmarkEnd w:id="1007"/>
    <w:p w14:paraId="65AE03CC">
      <w:pPr>
        <w:spacing w:line="360" w:lineRule="auto"/>
        <w:contextualSpacing/>
        <w:jc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b/>
          <w:bCs/>
          <w:color w:val="auto"/>
          <w:sz w:val="24"/>
          <w:highlight w:val="none"/>
        </w:rPr>
        <w:t>项目经理无在建承诺书</w:t>
      </w:r>
    </w:p>
    <w:p w14:paraId="0C6110FB">
      <w:pPr>
        <w:spacing w:after="312" w:afterLines="10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（招标人名称）：</w:t>
      </w:r>
    </w:p>
    <w:p w14:paraId="722E48D5">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我方在此声明，我方拟派往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（项目名称）（以下简称“本工程”）的项目经理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（项目经理姓名）现阶段没有担任任何在施建设工程项目的项目经理</w:t>
      </w:r>
      <w:r>
        <w:rPr>
          <w:rFonts w:hint="eastAsia" w:ascii="仿宋" w:hAnsi="仿宋" w:eastAsia="仿宋" w:cs="仿宋"/>
          <w:color w:val="auto"/>
          <w:sz w:val="24"/>
          <w:szCs w:val="24"/>
          <w:highlight w:val="none"/>
          <w:lang w:val="en-US" w:eastAsia="zh-CN"/>
        </w:rPr>
        <w:t>且无不良记录</w:t>
      </w:r>
      <w:r>
        <w:rPr>
          <w:rFonts w:hint="eastAsia" w:ascii="仿宋" w:hAnsi="仿宋" w:eastAsia="仿宋" w:cs="仿宋"/>
          <w:color w:val="auto"/>
          <w:sz w:val="24"/>
          <w:szCs w:val="24"/>
          <w:highlight w:val="none"/>
        </w:rPr>
        <w:t>。</w:t>
      </w:r>
    </w:p>
    <w:p w14:paraId="412E99B8">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我方保证上述信息的真实和准确，并愿意承担因我方就此弄虚作假所引起的一切法律后果。</w:t>
      </w:r>
    </w:p>
    <w:p w14:paraId="476D6560">
      <w:pPr>
        <w:spacing w:line="440" w:lineRule="exact"/>
        <w:ind w:firstLine="480" w:firstLineChars="200"/>
        <w:rPr>
          <w:rFonts w:hint="eastAsia" w:ascii="仿宋" w:hAnsi="仿宋" w:eastAsia="仿宋" w:cs="仿宋"/>
          <w:color w:val="auto"/>
          <w:sz w:val="24"/>
          <w:szCs w:val="24"/>
          <w:highlight w:val="none"/>
        </w:rPr>
      </w:pPr>
    </w:p>
    <w:p w14:paraId="60ED4556">
      <w:pPr>
        <w:spacing w:line="440" w:lineRule="exact"/>
        <w:ind w:firstLine="480" w:firstLineChars="200"/>
        <w:rPr>
          <w:rFonts w:hint="eastAsia" w:ascii="仿宋" w:hAnsi="仿宋" w:eastAsia="仿宋" w:cs="仿宋"/>
          <w:color w:val="auto"/>
          <w:sz w:val="24"/>
          <w:szCs w:val="24"/>
          <w:highlight w:val="none"/>
        </w:rPr>
      </w:pPr>
    </w:p>
    <w:p w14:paraId="17044B1C">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8E22B4B">
      <w:pPr>
        <w:spacing w:line="440" w:lineRule="exact"/>
        <w:ind w:firstLine="480" w:firstLineChars="200"/>
        <w:rPr>
          <w:rFonts w:hint="eastAsia" w:ascii="仿宋" w:hAnsi="仿宋" w:eastAsia="仿宋" w:cs="仿宋"/>
          <w:color w:val="auto"/>
          <w:sz w:val="24"/>
          <w:szCs w:val="24"/>
          <w:highlight w:val="none"/>
        </w:rPr>
      </w:pPr>
    </w:p>
    <w:p w14:paraId="4A5B8081">
      <w:pPr>
        <w:spacing w:line="440" w:lineRule="exact"/>
        <w:ind w:firstLine="480" w:firstLineChars="200"/>
        <w:rPr>
          <w:rFonts w:hint="eastAsia" w:ascii="仿宋" w:hAnsi="仿宋" w:eastAsia="仿宋" w:cs="仿宋"/>
          <w:color w:val="auto"/>
          <w:sz w:val="24"/>
          <w:szCs w:val="24"/>
          <w:highlight w:val="none"/>
        </w:rPr>
      </w:pPr>
    </w:p>
    <w:p w14:paraId="7CA61E1B">
      <w:pPr>
        <w:spacing w:line="440" w:lineRule="exact"/>
        <w:ind w:firstLine="480" w:firstLineChars="200"/>
        <w:rPr>
          <w:rFonts w:hint="eastAsia" w:ascii="仿宋" w:hAnsi="仿宋" w:eastAsia="仿宋" w:cs="仿宋"/>
          <w:color w:val="auto"/>
          <w:sz w:val="24"/>
          <w:szCs w:val="24"/>
          <w:highlight w:val="none"/>
        </w:rPr>
      </w:pPr>
    </w:p>
    <w:p w14:paraId="27681780">
      <w:pPr>
        <w:spacing w:line="440" w:lineRule="exact"/>
        <w:ind w:firstLine="480" w:firstLineChars="200"/>
        <w:rPr>
          <w:rFonts w:hint="eastAsia" w:ascii="仿宋" w:hAnsi="仿宋" w:eastAsia="仿宋" w:cs="仿宋"/>
          <w:color w:val="auto"/>
          <w:sz w:val="24"/>
          <w:szCs w:val="24"/>
          <w:highlight w:val="none"/>
        </w:rPr>
      </w:pPr>
    </w:p>
    <w:p w14:paraId="67BDABC5">
      <w:pPr>
        <w:spacing w:line="440" w:lineRule="exact"/>
        <w:ind w:firstLine="480" w:firstLineChars="200"/>
        <w:rPr>
          <w:rFonts w:hint="eastAsia" w:ascii="仿宋" w:hAnsi="仿宋" w:eastAsia="仿宋" w:cs="仿宋"/>
          <w:color w:val="auto"/>
          <w:sz w:val="24"/>
          <w:szCs w:val="24"/>
          <w:highlight w:val="none"/>
        </w:rPr>
      </w:pPr>
    </w:p>
    <w:p w14:paraId="03963A72">
      <w:pPr>
        <w:spacing w:line="440" w:lineRule="exact"/>
        <w:ind w:firstLine="480" w:firstLineChars="200"/>
        <w:rPr>
          <w:rFonts w:hint="eastAsia" w:ascii="仿宋" w:hAnsi="仿宋" w:eastAsia="仿宋" w:cs="仿宋"/>
          <w:color w:val="auto"/>
          <w:sz w:val="24"/>
          <w:szCs w:val="24"/>
          <w:highlight w:val="none"/>
        </w:rPr>
      </w:pPr>
    </w:p>
    <w:p w14:paraId="6DD2B7B3">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06AC6A22">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（签字或盖章）</w:t>
      </w:r>
    </w:p>
    <w:p w14:paraId="2A43A028">
      <w:pPr>
        <w:spacing w:line="440" w:lineRule="exact"/>
        <w:jc w:val="right"/>
        <w:rPr>
          <w:rFonts w:hint="eastAsia" w:ascii="仿宋" w:hAnsi="仿宋" w:eastAsia="仿宋" w:cs="仿宋"/>
          <w:color w:val="auto"/>
          <w:sz w:val="24"/>
          <w:szCs w:val="24"/>
          <w:highlight w:val="none"/>
        </w:rPr>
      </w:pPr>
    </w:p>
    <w:p w14:paraId="07B3CA52">
      <w:pPr>
        <w:spacing w:line="440" w:lineRule="exact"/>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p>
    <w:p w14:paraId="13E34A43">
      <w:pPr>
        <w:spacing w:before="312" w:beforeLines="100" w:after="312" w:afterLines="100"/>
        <w:jc w:val="center"/>
        <w:rPr>
          <w:rFonts w:hint="eastAsia" w:ascii="仿宋" w:hAnsi="仿宋" w:eastAsia="仿宋" w:cs="仿宋"/>
          <w:color w:val="auto"/>
          <w:sz w:val="24"/>
          <w:highlight w:val="none"/>
        </w:rPr>
      </w:pPr>
    </w:p>
    <w:p w14:paraId="40609AC2">
      <w:pPr>
        <w:spacing w:line="360" w:lineRule="auto"/>
        <w:ind w:firstLine="643" w:firstLineChars="200"/>
        <w:jc w:val="center"/>
        <w:rPr>
          <w:rFonts w:hint="eastAsia" w:ascii="仿宋" w:hAnsi="仿宋" w:eastAsia="仿宋" w:cs="仿宋"/>
          <w:b/>
          <w:color w:val="auto"/>
          <w:sz w:val="32"/>
          <w:highlight w:val="none"/>
        </w:rPr>
      </w:pPr>
    </w:p>
    <w:p w14:paraId="71BB17A5">
      <w:pPr>
        <w:spacing w:line="360" w:lineRule="auto"/>
        <w:ind w:firstLine="643" w:firstLineChars="200"/>
        <w:jc w:val="center"/>
        <w:rPr>
          <w:rFonts w:hint="eastAsia" w:ascii="仿宋" w:hAnsi="仿宋" w:eastAsia="仿宋" w:cs="仿宋"/>
          <w:b/>
          <w:color w:val="auto"/>
          <w:sz w:val="32"/>
          <w:highlight w:val="none"/>
        </w:rPr>
      </w:pPr>
    </w:p>
    <w:p w14:paraId="31DF438C">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bookmarkStart w:id="1125" w:name="_Toc11472"/>
      <w:bookmarkStart w:id="1126" w:name="_Toc208427826"/>
      <w:bookmarkStart w:id="1127" w:name="_Toc208436189"/>
      <w:r>
        <w:rPr>
          <w:rFonts w:hint="eastAsia" w:ascii="仿宋" w:hAnsi="仿宋" w:eastAsia="仿宋" w:cs="仿宋"/>
          <w:b/>
          <w:color w:val="auto"/>
          <w:sz w:val="32"/>
          <w:highlight w:val="none"/>
        </w:rPr>
        <w:t>二、承包人业绩</w:t>
      </w:r>
      <w:bookmarkEnd w:id="1125"/>
      <w:bookmarkEnd w:id="1126"/>
      <w:bookmarkEnd w:id="1127"/>
    </w:p>
    <w:tbl>
      <w:tblPr>
        <w:tblStyle w:val="3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14:paraId="676A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noWrap w:val="0"/>
            <w:vAlign w:val="center"/>
          </w:tcPr>
          <w:p w14:paraId="48BC99E6">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6253" w:type="dxa"/>
            <w:noWrap w:val="0"/>
            <w:vAlign w:val="top"/>
          </w:tcPr>
          <w:p w14:paraId="23D69FD2">
            <w:pPr>
              <w:topLinePunct/>
              <w:spacing w:line="440" w:lineRule="exact"/>
              <w:rPr>
                <w:rFonts w:hint="eastAsia" w:ascii="仿宋" w:hAnsi="仿宋" w:eastAsia="仿宋" w:cs="仿宋"/>
                <w:color w:val="auto"/>
                <w:highlight w:val="none"/>
              </w:rPr>
            </w:pPr>
          </w:p>
        </w:tc>
      </w:tr>
      <w:tr w14:paraId="46A7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noWrap w:val="0"/>
            <w:vAlign w:val="center"/>
          </w:tcPr>
          <w:p w14:paraId="0691AFB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买方名称</w:t>
            </w:r>
          </w:p>
        </w:tc>
        <w:tc>
          <w:tcPr>
            <w:tcW w:w="6253" w:type="dxa"/>
            <w:noWrap w:val="0"/>
            <w:vAlign w:val="top"/>
          </w:tcPr>
          <w:p w14:paraId="2063FCB0">
            <w:pPr>
              <w:topLinePunct/>
              <w:spacing w:line="440" w:lineRule="exact"/>
              <w:rPr>
                <w:rFonts w:hint="eastAsia" w:ascii="仿宋" w:hAnsi="仿宋" w:eastAsia="仿宋" w:cs="仿宋"/>
                <w:color w:val="auto"/>
                <w:highlight w:val="none"/>
              </w:rPr>
            </w:pPr>
          </w:p>
        </w:tc>
      </w:tr>
      <w:tr w14:paraId="3BB9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269" w:type="dxa"/>
            <w:noWrap w:val="0"/>
            <w:vAlign w:val="center"/>
          </w:tcPr>
          <w:p w14:paraId="0E8BDF4C">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买方联系人及电话</w:t>
            </w:r>
          </w:p>
        </w:tc>
        <w:tc>
          <w:tcPr>
            <w:tcW w:w="6253" w:type="dxa"/>
            <w:noWrap w:val="0"/>
            <w:vAlign w:val="top"/>
          </w:tcPr>
          <w:p w14:paraId="014E34CC">
            <w:pPr>
              <w:topLinePunct/>
              <w:spacing w:line="440" w:lineRule="exact"/>
              <w:rPr>
                <w:rFonts w:hint="eastAsia" w:ascii="仿宋" w:hAnsi="仿宋" w:eastAsia="仿宋" w:cs="仿宋"/>
                <w:color w:val="auto"/>
                <w:highlight w:val="none"/>
              </w:rPr>
            </w:pPr>
          </w:p>
        </w:tc>
      </w:tr>
      <w:tr w14:paraId="7815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noWrap w:val="0"/>
            <w:vAlign w:val="center"/>
          </w:tcPr>
          <w:p w14:paraId="125C66DE">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合同价格</w:t>
            </w:r>
          </w:p>
        </w:tc>
        <w:tc>
          <w:tcPr>
            <w:tcW w:w="6253" w:type="dxa"/>
            <w:noWrap w:val="0"/>
            <w:vAlign w:val="top"/>
          </w:tcPr>
          <w:p w14:paraId="5119B5EC">
            <w:pPr>
              <w:topLinePunct/>
              <w:spacing w:line="440" w:lineRule="exact"/>
              <w:rPr>
                <w:rFonts w:hint="eastAsia" w:ascii="仿宋" w:hAnsi="仿宋" w:eastAsia="仿宋" w:cs="仿宋"/>
                <w:color w:val="auto"/>
                <w:highlight w:val="none"/>
              </w:rPr>
            </w:pPr>
          </w:p>
        </w:tc>
      </w:tr>
      <w:tr w14:paraId="4A77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471591C6">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项目概况及投标人履约情况</w:t>
            </w:r>
          </w:p>
        </w:tc>
        <w:tc>
          <w:tcPr>
            <w:tcW w:w="6253" w:type="dxa"/>
            <w:noWrap w:val="0"/>
            <w:vAlign w:val="top"/>
          </w:tcPr>
          <w:p w14:paraId="0E6A4C0F">
            <w:pPr>
              <w:topLinePunct/>
              <w:spacing w:line="440" w:lineRule="exact"/>
              <w:rPr>
                <w:rFonts w:hint="eastAsia" w:ascii="仿宋" w:hAnsi="仿宋" w:eastAsia="仿宋" w:cs="仿宋"/>
                <w:color w:val="auto"/>
                <w:highlight w:val="none"/>
              </w:rPr>
            </w:pPr>
          </w:p>
          <w:p w14:paraId="670760AD">
            <w:pPr>
              <w:topLinePunct/>
              <w:spacing w:line="440" w:lineRule="exact"/>
              <w:rPr>
                <w:rFonts w:hint="eastAsia" w:ascii="仿宋" w:hAnsi="仿宋" w:eastAsia="仿宋" w:cs="仿宋"/>
                <w:color w:val="auto"/>
                <w:highlight w:val="none"/>
              </w:rPr>
            </w:pPr>
          </w:p>
          <w:p w14:paraId="669D5E45">
            <w:pPr>
              <w:topLinePunct/>
              <w:spacing w:line="440" w:lineRule="exact"/>
              <w:rPr>
                <w:rFonts w:hint="eastAsia" w:ascii="仿宋" w:hAnsi="仿宋" w:eastAsia="仿宋" w:cs="仿宋"/>
                <w:color w:val="auto"/>
                <w:highlight w:val="none"/>
              </w:rPr>
            </w:pPr>
          </w:p>
        </w:tc>
      </w:tr>
      <w:tr w14:paraId="1001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4DA2F71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6253" w:type="dxa"/>
            <w:noWrap w:val="0"/>
            <w:vAlign w:val="top"/>
          </w:tcPr>
          <w:p w14:paraId="3AB84B1D">
            <w:pPr>
              <w:topLinePunct/>
              <w:spacing w:line="440" w:lineRule="exact"/>
              <w:rPr>
                <w:rFonts w:hint="eastAsia" w:ascii="仿宋" w:hAnsi="仿宋" w:eastAsia="仿宋" w:cs="仿宋"/>
                <w:color w:val="auto"/>
                <w:highlight w:val="none"/>
              </w:rPr>
            </w:pPr>
          </w:p>
        </w:tc>
      </w:tr>
    </w:tbl>
    <w:p w14:paraId="3406EBC1">
      <w:pP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注：投标人应根据评审要求后附相关证明材料。</w:t>
      </w:r>
    </w:p>
    <w:p w14:paraId="34C01C61">
      <w:pPr>
        <w:pStyle w:val="11"/>
        <w:rPr>
          <w:rFonts w:hint="eastAsia" w:ascii="仿宋" w:hAnsi="仿宋" w:eastAsia="仿宋" w:cs="仿宋"/>
          <w:color w:val="auto"/>
          <w:highlight w:val="none"/>
        </w:rPr>
      </w:pPr>
    </w:p>
    <w:p w14:paraId="705104C5">
      <w:pPr>
        <w:rPr>
          <w:rFonts w:hint="eastAsia" w:ascii="仿宋" w:hAnsi="仿宋" w:eastAsia="仿宋" w:cs="仿宋"/>
          <w:color w:val="auto"/>
          <w:highlight w:val="none"/>
        </w:rPr>
      </w:pPr>
    </w:p>
    <w:p w14:paraId="037972AC">
      <w:pPr>
        <w:spacing w:line="360" w:lineRule="auto"/>
        <w:ind w:firstLine="643" w:firstLineChars="200"/>
        <w:jc w:val="center"/>
        <w:rPr>
          <w:rFonts w:hint="eastAsia" w:ascii="仿宋" w:hAnsi="仿宋" w:eastAsia="仿宋" w:cs="仿宋"/>
          <w:b/>
          <w:color w:val="auto"/>
          <w:sz w:val="32"/>
          <w:highlight w:val="none"/>
        </w:rPr>
      </w:pPr>
    </w:p>
    <w:p w14:paraId="5E081FC7">
      <w:pPr>
        <w:spacing w:line="360" w:lineRule="auto"/>
        <w:ind w:firstLine="643" w:firstLineChars="200"/>
        <w:jc w:val="center"/>
        <w:rPr>
          <w:rFonts w:hint="eastAsia" w:ascii="仿宋" w:hAnsi="仿宋" w:eastAsia="仿宋" w:cs="仿宋"/>
          <w:b/>
          <w:color w:val="auto"/>
          <w:sz w:val="32"/>
          <w:highlight w:val="none"/>
        </w:rPr>
      </w:pPr>
    </w:p>
    <w:p w14:paraId="4A05D6AC">
      <w:pPr>
        <w:spacing w:line="360" w:lineRule="auto"/>
        <w:ind w:firstLine="643" w:firstLineChars="200"/>
        <w:jc w:val="center"/>
        <w:rPr>
          <w:rFonts w:hint="eastAsia" w:ascii="仿宋" w:hAnsi="仿宋" w:eastAsia="仿宋" w:cs="仿宋"/>
          <w:b/>
          <w:color w:val="auto"/>
          <w:sz w:val="32"/>
          <w:highlight w:val="none"/>
        </w:rPr>
      </w:pPr>
    </w:p>
    <w:p w14:paraId="2D820F65">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bookmarkStart w:id="1128" w:name="_Toc16072"/>
      <w:bookmarkStart w:id="1129" w:name="_Toc208427827"/>
      <w:bookmarkStart w:id="1130" w:name="_Toc208436190"/>
      <w:r>
        <w:rPr>
          <w:rFonts w:hint="eastAsia" w:ascii="仿宋" w:hAnsi="仿宋" w:eastAsia="仿宋" w:cs="仿宋"/>
          <w:b/>
          <w:color w:val="auto"/>
          <w:sz w:val="32"/>
          <w:highlight w:val="none"/>
        </w:rPr>
        <w:t>三、资格审查资料</w:t>
      </w:r>
      <w:bookmarkEnd w:id="1128"/>
      <w:bookmarkEnd w:id="1129"/>
      <w:bookmarkEnd w:id="1130"/>
    </w:p>
    <w:bookmarkEnd w:id="1002"/>
    <w:bookmarkEnd w:id="1003"/>
    <w:tbl>
      <w:tblPr>
        <w:tblStyle w:val="3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0FC6B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47A2154">
            <w:pPr>
              <w:topLinePunct/>
              <w:spacing w:line="440" w:lineRule="exact"/>
              <w:jc w:val="center"/>
              <w:rPr>
                <w:rFonts w:hint="eastAsia" w:ascii="仿宋" w:hAnsi="仿宋" w:eastAsia="仿宋" w:cs="仿宋"/>
                <w:color w:val="auto"/>
                <w:szCs w:val="21"/>
                <w:highlight w:val="none"/>
              </w:rPr>
            </w:pPr>
            <w:bookmarkStart w:id="1131" w:name="_Toc290389791"/>
            <w:bookmarkStart w:id="1132" w:name="_Toc291488680"/>
            <w:r>
              <w:rPr>
                <w:rFonts w:hint="eastAsia" w:ascii="仿宋" w:hAnsi="仿宋" w:eastAsia="仿宋" w:cs="仿宋"/>
                <w:color w:val="auto"/>
                <w:szCs w:val="21"/>
                <w:highlight w:val="none"/>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D15B334">
            <w:pPr>
              <w:topLinePunct/>
              <w:spacing w:line="440" w:lineRule="exact"/>
              <w:jc w:val="center"/>
              <w:rPr>
                <w:rFonts w:hint="eastAsia" w:ascii="仿宋" w:hAnsi="仿宋" w:eastAsia="仿宋" w:cs="仿宋"/>
                <w:color w:val="auto"/>
                <w:szCs w:val="21"/>
                <w:highlight w:val="none"/>
              </w:rPr>
            </w:pPr>
          </w:p>
        </w:tc>
      </w:tr>
      <w:tr w14:paraId="14B8C8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6FE89C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39928712">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1AF12A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0D673F62">
            <w:pPr>
              <w:topLinePunct/>
              <w:spacing w:line="440" w:lineRule="exact"/>
              <w:jc w:val="center"/>
              <w:rPr>
                <w:rFonts w:hint="eastAsia" w:ascii="仿宋" w:hAnsi="仿宋" w:eastAsia="仿宋" w:cs="仿宋"/>
                <w:color w:val="auto"/>
                <w:szCs w:val="21"/>
                <w:highlight w:val="none"/>
              </w:rPr>
            </w:pPr>
          </w:p>
        </w:tc>
      </w:tr>
      <w:tr w14:paraId="38DAC7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07B1DA2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3189B89">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02179B67">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449AD4B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647F9E2">
            <w:pPr>
              <w:topLinePunct/>
              <w:spacing w:line="440" w:lineRule="exact"/>
              <w:jc w:val="center"/>
              <w:rPr>
                <w:rFonts w:hint="eastAsia" w:ascii="仿宋" w:hAnsi="仿宋" w:eastAsia="仿宋" w:cs="仿宋"/>
                <w:color w:val="auto"/>
                <w:szCs w:val="21"/>
                <w:highlight w:val="none"/>
              </w:rPr>
            </w:pPr>
          </w:p>
        </w:tc>
      </w:tr>
      <w:tr w14:paraId="7C6B3C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7A27EC32">
            <w:pPr>
              <w:topLinePunct/>
              <w:spacing w:line="440" w:lineRule="exact"/>
              <w:jc w:val="center"/>
              <w:rPr>
                <w:rFonts w:hint="eastAsia" w:ascii="仿宋" w:hAnsi="仿宋" w:eastAsia="仿宋" w:cs="仿宋"/>
                <w:color w:val="auto"/>
                <w:szCs w:val="21"/>
                <w:highlight w:val="none"/>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289591AA">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6D1CDFC2">
            <w:pPr>
              <w:topLinePunct/>
              <w:spacing w:line="440" w:lineRule="exact"/>
              <w:jc w:val="center"/>
              <w:rPr>
                <w:rFonts w:hint="eastAsia" w:ascii="仿宋" w:hAnsi="仿宋" w:eastAsia="仿宋" w:cs="仿宋"/>
                <w:color w:val="auto"/>
                <w:szCs w:val="21"/>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2974469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76BC8360">
            <w:pPr>
              <w:topLinePunct/>
              <w:spacing w:line="440" w:lineRule="exact"/>
              <w:jc w:val="center"/>
              <w:rPr>
                <w:rFonts w:hint="eastAsia" w:ascii="仿宋" w:hAnsi="仿宋" w:eastAsia="仿宋" w:cs="仿宋"/>
                <w:color w:val="auto"/>
                <w:szCs w:val="21"/>
                <w:highlight w:val="none"/>
              </w:rPr>
            </w:pPr>
          </w:p>
        </w:tc>
      </w:tr>
      <w:tr w14:paraId="2A2DD6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FBD670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06AC8B67">
            <w:pPr>
              <w:topLinePunct/>
              <w:spacing w:line="440" w:lineRule="exact"/>
              <w:jc w:val="center"/>
              <w:rPr>
                <w:rFonts w:hint="eastAsia" w:ascii="仿宋" w:hAnsi="仿宋" w:eastAsia="仿宋" w:cs="仿宋"/>
                <w:color w:val="auto"/>
                <w:szCs w:val="21"/>
                <w:highlight w:val="none"/>
              </w:rPr>
            </w:pPr>
          </w:p>
        </w:tc>
      </w:tr>
      <w:tr w14:paraId="058C84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5EA26B9">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6BF13F5">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3D852FA8">
            <w:pPr>
              <w:topLinePunct/>
              <w:spacing w:line="440" w:lineRule="exact"/>
              <w:jc w:val="center"/>
              <w:rPr>
                <w:rFonts w:hint="eastAsia" w:ascii="仿宋" w:hAnsi="仿宋" w:eastAsia="仿宋" w:cs="仿宋"/>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7D6427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22070CC9">
            <w:pPr>
              <w:topLinePunct/>
              <w:spacing w:line="440" w:lineRule="exact"/>
              <w:jc w:val="center"/>
              <w:rPr>
                <w:rFonts w:hint="eastAsia" w:ascii="仿宋" w:hAnsi="仿宋" w:eastAsia="仿宋" w:cs="仿宋"/>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5FD3647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E61411">
            <w:pPr>
              <w:topLinePunct/>
              <w:spacing w:line="440" w:lineRule="exact"/>
              <w:jc w:val="center"/>
              <w:rPr>
                <w:rFonts w:hint="eastAsia" w:ascii="仿宋" w:hAnsi="仿宋" w:eastAsia="仿宋" w:cs="仿宋"/>
                <w:color w:val="auto"/>
                <w:szCs w:val="21"/>
                <w:highlight w:val="none"/>
              </w:rPr>
            </w:pPr>
          </w:p>
        </w:tc>
      </w:tr>
      <w:tr w14:paraId="24B2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5B0A2F8">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8E8872B">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017F6ADE">
            <w:pPr>
              <w:topLinePunct/>
              <w:spacing w:line="440" w:lineRule="exact"/>
              <w:jc w:val="center"/>
              <w:rPr>
                <w:rFonts w:hint="eastAsia" w:ascii="仿宋" w:hAnsi="仿宋" w:eastAsia="仿宋" w:cs="仿宋"/>
                <w:color w:val="auto"/>
                <w:szCs w:val="21"/>
                <w:highlight w:val="none"/>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7D7B553">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6E49E770">
            <w:pPr>
              <w:topLinePunct/>
              <w:spacing w:line="440" w:lineRule="exact"/>
              <w:jc w:val="center"/>
              <w:rPr>
                <w:rFonts w:hint="eastAsia" w:ascii="仿宋" w:hAnsi="仿宋" w:eastAsia="仿宋" w:cs="仿宋"/>
                <w:color w:val="auto"/>
                <w:szCs w:val="21"/>
                <w:highlight w:val="none"/>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6FC58F1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58BAAF">
            <w:pPr>
              <w:topLinePunct/>
              <w:spacing w:line="440" w:lineRule="exact"/>
              <w:jc w:val="center"/>
              <w:rPr>
                <w:rFonts w:hint="eastAsia" w:ascii="仿宋" w:hAnsi="仿宋" w:eastAsia="仿宋" w:cs="仿宋"/>
                <w:color w:val="auto"/>
                <w:szCs w:val="21"/>
                <w:highlight w:val="none"/>
              </w:rPr>
            </w:pPr>
          </w:p>
        </w:tc>
      </w:tr>
      <w:tr w14:paraId="456E78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64200012">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150DE80">
            <w:pPr>
              <w:topLinePunct/>
              <w:spacing w:line="440" w:lineRule="exact"/>
              <w:jc w:val="center"/>
              <w:rPr>
                <w:rFonts w:hint="eastAsia" w:ascii="仿宋" w:hAnsi="仿宋" w:eastAsia="仿宋" w:cs="仿宋"/>
                <w:color w:val="auto"/>
                <w:szCs w:val="21"/>
                <w:highlight w:val="none"/>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5C594906">
            <w:pPr>
              <w:topLinePunct/>
              <w:spacing w:line="440" w:lineRule="exact"/>
              <w:ind w:firstLine="1050" w:firstLineChars="5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员工总人数：</w:t>
            </w:r>
          </w:p>
        </w:tc>
      </w:tr>
      <w:tr w14:paraId="626AD7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9CC2F31">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4F7874C">
            <w:pPr>
              <w:topLinePunct/>
              <w:spacing w:line="440" w:lineRule="exact"/>
              <w:jc w:val="center"/>
              <w:rPr>
                <w:rFonts w:hint="eastAsia" w:ascii="仿宋" w:hAnsi="仿宋" w:eastAsia="仿宋" w:cs="仿宋"/>
                <w:color w:val="auto"/>
                <w:szCs w:val="21"/>
                <w:highlight w:val="none"/>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1A6A7E5A">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6BC87AF">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5645050">
            <w:pPr>
              <w:topLinePunct/>
              <w:spacing w:line="440" w:lineRule="exact"/>
              <w:jc w:val="center"/>
              <w:rPr>
                <w:rFonts w:hint="eastAsia" w:ascii="仿宋" w:hAnsi="仿宋" w:eastAsia="仿宋" w:cs="仿宋"/>
                <w:color w:val="auto"/>
                <w:szCs w:val="21"/>
                <w:highlight w:val="none"/>
              </w:rPr>
            </w:pPr>
          </w:p>
        </w:tc>
      </w:tr>
      <w:tr w14:paraId="1263F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7486DC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02401E6">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7F0262D9">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D1BC617">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F69083F">
            <w:pPr>
              <w:topLinePunct/>
              <w:spacing w:line="440" w:lineRule="exact"/>
              <w:jc w:val="center"/>
              <w:rPr>
                <w:rFonts w:hint="eastAsia" w:ascii="仿宋" w:hAnsi="仿宋" w:eastAsia="仿宋" w:cs="仿宋"/>
                <w:color w:val="auto"/>
                <w:szCs w:val="21"/>
                <w:highlight w:val="none"/>
              </w:rPr>
            </w:pPr>
          </w:p>
        </w:tc>
      </w:tr>
      <w:tr w14:paraId="11D9AB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D7139B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6287E42">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550537BD">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023DEE8">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185D611">
            <w:pPr>
              <w:topLinePunct/>
              <w:spacing w:line="440" w:lineRule="exact"/>
              <w:jc w:val="center"/>
              <w:rPr>
                <w:rFonts w:hint="eastAsia" w:ascii="仿宋" w:hAnsi="仿宋" w:eastAsia="仿宋" w:cs="仿宋"/>
                <w:color w:val="auto"/>
                <w:szCs w:val="21"/>
                <w:highlight w:val="none"/>
              </w:rPr>
            </w:pPr>
          </w:p>
        </w:tc>
      </w:tr>
      <w:tr w14:paraId="5410AB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679A6ED">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78AD861">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6EF5E8BA">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C49B93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38CC76C2">
            <w:pPr>
              <w:topLinePunct/>
              <w:spacing w:line="440" w:lineRule="exact"/>
              <w:jc w:val="center"/>
              <w:rPr>
                <w:rFonts w:hint="eastAsia" w:ascii="仿宋" w:hAnsi="仿宋" w:eastAsia="仿宋" w:cs="仿宋"/>
                <w:color w:val="auto"/>
                <w:szCs w:val="21"/>
                <w:highlight w:val="none"/>
              </w:rPr>
            </w:pPr>
          </w:p>
        </w:tc>
      </w:tr>
      <w:tr w14:paraId="06B07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F2A2A34">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C6E90BB">
            <w:pPr>
              <w:topLinePunct/>
              <w:spacing w:line="440" w:lineRule="exact"/>
              <w:jc w:val="center"/>
              <w:rPr>
                <w:rFonts w:hint="eastAsia" w:ascii="仿宋" w:hAnsi="仿宋" w:eastAsia="仿宋" w:cs="仿宋"/>
                <w:color w:val="auto"/>
                <w:szCs w:val="21"/>
                <w:highlight w:val="none"/>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C53EEFC">
            <w:pPr>
              <w:topLinePunct/>
              <w:spacing w:line="440" w:lineRule="exact"/>
              <w:jc w:val="center"/>
              <w:rPr>
                <w:rFonts w:hint="eastAsia" w:ascii="仿宋" w:hAnsi="仿宋" w:eastAsia="仿宋" w:cs="仿宋"/>
                <w:color w:val="auto"/>
                <w:szCs w:val="21"/>
                <w:highlight w:val="none"/>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7E13B78">
            <w:pPr>
              <w:jc w:val="center"/>
              <w:rPr>
                <w:rFonts w:hint="eastAsia" w:ascii="仿宋" w:hAnsi="仿宋" w:eastAsia="仿宋" w:cs="仿宋"/>
                <w:color w:val="auto"/>
                <w:highlight w:val="none"/>
              </w:rPr>
            </w:pPr>
            <w:r>
              <w:rPr>
                <w:rFonts w:hint="eastAsia" w:ascii="仿宋" w:hAnsi="仿宋" w:eastAsia="仿宋" w:cs="仿宋"/>
                <w:color w:val="auto"/>
                <w:highlight w:val="none"/>
              </w:rPr>
              <w:t>技  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2B7DA74">
            <w:pPr>
              <w:topLinePunct/>
              <w:spacing w:line="440" w:lineRule="exact"/>
              <w:jc w:val="center"/>
              <w:rPr>
                <w:rFonts w:hint="eastAsia" w:ascii="仿宋" w:hAnsi="仿宋" w:eastAsia="仿宋" w:cs="仿宋"/>
                <w:color w:val="auto"/>
                <w:szCs w:val="21"/>
                <w:highlight w:val="none"/>
              </w:rPr>
            </w:pPr>
          </w:p>
        </w:tc>
      </w:tr>
      <w:tr w14:paraId="73AA5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noWrap w:val="0"/>
            <w:vAlign w:val="center"/>
          </w:tcPr>
          <w:p w14:paraId="1764FCA0">
            <w:pPr>
              <w:topLinePunct/>
              <w:spacing w:line="440" w:lineRule="exact"/>
              <w:ind w:firstLine="210" w:firstLineChars="1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经营范围</w:t>
            </w:r>
          </w:p>
        </w:tc>
        <w:tc>
          <w:tcPr>
            <w:tcW w:w="6840" w:type="dxa"/>
            <w:gridSpan w:val="9"/>
            <w:tcBorders>
              <w:top w:val="single" w:color="auto" w:sz="4" w:space="0"/>
              <w:left w:val="single" w:color="auto" w:sz="4" w:space="0"/>
              <w:right w:val="single" w:color="auto" w:sz="4" w:space="0"/>
            </w:tcBorders>
            <w:noWrap w:val="0"/>
            <w:vAlign w:val="center"/>
          </w:tcPr>
          <w:p w14:paraId="1AE1A344">
            <w:pPr>
              <w:topLinePunct/>
              <w:spacing w:line="440" w:lineRule="exact"/>
              <w:jc w:val="center"/>
              <w:rPr>
                <w:rFonts w:hint="eastAsia" w:ascii="仿宋" w:hAnsi="仿宋" w:eastAsia="仿宋" w:cs="仿宋"/>
                <w:color w:val="auto"/>
                <w:szCs w:val="21"/>
                <w:highlight w:val="none"/>
              </w:rPr>
            </w:pPr>
          </w:p>
          <w:p w14:paraId="3E1936BB">
            <w:pPr>
              <w:topLinePunct/>
              <w:spacing w:line="440" w:lineRule="exact"/>
              <w:jc w:val="center"/>
              <w:rPr>
                <w:rFonts w:hint="eastAsia" w:ascii="仿宋" w:hAnsi="仿宋" w:eastAsia="仿宋" w:cs="仿宋"/>
                <w:color w:val="auto"/>
                <w:szCs w:val="21"/>
                <w:highlight w:val="none"/>
              </w:rPr>
            </w:pPr>
          </w:p>
          <w:p w14:paraId="69123F60">
            <w:pPr>
              <w:topLinePunct/>
              <w:spacing w:line="440" w:lineRule="exact"/>
              <w:jc w:val="center"/>
              <w:rPr>
                <w:rFonts w:hint="eastAsia" w:ascii="仿宋" w:hAnsi="仿宋" w:eastAsia="仿宋" w:cs="仿宋"/>
                <w:color w:val="auto"/>
                <w:szCs w:val="21"/>
                <w:highlight w:val="none"/>
              </w:rPr>
            </w:pPr>
          </w:p>
          <w:p w14:paraId="23B862B4">
            <w:pPr>
              <w:topLinePunct/>
              <w:spacing w:line="440" w:lineRule="exact"/>
              <w:jc w:val="center"/>
              <w:rPr>
                <w:rFonts w:hint="eastAsia" w:ascii="仿宋" w:hAnsi="仿宋" w:eastAsia="仿宋" w:cs="仿宋"/>
                <w:color w:val="auto"/>
                <w:szCs w:val="21"/>
                <w:highlight w:val="none"/>
              </w:rPr>
            </w:pPr>
          </w:p>
          <w:p w14:paraId="365CAB05">
            <w:pPr>
              <w:topLinePunct/>
              <w:spacing w:line="440" w:lineRule="exact"/>
              <w:jc w:val="center"/>
              <w:rPr>
                <w:rFonts w:hint="eastAsia" w:ascii="仿宋" w:hAnsi="仿宋" w:eastAsia="仿宋" w:cs="仿宋"/>
                <w:color w:val="auto"/>
                <w:szCs w:val="21"/>
                <w:highlight w:val="none"/>
              </w:rPr>
            </w:pPr>
          </w:p>
          <w:p w14:paraId="4A018F91">
            <w:pPr>
              <w:topLinePunct/>
              <w:spacing w:line="440" w:lineRule="exact"/>
              <w:jc w:val="center"/>
              <w:rPr>
                <w:rFonts w:hint="eastAsia" w:ascii="仿宋" w:hAnsi="仿宋" w:eastAsia="仿宋" w:cs="仿宋"/>
                <w:color w:val="auto"/>
                <w:szCs w:val="21"/>
                <w:highlight w:val="none"/>
              </w:rPr>
            </w:pPr>
          </w:p>
          <w:p w14:paraId="1B9430E2">
            <w:pPr>
              <w:topLinePunct/>
              <w:spacing w:line="440" w:lineRule="exact"/>
              <w:rPr>
                <w:rFonts w:hint="eastAsia" w:ascii="仿宋" w:hAnsi="仿宋" w:eastAsia="仿宋" w:cs="仿宋"/>
                <w:color w:val="auto"/>
                <w:szCs w:val="21"/>
                <w:highlight w:val="none"/>
              </w:rPr>
            </w:pPr>
          </w:p>
        </w:tc>
      </w:tr>
      <w:tr w14:paraId="0D9F6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3392B20">
            <w:pPr>
              <w:topLinePunct/>
              <w:spacing w:line="44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7D52AEA5">
            <w:pPr>
              <w:topLinePunct/>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1、含企业概况</w:t>
            </w:r>
          </w:p>
          <w:p w14:paraId="6173954F">
            <w:pPr>
              <w:topLinePunct/>
              <w:spacing w:line="44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2、后附（添加附页）：营业执照、投标人及项目经理资质证书、安全生产许可证、相关声明及承诺、招标文件要求的其他相关证件及资料的复印件并加盖单位红章</w:t>
            </w:r>
          </w:p>
        </w:tc>
      </w:tr>
    </w:tbl>
    <w:p w14:paraId="73B034B8">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14:paraId="1AADB0EB">
      <w:pPr>
        <w:pStyle w:val="5"/>
        <w:ind w:firstLine="0" w:firstLineChars="0"/>
        <w:jc w:val="center"/>
        <w:rPr>
          <w:rFonts w:hint="eastAsia" w:ascii="仿宋" w:hAnsi="仿宋" w:eastAsia="仿宋" w:cs="仿宋"/>
          <w:color w:val="auto"/>
          <w:sz w:val="32"/>
          <w:szCs w:val="32"/>
          <w:highlight w:val="none"/>
        </w:rPr>
      </w:pPr>
      <w:bookmarkStart w:id="1133" w:name="_Toc30953"/>
      <w:r>
        <w:rPr>
          <w:rFonts w:hint="eastAsia" w:ascii="仿宋" w:hAnsi="仿宋" w:eastAsia="仿宋" w:cs="仿宋"/>
          <w:color w:val="auto"/>
          <w:sz w:val="32"/>
          <w:szCs w:val="32"/>
          <w:highlight w:val="none"/>
        </w:rPr>
        <w:t>资格证明文件</w:t>
      </w:r>
      <w:bookmarkEnd w:id="1133"/>
    </w:p>
    <w:p w14:paraId="00352766">
      <w:pPr>
        <w:snapToGrid w:val="0"/>
        <w:spacing w:line="360" w:lineRule="auto"/>
        <w:ind w:left="708" w:hanging="708" w:hangingChars="295"/>
        <w:jc w:val="center"/>
        <w:rPr>
          <w:rFonts w:hint="eastAsia" w:ascii="仿宋" w:hAnsi="仿宋" w:eastAsia="仿宋" w:cs="仿宋"/>
          <w:color w:val="auto"/>
          <w:sz w:val="24"/>
          <w:highlight w:val="none"/>
        </w:rPr>
      </w:pPr>
    </w:p>
    <w:p w14:paraId="03B08653">
      <w:pPr>
        <w:tabs>
          <w:tab w:val="left" w:pos="5580"/>
        </w:tabs>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符合《政府采购法》第二十二条的规定供应商条件，并提供以下证明材料；</w:t>
      </w:r>
    </w:p>
    <w:p w14:paraId="47D759E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（1）投标人合法注册的法人或其他组织的营业执照等证明文件，自然人的身份证明（格式要求见附件6-1）；</w:t>
      </w:r>
    </w:p>
    <w:p w14:paraId="7F24A6E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（2）投标文件截止之日前两年内任意一个年度经审计的财务报告复印件（包括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且审计报告应当经过注册会计师行业统一监管平台备案赋码</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）或</w:t>
      </w:r>
      <w:r>
        <w:rPr>
          <w:rFonts w:hint="eastAsia" w:ascii="仿宋" w:hAnsi="仿宋" w:eastAsia="仿宋" w:cs="仿宋"/>
          <w:color w:val="auto"/>
          <w:spacing w:val="0"/>
          <w:sz w:val="24"/>
          <w:szCs w:val="24"/>
          <w:highlight w:val="none"/>
          <w:lang w:val="en-US" w:eastAsia="zh-CN"/>
        </w:rPr>
        <w:t>递交</w:t>
      </w:r>
      <w:r>
        <w:rPr>
          <w:rFonts w:hint="eastAsia" w:ascii="仿宋" w:hAnsi="仿宋" w:eastAsia="仿宋" w:cs="仿宋"/>
          <w:color w:val="auto"/>
          <w:spacing w:val="0"/>
          <w:sz w:val="24"/>
          <w:szCs w:val="24"/>
          <w:highlight w:val="none"/>
          <w:lang w:eastAsia="zh-CN"/>
        </w:rPr>
        <w:t>投标</w:t>
      </w:r>
      <w:r>
        <w:rPr>
          <w:rFonts w:hint="eastAsia" w:ascii="仿宋" w:hAnsi="仿宋" w:eastAsia="仿宋" w:cs="仿宋"/>
          <w:color w:val="auto"/>
          <w:spacing w:val="0"/>
          <w:sz w:val="24"/>
          <w:szCs w:val="24"/>
          <w:highlight w:val="none"/>
          <w:lang w:val="en-US" w:eastAsia="zh-CN"/>
        </w:rPr>
        <w:t>文件</w:t>
      </w:r>
      <w:r>
        <w:rPr>
          <w:rFonts w:hint="eastAsia" w:ascii="仿宋" w:hAnsi="仿宋" w:eastAsia="仿宋" w:cs="仿宋"/>
          <w:color w:val="auto"/>
          <w:spacing w:val="0"/>
          <w:sz w:val="24"/>
          <w:szCs w:val="24"/>
          <w:highlight w:val="none"/>
          <w:lang w:eastAsia="zh-CN"/>
        </w:rPr>
        <w:t>截止</w:t>
      </w:r>
      <w:r>
        <w:rPr>
          <w:rFonts w:hint="eastAsia" w:ascii="仿宋" w:hAnsi="仿宋" w:eastAsia="仿宋" w:cs="仿宋"/>
          <w:color w:val="auto"/>
          <w:spacing w:val="0"/>
          <w:sz w:val="24"/>
          <w:szCs w:val="24"/>
          <w:highlight w:val="none"/>
          <w:lang w:val="en-US" w:eastAsia="zh-CN"/>
        </w:rPr>
        <w:t>时间</w:t>
      </w:r>
      <w:r>
        <w:rPr>
          <w:rFonts w:hint="eastAsia" w:ascii="仿宋" w:hAnsi="仿宋" w:eastAsia="仿宋" w:cs="仿宋"/>
          <w:color w:val="auto"/>
          <w:sz w:val="24"/>
          <w:highlight w:val="none"/>
          <w:lang w:val="en-US" w:eastAsia="zh-CN"/>
        </w:rPr>
        <w:t>前三个月内</w:t>
      </w:r>
      <w:r>
        <w:rPr>
          <w:rFonts w:hint="eastAsia" w:ascii="仿宋" w:hAnsi="仿宋" w:eastAsia="仿宋" w:cs="仿宋"/>
          <w:color w:val="auto"/>
          <w:spacing w:val="0"/>
          <w:sz w:val="24"/>
          <w:szCs w:val="24"/>
          <w:highlight w:val="none"/>
        </w:rPr>
        <w:t>投标人</w:t>
      </w:r>
      <w:r>
        <w:rPr>
          <w:rFonts w:hint="eastAsia" w:ascii="仿宋" w:hAnsi="仿宋" w:eastAsia="仿宋" w:cs="仿宋"/>
          <w:color w:val="auto"/>
          <w:spacing w:val="0"/>
          <w:sz w:val="24"/>
          <w:szCs w:val="24"/>
          <w:highlight w:val="none"/>
          <w:lang w:val="en-US" w:eastAsia="zh-CN"/>
        </w:rPr>
        <w:t>基本账户</w:t>
      </w:r>
      <w:r>
        <w:rPr>
          <w:rFonts w:hint="eastAsia" w:ascii="仿宋" w:hAnsi="仿宋" w:eastAsia="仿宋" w:cs="仿宋"/>
          <w:color w:val="auto"/>
          <w:sz w:val="24"/>
          <w:highlight w:val="none"/>
        </w:rPr>
        <w:t>开户银行出具的资信证明</w:t>
      </w:r>
      <w:r>
        <w:rPr>
          <w:rFonts w:hint="eastAsia" w:ascii="仿宋" w:hAnsi="仿宋" w:eastAsia="仿宋" w:cs="仿宋"/>
          <w:color w:val="auto"/>
          <w:sz w:val="24"/>
          <w:highlight w:val="none"/>
          <w:lang w:eastAsia="zh-CN"/>
        </w:rPr>
        <w:t>（</w:t>
      </w:r>
      <w:r>
        <w:rPr>
          <w:rFonts w:hint="eastAsia" w:ascii="仿宋" w:hAnsi="仿宋" w:eastAsia="仿宋" w:cs="仿宋"/>
          <w:b/>
          <w:bCs/>
          <w:color w:val="auto"/>
          <w:sz w:val="24"/>
          <w:highlight w:val="none"/>
          <w:lang w:val="en-US" w:eastAsia="zh-CN"/>
        </w:rPr>
        <w:t>并后附开户许可证或基本户信息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（格式要求见附件6-2）；</w:t>
      </w:r>
    </w:p>
    <w:p w14:paraId="01DCDF4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（3）依法缴纳税收和社会保障资金的证明材料复印件（格式见附件6-3、6-4）</w:t>
      </w:r>
    </w:p>
    <w:p w14:paraId="1255109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（4）具备履行合同所必需的设备和专业技术能力的承诺原件（格式见附件6-5）</w:t>
      </w:r>
    </w:p>
    <w:p w14:paraId="1FA7123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（5）投标人参加政府采购活动前3年内在经营活动中没有重大违法记录的书面声明原件（格式见附件6-6）</w:t>
      </w:r>
    </w:p>
    <w:p w14:paraId="6DEB69C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（6）投标人控股股东名称、控股公司的名称和存在管理、被管理关系的单位名称说明（格式见附件6-7）</w:t>
      </w:r>
    </w:p>
    <w:p w14:paraId="653EFF4D">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（7）投标人是否属于为本项目提供整体设计、规范编制或者项目管理、监理、检测等服务的投标人声明原件（格式见附件6-8）</w:t>
      </w:r>
    </w:p>
    <w:p w14:paraId="5EA96B0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（8）证明投标人符合特定资格条件的证明材料；（格式见附件6-9）</w:t>
      </w:r>
    </w:p>
    <w:p w14:paraId="103216C0">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如该采购项目专门面向中小企业，供应商的资格证明文件中应提供中小企业声明函。</w:t>
      </w:r>
    </w:p>
    <w:p w14:paraId="47F0165B">
      <w:pPr>
        <w:snapToGrid w:val="0"/>
        <w:spacing w:line="360" w:lineRule="auto"/>
        <w:ind w:firstLine="480" w:firstLineChars="200"/>
        <w:rPr>
          <w:rFonts w:hint="eastAsia" w:ascii="仿宋" w:hAnsi="仿宋" w:eastAsia="仿宋" w:cs="仿宋"/>
          <w:color w:val="auto"/>
          <w:sz w:val="24"/>
          <w:highlight w:val="none"/>
          <w:lang w:val="en-US" w:eastAsia="zh-CN"/>
        </w:rPr>
      </w:pPr>
    </w:p>
    <w:p w14:paraId="0179AA9D">
      <w:pPr>
        <w:pStyle w:val="15"/>
        <w:tabs>
          <w:tab w:val="left" w:pos="5580"/>
        </w:tabs>
        <w:spacing w:line="360" w:lineRule="auto"/>
        <w:ind w:left="1080"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要求：1</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以上资格证明文件须提供原件或加盖投标人红色公章的复印件。</w:t>
      </w:r>
    </w:p>
    <w:p w14:paraId="1FD59F48">
      <w:pPr>
        <w:pStyle w:val="15"/>
        <w:tabs>
          <w:tab w:val="left" w:pos="5580"/>
        </w:tabs>
        <w:spacing w:line="360" w:lineRule="auto"/>
        <w:ind w:left="1080" w:leftChars="257" w:hanging="54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2</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联合体投标应提供联合体各方满足以上要求的证明文件。</w:t>
      </w:r>
    </w:p>
    <w:p w14:paraId="5CA12BF1">
      <w:pPr>
        <w:pStyle w:val="15"/>
        <w:tabs>
          <w:tab w:val="left" w:pos="5580"/>
        </w:tabs>
        <w:spacing w:line="360" w:lineRule="auto"/>
        <w:ind w:left="1075" w:leftChars="512" w:firstLine="183" w:firstLineChars="76"/>
        <w:rPr>
          <w:rFonts w:hint="eastAsia" w:ascii="仿宋" w:hAnsi="仿宋" w:eastAsia="仿宋" w:cs="仿宋"/>
          <w:b/>
          <w:color w:val="auto"/>
          <w:sz w:val="24"/>
          <w:highlight w:val="none"/>
        </w:rPr>
      </w:pPr>
    </w:p>
    <w:p w14:paraId="75559B25">
      <w:pPr>
        <w:pStyle w:val="15"/>
        <w:tabs>
          <w:tab w:val="left" w:pos="5580"/>
        </w:tabs>
        <w:spacing w:line="360" w:lineRule="auto"/>
        <w:ind w:left="1077" w:leftChars="513" w:firstLine="241" w:firstLineChars="1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p>
    <w:p w14:paraId="3CF0DA1B">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6-1  投标人的企业法人营业执照副本复印件（加盖公章）</w:t>
      </w:r>
    </w:p>
    <w:p w14:paraId="6DE1687F">
      <w:pPr>
        <w:jc w:val="left"/>
        <w:rPr>
          <w:rFonts w:hint="eastAsia" w:ascii="仿宋" w:hAnsi="仿宋" w:eastAsia="仿宋" w:cs="仿宋"/>
          <w:color w:val="auto"/>
          <w:sz w:val="24"/>
          <w:highlight w:val="none"/>
        </w:rPr>
      </w:pPr>
    </w:p>
    <w:p w14:paraId="093E4315">
      <w:pPr>
        <w:tabs>
          <w:tab w:val="left" w:pos="993"/>
          <w:tab w:val="left" w:pos="1030"/>
          <w:tab w:val="left" w:pos="8364"/>
        </w:tabs>
        <w:snapToGrid w:val="0"/>
        <w:spacing w:after="156" w:afterLines="50"/>
        <w:ind w:right="-57"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（注：根据项目实际情况，本项内容可能要求提供“事业单位法人证书”、执业许可证、自然人身份证明等证明材料）</w:t>
      </w:r>
    </w:p>
    <w:p w14:paraId="127A52AC">
      <w:pPr>
        <w:adjustRightInd w:val="0"/>
        <w:spacing w:line="360" w:lineRule="atLeast"/>
        <w:jc w:val="left"/>
        <w:textAlignment w:val="baseline"/>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53173934">
      <w:pPr>
        <w:rPr>
          <w:rFonts w:hint="eastAsia" w:ascii="仿宋" w:hAnsi="仿宋" w:eastAsia="仿宋" w:cs="仿宋"/>
          <w:b/>
          <w:color w:val="auto"/>
          <w:sz w:val="24"/>
          <w:szCs w:val="32"/>
          <w:highlight w:val="none"/>
          <w:lang w:eastAsia="zh-CN"/>
        </w:rPr>
      </w:pPr>
      <w:r>
        <w:rPr>
          <w:rFonts w:hint="eastAsia" w:ascii="仿宋" w:hAnsi="仿宋" w:eastAsia="仿宋" w:cs="仿宋"/>
          <w:b/>
          <w:color w:val="auto"/>
          <w:sz w:val="24"/>
          <w:szCs w:val="32"/>
          <w:highlight w:val="none"/>
        </w:rPr>
        <w:t>6-2  经审计的财务</w:t>
      </w:r>
      <w:r>
        <w:rPr>
          <w:rFonts w:hint="eastAsia" w:ascii="仿宋" w:hAnsi="仿宋" w:eastAsia="仿宋" w:cs="仿宋"/>
          <w:b/>
          <w:color w:val="auto"/>
          <w:sz w:val="24"/>
          <w:szCs w:val="32"/>
          <w:highlight w:val="none"/>
          <w:lang w:val="en-US" w:eastAsia="zh-CN"/>
        </w:rPr>
        <w:t>报告</w:t>
      </w:r>
    </w:p>
    <w:p w14:paraId="765FDEA7">
      <w:pPr>
        <w:spacing w:line="360" w:lineRule="auto"/>
        <w:rPr>
          <w:rFonts w:hint="eastAsia" w:ascii="仿宋" w:hAnsi="仿宋" w:eastAsia="仿宋" w:cs="仿宋"/>
          <w:color w:val="auto"/>
          <w:szCs w:val="21"/>
          <w:highlight w:val="none"/>
        </w:rPr>
      </w:pPr>
    </w:p>
    <w:p w14:paraId="6898CCCE">
      <w:pPr>
        <w:tabs>
          <w:tab w:val="left" w:pos="993"/>
          <w:tab w:val="left" w:pos="1030"/>
          <w:tab w:val="left" w:pos="8364"/>
        </w:tabs>
        <w:snapToGrid w:val="0"/>
        <w:spacing w:after="156" w:afterLines="50"/>
        <w:ind w:right="-57" w:rightChars="-27"/>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提供投标文件截止之日前两年内任意一个年度经审计的财务报告（包括</w:t>
      </w:r>
      <w:r>
        <w:rPr>
          <w:rFonts w:hint="eastAsia" w:ascii="仿宋" w:hAnsi="仿宋" w:eastAsia="仿宋" w:cs="仿宋"/>
          <w:color w:val="auto"/>
          <w:sz w:val="24"/>
          <w:highlight w:val="none"/>
          <w:lang w:val="en-US" w:eastAsia="zh-CN"/>
        </w:rPr>
        <w:t>报告正文、</w:t>
      </w:r>
      <w:r>
        <w:rPr>
          <w:rFonts w:hint="eastAsia" w:ascii="仿宋" w:hAnsi="仿宋" w:eastAsia="仿宋" w:cs="仿宋"/>
          <w:color w:val="auto"/>
          <w:sz w:val="24"/>
          <w:highlight w:val="none"/>
        </w:rPr>
        <w:t>资产负债表、现金流量表、利润表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附注和会计师事务所营业执照，报告正文应当有会计师事务所公章和2名注册会计师的签字及盖章。</w:t>
      </w:r>
      <w:r>
        <w:rPr>
          <w:rFonts w:hint="eastAsia" w:ascii="仿宋" w:hAnsi="仿宋" w:eastAsia="仿宋" w:cs="仿宋"/>
          <w:b/>
          <w:bCs/>
          <w:color w:val="auto"/>
          <w:sz w:val="24"/>
          <w:highlight w:val="none"/>
          <w:lang w:val="en-US" w:eastAsia="zh-CN"/>
        </w:rPr>
        <w:t>审计报告应当经过注册会计师行业统一监管平台备案赋码。</w:t>
      </w:r>
      <w:r>
        <w:rPr>
          <w:rFonts w:hint="eastAsia" w:ascii="仿宋" w:hAnsi="仿宋" w:eastAsia="仿宋" w:cs="仿宋"/>
          <w:color w:val="auto"/>
          <w:sz w:val="24"/>
          <w:highlight w:val="none"/>
        </w:rPr>
        <w:t>）复印件或扫描件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所有复印件或扫描件需加盖单位公章。</w:t>
      </w:r>
    </w:p>
    <w:p w14:paraId="326FC94B">
      <w:pPr>
        <w:spacing w:line="360" w:lineRule="auto"/>
        <w:rPr>
          <w:rFonts w:hint="eastAsia" w:ascii="仿宋" w:hAnsi="仿宋" w:eastAsia="仿宋" w:cs="仿宋"/>
          <w:color w:val="auto"/>
          <w:szCs w:val="21"/>
          <w:highlight w:val="none"/>
        </w:rPr>
      </w:pPr>
    </w:p>
    <w:p w14:paraId="50263120">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或  6-2  递交投标文件截止时间前三个月内投标人</w:t>
      </w:r>
      <w:r>
        <w:rPr>
          <w:rFonts w:hint="eastAsia" w:ascii="仿宋" w:hAnsi="仿宋" w:eastAsia="仿宋" w:cs="仿宋"/>
          <w:b/>
          <w:color w:val="auto"/>
          <w:sz w:val="24"/>
          <w:szCs w:val="32"/>
          <w:highlight w:val="none"/>
          <w:lang w:val="en-US" w:eastAsia="zh-CN"/>
        </w:rPr>
        <w:t>基本账户</w:t>
      </w:r>
      <w:r>
        <w:rPr>
          <w:rFonts w:hint="eastAsia" w:ascii="仿宋" w:hAnsi="仿宋" w:eastAsia="仿宋" w:cs="仿宋"/>
          <w:b/>
          <w:color w:val="auto"/>
          <w:sz w:val="24"/>
          <w:szCs w:val="32"/>
          <w:highlight w:val="none"/>
        </w:rPr>
        <w:t>开户银行出具的资信证明（后附开户许可证或基本户信息）</w:t>
      </w:r>
    </w:p>
    <w:p w14:paraId="0AEA4D01">
      <w:pPr>
        <w:rPr>
          <w:rFonts w:hint="eastAsia" w:ascii="仿宋" w:hAnsi="仿宋" w:eastAsia="仿宋" w:cs="仿宋"/>
          <w:b/>
          <w:color w:val="auto"/>
          <w:sz w:val="24"/>
          <w:szCs w:val="32"/>
          <w:highlight w:val="none"/>
        </w:rPr>
      </w:pPr>
    </w:p>
    <w:p w14:paraId="6CBB3F66">
      <w:pPr>
        <w:tabs>
          <w:tab w:val="left" w:pos="5580"/>
        </w:tabs>
        <w:spacing w:before="120" w:line="360" w:lineRule="auto"/>
        <w:rPr>
          <w:rFonts w:hint="eastAsia" w:ascii="仿宋" w:hAnsi="仿宋" w:eastAsia="仿宋" w:cs="仿宋"/>
          <w:color w:val="auto"/>
          <w:sz w:val="24"/>
          <w:highlight w:val="none"/>
        </w:rPr>
      </w:pPr>
    </w:p>
    <w:p w14:paraId="51FC5539">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6-3  依法缴纳税收的证明</w:t>
      </w:r>
    </w:p>
    <w:p w14:paraId="17B043BE">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p>
    <w:p w14:paraId="0C8DCD71">
      <w:pPr>
        <w:tabs>
          <w:tab w:val="left" w:pos="993"/>
          <w:tab w:val="left" w:pos="1030"/>
          <w:tab w:val="left" w:pos="8364"/>
        </w:tabs>
        <w:snapToGrid w:val="0"/>
        <w:spacing w:after="156" w:afterLines="50"/>
        <w:ind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186F3619">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个月中任何1个月缴税凭证，时间以税款所属时期为准（银行出具的缴税凭证或税务机关出具的证明的复印件，并加盖本单位公章）。</w:t>
      </w:r>
    </w:p>
    <w:p w14:paraId="3C1DEA02">
      <w:pPr>
        <w:tabs>
          <w:tab w:val="left" w:pos="993"/>
          <w:tab w:val="left" w:pos="1030"/>
          <w:tab w:val="left" w:pos="8364"/>
        </w:tabs>
        <w:snapToGrid w:val="0"/>
        <w:spacing w:after="156" w:afterLines="50"/>
        <w:ind w:right="-57" w:rightChars="-27" w:firstLine="960" w:firstLineChars="4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2、依法免税或无须缴纳税收的投标人，应提供相应证明文件。</w:t>
      </w:r>
    </w:p>
    <w:p w14:paraId="5AF0043E">
      <w:pPr>
        <w:tabs>
          <w:tab w:val="left" w:pos="993"/>
          <w:tab w:val="left" w:pos="1030"/>
          <w:tab w:val="left" w:pos="8364"/>
        </w:tabs>
        <w:snapToGrid w:val="0"/>
        <w:spacing w:after="156" w:afterLines="50"/>
        <w:ind w:left="420" w:right="-57" w:rightChars="-27" w:firstLine="480" w:firstLineChars="200"/>
        <w:jc w:val="left"/>
        <w:rPr>
          <w:rFonts w:hint="eastAsia" w:ascii="仿宋" w:hAnsi="仿宋" w:eastAsia="仿宋" w:cs="仿宋"/>
          <w:color w:val="auto"/>
          <w:sz w:val="24"/>
          <w:highlight w:val="none"/>
        </w:rPr>
      </w:pPr>
    </w:p>
    <w:p w14:paraId="24516D0D">
      <w:pPr>
        <w:rPr>
          <w:rFonts w:hint="eastAsia" w:ascii="仿宋" w:hAnsi="仿宋" w:eastAsia="仿宋" w:cs="仿宋"/>
          <w:b/>
          <w:color w:val="auto"/>
          <w:highlight w:val="none"/>
        </w:rPr>
      </w:pPr>
    </w:p>
    <w:p w14:paraId="0114C05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6-4  社会保障资金缴纳记录</w:t>
      </w:r>
    </w:p>
    <w:p w14:paraId="795A35C9">
      <w:pPr>
        <w:tabs>
          <w:tab w:val="left" w:pos="993"/>
          <w:tab w:val="left" w:pos="1030"/>
          <w:tab w:val="left" w:pos="8364"/>
        </w:tabs>
        <w:snapToGrid w:val="0"/>
        <w:spacing w:after="156" w:afterLines="50"/>
        <w:ind w:left="420" w:leftChars="200" w:right="-57" w:rightChars="-27"/>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cr/>
      </w:r>
      <w:r>
        <w:rPr>
          <w:rFonts w:hint="eastAsia" w:ascii="仿宋" w:hAnsi="仿宋" w:eastAsia="仿宋" w:cs="仿宋"/>
          <w:color w:val="auto"/>
          <w:sz w:val="24"/>
          <w:highlight w:val="none"/>
        </w:rPr>
        <w:t>说明：</w:t>
      </w:r>
    </w:p>
    <w:p w14:paraId="3EF74FFD">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1、投标人应提供投标截止时间前近</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个月中至少1个月的缴纳社会保险的凭据（专用收据或社会保险缴纳清单），并加盖本单位公章。</w:t>
      </w:r>
    </w:p>
    <w:p w14:paraId="023A57C7">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2、不需要缴纳社会保障资金的投标人，应提供相应文件证明其不需要缴纳社会保障资金。</w:t>
      </w:r>
    </w:p>
    <w:p w14:paraId="651F5959">
      <w:pPr>
        <w:tabs>
          <w:tab w:val="left" w:pos="993"/>
          <w:tab w:val="left" w:pos="1030"/>
          <w:tab w:val="left" w:pos="8364"/>
        </w:tabs>
        <w:snapToGrid w:val="0"/>
        <w:spacing w:after="156" w:afterLines="50"/>
        <w:ind w:left="420" w:leftChars="200" w:right="-57" w:rightChars="-27" w:firstLine="420" w:firstLineChars="175"/>
        <w:jc w:val="left"/>
        <w:rPr>
          <w:rFonts w:hint="eastAsia" w:ascii="仿宋" w:hAnsi="仿宋" w:eastAsia="仿宋" w:cs="仿宋"/>
          <w:color w:val="auto"/>
          <w:sz w:val="24"/>
          <w:highlight w:val="none"/>
        </w:rPr>
      </w:pPr>
    </w:p>
    <w:p w14:paraId="4681FD1E">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24"/>
          <w:highlight w:val="none"/>
        </w:rPr>
        <w:t xml:space="preserve">6-5  具备履行合同所必需的设备和专业技术能力承诺书                                                                                                                                                                                                                                                                                                                                                                                                                                                                                                                                                                                                                                                                                                      </w:t>
      </w:r>
    </w:p>
    <w:p w14:paraId="382BACD4">
      <w:pPr>
        <w:ind w:firstLine="480"/>
        <w:rPr>
          <w:rFonts w:hint="eastAsia" w:ascii="仿宋" w:hAnsi="仿宋" w:eastAsia="仿宋" w:cs="仿宋"/>
          <w:color w:val="auto"/>
          <w:kern w:val="0"/>
          <w:sz w:val="24"/>
          <w:highlight w:val="none"/>
        </w:rPr>
      </w:pPr>
    </w:p>
    <w:p w14:paraId="307A5E10">
      <w:pPr>
        <w:ind w:firstLine="480"/>
        <w:rPr>
          <w:rFonts w:hint="eastAsia" w:ascii="仿宋" w:hAnsi="仿宋" w:eastAsia="仿宋" w:cs="仿宋"/>
          <w:color w:val="auto"/>
          <w:kern w:val="0"/>
          <w:sz w:val="24"/>
          <w:highlight w:val="none"/>
        </w:rPr>
      </w:pPr>
    </w:p>
    <w:p w14:paraId="18628D31">
      <w:pP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陕西省采购招标有限责任公司：   </w:t>
      </w:r>
    </w:p>
    <w:p w14:paraId="6BB60C61">
      <w:pPr>
        <w:ind w:firstLine="480"/>
        <w:rPr>
          <w:rFonts w:hint="eastAsia" w:ascii="仿宋" w:hAnsi="仿宋" w:eastAsia="仿宋" w:cs="仿宋"/>
          <w:color w:val="auto"/>
          <w:kern w:val="0"/>
          <w:sz w:val="24"/>
          <w:highlight w:val="none"/>
        </w:rPr>
      </w:pPr>
    </w:p>
    <w:p w14:paraId="089BF966">
      <w:pPr>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我公司承诺</w:t>
      </w:r>
      <w:r>
        <w:rPr>
          <w:rFonts w:hint="eastAsia" w:ascii="仿宋" w:hAnsi="仿宋" w:eastAsia="仿宋" w:cs="仿宋"/>
          <w:color w:val="auto"/>
          <w:sz w:val="24"/>
          <w:highlight w:val="none"/>
        </w:rPr>
        <w:t>具备履行合同所必需的设备和专业技术能力</w:t>
      </w:r>
      <w:r>
        <w:rPr>
          <w:rFonts w:hint="eastAsia" w:ascii="仿宋" w:hAnsi="仿宋" w:eastAsia="仿宋" w:cs="仿宋"/>
          <w:color w:val="auto"/>
          <w:kern w:val="0"/>
          <w:sz w:val="24"/>
          <w:highlight w:val="none"/>
        </w:rPr>
        <w:t>。</w:t>
      </w:r>
    </w:p>
    <w:p w14:paraId="1F2DA444">
      <w:pPr>
        <w:ind w:firstLine="480"/>
        <w:rPr>
          <w:rFonts w:hint="eastAsia" w:ascii="仿宋" w:hAnsi="仿宋" w:eastAsia="仿宋" w:cs="仿宋"/>
          <w:b/>
          <w:color w:val="auto"/>
          <w:sz w:val="24"/>
          <w:highlight w:val="none"/>
        </w:rPr>
      </w:pPr>
    </w:p>
    <w:p w14:paraId="7F16016F">
      <w:pPr>
        <w:ind w:firstLine="480"/>
        <w:rPr>
          <w:rFonts w:hint="eastAsia" w:ascii="仿宋" w:hAnsi="仿宋" w:eastAsia="仿宋" w:cs="仿宋"/>
          <w:b/>
          <w:color w:val="auto"/>
          <w:sz w:val="24"/>
          <w:highlight w:val="none"/>
        </w:rPr>
      </w:pPr>
    </w:p>
    <w:p w14:paraId="11F3F6E9">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64C4E10D">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A94B53E">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0F09598">
      <w:pPr>
        <w:ind w:right="280"/>
        <w:rPr>
          <w:rFonts w:hint="eastAsia" w:ascii="仿宋" w:hAnsi="仿宋" w:eastAsia="仿宋" w:cs="仿宋"/>
          <w:color w:val="auto"/>
          <w:sz w:val="24"/>
          <w:highlight w:val="none"/>
        </w:rPr>
      </w:pPr>
    </w:p>
    <w:p w14:paraId="0BD7D029">
      <w:pPr>
        <w:tabs>
          <w:tab w:val="left" w:pos="5580"/>
        </w:tabs>
        <w:spacing w:before="120" w:line="360" w:lineRule="auto"/>
        <w:ind w:firstLine="480" w:firstLineChars="200"/>
        <w:rPr>
          <w:rFonts w:hint="eastAsia" w:ascii="仿宋" w:hAnsi="仿宋" w:eastAsia="仿宋" w:cs="仿宋"/>
          <w:color w:val="auto"/>
          <w:sz w:val="24"/>
          <w:highlight w:val="none"/>
        </w:rPr>
      </w:pPr>
    </w:p>
    <w:p w14:paraId="6AF657C3">
      <w:pPr>
        <w:widowControl/>
        <w:jc w:val="left"/>
        <w:rPr>
          <w:rFonts w:hint="eastAsia" w:ascii="仿宋" w:hAnsi="仿宋" w:eastAsia="仿宋" w:cs="仿宋"/>
          <w:b/>
          <w:color w:val="auto"/>
          <w:sz w:val="24"/>
          <w:highlight w:val="none"/>
        </w:rPr>
      </w:pPr>
    </w:p>
    <w:p w14:paraId="0B3EAF61">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 xml:space="preserve"> 6-6  投标人参加政府采购活动前3年内在经营活动中没有重大违法记录的书面声明</w:t>
      </w:r>
    </w:p>
    <w:p w14:paraId="12425A46">
      <w:pPr>
        <w:jc w:val="center"/>
        <w:rPr>
          <w:rFonts w:hint="eastAsia" w:ascii="仿宋" w:hAnsi="仿宋" w:eastAsia="仿宋" w:cs="仿宋"/>
          <w:color w:val="auto"/>
          <w:sz w:val="24"/>
          <w:highlight w:val="none"/>
        </w:rPr>
      </w:pPr>
    </w:p>
    <w:p w14:paraId="09EB8077">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陕西省采购招标有限责任公司：  </w:t>
      </w:r>
    </w:p>
    <w:p w14:paraId="61945939">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w:t>
      </w:r>
    </w:p>
    <w:p w14:paraId="0A9AE246">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1FFEBE1D">
      <w:pPr>
        <w:tabs>
          <w:tab w:val="left" w:pos="5580"/>
        </w:tabs>
        <w:spacing w:before="120" w:line="360" w:lineRule="auto"/>
        <w:ind w:firstLine="480" w:firstLineChars="200"/>
        <w:rPr>
          <w:rFonts w:hint="eastAsia" w:ascii="仿宋" w:hAnsi="仿宋" w:eastAsia="仿宋" w:cs="仿宋"/>
          <w:color w:val="auto"/>
          <w:sz w:val="24"/>
          <w:highlight w:val="none"/>
        </w:rPr>
      </w:pPr>
    </w:p>
    <w:p w14:paraId="65E594E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投标人（盖公章）： </w:t>
      </w:r>
      <w:r>
        <w:rPr>
          <w:rFonts w:hint="eastAsia" w:ascii="仿宋" w:hAnsi="仿宋" w:eastAsia="仿宋" w:cs="仿宋"/>
          <w:color w:val="auto"/>
          <w:sz w:val="24"/>
          <w:highlight w:val="none"/>
          <w:u w:val="single"/>
        </w:rPr>
        <w:t xml:space="preserve">                                     </w:t>
      </w:r>
    </w:p>
    <w:p w14:paraId="083500D1">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48747CC4">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D76CF25">
      <w:pPr>
        <w:spacing w:after="120"/>
        <w:rPr>
          <w:rFonts w:hint="eastAsia" w:ascii="仿宋" w:hAnsi="仿宋" w:eastAsia="仿宋" w:cs="仿宋"/>
          <w:color w:val="auto"/>
          <w:highlight w:val="none"/>
        </w:rPr>
      </w:pPr>
    </w:p>
    <w:p w14:paraId="47C18128">
      <w:pPr>
        <w:jc w:val="left"/>
        <w:rPr>
          <w:rFonts w:hint="eastAsia" w:ascii="仿宋" w:hAnsi="仿宋" w:eastAsia="仿宋" w:cs="仿宋"/>
          <w:b/>
          <w:color w:val="auto"/>
          <w:highlight w:val="none"/>
        </w:rPr>
      </w:pPr>
    </w:p>
    <w:p w14:paraId="04B4AFF7">
      <w:pPr>
        <w:rPr>
          <w:rFonts w:hint="eastAsia" w:ascii="仿宋" w:hAnsi="仿宋" w:eastAsia="仿宋" w:cs="仿宋"/>
          <w:b/>
          <w:color w:val="auto"/>
          <w:highlight w:val="none"/>
        </w:rPr>
      </w:pPr>
    </w:p>
    <w:p w14:paraId="76E73A4D">
      <w:pPr>
        <w:rPr>
          <w:rFonts w:hint="eastAsia" w:ascii="仿宋" w:hAnsi="仿宋" w:eastAsia="仿宋" w:cs="仿宋"/>
          <w:b/>
          <w:color w:val="auto"/>
          <w:highlight w:val="none"/>
        </w:rPr>
      </w:pPr>
    </w:p>
    <w:p w14:paraId="5142C449">
      <w:pPr>
        <w:rPr>
          <w:rFonts w:hint="eastAsia" w:ascii="仿宋" w:hAnsi="仿宋" w:eastAsia="仿宋" w:cs="仿宋"/>
          <w:b/>
          <w:color w:val="auto"/>
          <w:highlight w:val="none"/>
        </w:rPr>
      </w:pPr>
    </w:p>
    <w:p w14:paraId="761871A7">
      <w:pPr>
        <w:rPr>
          <w:rFonts w:hint="eastAsia" w:ascii="仿宋" w:hAnsi="仿宋" w:eastAsia="仿宋" w:cs="仿宋"/>
          <w:b/>
          <w:color w:val="auto"/>
          <w:highlight w:val="none"/>
        </w:rPr>
      </w:pPr>
    </w:p>
    <w:p w14:paraId="43E62EAB">
      <w:pPr>
        <w:rPr>
          <w:rFonts w:hint="eastAsia" w:ascii="仿宋" w:hAnsi="仿宋" w:eastAsia="仿宋" w:cs="仿宋"/>
          <w:b/>
          <w:color w:val="auto"/>
          <w:highlight w:val="none"/>
        </w:rPr>
      </w:pPr>
    </w:p>
    <w:p w14:paraId="7FE20921">
      <w:pPr>
        <w:rPr>
          <w:rFonts w:hint="eastAsia" w:ascii="仿宋" w:hAnsi="仿宋" w:eastAsia="仿宋" w:cs="仿宋"/>
          <w:b/>
          <w:color w:val="auto"/>
          <w:highlight w:val="none"/>
        </w:rPr>
      </w:pPr>
    </w:p>
    <w:p w14:paraId="3EA46FCD">
      <w:pPr>
        <w:rPr>
          <w:rFonts w:hint="eastAsia" w:ascii="仿宋" w:hAnsi="仿宋" w:eastAsia="仿宋" w:cs="仿宋"/>
          <w:b/>
          <w:color w:val="auto"/>
          <w:sz w:val="24"/>
          <w:szCs w:val="32"/>
          <w:highlight w:val="none"/>
        </w:rPr>
      </w:pPr>
    </w:p>
    <w:p w14:paraId="363A0796">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6-7  投标人控股股东名称、控股公司的名称和存在管理、被管理关系的单位名称说明</w:t>
      </w:r>
    </w:p>
    <w:p w14:paraId="14227CD9">
      <w:pPr>
        <w:ind w:firstLine="420"/>
        <w:rPr>
          <w:rFonts w:hint="eastAsia" w:ascii="仿宋" w:hAnsi="仿宋" w:eastAsia="仿宋" w:cs="仿宋"/>
          <w:color w:val="auto"/>
          <w:szCs w:val="21"/>
          <w:highlight w:val="none"/>
        </w:rPr>
      </w:pPr>
    </w:p>
    <w:p w14:paraId="248FAA73">
      <w:pPr>
        <w:rPr>
          <w:rFonts w:hint="eastAsia" w:ascii="仿宋" w:hAnsi="仿宋" w:eastAsia="仿宋" w:cs="仿宋"/>
          <w:color w:val="auto"/>
          <w:sz w:val="24"/>
          <w:highlight w:val="none"/>
        </w:rPr>
      </w:pPr>
    </w:p>
    <w:p w14:paraId="3B3107D8">
      <w:pPr>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46C04A84">
      <w:pPr>
        <w:pStyle w:val="11"/>
        <w:rPr>
          <w:rFonts w:hint="eastAsia" w:ascii="仿宋" w:hAnsi="仿宋" w:eastAsia="仿宋" w:cs="仿宋"/>
          <w:color w:val="auto"/>
          <w:highlight w:val="none"/>
        </w:rPr>
      </w:pPr>
    </w:p>
    <w:p w14:paraId="1DB7DAA6">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与我方的法定代表人（单位负责人）为同一人的企业如下：</w:t>
      </w:r>
    </w:p>
    <w:p w14:paraId="4B27B71C">
      <w:pPr>
        <w:ind w:firstLine="426"/>
        <w:rPr>
          <w:rFonts w:hint="eastAsia" w:ascii="仿宋" w:hAnsi="仿宋" w:eastAsia="仿宋" w:cs="仿宋"/>
          <w:color w:val="auto"/>
          <w:sz w:val="24"/>
          <w:highlight w:val="none"/>
        </w:rPr>
      </w:pPr>
    </w:p>
    <w:p w14:paraId="76A1BA90">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我方的控股股东如下：</w:t>
      </w:r>
    </w:p>
    <w:p w14:paraId="65F68A98">
      <w:pPr>
        <w:ind w:firstLine="426"/>
        <w:rPr>
          <w:rFonts w:hint="eastAsia" w:ascii="仿宋" w:hAnsi="仿宋" w:eastAsia="仿宋" w:cs="仿宋"/>
          <w:color w:val="auto"/>
          <w:sz w:val="24"/>
          <w:highlight w:val="none"/>
        </w:rPr>
      </w:pPr>
    </w:p>
    <w:p w14:paraId="2E454BAA">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我方直接控股的企业如下：</w:t>
      </w:r>
    </w:p>
    <w:p w14:paraId="467170AF">
      <w:pPr>
        <w:ind w:firstLine="426"/>
        <w:rPr>
          <w:rFonts w:hint="eastAsia" w:ascii="仿宋" w:hAnsi="仿宋" w:eastAsia="仿宋" w:cs="仿宋"/>
          <w:color w:val="auto"/>
          <w:sz w:val="24"/>
          <w:highlight w:val="none"/>
        </w:rPr>
      </w:pPr>
    </w:p>
    <w:p w14:paraId="113838B3">
      <w:pPr>
        <w:ind w:firstLine="426"/>
        <w:rPr>
          <w:rFonts w:hint="eastAsia" w:ascii="仿宋" w:hAnsi="仿宋" w:eastAsia="仿宋" w:cs="仿宋"/>
          <w:color w:val="auto"/>
          <w:sz w:val="24"/>
          <w:highlight w:val="none"/>
        </w:rPr>
      </w:pPr>
      <w:r>
        <w:rPr>
          <w:rFonts w:hint="eastAsia" w:ascii="仿宋" w:hAnsi="仿宋" w:eastAsia="仿宋" w:cs="仿宋"/>
          <w:color w:val="auto"/>
          <w:sz w:val="24"/>
          <w:highlight w:val="none"/>
        </w:rPr>
        <w:t>与我方存在管理、被管理关系的单位名称如下：</w:t>
      </w:r>
    </w:p>
    <w:p w14:paraId="18CA568D">
      <w:pPr>
        <w:ind w:firstLine="426"/>
        <w:rPr>
          <w:rFonts w:hint="eastAsia" w:ascii="仿宋" w:hAnsi="仿宋" w:eastAsia="仿宋" w:cs="仿宋"/>
          <w:color w:val="auto"/>
          <w:sz w:val="24"/>
          <w:highlight w:val="none"/>
        </w:rPr>
      </w:pPr>
    </w:p>
    <w:p w14:paraId="13823334">
      <w:pPr>
        <w:ind w:firstLine="426"/>
        <w:rPr>
          <w:rFonts w:hint="eastAsia" w:ascii="仿宋" w:hAnsi="仿宋" w:eastAsia="仿宋" w:cs="仿宋"/>
          <w:color w:val="auto"/>
          <w:szCs w:val="21"/>
          <w:highlight w:val="none"/>
        </w:rPr>
      </w:pPr>
    </w:p>
    <w:p w14:paraId="4B082EC5">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56413DE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0D42A6CA">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40C773B1">
      <w:pPr>
        <w:ind w:firstLine="420" w:firstLineChars="200"/>
        <w:rPr>
          <w:rFonts w:hint="eastAsia" w:ascii="仿宋" w:hAnsi="仿宋" w:eastAsia="仿宋" w:cs="仿宋"/>
          <w:color w:val="auto"/>
          <w:szCs w:val="21"/>
          <w:highlight w:val="none"/>
        </w:rPr>
      </w:pPr>
    </w:p>
    <w:p w14:paraId="58703132">
      <w:pPr>
        <w:jc w:val="left"/>
        <w:rPr>
          <w:rFonts w:hint="eastAsia" w:ascii="仿宋" w:hAnsi="仿宋" w:eastAsia="仿宋" w:cs="仿宋"/>
          <w:b/>
          <w:color w:val="auto"/>
          <w:sz w:val="24"/>
          <w:highlight w:val="none"/>
        </w:rPr>
      </w:pPr>
    </w:p>
    <w:p w14:paraId="2DA6670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6-8  投标人是否属于为本项目提供整体设计、规范编制或者项目管理、监理、检测等服务的投标人声明</w:t>
      </w:r>
    </w:p>
    <w:p w14:paraId="586D3FD7">
      <w:pPr>
        <w:spacing w:line="360" w:lineRule="auto"/>
        <w:rPr>
          <w:rFonts w:hint="eastAsia" w:ascii="仿宋" w:hAnsi="仿宋" w:eastAsia="仿宋" w:cs="仿宋"/>
          <w:color w:val="auto"/>
          <w:szCs w:val="21"/>
          <w:highlight w:val="none"/>
        </w:rPr>
      </w:pPr>
    </w:p>
    <w:p w14:paraId="3FE87D5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陕西省采购招标有限责任公司：</w:t>
      </w:r>
    </w:p>
    <w:p w14:paraId="71B0E1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我方 </w:t>
      </w:r>
      <w:r>
        <w:rPr>
          <w:rFonts w:hint="eastAsia" w:ascii="仿宋" w:hAnsi="仿宋" w:eastAsia="仿宋" w:cs="仿宋"/>
          <w:color w:val="auto"/>
          <w:sz w:val="24"/>
          <w:highlight w:val="none"/>
          <w:u w:val="single"/>
        </w:rPr>
        <w:t xml:space="preserve">不属于 </w:t>
      </w:r>
      <w:r>
        <w:rPr>
          <w:rFonts w:hint="eastAsia" w:ascii="仿宋" w:hAnsi="仿宋" w:eastAsia="仿宋" w:cs="仿宋"/>
          <w:color w:val="auto"/>
          <w:sz w:val="24"/>
          <w:highlight w:val="none"/>
        </w:rPr>
        <w:t>为本项目提供整体设计、规范编制或者项目管理、监理、检测等服务的供应商。</w:t>
      </w:r>
    </w:p>
    <w:p w14:paraId="10EC7218">
      <w:pPr>
        <w:ind w:firstLine="426"/>
        <w:rPr>
          <w:rFonts w:hint="eastAsia" w:ascii="仿宋" w:hAnsi="仿宋" w:eastAsia="仿宋" w:cs="仿宋"/>
          <w:color w:val="auto"/>
          <w:sz w:val="24"/>
          <w:highlight w:val="none"/>
        </w:rPr>
      </w:pPr>
    </w:p>
    <w:p w14:paraId="105CA46B">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投标人名称（盖公章）： </w:t>
      </w:r>
      <w:r>
        <w:rPr>
          <w:rFonts w:hint="eastAsia" w:ascii="仿宋" w:hAnsi="仿宋" w:eastAsia="仿宋" w:cs="仿宋"/>
          <w:color w:val="auto"/>
          <w:sz w:val="24"/>
          <w:highlight w:val="none"/>
          <w:u w:val="single"/>
        </w:rPr>
        <w:t xml:space="preserve">                                 </w:t>
      </w:r>
    </w:p>
    <w:p w14:paraId="7966B088">
      <w:pPr>
        <w:spacing w:before="120" w:after="120"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法定代表人或其授权代表（签字或盖章）：</w:t>
      </w:r>
      <w:r>
        <w:rPr>
          <w:rFonts w:hint="eastAsia" w:ascii="仿宋" w:hAnsi="仿宋" w:eastAsia="仿宋" w:cs="仿宋"/>
          <w:color w:val="auto"/>
          <w:sz w:val="24"/>
          <w:highlight w:val="none"/>
          <w:u w:val="single"/>
        </w:rPr>
        <w:t xml:space="preserve">                  </w:t>
      </w:r>
    </w:p>
    <w:p w14:paraId="48779A1B">
      <w:pPr>
        <w:spacing w:before="120" w:after="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313B5FF2">
      <w:pPr>
        <w:rPr>
          <w:rFonts w:hint="eastAsia" w:ascii="仿宋" w:hAnsi="仿宋" w:eastAsia="仿宋" w:cs="仿宋"/>
          <w:b/>
          <w:color w:val="auto"/>
          <w:highlight w:val="none"/>
        </w:rPr>
      </w:pPr>
    </w:p>
    <w:p w14:paraId="479A1998">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t>6-9  证明投标人符合特定资格条件的证明材料：</w:t>
      </w:r>
    </w:p>
    <w:p w14:paraId="7AEE82BD">
      <w:pPr>
        <w:rPr>
          <w:rFonts w:hint="eastAsia" w:ascii="仿宋" w:hAnsi="仿宋" w:eastAsia="仿宋" w:cs="仿宋"/>
          <w:b/>
          <w:color w:val="auto"/>
          <w:sz w:val="24"/>
          <w:szCs w:val="32"/>
          <w:highlight w:val="none"/>
        </w:rPr>
      </w:pPr>
      <w:r>
        <w:rPr>
          <w:rFonts w:hint="eastAsia" w:ascii="仿宋" w:hAnsi="仿宋" w:eastAsia="仿宋" w:cs="仿宋"/>
          <w:b/>
          <w:color w:val="auto"/>
          <w:sz w:val="24"/>
          <w:szCs w:val="32"/>
          <w:highlight w:val="none"/>
        </w:rPr>
        <w:br w:type="page"/>
      </w:r>
    </w:p>
    <w:p w14:paraId="13B72F2B">
      <w:pPr>
        <w:pStyle w:val="3"/>
        <w:jc w:val="center"/>
        <w:rPr>
          <w:rFonts w:hint="default" w:ascii="Times New Roman" w:hAnsi="Times New Roman" w:eastAsia="仿宋_GB2312" w:cs="Times New Roman"/>
          <w:b/>
          <w:bCs/>
          <w:color w:val="auto"/>
          <w:highlight w:val="none"/>
        </w:rPr>
      </w:pPr>
      <w:bookmarkStart w:id="1134" w:name="_Toc18567"/>
      <w:r>
        <w:rPr>
          <w:rFonts w:hint="default" w:ascii="Times New Roman" w:hAnsi="Times New Roman" w:eastAsia="仿宋_GB2312" w:cs="Times New Roman"/>
          <w:b/>
          <w:bCs/>
          <w:color w:val="auto"/>
          <w:highlight w:val="none"/>
        </w:rPr>
        <w:t>中小企业、监狱企业、残疾人福利单位声明函或证明</w:t>
      </w:r>
      <w:bookmarkEnd w:id="1134"/>
    </w:p>
    <w:p w14:paraId="0A945307">
      <w:pPr>
        <w:ind w:left="315" w:leftChars="150" w:firstLine="270" w:firstLineChars="150"/>
        <w:rPr>
          <w:rFonts w:hint="default" w:ascii="Times New Roman" w:hAnsi="Times New Roman" w:eastAsia="仿宋_GB2312" w:cs="Times New Roman"/>
          <w:color w:val="auto"/>
          <w:kern w:val="0"/>
          <w:sz w:val="18"/>
          <w:szCs w:val="18"/>
          <w:highlight w:val="none"/>
        </w:rPr>
      </w:pPr>
      <w:bookmarkStart w:id="1135" w:name="_Toc7005133"/>
    </w:p>
    <w:p w14:paraId="3D00C2B9">
      <w:pPr>
        <w:pStyle w:val="5"/>
        <w:tabs>
          <w:tab w:val="left" w:pos="588"/>
        </w:tabs>
        <w:ind w:left="0" w:leftChars="0" w:firstLine="1968" w:firstLineChars="700"/>
        <w:jc w:val="both"/>
        <w:rPr>
          <w:rFonts w:hint="default" w:ascii="Times New Roman" w:hAnsi="Times New Roman" w:eastAsia="仿宋_GB2312" w:cs="Times New Roman"/>
          <w:b/>
          <w:bCs/>
          <w:color w:val="auto"/>
          <w:sz w:val="28"/>
          <w:szCs w:val="36"/>
          <w:highlight w:val="none"/>
        </w:rPr>
      </w:pPr>
      <w:bookmarkStart w:id="1136" w:name="_Toc31196"/>
      <w:r>
        <w:rPr>
          <w:rFonts w:hint="eastAsia" w:ascii="Times New Roman" w:hAnsi="Times New Roman" w:eastAsia="仿宋_GB2312" w:cs="Times New Roman"/>
          <w:b/>
          <w:bCs/>
          <w:color w:val="auto"/>
          <w:sz w:val="28"/>
          <w:szCs w:val="36"/>
          <w:highlight w:val="none"/>
          <w:lang w:val="en-US" w:eastAsia="zh-CN"/>
        </w:rPr>
        <w:t>一、</w:t>
      </w:r>
      <w:r>
        <w:rPr>
          <w:rFonts w:hint="default" w:ascii="Times New Roman" w:hAnsi="Times New Roman" w:eastAsia="仿宋_GB2312" w:cs="Times New Roman"/>
          <w:b/>
          <w:bCs/>
          <w:color w:val="auto"/>
          <w:sz w:val="28"/>
          <w:szCs w:val="36"/>
          <w:highlight w:val="none"/>
        </w:rPr>
        <w:t>中小企业声明函（工程）</w:t>
      </w:r>
      <w:bookmarkEnd w:id="1136"/>
    </w:p>
    <w:p w14:paraId="05822AEA">
      <w:pPr>
        <w:rPr>
          <w:rFonts w:hint="default" w:ascii="Times New Roman" w:hAnsi="Times New Roman" w:eastAsia="仿宋_GB2312" w:cs="Times New Roman"/>
          <w:color w:val="auto"/>
          <w:kern w:val="0"/>
          <w:sz w:val="30"/>
          <w:szCs w:val="30"/>
          <w:highlight w:val="none"/>
        </w:rPr>
      </w:pPr>
    </w:p>
    <w:p w14:paraId="568CEA2A">
      <w:pPr>
        <w:spacing w:line="560" w:lineRule="exact"/>
        <w:ind w:firstLine="480" w:firstLineChars="200"/>
        <w:rPr>
          <w:rFonts w:hint="default" w:ascii="Times New Roman" w:hAnsi="Times New Roman" w:eastAsia="仿宋_GB2312" w:cs="Times New Roman"/>
          <w:i w:val="0"/>
          <w:iCs w:val="0"/>
          <w:color w:val="auto"/>
          <w:kern w:val="0"/>
          <w:sz w:val="24"/>
          <w:highlight w:val="none"/>
        </w:rPr>
      </w:pPr>
      <w:r>
        <w:rPr>
          <w:rFonts w:hint="default" w:ascii="Times New Roman" w:hAnsi="Times New Roman" w:eastAsia="仿宋_GB2312" w:cs="Times New Roman"/>
          <w:i w:val="0"/>
          <w:iCs w:val="0"/>
          <w:color w:val="auto"/>
          <w:kern w:val="0"/>
          <w:sz w:val="24"/>
          <w:highlight w:val="none"/>
        </w:rPr>
        <w:t>本公司郑重声明，根据《政府采购促进中小企业发展管理办法》(财库(2020)46号)的规定，本公司参加</w:t>
      </w:r>
      <w:r>
        <w:rPr>
          <w:rFonts w:hint="default" w:ascii="Times New Roman" w:hAnsi="Times New Roman" w:eastAsia="仿宋_GB2312" w:cs="Times New Roman"/>
          <w:i w:val="0"/>
          <w:iCs w:val="0"/>
          <w:color w:val="auto"/>
          <w:kern w:val="0"/>
          <w:sz w:val="24"/>
          <w:highlight w:val="none"/>
          <w:u w:val="single"/>
        </w:rPr>
        <w:t xml:space="preserve">  (单位名称) </w:t>
      </w:r>
      <w:r>
        <w:rPr>
          <w:rFonts w:hint="default" w:ascii="Times New Roman" w:hAnsi="Times New Roman" w:eastAsia="仿宋_GB2312" w:cs="Times New Roman"/>
          <w:i w:val="0"/>
          <w:iCs w:val="0"/>
          <w:color w:val="auto"/>
          <w:kern w:val="0"/>
          <w:sz w:val="24"/>
          <w:highlight w:val="none"/>
        </w:rPr>
        <w:t xml:space="preserve"> 的</w:t>
      </w:r>
      <w:r>
        <w:rPr>
          <w:rFonts w:hint="default" w:ascii="Times New Roman" w:hAnsi="Times New Roman" w:eastAsia="仿宋_GB2312" w:cs="Times New Roman"/>
          <w:i w:val="0"/>
          <w:iCs w:val="0"/>
          <w:color w:val="auto"/>
          <w:kern w:val="0"/>
          <w:sz w:val="24"/>
          <w:highlight w:val="none"/>
          <w:u w:val="single"/>
        </w:rPr>
        <w:t xml:space="preserve"> (项目名称) 采购</w:t>
      </w:r>
      <w:r>
        <w:rPr>
          <w:rFonts w:hint="default" w:ascii="Times New Roman" w:hAnsi="Times New Roman" w:eastAsia="仿宋_GB2312" w:cs="Times New Roman"/>
          <w:i w:val="0"/>
          <w:iCs w:val="0"/>
          <w:color w:val="auto"/>
          <w:kern w:val="0"/>
          <w:sz w:val="24"/>
          <w:highlight w:val="none"/>
        </w:rPr>
        <w:t>活动，工程的施工单位全部为符合政策要求的中小企业。相关企业的具体情况如下：</w:t>
      </w:r>
    </w:p>
    <w:p w14:paraId="2640D2A6">
      <w:pPr>
        <w:pStyle w:val="80"/>
        <w:numPr>
          <w:ilvl w:val="0"/>
          <w:numId w:val="8"/>
        </w:numPr>
        <w:spacing w:line="560" w:lineRule="exact"/>
        <w:ind w:firstLineChars="0"/>
        <w:rPr>
          <w:rFonts w:hint="default" w:ascii="Times New Roman" w:hAnsi="Times New Roman" w:eastAsia="仿宋_GB2312" w:cs="Times New Roman"/>
          <w:i w:val="0"/>
          <w:iCs w:val="0"/>
          <w:color w:val="auto"/>
          <w:kern w:val="0"/>
          <w:sz w:val="24"/>
          <w:szCs w:val="24"/>
          <w:highlight w:val="none"/>
        </w:rPr>
      </w:pPr>
      <w:r>
        <w:rPr>
          <w:rFonts w:hint="default" w:ascii="Times New Roman" w:hAnsi="Times New Roman" w:eastAsia="仿宋_GB2312" w:cs="Times New Roman"/>
          <w:i w:val="0"/>
          <w:iCs w:val="0"/>
          <w:color w:val="auto"/>
          <w:kern w:val="0"/>
          <w:sz w:val="24"/>
          <w:szCs w:val="24"/>
          <w:highlight w:val="none"/>
          <w:u w:val="single"/>
        </w:rPr>
        <w:t xml:space="preserve"> (标的名称) </w:t>
      </w:r>
      <w:r>
        <w:rPr>
          <w:rFonts w:hint="default" w:ascii="Times New Roman" w:hAnsi="Times New Roman" w:eastAsia="仿宋_GB2312" w:cs="Times New Roman"/>
          <w:i w:val="0"/>
          <w:iCs w:val="0"/>
          <w:color w:val="auto"/>
          <w:kern w:val="0"/>
          <w:sz w:val="24"/>
          <w:szCs w:val="24"/>
          <w:highlight w:val="none"/>
        </w:rPr>
        <w:t>，属于</w:t>
      </w:r>
      <w:r>
        <w:rPr>
          <w:rFonts w:hint="default" w:ascii="Times New Roman" w:hAnsi="Times New Roman" w:eastAsia="仿宋_GB2312" w:cs="Times New Roman"/>
          <w:i w:val="0"/>
          <w:iCs w:val="0"/>
          <w:color w:val="auto"/>
          <w:kern w:val="0"/>
          <w:sz w:val="24"/>
          <w:szCs w:val="24"/>
          <w:highlight w:val="none"/>
          <w:u w:val="single"/>
        </w:rPr>
        <w:t xml:space="preserve">(采购文件中明的所属行业) </w:t>
      </w:r>
      <w:r>
        <w:rPr>
          <w:rFonts w:hint="default" w:ascii="Times New Roman" w:hAnsi="Times New Roman" w:eastAsia="仿宋_GB2312" w:cs="Times New Roman"/>
          <w:i w:val="0"/>
          <w:iCs w:val="0"/>
          <w:color w:val="auto"/>
          <w:kern w:val="0"/>
          <w:sz w:val="24"/>
          <w:szCs w:val="24"/>
          <w:highlight w:val="none"/>
        </w:rPr>
        <w:t>；承建(承接)企业为</w:t>
      </w:r>
      <w:r>
        <w:rPr>
          <w:rFonts w:hint="default" w:ascii="Times New Roman" w:hAnsi="Times New Roman" w:eastAsia="仿宋_GB2312" w:cs="Times New Roman"/>
          <w:i w:val="0"/>
          <w:iCs w:val="0"/>
          <w:color w:val="auto"/>
          <w:kern w:val="0"/>
          <w:sz w:val="24"/>
          <w:szCs w:val="24"/>
          <w:highlight w:val="none"/>
          <w:u w:val="single"/>
        </w:rPr>
        <w:t xml:space="preserve"> (企业名称) </w:t>
      </w:r>
      <w:r>
        <w:rPr>
          <w:rFonts w:hint="default" w:ascii="Times New Roman" w:hAnsi="Times New Roman" w:eastAsia="仿宋_GB2312" w:cs="Times New Roman"/>
          <w:i w:val="0"/>
          <w:iCs w:val="0"/>
          <w:color w:val="auto"/>
          <w:kern w:val="0"/>
          <w:sz w:val="24"/>
          <w:szCs w:val="24"/>
          <w:highlight w:val="none"/>
        </w:rPr>
        <w:t>，从业人员</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人，营业收入为</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万元，资产总额为</w:t>
      </w:r>
      <w:r>
        <w:rPr>
          <w:rFonts w:hint="default" w:ascii="Times New Roman" w:hAnsi="Times New Roman" w:eastAsia="仿宋_GB2312" w:cs="Times New Roman"/>
          <w:i w:val="0"/>
          <w:iCs w:val="0"/>
          <w:color w:val="auto"/>
          <w:kern w:val="0"/>
          <w:sz w:val="24"/>
          <w:szCs w:val="24"/>
          <w:highlight w:val="none"/>
          <w:u w:val="single"/>
        </w:rPr>
        <w:t xml:space="preserve">    </w:t>
      </w:r>
      <w:r>
        <w:rPr>
          <w:rFonts w:hint="default" w:ascii="Times New Roman" w:hAnsi="Times New Roman" w:eastAsia="仿宋_GB2312" w:cs="Times New Roman"/>
          <w:i w:val="0"/>
          <w:iCs w:val="0"/>
          <w:color w:val="auto"/>
          <w:kern w:val="0"/>
          <w:sz w:val="24"/>
          <w:szCs w:val="24"/>
          <w:highlight w:val="none"/>
        </w:rPr>
        <w:t>万元，属于</w:t>
      </w:r>
      <w:r>
        <w:rPr>
          <w:rFonts w:hint="default" w:ascii="Times New Roman" w:hAnsi="Times New Roman" w:eastAsia="仿宋_GB2312" w:cs="Times New Roman"/>
          <w:i w:val="0"/>
          <w:iCs w:val="0"/>
          <w:color w:val="auto"/>
          <w:kern w:val="0"/>
          <w:sz w:val="24"/>
          <w:szCs w:val="24"/>
          <w:highlight w:val="none"/>
          <w:u w:val="single"/>
        </w:rPr>
        <w:t xml:space="preserve"> (中型企</w:t>
      </w:r>
      <w:r>
        <w:rPr>
          <w:rFonts w:hint="eastAsia" w:ascii="Times New Roman" w:hAnsi="Times New Roman" w:eastAsia="仿宋_GB2312" w:cs="Times New Roman"/>
          <w:i w:val="0"/>
          <w:iCs w:val="0"/>
          <w:color w:val="auto"/>
          <w:kern w:val="0"/>
          <w:sz w:val="24"/>
          <w:szCs w:val="24"/>
          <w:highlight w:val="none"/>
          <w:u w:val="single"/>
          <w:lang w:eastAsia="zh-CN"/>
        </w:rPr>
        <w:t>业</w:t>
      </w:r>
      <w:r>
        <w:rPr>
          <w:rFonts w:hint="default" w:ascii="Times New Roman" w:hAnsi="Times New Roman" w:eastAsia="仿宋_GB2312" w:cs="Times New Roman"/>
          <w:i w:val="0"/>
          <w:iCs w:val="0"/>
          <w:color w:val="auto"/>
          <w:kern w:val="0"/>
          <w:sz w:val="24"/>
          <w:szCs w:val="24"/>
          <w:highlight w:val="none"/>
          <w:u w:val="single"/>
        </w:rPr>
        <w:t>、小型企业、微型企业)</w:t>
      </w:r>
      <w:r>
        <w:rPr>
          <w:rFonts w:hint="default" w:ascii="Times New Roman" w:hAnsi="Times New Roman" w:eastAsia="仿宋_GB2312" w:cs="Times New Roman"/>
          <w:i w:val="0"/>
          <w:iCs w:val="0"/>
          <w:color w:val="auto"/>
          <w:kern w:val="0"/>
          <w:sz w:val="24"/>
          <w:szCs w:val="24"/>
          <w:highlight w:val="none"/>
        </w:rPr>
        <w:t>；</w:t>
      </w:r>
    </w:p>
    <w:p w14:paraId="44AFCABB">
      <w:pPr>
        <w:spacing w:line="560" w:lineRule="exact"/>
        <w:ind w:left="959" w:leftChars="228" w:hanging="480" w:hangingChars="200"/>
        <w:rPr>
          <w:rFonts w:hint="default" w:ascii="Times New Roman" w:hAnsi="Times New Roman" w:eastAsia="仿宋_GB2312" w:cs="Times New Roman"/>
          <w:i w:val="0"/>
          <w:iCs w:val="0"/>
          <w:color w:val="auto"/>
          <w:kern w:val="0"/>
          <w:sz w:val="24"/>
          <w:highlight w:val="none"/>
        </w:rPr>
      </w:pPr>
      <w:r>
        <w:rPr>
          <w:rFonts w:hint="default" w:ascii="Times New Roman" w:hAnsi="Times New Roman" w:eastAsia="仿宋_GB2312" w:cs="Times New Roman"/>
          <w:i w:val="0"/>
          <w:iCs w:val="0"/>
          <w:color w:val="auto"/>
          <w:kern w:val="0"/>
          <w:sz w:val="24"/>
          <w:highlight w:val="none"/>
        </w:rPr>
        <w:t xml:space="preserve">2. </w:t>
      </w:r>
      <w:r>
        <w:rPr>
          <w:rFonts w:hint="default" w:ascii="Times New Roman" w:hAnsi="Times New Roman" w:eastAsia="仿宋_GB2312" w:cs="Times New Roman"/>
          <w:i w:val="0"/>
          <w:iCs w:val="0"/>
          <w:color w:val="auto"/>
          <w:kern w:val="0"/>
          <w:sz w:val="24"/>
          <w:szCs w:val="24"/>
          <w:highlight w:val="none"/>
          <w:u w:val="single"/>
          <w:lang w:val="en-US" w:eastAsia="zh-CN" w:bidi="ar-SA"/>
        </w:rPr>
        <w:t xml:space="preserve"> (标的名称) ，属于 (采购文件中明的所属行业) ；承建(承接)企业为 (企业名称) ，从业人员   人，营业收入为   万元，资产总额为    万元，属于 (中型</w:t>
      </w:r>
      <w:r>
        <w:rPr>
          <w:rFonts w:hint="default" w:ascii="Times New Roman" w:hAnsi="Times New Roman" w:eastAsia="仿宋_GB2312" w:cs="Times New Roman"/>
          <w:i w:val="0"/>
          <w:iCs w:val="0"/>
          <w:color w:val="auto"/>
          <w:kern w:val="0"/>
          <w:sz w:val="24"/>
          <w:szCs w:val="24"/>
          <w:highlight w:val="none"/>
          <w:u w:val="single"/>
        </w:rPr>
        <w:t>企</w:t>
      </w:r>
      <w:r>
        <w:rPr>
          <w:rFonts w:hint="eastAsia" w:ascii="Times New Roman" w:hAnsi="Times New Roman" w:eastAsia="仿宋_GB2312" w:cs="Times New Roman"/>
          <w:i w:val="0"/>
          <w:iCs w:val="0"/>
          <w:color w:val="auto"/>
          <w:kern w:val="0"/>
          <w:sz w:val="24"/>
          <w:szCs w:val="24"/>
          <w:highlight w:val="none"/>
          <w:u w:val="single"/>
          <w:lang w:eastAsia="zh-CN"/>
        </w:rPr>
        <w:t>业</w:t>
      </w:r>
      <w:r>
        <w:rPr>
          <w:rFonts w:hint="default" w:ascii="Times New Roman" w:hAnsi="Times New Roman" w:eastAsia="仿宋_GB2312" w:cs="Times New Roman"/>
          <w:i w:val="0"/>
          <w:iCs w:val="0"/>
          <w:color w:val="auto"/>
          <w:kern w:val="0"/>
          <w:sz w:val="24"/>
          <w:szCs w:val="24"/>
          <w:highlight w:val="none"/>
          <w:u w:val="single"/>
          <w:lang w:val="en-US" w:eastAsia="zh-CN" w:bidi="ar-SA"/>
        </w:rPr>
        <w:t>、小型企业、微型企业) ；</w:t>
      </w:r>
    </w:p>
    <w:p w14:paraId="4142E050">
      <w:pPr>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以上企业，不属于大企业的分支机构，不存在控股股东为大企业的情形，也不存在与大企业的负责人为同一人的情形。</w:t>
      </w:r>
    </w:p>
    <w:p w14:paraId="14FEA500">
      <w:pPr>
        <w:spacing w:line="560" w:lineRule="exact"/>
        <w:ind w:firstLine="48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本企业对上述声明内容的真实性负责。如有虚假，将依法承担相应责任。</w:t>
      </w:r>
    </w:p>
    <w:p w14:paraId="24FDC704">
      <w:pPr>
        <w:spacing w:line="560" w:lineRule="exact"/>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                                  企业名称(盖章):</w:t>
      </w:r>
    </w:p>
    <w:p w14:paraId="73C75707">
      <w:pPr>
        <w:spacing w:line="560" w:lineRule="exact"/>
        <w:ind w:firstLine="4320" w:firstLineChars="1800"/>
        <w:rPr>
          <w:rFonts w:hint="default" w:ascii="Times New Roman" w:hAnsi="Times New Roman" w:eastAsia="仿宋_GB2312" w:cs="Times New Roman"/>
          <w:color w:val="auto"/>
          <w:kern w:val="0"/>
          <w:sz w:val="30"/>
          <w:szCs w:val="30"/>
          <w:highlight w:val="none"/>
        </w:rPr>
      </w:pPr>
      <w:r>
        <w:rPr>
          <w:rFonts w:hint="eastAsia" w:ascii="仿宋_GB2312" w:hAnsi="仿宋_GB2312" w:eastAsia="仿宋_GB2312" w:cs="仿宋_GB2312"/>
          <w:color w:val="auto"/>
          <w:kern w:val="0"/>
          <w:sz w:val="24"/>
          <w:highlight w:val="none"/>
        </w:rPr>
        <w:t>日期：</w:t>
      </w:r>
    </w:p>
    <w:p w14:paraId="4CB1AB4B">
      <w:pPr>
        <w:rPr>
          <w:rFonts w:hint="default" w:ascii="Times New Roman" w:hAnsi="Times New Roman" w:eastAsia="仿宋_GB2312" w:cs="Times New Roman"/>
          <w:color w:val="auto"/>
          <w:kern w:val="0"/>
          <w:sz w:val="30"/>
          <w:szCs w:val="30"/>
          <w:highlight w:val="none"/>
          <w:u w:val="single"/>
        </w:rPr>
      </w:pPr>
      <w:r>
        <w:rPr>
          <w:rFonts w:hint="default" w:ascii="Times New Roman" w:hAnsi="Times New Roman" w:eastAsia="仿宋_GB2312" w:cs="Times New Roman"/>
          <w:color w:val="auto"/>
          <w:kern w:val="0"/>
          <w:sz w:val="30"/>
          <w:szCs w:val="30"/>
          <w:highlight w:val="none"/>
        </w:rPr>
        <w:t xml:space="preserve"> </w:t>
      </w:r>
      <w:r>
        <w:rPr>
          <w:rFonts w:hint="default" w:ascii="Times New Roman" w:hAnsi="Times New Roman" w:eastAsia="仿宋_GB2312" w:cs="Times New Roman"/>
          <w:color w:val="auto"/>
          <w:kern w:val="0"/>
          <w:sz w:val="30"/>
          <w:szCs w:val="30"/>
          <w:highlight w:val="none"/>
          <w:u w:val="single"/>
        </w:rPr>
        <w:t xml:space="preserve">                                                   </w:t>
      </w:r>
    </w:p>
    <w:p w14:paraId="3EC330FF">
      <w:pPr>
        <w:ind w:firstLine="105" w:firstLineChars="50"/>
        <w:rPr>
          <w:rFonts w:hint="default" w:ascii="Times New Roman" w:hAnsi="Times New Roman" w:eastAsia="仿宋_GB2312" w:cs="Times New Roman"/>
          <w:color w:val="auto"/>
          <w:kern w:val="0"/>
          <w:szCs w:val="21"/>
          <w:highlight w:val="none"/>
        </w:rPr>
      </w:pPr>
      <w:r>
        <w:rPr>
          <w:rFonts w:hint="default" w:ascii="Times New Roman" w:hAnsi="Times New Roman" w:eastAsia="仿宋_GB2312" w:cs="Times New Roman"/>
          <w:color w:val="auto"/>
          <w:kern w:val="0"/>
          <w:szCs w:val="21"/>
          <w:highlight w:val="none"/>
        </w:rPr>
        <w:t>（从业人员、营业收入、资产总额填报上一年度数据，无上一年度数据的新成立企业可不填报）</w:t>
      </w:r>
    </w:p>
    <w:p w14:paraId="63E308CE">
      <w:pPr>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br w:type="page"/>
      </w:r>
    </w:p>
    <w:bookmarkEnd w:id="1135"/>
    <w:p w14:paraId="52648AB5">
      <w:pPr>
        <w:pStyle w:val="5"/>
        <w:tabs>
          <w:tab w:val="left" w:pos="588"/>
        </w:tabs>
        <w:ind w:left="0" w:leftChars="0" w:firstLine="2530" w:firstLineChars="900"/>
        <w:jc w:val="both"/>
        <w:rPr>
          <w:rFonts w:hint="default" w:ascii="Times New Roman" w:hAnsi="Times New Roman" w:eastAsia="仿宋_GB2312" w:cs="Times New Roman"/>
          <w:b/>
          <w:bCs/>
          <w:color w:val="auto"/>
          <w:sz w:val="28"/>
          <w:szCs w:val="36"/>
          <w:highlight w:val="none"/>
        </w:rPr>
      </w:pPr>
      <w:bookmarkStart w:id="1137" w:name="_Toc30404"/>
      <w:r>
        <w:rPr>
          <w:rFonts w:hint="default" w:ascii="Times New Roman" w:hAnsi="Times New Roman" w:eastAsia="仿宋_GB2312" w:cs="Times New Roman"/>
          <w:b/>
          <w:bCs/>
          <w:color w:val="auto"/>
          <w:sz w:val="28"/>
          <w:szCs w:val="36"/>
          <w:highlight w:val="none"/>
        </w:rPr>
        <w:t>二、监狱企业声明函</w:t>
      </w:r>
      <w:bookmarkEnd w:id="1137"/>
    </w:p>
    <w:p w14:paraId="41119A0D">
      <w:pPr>
        <w:spacing w:line="360" w:lineRule="auto"/>
        <w:rPr>
          <w:rFonts w:hint="default" w:ascii="Times New Roman" w:hAnsi="Times New Roman" w:eastAsia="仿宋_GB2312" w:cs="Times New Roman"/>
          <w:b/>
          <w:color w:val="auto"/>
          <w:kern w:val="0"/>
          <w:sz w:val="24"/>
          <w:szCs w:val="20"/>
          <w:highlight w:val="none"/>
        </w:rPr>
      </w:pPr>
    </w:p>
    <w:p w14:paraId="1C7873D7">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本单位郑重声明下列事项（按照实际情况勾选或填空）：</w:t>
      </w:r>
    </w:p>
    <w:p w14:paraId="0E763D80">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本单位为直接供应商，提供本单位制造的货物。</w:t>
      </w:r>
    </w:p>
    <w:p w14:paraId="1912F6F4">
      <w:pPr>
        <w:widowControl/>
        <w:spacing w:before="100" w:beforeAutospacing="1" w:after="100" w:afterAutospacing="1" w:line="360" w:lineRule="auto"/>
        <w:ind w:firstLine="360" w:firstLineChars="15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（请填写：是、不是）监狱企业。如果是，后附省级以上监狱管理局、戒毒管理局（含新疆生产建设兵团）出具的属于监狱企业的证明文件。</w:t>
      </w:r>
    </w:p>
    <w:p w14:paraId="6CCB6816">
      <w:pPr>
        <w:widowControl/>
        <w:spacing w:before="100" w:beforeAutospacing="1" w:after="100" w:afterAutospacing="1" w:line="360" w:lineRule="auto"/>
        <w:ind w:firstLine="42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（2）本企业（单位）</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w:t>
      </w:r>
    </w:p>
    <w:p w14:paraId="73A82A14">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本企业（单位）对上述声明的真实性负责。如有虚假，将依法承担相应责任。</w:t>
      </w:r>
    </w:p>
    <w:p w14:paraId="69C6E41B">
      <w:pPr>
        <w:widowControl/>
        <w:spacing w:before="100" w:beforeAutospacing="1" w:after="100" w:afterAutospacing="1" w:line="360" w:lineRule="auto"/>
        <w:jc w:val="left"/>
        <w:rPr>
          <w:rFonts w:hint="default" w:ascii="Times New Roman" w:hAnsi="Times New Roman" w:eastAsia="仿宋_GB2312" w:cs="Times New Roman"/>
          <w:b/>
          <w:color w:val="auto"/>
          <w:kern w:val="0"/>
          <w:sz w:val="24"/>
          <w:szCs w:val="20"/>
          <w:highlight w:val="none"/>
        </w:rPr>
      </w:pPr>
      <w:r>
        <w:rPr>
          <w:rFonts w:hint="default" w:ascii="Times New Roman" w:hAnsi="Times New Roman" w:eastAsia="仿宋_GB2312" w:cs="Times New Roman"/>
          <w:color w:val="auto"/>
          <w:kern w:val="0"/>
          <w:sz w:val="24"/>
          <w:highlight w:val="none"/>
        </w:rPr>
        <w:t>　</w:t>
      </w:r>
      <w:r>
        <w:rPr>
          <w:rFonts w:hint="default" w:ascii="Times New Roman" w:hAnsi="Times New Roman" w:eastAsia="仿宋_GB2312" w:cs="Times New Roman"/>
          <w:b/>
          <w:color w:val="auto"/>
          <w:kern w:val="0"/>
          <w:sz w:val="24"/>
          <w:szCs w:val="20"/>
          <w:highlight w:val="none"/>
        </w:rPr>
        <w:t>　</w:t>
      </w:r>
    </w:p>
    <w:p w14:paraId="100A4569">
      <w:pPr>
        <w:spacing w:line="360" w:lineRule="auto"/>
        <w:ind w:firstLine="1920" w:firstLineChars="8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665CC01E">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1607975E">
      <w:pPr>
        <w:spacing w:line="360" w:lineRule="auto"/>
        <w:ind w:firstLine="1920" w:firstLineChars="8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p>
    <w:p w14:paraId="2C4224B9">
      <w:pPr>
        <w:widowControl/>
        <w:spacing w:before="100" w:beforeAutospacing="1" w:after="100" w:afterAutospacing="1" w:line="360" w:lineRule="auto"/>
        <w:jc w:val="left"/>
        <w:rPr>
          <w:rFonts w:hint="default" w:ascii="Times New Roman" w:hAnsi="Times New Roman" w:eastAsia="仿宋_GB2312" w:cs="Times New Roman"/>
          <w:color w:val="auto"/>
          <w:kern w:val="0"/>
          <w:sz w:val="24"/>
          <w:highlight w:val="none"/>
          <w:u w:val="single"/>
        </w:rPr>
      </w:pPr>
    </w:p>
    <w:p w14:paraId="6945E4EA">
      <w:pPr>
        <w:widowControl/>
        <w:spacing w:before="100" w:beforeAutospacing="1" w:after="100" w:afterAutospacing="1" w:line="360" w:lineRule="auto"/>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kern w:val="0"/>
          <w:sz w:val="24"/>
          <w:highlight w:val="none"/>
        </w:rPr>
        <w:t>注：符合《关于政府采购支持监狱企业发展有关问题的通知》价格扣减条件的供应商须提交。需提供</w:t>
      </w:r>
      <w:r>
        <w:rPr>
          <w:rFonts w:hint="default" w:ascii="Times New Roman" w:hAnsi="Times New Roman" w:eastAsia="仿宋_GB2312" w:cs="Times New Roman"/>
          <w:color w:val="auto"/>
          <w:sz w:val="24"/>
          <w:highlight w:val="none"/>
        </w:rPr>
        <w:t>省级以上监狱管理局、戒毒管理局（含新疆生产建设兵团）出具的属于监狱企业的证明文件。</w:t>
      </w:r>
    </w:p>
    <w:p w14:paraId="7FF6D4F8">
      <w:pPr>
        <w:rPr>
          <w:rFonts w:hint="default" w:ascii="Times New Roman" w:hAnsi="Times New Roman" w:eastAsia="仿宋_GB2312" w:cs="Times New Roman"/>
          <w:color w:val="auto"/>
          <w:sz w:val="32"/>
          <w:szCs w:val="32"/>
          <w:highlight w:val="none"/>
        </w:rPr>
      </w:pPr>
    </w:p>
    <w:p w14:paraId="72383944">
      <w:pPr>
        <w:pStyle w:val="5"/>
        <w:tabs>
          <w:tab w:val="left" w:pos="588"/>
        </w:tabs>
        <w:ind w:left="0" w:leftChars="0" w:firstLine="0" w:firstLineChars="0"/>
        <w:jc w:val="both"/>
        <w:rPr>
          <w:rFonts w:hint="default" w:ascii="Times New Roman" w:hAnsi="Times New Roman" w:eastAsia="仿宋_GB2312" w:cs="Times New Roman"/>
          <w:b/>
          <w:color w:val="auto"/>
          <w:sz w:val="32"/>
          <w:szCs w:val="32"/>
          <w:highlight w:val="none"/>
        </w:rPr>
      </w:pPr>
      <w:bookmarkStart w:id="1138" w:name="_Toc7005134"/>
      <w:r>
        <w:rPr>
          <w:rFonts w:hint="default" w:ascii="Times New Roman" w:hAnsi="Times New Roman" w:eastAsia="仿宋_GB2312" w:cs="Times New Roman"/>
          <w:color w:val="auto"/>
          <w:sz w:val="32"/>
          <w:szCs w:val="32"/>
          <w:highlight w:val="none"/>
        </w:rPr>
        <w:br w:type="page"/>
      </w:r>
      <w:r>
        <w:rPr>
          <w:rFonts w:hint="eastAsia" w:ascii="Times New Roman" w:hAnsi="Times New Roman" w:eastAsia="仿宋_GB2312" w:cs="Times New Roman"/>
          <w:color w:val="auto"/>
          <w:sz w:val="32"/>
          <w:szCs w:val="32"/>
          <w:highlight w:val="none"/>
          <w:lang w:val="en-US" w:eastAsia="zh-CN"/>
        </w:rPr>
        <w:t xml:space="preserve">             </w:t>
      </w:r>
      <w:bookmarkStart w:id="1139" w:name="_Toc14597"/>
      <w:r>
        <w:rPr>
          <w:rFonts w:hint="default" w:ascii="Times New Roman" w:hAnsi="Times New Roman" w:eastAsia="仿宋_GB2312" w:cs="Times New Roman"/>
          <w:b/>
          <w:bCs/>
          <w:color w:val="auto"/>
          <w:sz w:val="28"/>
          <w:szCs w:val="36"/>
          <w:highlight w:val="none"/>
        </w:rPr>
        <w:t>三、残疾人福利性单位声明函</w:t>
      </w:r>
      <w:bookmarkEnd w:id="1138"/>
      <w:bookmarkEnd w:id="1139"/>
    </w:p>
    <w:p w14:paraId="280539CD">
      <w:pPr>
        <w:spacing w:after="120"/>
        <w:rPr>
          <w:rFonts w:hint="default" w:ascii="Times New Roman" w:hAnsi="Times New Roman" w:eastAsia="仿宋_GB2312" w:cs="Times New Roman"/>
          <w:color w:val="auto"/>
          <w:highlight w:val="none"/>
        </w:rPr>
      </w:pPr>
    </w:p>
    <w:p w14:paraId="18751D03">
      <w:pPr>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（注：符合条件的残疾人福利性单位请提供本函，不符合的不提供本函）</w:t>
      </w:r>
    </w:p>
    <w:p w14:paraId="4B8B9828">
      <w:pPr>
        <w:rPr>
          <w:rFonts w:hint="default" w:ascii="Times New Roman" w:hAnsi="Times New Roman" w:eastAsia="仿宋_GB2312" w:cs="Times New Roman"/>
          <w:color w:val="auto"/>
          <w:sz w:val="24"/>
          <w:highlight w:val="none"/>
        </w:rPr>
      </w:pPr>
    </w:p>
    <w:p w14:paraId="544F899B">
      <w:pPr>
        <w:spacing w:line="360" w:lineRule="auto"/>
        <w:rPr>
          <w:rFonts w:hint="default" w:ascii="Times New Roman" w:hAnsi="Times New Roman" w:eastAsia="仿宋_GB2312" w:cs="Times New Roman"/>
          <w:color w:val="auto"/>
          <w:sz w:val="24"/>
          <w:highlight w:val="none"/>
        </w:rPr>
      </w:pPr>
    </w:p>
    <w:p w14:paraId="76E3BDC6">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72E3A67">
      <w:pPr>
        <w:spacing w:line="360" w:lineRule="auto"/>
        <w:ind w:firstLine="360" w:firstLineChars="15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本单位对上述声明的真实性负责。如有虚假，将依法承担相应责任。</w:t>
      </w:r>
    </w:p>
    <w:p w14:paraId="3F3A922E">
      <w:pPr>
        <w:spacing w:line="360" w:lineRule="auto"/>
        <w:rPr>
          <w:rFonts w:hint="default" w:ascii="Times New Roman" w:hAnsi="Times New Roman" w:eastAsia="仿宋_GB2312" w:cs="Times New Roman"/>
          <w:color w:val="auto"/>
          <w:sz w:val="24"/>
          <w:highlight w:val="none"/>
        </w:rPr>
      </w:pPr>
    </w:p>
    <w:p w14:paraId="068A95AA">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 </w:t>
      </w:r>
    </w:p>
    <w:p w14:paraId="0B2652B3">
      <w:pPr>
        <w:rPr>
          <w:rFonts w:hint="default" w:ascii="Times New Roman" w:hAnsi="Times New Roman" w:eastAsia="仿宋_GB2312" w:cs="Times New Roman"/>
          <w:color w:val="auto"/>
          <w:sz w:val="24"/>
          <w:highlight w:val="none"/>
        </w:rPr>
      </w:pPr>
    </w:p>
    <w:p w14:paraId="22CD9BA1">
      <w:pPr>
        <w:spacing w:line="360" w:lineRule="auto"/>
        <w:ind w:firstLine="1920" w:firstLineChars="8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0430DBE9">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2C3D0764">
      <w:pPr>
        <w:pStyle w:val="33"/>
        <w:ind w:left="0" w:leftChars="0" w:firstLine="2160" w:firstLineChars="900"/>
        <w:rPr>
          <w:rFonts w:hint="eastAsia"/>
          <w:color w:val="auto"/>
          <w:highlight w:val="none"/>
        </w:rPr>
      </w:pPr>
      <w:r>
        <w:rPr>
          <w:rFonts w:hint="default" w:ascii="Times New Roman" w:hAnsi="Times New Roman" w:eastAsia="仿宋_GB2312" w:cs="Times New Roman"/>
          <w:color w:val="auto"/>
          <w:sz w:val="24"/>
          <w:highlight w:val="none"/>
        </w:rPr>
        <w:t>日    期：</w:t>
      </w:r>
    </w:p>
    <w:p w14:paraId="79642FA3">
      <w:pPr>
        <w:spacing w:before="312" w:beforeLines="100" w:after="312" w:afterLines="100"/>
        <w:jc w:val="center"/>
        <w:rPr>
          <w:rFonts w:hint="eastAsia" w:ascii="仿宋" w:hAnsi="仿宋" w:eastAsia="仿宋" w:cs="仿宋"/>
          <w:color w:val="auto"/>
          <w:sz w:val="24"/>
          <w:highlight w:val="none"/>
        </w:rPr>
      </w:pPr>
      <w:r>
        <w:rPr>
          <w:rFonts w:hint="eastAsia" w:ascii="仿宋" w:hAnsi="仿宋" w:eastAsia="仿宋" w:cs="仿宋"/>
          <w:b/>
          <w:color w:val="auto"/>
          <w:sz w:val="32"/>
          <w:highlight w:val="none"/>
        </w:rPr>
        <w:br w:type="page"/>
      </w:r>
      <w:r>
        <w:rPr>
          <w:rFonts w:hint="eastAsia" w:ascii="仿宋" w:hAnsi="仿宋" w:eastAsia="仿宋" w:cs="仿宋"/>
          <w:b/>
          <w:color w:val="auto"/>
          <w:sz w:val="28"/>
          <w:szCs w:val="28"/>
          <w:highlight w:val="none"/>
        </w:rPr>
        <w:t>商务标投标文件格式</w:t>
      </w:r>
    </w:p>
    <w:p w14:paraId="7EED2A24">
      <w:pPr>
        <w:spacing w:line="360" w:lineRule="auto"/>
        <w:ind w:firstLine="480" w:firstLineChars="200"/>
        <w:rPr>
          <w:rFonts w:hint="eastAsia" w:ascii="仿宋" w:hAnsi="仿宋" w:eastAsia="仿宋" w:cs="仿宋"/>
          <w:color w:val="auto"/>
          <w:sz w:val="24"/>
          <w:highlight w:val="none"/>
        </w:rPr>
      </w:pPr>
    </w:p>
    <w:p w14:paraId="251DDEF9">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401F6E78">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1CCA844E">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p>
    <w:p w14:paraId="6192A00E">
      <w:pPr>
        <w:widowControl w:val="0"/>
        <w:adjustRightInd w:val="0"/>
        <w:snapToGrid w:val="0"/>
        <w:spacing w:line="360" w:lineRule="auto"/>
        <w:ind w:firstLine="148"/>
        <w:rPr>
          <w:rFonts w:hint="eastAsia" w:ascii="仿宋" w:hAnsi="仿宋" w:eastAsia="仿宋" w:cs="仿宋"/>
          <w:b/>
          <w:color w:val="auto"/>
          <w:kern w:val="2"/>
          <w:sz w:val="30"/>
          <w:szCs w:val="30"/>
          <w:highlight w:val="none"/>
        </w:rPr>
      </w:pPr>
      <w:r>
        <w:rPr>
          <w:rFonts w:hint="eastAsia" w:ascii="仿宋" w:hAnsi="仿宋" w:eastAsia="仿宋" w:cs="仿宋"/>
          <w:b/>
          <w:color w:val="auto"/>
          <w:kern w:val="2"/>
          <w:sz w:val="30"/>
          <w:szCs w:val="30"/>
          <w:highlight w:val="none"/>
        </w:rPr>
        <w:t>招标编号：</w:t>
      </w:r>
    </w:p>
    <w:p w14:paraId="58918080">
      <w:pPr>
        <w:jc w:val="center"/>
        <w:rPr>
          <w:rFonts w:hint="eastAsia" w:ascii="仿宋" w:hAnsi="仿宋" w:eastAsia="仿宋" w:cs="仿宋"/>
          <w:b/>
          <w:color w:val="auto"/>
          <w:sz w:val="28"/>
          <w:szCs w:val="28"/>
          <w:highlight w:val="none"/>
          <w:u w:val="single"/>
        </w:rPr>
      </w:pP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28"/>
          <w:szCs w:val="28"/>
          <w:highlight w:val="none"/>
        </w:rPr>
        <w:t>（项目名称）</w:t>
      </w:r>
    </w:p>
    <w:p w14:paraId="7C7BB778">
      <w:pPr>
        <w:spacing w:before="312" w:beforeLines="100"/>
        <w:jc w:val="center"/>
        <w:rPr>
          <w:rFonts w:hint="eastAsia" w:ascii="仿宋" w:hAnsi="仿宋" w:eastAsia="仿宋" w:cs="仿宋"/>
          <w:color w:val="auto"/>
          <w:sz w:val="32"/>
          <w:szCs w:val="32"/>
          <w:highlight w:val="none"/>
        </w:rPr>
      </w:pPr>
    </w:p>
    <w:p w14:paraId="37FCA7B1">
      <w:pPr>
        <w:widowControl w:val="0"/>
        <w:spacing w:line="1000" w:lineRule="exact"/>
        <w:jc w:val="center"/>
        <w:rPr>
          <w:rFonts w:hint="eastAsia" w:ascii="仿宋" w:hAnsi="仿宋" w:eastAsia="仿宋" w:cs="仿宋"/>
          <w:b/>
          <w:color w:val="auto"/>
          <w:kern w:val="2"/>
          <w:sz w:val="52"/>
          <w:szCs w:val="52"/>
          <w:highlight w:val="none"/>
        </w:rPr>
      </w:pPr>
      <w:r>
        <w:rPr>
          <w:rFonts w:hint="eastAsia" w:ascii="仿宋" w:hAnsi="仿宋" w:eastAsia="仿宋" w:cs="仿宋"/>
          <w:b/>
          <w:color w:val="auto"/>
          <w:kern w:val="2"/>
          <w:sz w:val="52"/>
          <w:szCs w:val="52"/>
          <w:highlight w:val="none"/>
        </w:rPr>
        <w:t>投  标  文  件</w:t>
      </w:r>
    </w:p>
    <w:p w14:paraId="79EA4887">
      <w:pPr>
        <w:jc w:val="center"/>
        <w:rPr>
          <w:rFonts w:hint="eastAsia" w:ascii="仿宋" w:hAnsi="仿宋" w:eastAsia="仿宋" w:cs="仿宋"/>
          <w:color w:val="auto"/>
          <w:sz w:val="32"/>
          <w:szCs w:val="32"/>
          <w:highlight w:val="none"/>
        </w:rPr>
      </w:pPr>
    </w:p>
    <w:p w14:paraId="6FFE67B2">
      <w:pPr>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商 务 部 分</w:t>
      </w:r>
    </w:p>
    <w:p w14:paraId="77258FC4">
      <w:pPr>
        <w:jc w:val="center"/>
        <w:rPr>
          <w:rFonts w:hint="eastAsia" w:ascii="仿宋" w:hAnsi="仿宋" w:eastAsia="仿宋" w:cs="仿宋"/>
          <w:color w:val="auto"/>
          <w:sz w:val="28"/>
          <w:szCs w:val="28"/>
          <w:highlight w:val="none"/>
        </w:rPr>
      </w:pPr>
    </w:p>
    <w:p w14:paraId="72DA7D6B">
      <w:pPr>
        <w:jc w:val="center"/>
        <w:rPr>
          <w:rFonts w:hint="eastAsia" w:ascii="仿宋" w:hAnsi="仿宋" w:eastAsia="仿宋" w:cs="仿宋"/>
          <w:color w:val="auto"/>
          <w:sz w:val="32"/>
          <w:szCs w:val="32"/>
          <w:highlight w:val="none"/>
        </w:rPr>
      </w:pPr>
    </w:p>
    <w:p w14:paraId="4D01CE57">
      <w:pPr>
        <w:rPr>
          <w:rFonts w:hint="eastAsia" w:ascii="仿宋" w:hAnsi="仿宋" w:eastAsia="仿宋" w:cs="仿宋"/>
          <w:color w:val="auto"/>
          <w:sz w:val="32"/>
          <w:szCs w:val="32"/>
          <w:highlight w:val="none"/>
        </w:rPr>
      </w:pPr>
    </w:p>
    <w:p w14:paraId="419AC79A">
      <w:pPr>
        <w:spacing w:line="360" w:lineRule="auto"/>
        <w:jc w:val="center"/>
        <w:rPr>
          <w:rFonts w:hint="eastAsia" w:ascii="仿宋" w:hAnsi="仿宋" w:eastAsia="仿宋" w:cs="仿宋"/>
          <w:color w:val="auto"/>
          <w:sz w:val="28"/>
          <w:szCs w:val="28"/>
          <w:highlight w:val="none"/>
        </w:rPr>
      </w:pPr>
    </w:p>
    <w:p w14:paraId="3E9079EF">
      <w:pPr>
        <w:spacing w:line="360" w:lineRule="auto"/>
        <w:jc w:val="center"/>
        <w:rPr>
          <w:rFonts w:hint="eastAsia" w:ascii="仿宋" w:hAnsi="仿宋" w:eastAsia="仿宋" w:cs="仿宋"/>
          <w:color w:val="auto"/>
          <w:sz w:val="28"/>
          <w:szCs w:val="28"/>
          <w:highlight w:val="none"/>
        </w:rPr>
      </w:pPr>
    </w:p>
    <w:p w14:paraId="4062B5D1">
      <w:pPr>
        <w:spacing w:line="360" w:lineRule="auto"/>
        <w:jc w:val="center"/>
        <w:rPr>
          <w:rFonts w:hint="eastAsia" w:ascii="仿宋" w:hAnsi="仿宋" w:eastAsia="仿宋" w:cs="仿宋"/>
          <w:color w:val="auto"/>
          <w:sz w:val="28"/>
          <w:szCs w:val="28"/>
          <w:highlight w:val="none"/>
        </w:rPr>
      </w:pPr>
    </w:p>
    <w:p w14:paraId="04969661">
      <w:pPr>
        <w:spacing w:line="360" w:lineRule="auto"/>
        <w:jc w:val="center"/>
        <w:rPr>
          <w:rFonts w:hint="eastAsia" w:ascii="仿宋" w:hAnsi="仿宋" w:eastAsia="仿宋" w:cs="仿宋"/>
          <w:color w:val="auto"/>
          <w:sz w:val="28"/>
          <w:szCs w:val="28"/>
          <w:highlight w:val="none"/>
        </w:rPr>
      </w:pPr>
    </w:p>
    <w:p w14:paraId="4E83DA7F">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3597673D">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（签字或盖章）</w:t>
      </w:r>
    </w:p>
    <w:p w14:paraId="0F3B93E2">
      <w:pPr>
        <w:jc w:val="center"/>
        <w:rPr>
          <w:rFonts w:hint="eastAsia" w:ascii="仿宋" w:hAnsi="仿宋" w:eastAsia="仿宋" w:cs="仿宋"/>
          <w:color w:val="auto"/>
          <w:sz w:val="28"/>
          <w:szCs w:val="28"/>
          <w:highlight w:val="none"/>
        </w:rPr>
      </w:pPr>
    </w:p>
    <w:p w14:paraId="005BCD22">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CF47E20">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1140" w:name="_Toc17476"/>
      <w:bookmarkStart w:id="1141" w:name="_Toc208436193"/>
      <w:bookmarkStart w:id="1142" w:name="_Toc208427830"/>
      <w:r>
        <w:rPr>
          <w:rFonts w:hint="eastAsia" w:ascii="仿宋" w:hAnsi="仿宋" w:eastAsia="仿宋" w:cs="仿宋"/>
          <w:b/>
          <w:color w:val="auto"/>
          <w:sz w:val="32"/>
          <w:highlight w:val="none"/>
        </w:rPr>
        <w:t>一、法定代表人身份证明书</w:t>
      </w:r>
      <w:bookmarkEnd w:id="1140"/>
      <w:bookmarkEnd w:id="1141"/>
      <w:bookmarkEnd w:id="1142"/>
    </w:p>
    <w:p w14:paraId="1B7B0641">
      <w:pPr>
        <w:pStyle w:val="203"/>
        <w:rPr>
          <w:rFonts w:hint="eastAsia" w:ascii="仿宋" w:hAnsi="仿宋" w:eastAsia="仿宋" w:cs="仿宋"/>
          <w:color w:val="auto"/>
          <w:highlight w:val="none"/>
        </w:rPr>
      </w:pPr>
    </w:p>
    <w:p w14:paraId="03C31C47">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单位名称：</w:t>
      </w:r>
      <w:r>
        <w:rPr>
          <w:rFonts w:hint="eastAsia" w:ascii="仿宋" w:hAnsi="仿宋" w:eastAsia="仿宋" w:cs="仿宋"/>
          <w:b w:val="0"/>
          <w:color w:val="auto"/>
          <w:sz w:val="28"/>
          <w:highlight w:val="none"/>
          <w:u w:val="thick"/>
        </w:rPr>
        <w:t xml:space="preserve">                                                 </w:t>
      </w:r>
    </w:p>
    <w:p w14:paraId="0B9F2E7C">
      <w:pPr>
        <w:pStyle w:val="203"/>
        <w:ind w:firstLine="560" w:firstLineChars="200"/>
        <w:jc w:val="left"/>
        <w:textAlignment w:val="baseline"/>
        <w:rPr>
          <w:rFonts w:hint="eastAsia" w:ascii="仿宋" w:hAnsi="仿宋" w:eastAsia="仿宋" w:cs="仿宋"/>
          <w:b w:val="0"/>
          <w:color w:val="auto"/>
          <w:sz w:val="28"/>
          <w:highlight w:val="none"/>
          <w:u w:val="thick"/>
        </w:rPr>
      </w:pPr>
    </w:p>
    <w:p w14:paraId="5F673381">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单位性质：</w:t>
      </w:r>
      <w:r>
        <w:rPr>
          <w:rFonts w:hint="eastAsia" w:ascii="仿宋" w:hAnsi="仿宋" w:eastAsia="仿宋" w:cs="仿宋"/>
          <w:b w:val="0"/>
          <w:color w:val="auto"/>
          <w:sz w:val="28"/>
          <w:highlight w:val="none"/>
          <w:u w:val="thick"/>
        </w:rPr>
        <w:t xml:space="preserve">                                                 </w:t>
      </w:r>
    </w:p>
    <w:p w14:paraId="4E3E4A07">
      <w:pPr>
        <w:pStyle w:val="203"/>
        <w:ind w:firstLine="560" w:firstLineChars="200"/>
        <w:jc w:val="left"/>
        <w:textAlignment w:val="baseline"/>
        <w:rPr>
          <w:rFonts w:hint="eastAsia" w:ascii="仿宋" w:hAnsi="仿宋" w:eastAsia="仿宋" w:cs="仿宋"/>
          <w:b w:val="0"/>
          <w:color w:val="auto"/>
          <w:sz w:val="28"/>
          <w:highlight w:val="none"/>
          <w:u w:val="thick"/>
        </w:rPr>
      </w:pPr>
    </w:p>
    <w:p w14:paraId="1AF80FE1">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地   址：</w:t>
      </w:r>
      <w:r>
        <w:rPr>
          <w:rFonts w:hint="eastAsia" w:ascii="仿宋" w:hAnsi="仿宋" w:eastAsia="仿宋" w:cs="仿宋"/>
          <w:b w:val="0"/>
          <w:color w:val="auto"/>
          <w:sz w:val="28"/>
          <w:highlight w:val="none"/>
          <w:u w:val="thick"/>
        </w:rPr>
        <w:t xml:space="preserve">                                                 </w:t>
      </w:r>
    </w:p>
    <w:p w14:paraId="38676E08">
      <w:pPr>
        <w:pStyle w:val="203"/>
        <w:ind w:firstLine="560" w:firstLineChars="200"/>
        <w:jc w:val="left"/>
        <w:textAlignment w:val="baseline"/>
        <w:rPr>
          <w:rFonts w:hint="eastAsia" w:ascii="仿宋" w:hAnsi="仿宋" w:eastAsia="仿宋" w:cs="仿宋"/>
          <w:b w:val="0"/>
          <w:color w:val="auto"/>
          <w:sz w:val="28"/>
          <w:highlight w:val="none"/>
          <w:u w:val="thick"/>
        </w:rPr>
      </w:pPr>
    </w:p>
    <w:p w14:paraId="0CFB60D0">
      <w:pPr>
        <w:pStyle w:val="203"/>
        <w:ind w:firstLine="560" w:firstLineChars="200"/>
        <w:jc w:val="left"/>
        <w:textAlignment w:val="baseline"/>
        <w:rPr>
          <w:rFonts w:hint="eastAsia" w:ascii="仿宋" w:hAnsi="仿宋" w:eastAsia="仿宋" w:cs="仿宋"/>
          <w:b w:val="0"/>
          <w:color w:val="auto"/>
          <w:sz w:val="28"/>
          <w:highlight w:val="none"/>
        </w:rPr>
      </w:pPr>
      <w:r>
        <w:rPr>
          <w:rFonts w:hint="eastAsia" w:ascii="仿宋" w:hAnsi="仿宋" w:eastAsia="仿宋" w:cs="仿宋"/>
          <w:b w:val="0"/>
          <w:color w:val="auto"/>
          <w:sz w:val="28"/>
          <w:highlight w:val="none"/>
        </w:rPr>
        <w:t>成立时间：</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年</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月</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日</w:t>
      </w:r>
    </w:p>
    <w:p w14:paraId="6BDA123F">
      <w:pPr>
        <w:pStyle w:val="203"/>
        <w:ind w:firstLine="560" w:firstLineChars="200"/>
        <w:jc w:val="left"/>
        <w:textAlignment w:val="baseline"/>
        <w:rPr>
          <w:rFonts w:hint="eastAsia" w:ascii="仿宋" w:hAnsi="仿宋" w:eastAsia="仿宋" w:cs="仿宋"/>
          <w:b w:val="0"/>
          <w:color w:val="auto"/>
          <w:sz w:val="28"/>
          <w:highlight w:val="none"/>
        </w:rPr>
      </w:pPr>
    </w:p>
    <w:p w14:paraId="0706653F">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经营期限：</w:t>
      </w:r>
      <w:r>
        <w:rPr>
          <w:rFonts w:hint="eastAsia" w:ascii="仿宋" w:hAnsi="仿宋" w:eastAsia="仿宋" w:cs="仿宋"/>
          <w:b w:val="0"/>
          <w:color w:val="auto"/>
          <w:sz w:val="28"/>
          <w:highlight w:val="none"/>
          <w:u w:val="thick"/>
        </w:rPr>
        <w:t xml:space="preserve">                        </w:t>
      </w:r>
    </w:p>
    <w:p w14:paraId="2C421CB4">
      <w:pPr>
        <w:pStyle w:val="203"/>
        <w:ind w:firstLine="560" w:firstLineChars="200"/>
        <w:jc w:val="left"/>
        <w:textAlignment w:val="baseline"/>
        <w:rPr>
          <w:rFonts w:hint="eastAsia" w:ascii="仿宋" w:hAnsi="仿宋" w:eastAsia="仿宋" w:cs="仿宋"/>
          <w:b w:val="0"/>
          <w:color w:val="auto"/>
          <w:sz w:val="28"/>
          <w:highlight w:val="none"/>
          <w:u w:val="thick"/>
        </w:rPr>
      </w:pPr>
    </w:p>
    <w:p w14:paraId="5CF63560">
      <w:pPr>
        <w:pStyle w:val="203"/>
        <w:ind w:firstLine="560" w:firstLineChars="200"/>
        <w:jc w:val="left"/>
        <w:textAlignment w:val="baseline"/>
        <w:rPr>
          <w:rFonts w:hint="eastAsia" w:ascii="仿宋" w:hAnsi="仿宋" w:eastAsia="仿宋" w:cs="仿宋"/>
          <w:b w:val="0"/>
          <w:color w:val="auto"/>
          <w:sz w:val="28"/>
          <w:highlight w:val="none"/>
          <w:u w:val="thick"/>
        </w:rPr>
      </w:pPr>
      <w:r>
        <w:rPr>
          <w:rFonts w:hint="eastAsia" w:ascii="仿宋" w:hAnsi="仿宋" w:eastAsia="仿宋" w:cs="仿宋"/>
          <w:b w:val="0"/>
          <w:color w:val="auto"/>
          <w:sz w:val="28"/>
          <w:highlight w:val="none"/>
        </w:rPr>
        <w:t>姓    名：</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性别：</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年龄：</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职务：</w:t>
      </w:r>
      <w:r>
        <w:rPr>
          <w:rFonts w:hint="eastAsia" w:ascii="仿宋" w:hAnsi="仿宋" w:eastAsia="仿宋" w:cs="仿宋"/>
          <w:b w:val="0"/>
          <w:color w:val="auto"/>
          <w:sz w:val="28"/>
          <w:highlight w:val="none"/>
          <w:u w:val="thick"/>
        </w:rPr>
        <w:t xml:space="preserve">                </w:t>
      </w:r>
    </w:p>
    <w:p w14:paraId="3B9788D3">
      <w:pPr>
        <w:pStyle w:val="203"/>
        <w:ind w:firstLine="560" w:firstLineChars="200"/>
        <w:jc w:val="left"/>
        <w:textAlignment w:val="baseline"/>
        <w:rPr>
          <w:rFonts w:hint="eastAsia" w:ascii="仿宋" w:hAnsi="仿宋" w:eastAsia="仿宋" w:cs="仿宋"/>
          <w:b w:val="0"/>
          <w:color w:val="auto"/>
          <w:sz w:val="28"/>
          <w:highlight w:val="none"/>
          <w:u w:val="thick"/>
        </w:rPr>
      </w:pPr>
    </w:p>
    <w:p w14:paraId="5169D857">
      <w:pPr>
        <w:pStyle w:val="203"/>
        <w:jc w:val="left"/>
        <w:textAlignment w:val="baseline"/>
        <w:rPr>
          <w:rFonts w:hint="eastAsia" w:ascii="仿宋" w:hAnsi="仿宋" w:eastAsia="仿宋" w:cs="仿宋"/>
          <w:b w:val="0"/>
          <w:color w:val="auto"/>
          <w:sz w:val="28"/>
          <w:highlight w:val="none"/>
        </w:rPr>
      </w:pPr>
      <w:r>
        <w:rPr>
          <w:rFonts w:hint="eastAsia" w:ascii="仿宋" w:hAnsi="仿宋" w:eastAsia="仿宋" w:cs="仿宋"/>
          <w:b w:val="0"/>
          <w:color w:val="auto"/>
          <w:sz w:val="28"/>
          <w:highlight w:val="none"/>
        </w:rPr>
        <w:t>系</w:t>
      </w:r>
      <w:r>
        <w:rPr>
          <w:rFonts w:hint="eastAsia" w:ascii="仿宋" w:hAnsi="仿宋" w:eastAsia="仿宋" w:cs="仿宋"/>
          <w:b w:val="0"/>
          <w:color w:val="auto"/>
          <w:sz w:val="28"/>
          <w:highlight w:val="none"/>
          <w:u w:val="thick"/>
        </w:rPr>
        <w:t xml:space="preserve">                                             </w:t>
      </w:r>
      <w:r>
        <w:rPr>
          <w:rFonts w:hint="eastAsia" w:ascii="仿宋" w:hAnsi="仿宋" w:eastAsia="仿宋" w:cs="仿宋"/>
          <w:b w:val="0"/>
          <w:color w:val="auto"/>
          <w:sz w:val="28"/>
          <w:highlight w:val="none"/>
        </w:rPr>
        <w:t>的法定代表人。</w:t>
      </w:r>
    </w:p>
    <w:p w14:paraId="5205B837">
      <w:pPr>
        <w:ind w:firstLine="563" w:firstLineChars="128"/>
        <w:rPr>
          <w:rFonts w:hint="eastAsia" w:ascii="仿宋" w:hAnsi="仿宋" w:eastAsia="仿宋" w:cs="仿宋"/>
          <w:color w:val="auto"/>
          <w:sz w:val="44"/>
          <w:highlight w:val="none"/>
        </w:rPr>
      </w:pPr>
    </w:p>
    <w:p w14:paraId="0955D36E">
      <w:pPr>
        <w:ind w:firstLine="560" w:firstLineChars="200"/>
        <w:textAlignment w:val="baseline"/>
        <w:rPr>
          <w:rFonts w:hint="eastAsia" w:ascii="仿宋" w:hAnsi="仿宋" w:eastAsia="仿宋" w:cs="仿宋"/>
          <w:color w:val="auto"/>
          <w:sz w:val="28"/>
          <w:highlight w:val="none"/>
        </w:rPr>
      </w:pPr>
      <w:r>
        <w:rPr>
          <w:rFonts w:hint="eastAsia" w:ascii="仿宋" w:hAnsi="仿宋" w:eastAsia="仿宋" w:cs="仿宋"/>
          <w:color w:val="auto"/>
          <w:sz w:val="28"/>
          <w:highlight w:val="none"/>
        </w:rPr>
        <w:t>特此证明。</w:t>
      </w:r>
    </w:p>
    <w:p w14:paraId="0C1D20D2">
      <w:pPr>
        <w:ind w:firstLine="358" w:firstLineChars="128"/>
        <w:rPr>
          <w:rFonts w:hint="eastAsia" w:ascii="仿宋" w:hAnsi="仿宋" w:eastAsia="仿宋" w:cs="仿宋"/>
          <w:color w:val="auto"/>
          <w:sz w:val="28"/>
          <w:highlight w:val="none"/>
        </w:rPr>
      </w:pPr>
    </w:p>
    <w:p w14:paraId="2D268BE7">
      <w:pPr>
        <w:ind w:firstLine="2800" w:firstLineChars="1000"/>
        <w:textAlignment w:val="baseline"/>
        <w:rPr>
          <w:rFonts w:hint="eastAsia" w:ascii="仿宋" w:hAnsi="仿宋" w:eastAsia="仿宋" w:cs="仿宋"/>
          <w:color w:val="auto"/>
          <w:sz w:val="28"/>
          <w:highlight w:val="none"/>
          <w:u w:val="thick"/>
        </w:rPr>
      </w:pPr>
      <w:r>
        <w:rPr>
          <w:rFonts w:hint="eastAsia" w:ascii="仿宋" w:hAnsi="仿宋" w:eastAsia="仿宋" w:cs="仿宋"/>
          <w:color w:val="auto"/>
          <w:sz w:val="28"/>
          <w:highlight w:val="none"/>
        </w:rPr>
        <w:t>投标人：</w:t>
      </w:r>
      <w:r>
        <w:rPr>
          <w:rFonts w:hint="eastAsia" w:ascii="仿宋" w:hAnsi="仿宋" w:eastAsia="仿宋" w:cs="仿宋"/>
          <w:color w:val="auto"/>
          <w:sz w:val="28"/>
          <w:highlight w:val="none"/>
          <w:u w:val="thick"/>
        </w:rPr>
        <w:t xml:space="preserve">              （盖公章）</w:t>
      </w:r>
    </w:p>
    <w:p w14:paraId="395FD152">
      <w:pPr>
        <w:ind w:firstLine="2800" w:firstLineChars="1000"/>
        <w:textAlignment w:val="baseline"/>
        <w:rPr>
          <w:rFonts w:hint="eastAsia" w:ascii="仿宋" w:hAnsi="仿宋" w:eastAsia="仿宋" w:cs="仿宋"/>
          <w:color w:val="auto"/>
          <w:sz w:val="28"/>
          <w:highlight w:val="none"/>
          <w:u w:val="thick"/>
        </w:rPr>
      </w:pPr>
    </w:p>
    <w:p w14:paraId="09E6ADEC">
      <w:pPr>
        <w:ind w:firstLine="2800" w:firstLineChars="1000"/>
        <w:textAlignment w:val="baseline"/>
        <w:rPr>
          <w:rFonts w:hint="eastAsia" w:ascii="仿宋" w:hAnsi="仿宋" w:eastAsia="仿宋" w:cs="仿宋"/>
          <w:color w:val="auto"/>
          <w:sz w:val="28"/>
          <w:highlight w:val="none"/>
        </w:rPr>
      </w:pPr>
      <w:r>
        <w:rPr>
          <w:rFonts w:hint="eastAsia" w:ascii="仿宋" w:hAnsi="仿宋" w:eastAsia="仿宋" w:cs="仿宋"/>
          <w:color w:val="auto"/>
          <w:sz w:val="28"/>
          <w:highlight w:val="none"/>
        </w:rPr>
        <w:t>日   期：</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年</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月</w:t>
      </w:r>
      <w:r>
        <w:rPr>
          <w:rFonts w:hint="eastAsia" w:ascii="仿宋" w:hAnsi="仿宋" w:eastAsia="仿宋" w:cs="仿宋"/>
          <w:color w:val="auto"/>
          <w:sz w:val="28"/>
          <w:highlight w:val="none"/>
          <w:u w:val="thick"/>
        </w:rPr>
        <w:t xml:space="preserve">     </w:t>
      </w:r>
      <w:r>
        <w:rPr>
          <w:rFonts w:hint="eastAsia" w:ascii="仿宋" w:hAnsi="仿宋" w:eastAsia="仿宋" w:cs="仿宋"/>
          <w:color w:val="auto"/>
          <w:sz w:val="28"/>
          <w:highlight w:val="none"/>
        </w:rPr>
        <w:t>日</w:t>
      </w:r>
    </w:p>
    <w:p w14:paraId="0B5C89E7">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1143" w:name="_Toc208436194"/>
      <w:bookmarkStart w:id="1144" w:name="_Toc30133"/>
      <w:bookmarkStart w:id="1145" w:name="_Toc208427831"/>
      <w:r>
        <w:rPr>
          <w:rFonts w:hint="eastAsia" w:ascii="仿宋" w:hAnsi="仿宋" w:eastAsia="仿宋" w:cs="仿宋"/>
          <w:b/>
          <w:color w:val="auto"/>
          <w:sz w:val="32"/>
          <w:highlight w:val="none"/>
        </w:rPr>
        <w:t>二、法定代表人授权委托书</w:t>
      </w:r>
      <w:bookmarkEnd w:id="1143"/>
      <w:bookmarkEnd w:id="1144"/>
      <w:bookmarkEnd w:id="1145"/>
    </w:p>
    <w:p w14:paraId="7AD6B9E9">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致：陕西省采购招标有限责任公司：</w:t>
      </w:r>
    </w:p>
    <w:p w14:paraId="4F98D9E1">
      <w:pPr>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注册于（工商行政管理局名称）之（投标人全称）（法人代表人姓名、职务）</w:t>
      </w:r>
      <w:r>
        <w:rPr>
          <w:rFonts w:hint="eastAsia" w:ascii="仿宋" w:hAnsi="仿宋" w:eastAsia="仿宋" w:cs="仿宋"/>
          <w:color w:val="auto"/>
          <w:sz w:val="24"/>
          <w:highlight w:val="none"/>
        </w:rPr>
        <w:t>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（被授权人姓名、职务）为全权代表，参加贵公司组织的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招标活动，全权办理该项目的报名、投标、开标等招标活动中的一切事宜。</w:t>
      </w:r>
    </w:p>
    <w:p w14:paraId="358A03C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我公司对被授权人的签名负全部责任。</w:t>
      </w:r>
    </w:p>
    <w:p w14:paraId="5B457DC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授权期限：自本授权签字之日起，至开标后90日历日。</w:t>
      </w:r>
    </w:p>
    <w:p w14:paraId="0B1ACC6A">
      <w:pPr>
        <w:spacing w:line="360" w:lineRule="auto"/>
        <w:rPr>
          <w:rFonts w:hint="eastAsia" w:ascii="仿宋" w:hAnsi="仿宋" w:eastAsia="仿宋" w:cs="仿宋"/>
          <w:color w:val="auto"/>
          <w:sz w:val="24"/>
          <w:highlight w:val="none"/>
        </w:rPr>
      </w:pPr>
    </w:p>
    <w:p w14:paraId="21EC33E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法定代表人签名：                     被授权人签字：</w:t>
      </w:r>
    </w:p>
    <w:p w14:paraId="6BB135B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                      职        务：</w:t>
      </w:r>
    </w:p>
    <w:p w14:paraId="0A76CD3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  份 证 号 ：                      身 份 证 号 ：</w:t>
      </w:r>
    </w:p>
    <w:p w14:paraId="4DE6F6F1">
      <w:pPr>
        <w:rPr>
          <w:rFonts w:hint="eastAsia" w:ascii="仿宋" w:hAnsi="仿宋" w:eastAsia="仿宋" w:cs="仿宋"/>
          <w:color w:val="auto"/>
          <w:sz w:val="24"/>
          <w:highlight w:val="none"/>
        </w:rPr>
      </w:pPr>
    </w:p>
    <w:p w14:paraId="17CBE37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附：法定代表人、被授权人身份证复印件。（二代身份证正、反两面都需复印）</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5"/>
        <w:gridCol w:w="3945"/>
      </w:tblGrid>
      <w:tr w14:paraId="5027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485" w:type="dxa"/>
            <w:noWrap w:val="0"/>
            <w:vAlign w:val="center"/>
          </w:tcPr>
          <w:p w14:paraId="42B8A555">
            <w:pPr>
              <w:spacing w:line="360" w:lineRule="auto"/>
              <w:ind w:firstLine="960" w:firstLineChars="400"/>
              <w:rPr>
                <w:rFonts w:hint="eastAsia" w:ascii="仿宋" w:hAnsi="仿宋" w:eastAsia="仿宋" w:cs="仿宋"/>
                <w:color w:val="auto"/>
                <w:sz w:val="24"/>
                <w:highlight w:val="none"/>
              </w:rPr>
            </w:pPr>
            <w:bookmarkStart w:id="1146" w:name="_Toc208427832"/>
            <w:bookmarkStart w:id="1147" w:name="_Toc93364433"/>
            <w:bookmarkStart w:id="1148" w:name="_Toc129186566"/>
            <w:bookmarkStart w:id="1149" w:name="_Toc93417076"/>
            <w:bookmarkStart w:id="1150" w:name="_Toc208436195"/>
            <w:bookmarkStart w:id="1151" w:name="_Toc93442640"/>
            <w:bookmarkStart w:id="1152" w:name="_Toc20125845"/>
            <w:r>
              <w:rPr>
                <w:rFonts w:hint="eastAsia" w:ascii="仿宋" w:hAnsi="仿宋" w:eastAsia="仿宋" w:cs="仿宋"/>
                <w:color w:val="auto"/>
                <w:sz w:val="24"/>
                <w:highlight w:val="none"/>
              </w:rPr>
              <w:t>法定代表人身份证复印件</w:t>
            </w:r>
            <w:bookmarkEnd w:id="1146"/>
            <w:bookmarkEnd w:id="1147"/>
            <w:bookmarkEnd w:id="1148"/>
            <w:bookmarkEnd w:id="1149"/>
            <w:bookmarkEnd w:id="1150"/>
            <w:bookmarkEnd w:id="1151"/>
            <w:bookmarkEnd w:id="1152"/>
          </w:p>
          <w:p w14:paraId="3AA4D35F">
            <w:pPr>
              <w:spacing w:line="360" w:lineRule="auto"/>
              <w:ind w:firstLine="960" w:firstLineChars="400"/>
              <w:rPr>
                <w:rFonts w:hint="eastAsia" w:ascii="仿宋" w:hAnsi="仿宋" w:eastAsia="仿宋" w:cs="仿宋"/>
                <w:color w:val="auto"/>
                <w:sz w:val="24"/>
                <w:highlight w:val="none"/>
              </w:rPr>
            </w:pPr>
            <w:bookmarkStart w:id="1153" w:name="_Toc93364434"/>
            <w:bookmarkStart w:id="1154" w:name="_Toc129186567"/>
            <w:bookmarkStart w:id="1155" w:name="_Toc208427833"/>
            <w:bookmarkStart w:id="1156" w:name="_Toc208436196"/>
            <w:bookmarkStart w:id="1157" w:name="_Toc93417077"/>
            <w:bookmarkStart w:id="1158" w:name="_Toc93442641"/>
            <w:bookmarkStart w:id="1159" w:name="_Toc20125846"/>
            <w:r>
              <w:rPr>
                <w:rFonts w:hint="eastAsia" w:ascii="仿宋" w:hAnsi="仿宋" w:eastAsia="仿宋" w:cs="仿宋"/>
                <w:color w:val="auto"/>
                <w:sz w:val="24"/>
                <w:highlight w:val="none"/>
              </w:rPr>
              <w:t>（正反面）</w:t>
            </w:r>
            <w:bookmarkEnd w:id="1153"/>
            <w:bookmarkEnd w:id="1154"/>
            <w:bookmarkEnd w:id="1155"/>
            <w:bookmarkEnd w:id="1156"/>
            <w:bookmarkEnd w:id="1157"/>
            <w:bookmarkEnd w:id="1158"/>
            <w:bookmarkEnd w:id="1159"/>
          </w:p>
        </w:tc>
        <w:tc>
          <w:tcPr>
            <w:tcW w:w="3945" w:type="dxa"/>
            <w:noWrap w:val="0"/>
            <w:vAlign w:val="center"/>
          </w:tcPr>
          <w:p w14:paraId="7372190C">
            <w:pPr>
              <w:spacing w:line="360" w:lineRule="auto"/>
              <w:ind w:firstLine="960" w:firstLineChars="400"/>
              <w:rPr>
                <w:rFonts w:hint="eastAsia" w:ascii="仿宋" w:hAnsi="仿宋" w:eastAsia="仿宋" w:cs="仿宋"/>
                <w:color w:val="auto"/>
                <w:sz w:val="24"/>
                <w:highlight w:val="none"/>
              </w:rPr>
            </w:pPr>
            <w:bookmarkStart w:id="1160" w:name="_Toc93442642"/>
            <w:bookmarkStart w:id="1161" w:name="_Toc20125847"/>
            <w:bookmarkStart w:id="1162" w:name="_Toc208427834"/>
            <w:bookmarkStart w:id="1163" w:name="_Toc208436197"/>
            <w:bookmarkStart w:id="1164" w:name="_Toc129186568"/>
            <w:bookmarkStart w:id="1165" w:name="_Toc93417078"/>
            <w:bookmarkStart w:id="1166" w:name="_Toc93364435"/>
            <w:r>
              <w:rPr>
                <w:rFonts w:hint="eastAsia" w:ascii="仿宋" w:hAnsi="仿宋" w:eastAsia="仿宋" w:cs="仿宋"/>
                <w:color w:val="auto"/>
                <w:sz w:val="24"/>
                <w:highlight w:val="none"/>
              </w:rPr>
              <w:t>被授权人身份证复印件</w:t>
            </w:r>
            <w:bookmarkEnd w:id="1160"/>
            <w:bookmarkEnd w:id="1161"/>
            <w:bookmarkEnd w:id="1162"/>
            <w:bookmarkEnd w:id="1163"/>
            <w:bookmarkEnd w:id="1164"/>
            <w:bookmarkEnd w:id="1165"/>
            <w:bookmarkEnd w:id="1166"/>
          </w:p>
          <w:p w14:paraId="533D86AE">
            <w:pPr>
              <w:spacing w:line="360" w:lineRule="auto"/>
              <w:ind w:firstLine="960" w:firstLineChars="400"/>
              <w:rPr>
                <w:rFonts w:hint="eastAsia" w:ascii="仿宋" w:hAnsi="仿宋" w:eastAsia="仿宋" w:cs="仿宋"/>
                <w:color w:val="auto"/>
                <w:sz w:val="24"/>
                <w:highlight w:val="none"/>
              </w:rPr>
            </w:pPr>
            <w:bookmarkStart w:id="1167" w:name="_Toc208436198"/>
            <w:bookmarkStart w:id="1168" w:name="_Toc93364436"/>
            <w:bookmarkStart w:id="1169" w:name="_Toc93417079"/>
            <w:bookmarkStart w:id="1170" w:name="_Toc208427835"/>
            <w:bookmarkStart w:id="1171" w:name="_Toc129186569"/>
            <w:bookmarkStart w:id="1172" w:name="_Toc93442643"/>
            <w:r>
              <w:rPr>
                <w:rFonts w:hint="eastAsia" w:ascii="仿宋" w:hAnsi="仿宋" w:eastAsia="仿宋" w:cs="仿宋"/>
                <w:color w:val="auto"/>
                <w:sz w:val="24"/>
                <w:highlight w:val="none"/>
              </w:rPr>
              <w:t>（正反面）</w:t>
            </w:r>
            <w:bookmarkEnd w:id="1167"/>
            <w:bookmarkEnd w:id="1168"/>
            <w:bookmarkEnd w:id="1169"/>
            <w:bookmarkEnd w:id="1170"/>
            <w:bookmarkEnd w:id="1171"/>
            <w:bookmarkEnd w:id="1172"/>
          </w:p>
        </w:tc>
      </w:tr>
    </w:tbl>
    <w:p w14:paraId="0F681122">
      <w:pPr>
        <w:rPr>
          <w:rFonts w:hint="eastAsia" w:ascii="仿宋" w:hAnsi="仿宋" w:eastAsia="仿宋" w:cs="仿宋"/>
          <w:color w:val="auto"/>
          <w:sz w:val="24"/>
          <w:highlight w:val="none"/>
        </w:rPr>
      </w:pPr>
    </w:p>
    <w:p w14:paraId="436FAA09">
      <w:pPr>
        <w:rPr>
          <w:rFonts w:hint="eastAsia" w:ascii="仿宋" w:hAnsi="仿宋" w:eastAsia="仿宋" w:cs="仿宋"/>
          <w:color w:val="auto"/>
          <w:sz w:val="24"/>
          <w:highlight w:val="none"/>
        </w:rPr>
      </w:pPr>
    </w:p>
    <w:p w14:paraId="041FB9E6">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投标人名称（公章）</w:t>
      </w:r>
    </w:p>
    <w:p w14:paraId="437A1F95">
      <w:pPr>
        <w:rPr>
          <w:rFonts w:hint="eastAsia" w:ascii="仿宋" w:hAnsi="仿宋" w:eastAsia="仿宋" w:cs="仿宋"/>
          <w:b/>
          <w:color w:val="auto"/>
          <w:highlight w:val="none"/>
        </w:rPr>
      </w:pPr>
      <w:r>
        <w:rPr>
          <w:rFonts w:hint="eastAsia" w:ascii="仿宋" w:hAnsi="仿宋" w:eastAsia="仿宋" w:cs="仿宋"/>
          <w:color w:val="auto"/>
          <w:sz w:val="24"/>
          <w:highlight w:val="none"/>
        </w:rPr>
        <w:t xml:space="preserve">                                                  年  月  日</w:t>
      </w:r>
    </w:p>
    <w:p w14:paraId="6E35BE24">
      <w:pPr>
        <w:pStyle w:val="203"/>
        <w:rPr>
          <w:rFonts w:hint="eastAsia" w:ascii="仿宋" w:hAnsi="仿宋" w:eastAsia="仿宋" w:cs="仿宋"/>
          <w:color w:val="auto"/>
          <w:highlight w:val="none"/>
        </w:rPr>
      </w:pPr>
    </w:p>
    <w:p w14:paraId="0D3930BF">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b/>
          <w:color w:val="auto"/>
          <w:szCs w:val="28"/>
          <w:highlight w:val="none"/>
        </w:rPr>
        <w:br w:type="page"/>
      </w:r>
      <w:bookmarkStart w:id="1173" w:name="_Toc19525"/>
      <w:bookmarkStart w:id="1174" w:name="_Toc208427836"/>
      <w:bookmarkStart w:id="1175" w:name="_Toc208436199"/>
      <w:r>
        <w:rPr>
          <w:rFonts w:hint="eastAsia" w:ascii="仿宋" w:hAnsi="仿宋" w:eastAsia="仿宋" w:cs="仿宋"/>
          <w:b/>
          <w:color w:val="auto"/>
          <w:sz w:val="32"/>
          <w:highlight w:val="none"/>
        </w:rPr>
        <w:t>三、投标文件签署授权委托书</w:t>
      </w:r>
      <w:bookmarkEnd w:id="1173"/>
      <w:bookmarkEnd w:id="1174"/>
      <w:bookmarkEnd w:id="1175"/>
    </w:p>
    <w:p w14:paraId="65113646">
      <w:pPr>
        <w:rPr>
          <w:rFonts w:hint="eastAsia" w:ascii="仿宋" w:hAnsi="仿宋" w:eastAsia="仿宋" w:cs="仿宋"/>
          <w:color w:val="auto"/>
          <w:highlight w:val="none"/>
        </w:rPr>
      </w:pPr>
    </w:p>
    <w:p w14:paraId="176F7216">
      <w:pPr>
        <w:rPr>
          <w:rFonts w:hint="eastAsia" w:ascii="仿宋" w:hAnsi="仿宋" w:eastAsia="仿宋" w:cs="仿宋"/>
          <w:color w:val="auto"/>
          <w:highlight w:val="none"/>
        </w:rPr>
      </w:pPr>
    </w:p>
    <w:p w14:paraId="2AA55E86">
      <w:pPr>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（投标人名称）的法定代表人，现授权委托</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为我公司签署本工程的投标文件的法定代表人授权委托代理人，我承认代理人全权代表我所签署的本工程的投标文件的内容。</w:t>
      </w:r>
    </w:p>
    <w:p w14:paraId="553AB0F2">
      <w:pPr>
        <w:spacing w:line="480" w:lineRule="auto"/>
        <w:ind w:firstLine="360" w:firstLineChars="150"/>
        <w:rPr>
          <w:rFonts w:hint="eastAsia" w:ascii="仿宋" w:hAnsi="仿宋" w:eastAsia="仿宋" w:cs="仿宋"/>
          <w:color w:val="auto"/>
          <w:sz w:val="24"/>
          <w:highlight w:val="none"/>
        </w:rPr>
      </w:pPr>
    </w:p>
    <w:p w14:paraId="65B56EBA">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2DA9D05C">
      <w:pPr>
        <w:spacing w:line="360" w:lineRule="auto"/>
        <w:ind w:firstLine="360" w:firstLineChars="150"/>
        <w:rPr>
          <w:rFonts w:hint="eastAsia" w:ascii="仿宋" w:hAnsi="仿宋" w:eastAsia="仿宋" w:cs="仿宋"/>
          <w:color w:val="auto"/>
          <w:sz w:val="24"/>
          <w:highlight w:val="none"/>
        </w:rPr>
      </w:pPr>
    </w:p>
    <w:p w14:paraId="5136647F">
      <w:pPr>
        <w:spacing w:line="360" w:lineRule="auto"/>
        <w:ind w:firstLine="360" w:firstLineChars="150"/>
        <w:rPr>
          <w:rFonts w:hint="eastAsia" w:ascii="仿宋" w:hAnsi="仿宋" w:eastAsia="仿宋" w:cs="仿宋"/>
          <w:color w:val="auto"/>
          <w:sz w:val="24"/>
          <w:highlight w:val="none"/>
        </w:rPr>
      </w:pPr>
    </w:p>
    <w:p w14:paraId="1EB9A62F">
      <w:pPr>
        <w:spacing w:line="360" w:lineRule="auto"/>
        <w:ind w:firstLine="360" w:firstLineChars="150"/>
        <w:rPr>
          <w:rFonts w:hint="eastAsia" w:ascii="仿宋" w:hAnsi="仿宋" w:eastAsia="仿宋" w:cs="仿宋"/>
          <w:color w:val="auto"/>
          <w:sz w:val="24"/>
          <w:highlight w:val="none"/>
        </w:rPr>
      </w:pPr>
    </w:p>
    <w:p w14:paraId="2E882FEC">
      <w:pPr>
        <w:spacing w:line="360" w:lineRule="auto"/>
        <w:rPr>
          <w:rFonts w:hint="eastAsia" w:ascii="仿宋" w:hAnsi="仿宋" w:eastAsia="仿宋" w:cs="仿宋"/>
          <w:color w:val="auto"/>
          <w:sz w:val="24"/>
          <w:highlight w:val="none"/>
        </w:rPr>
      </w:pPr>
    </w:p>
    <w:p w14:paraId="61F70F8E">
      <w:pPr>
        <w:spacing w:line="360" w:lineRule="auto"/>
        <w:ind w:firstLine="1833" w:firstLineChars="764"/>
        <w:rPr>
          <w:rFonts w:hint="eastAsia" w:ascii="仿宋" w:hAnsi="仿宋" w:eastAsia="仿宋" w:cs="仿宋"/>
          <w:color w:val="auto"/>
          <w:sz w:val="24"/>
          <w:highlight w:val="none"/>
        </w:rPr>
      </w:pPr>
      <w:r>
        <w:rPr>
          <w:rFonts w:hint="eastAsia" w:ascii="仿宋" w:hAnsi="仿宋" w:eastAsia="仿宋" w:cs="仿宋"/>
          <w:color w:val="auto"/>
          <w:sz w:val="24"/>
          <w:highlight w:val="none"/>
        </w:rPr>
        <w:t>代  理  人：</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thick"/>
        </w:rPr>
        <w:t xml:space="preserve">    </w:t>
      </w:r>
    </w:p>
    <w:p w14:paraId="558DA3B2">
      <w:pPr>
        <w:spacing w:line="360" w:lineRule="auto"/>
        <w:ind w:firstLine="1233" w:firstLineChars="514"/>
        <w:rPr>
          <w:rFonts w:hint="eastAsia" w:ascii="仿宋" w:hAnsi="仿宋" w:eastAsia="仿宋" w:cs="仿宋"/>
          <w:color w:val="auto"/>
          <w:sz w:val="24"/>
          <w:highlight w:val="none"/>
        </w:rPr>
      </w:pPr>
    </w:p>
    <w:p w14:paraId="4E1C6640">
      <w:pPr>
        <w:spacing w:line="360" w:lineRule="auto"/>
        <w:ind w:firstLine="1833" w:firstLineChars="764"/>
        <w:rPr>
          <w:rFonts w:hint="eastAsia" w:ascii="仿宋" w:hAnsi="仿宋" w:eastAsia="仿宋" w:cs="仿宋"/>
          <w:color w:val="auto"/>
          <w:sz w:val="24"/>
          <w:highlight w:val="none"/>
          <w:u w:val="thick"/>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thick"/>
        </w:rPr>
        <w:t xml:space="preserve">            </w:t>
      </w:r>
    </w:p>
    <w:p w14:paraId="55206C51">
      <w:pPr>
        <w:spacing w:line="360" w:lineRule="auto"/>
        <w:ind w:firstLine="1233" w:firstLineChars="514"/>
        <w:rPr>
          <w:rFonts w:hint="eastAsia" w:ascii="仿宋" w:hAnsi="仿宋" w:eastAsia="仿宋" w:cs="仿宋"/>
          <w:color w:val="auto"/>
          <w:sz w:val="24"/>
          <w:highlight w:val="none"/>
        </w:rPr>
      </w:pPr>
    </w:p>
    <w:p w14:paraId="0B48E955">
      <w:pPr>
        <w:spacing w:line="360" w:lineRule="auto"/>
        <w:ind w:firstLine="1833" w:firstLineChars="764"/>
        <w:rPr>
          <w:rFonts w:hint="eastAsia" w:ascii="仿宋" w:hAnsi="仿宋" w:eastAsia="仿宋" w:cs="仿宋"/>
          <w:color w:val="auto"/>
          <w:sz w:val="24"/>
          <w:highlight w:val="none"/>
        </w:rPr>
      </w:pPr>
      <w:r>
        <w:rPr>
          <w:rFonts w:hint="eastAsia" w:ascii="仿宋" w:hAnsi="仿宋" w:eastAsia="仿宋" w:cs="仿宋"/>
          <w:color w:val="auto"/>
          <w:sz w:val="24"/>
          <w:highlight w:val="none"/>
        </w:rPr>
        <w:t>投  标  人：</w:t>
      </w:r>
      <w:r>
        <w:rPr>
          <w:rFonts w:hint="eastAsia" w:ascii="仿宋" w:hAnsi="仿宋" w:eastAsia="仿宋" w:cs="仿宋"/>
          <w:color w:val="auto"/>
          <w:sz w:val="24"/>
          <w:highlight w:val="none"/>
          <w:u w:val="thick"/>
        </w:rPr>
        <w:t xml:space="preserve">                                </w:t>
      </w:r>
    </w:p>
    <w:p w14:paraId="6C3093C9">
      <w:pPr>
        <w:spacing w:line="360" w:lineRule="auto"/>
        <w:ind w:firstLine="1233" w:firstLineChars="514"/>
        <w:rPr>
          <w:rFonts w:hint="eastAsia" w:ascii="仿宋" w:hAnsi="仿宋" w:eastAsia="仿宋" w:cs="仿宋"/>
          <w:color w:val="auto"/>
          <w:sz w:val="24"/>
          <w:highlight w:val="none"/>
        </w:rPr>
      </w:pPr>
    </w:p>
    <w:p w14:paraId="7A4FC675">
      <w:pPr>
        <w:spacing w:line="360" w:lineRule="auto"/>
        <w:ind w:firstLine="1833" w:firstLineChars="764"/>
        <w:rPr>
          <w:rFonts w:hint="eastAsia" w:ascii="仿宋" w:hAnsi="仿宋" w:eastAsia="仿宋" w:cs="仿宋"/>
          <w:color w:val="auto"/>
          <w:sz w:val="24"/>
          <w:highlight w:val="none"/>
          <w:u w:val="thick"/>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thick"/>
        </w:rPr>
        <w:t xml:space="preserve">                                </w:t>
      </w:r>
    </w:p>
    <w:p w14:paraId="12C13B4E">
      <w:pPr>
        <w:spacing w:line="360" w:lineRule="auto"/>
        <w:ind w:firstLine="1233" w:firstLineChars="514"/>
        <w:rPr>
          <w:rFonts w:hint="eastAsia" w:ascii="仿宋" w:hAnsi="仿宋" w:eastAsia="仿宋" w:cs="仿宋"/>
          <w:color w:val="auto"/>
          <w:sz w:val="24"/>
          <w:highlight w:val="none"/>
          <w:u w:val="thick"/>
        </w:rPr>
      </w:pPr>
    </w:p>
    <w:p w14:paraId="72B300A9">
      <w:pPr>
        <w:spacing w:line="360" w:lineRule="auto"/>
        <w:ind w:firstLine="1833" w:firstLineChars="764"/>
        <w:rPr>
          <w:rFonts w:hint="eastAsia" w:ascii="仿宋" w:hAnsi="仿宋" w:eastAsia="仿宋" w:cs="仿宋"/>
          <w:color w:val="auto"/>
          <w:sz w:val="28"/>
          <w:highlight w:val="none"/>
          <w:u w:val="thick"/>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thick"/>
        </w:rPr>
        <w:t xml:space="preserve">     </w:t>
      </w:r>
      <w:r>
        <w:rPr>
          <w:rFonts w:hint="eastAsia" w:ascii="仿宋" w:hAnsi="仿宋" w:eastAsia="仿宋" w:cs="仿宋"/>
          <w:color w:val="auto"/>
          <w:sz w:val="24"/>
          <w:highlight w:val="none"/>
        </w:rPr>
        <w:t>日</w:t>
      </w:r>
    </w:p>
    <w:p w14:paraId="3CCE38A8">
      <w:pPr>
        <w:pStyle w:val="3"/>
        <w:tabs>
          <w:tab w:val="left" w:pos="0"/>
        </w:tabs>
        <w:ind w:left="0" w:firstLine="0"/>
        <w:jc w:val="center"/>
        <w:rPr>
          <w:rFonts w:hint="eastAsia" w:ascii="仿宋" w:hAnsi="仿宋" w:eastAsia="仿宋" w:cs="仿宋"/>
          <w:b/>
          <w:color w:val="auto"/>
          <w:sz w:val="32"/>
          <w:highlight w:val="none"/>
        </w:rPr>
      </w:pPr>
      <w:r>
        <w:rPr>
          <w:rFonts w:hint="eastAsia" w:ascii="仿宋" w:hAnsi="仿宋" w:eastAsia="仿宋" w:cs="仿宋"/>
          <w:color w:val="auto"/>
          <w:highlight w:val="none"/>
        </w:rPr>
        <w:br w:type="page"/>
      </w:r>
      <w:bookmarkStart w:id="1176" w:name="_Toc208427837"/>
      <w:bookmarkStart w:id="1177" w:name="_Toc208436200"/>
      <w:bookmarkStart w:id="1178" w:name="_Toc6807"/>
      <w:r>
        <w:rPr>
          <w:rFonts w:hint="eastAsia" w:ascii="仿宋" w:hAnsi="仿宋" w:eastAsia="仿宋" w:cs="仿宋"/>
          <w:b/>
          <w:color w:val="auto"/>
          <w:sz w:val="32"/>
          <w:highlight w:val="none"/>
        </w:rPr>
        <w:t>四、投标函</w:t>
      </w:r>
      <w:bookmarkEnd w:id="1176"/>
      <w:bookmarkEnd w:id="1177"/>
      <w:bookmarkEnd w:id="1178"/>
    </w:p>
    <w:p w14:paraId="0438BEA5">
      <w:pPr>
        <w:rPr>
          <w:rFonts w:hint="eastAsia" w:ascii="仿宋" w:hAnsi="仿宋" w:eastAsia="仿宋" w:cs="仿宋"/>
          <w:color w:val="auto"/>
          <w:sz w:val="18"/>
          <w:szCs w:val="18"/>
          <w:highlight w:val="none"/>
        </w:rPr>
      </w:pPr>
    </w:p>
    <w:p w14:paraId="5BC4B604">
      <w:pPr>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（招标人名称）</w:t>
      </w:r>
    </w:p>
    <w:p w14:paraId="1B23FB14">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1、根据贵方出售的</w:t>
      </w:r>
      <w:r>
        <w:rPr>
          <w:rFonts w:hint="eastAsia" w:ascii="仿宋" w:hAnsi="仿宋" w:eastAsia="仿宋" w:cs="仿宋"/>
          <w:color w:val="auto"/>
          <w:sz w:val="24"/>
          <w:szCs w:val="24"/>
          <w:highlight w:val="none"/>
          <w:u w:val="single"/>
        </w:rPr>
        <w:t xml:space="preserve">            （项目名称）     </w:t>
      </w:r>
      <w:r>
        <w:rPr>
          <w:rFonts w:hint="eastAsia" w:ascii="仿宋" w:hAnsi="仿宋" w:eastAsia="仿宋" w:cs="仿宋"/>
          <w:color w:val="auto"/>
          <w:sz w:val="24"/>
          <w:szCs w:val="24"/>
          <w:highlight w:val="none"/>
        </w:rPr>
        <w:t>的招标文件，我方经踏勘项目现场和研究上述招标文件的投标须知、合同条款、图纸、技术标准和要求、工程量清单和答疑纪要及其他有关文件后，完全响应招标文件要求。我方愿以(大写)</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人民币，（小写：￥</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元，其中措施项目费</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元，安全文明施工费</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元）的投标报价承包上述工程招标范围内含采购、安装、施工、竣工等所有工作，并承担任何质量缺陷保修责任。</w:t>
      </w:r>
    </w:p>
    <w:p w14:paraId="139581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2、我方已详细审核全部招标文件，包括答疑纪要及有关附件。</w:t>
      </w:r>
    </w:p>
    <w:p w14:paraId="6A2E5571">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3、我方承认投标函附录是我方投标函的组成部分。</w:t>
      </w:r>
    </w:p>
    <w:p w14:paraId="006F8722">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4、我方保证上述投标报价不低于我单位工程施工的成本价。</w:t>
      </w:r>
    </w:p>
    <w:p w14:paraId="2BBD1B3D">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5、若我方中标，我方保证按投标工期</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日历天内完成合同约定的竣工日要求并移交全部工程。</w:t>
      </w:r>
    </w:p>
    <w:p w14:paraId="5E1D3307">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6、我方保证工程质量等级达到</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标准（合格/不合格）。</w:t>
      </w:r>
    </w:p>
    <w:p w14:paraId="3B436C69">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7、我方同意所提交的投标文件在招标文件的投标须知中规定的投标有效期内有效，在此期间内如果中标，我方将受此约束。</w:t>
      </w:r>
    </w:p>
    <w:p w14:paraId="5CBEE2CD">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8、在合同协议书正式签署生效之前，你方的招标文件、答疑纪要、中标通知书和本投</w:t>
      </w:r>
      <w:r>
        <w:rPr>
          <w:rFonts w:hint="eastAsia" w:ascii="仿宋" w:hAnsi="仿宋" w:eastAsia="仿宋" w:cs="仿宋"/>
          <w:color w:val="auto"/>
          <w:spacing w:val="-6"/>
          <w:sz w:val="24"/>
          <w:szCs w:val="24"/>
          <w:highlight w:val="none"/>
        </w:rPr>
        <w:t>标文件以及我方的有关承诺将构成我们约束双方之间共同遵守的文件，对双方具有约束力。</w:t>
      </w:r>
    </w:p>
    <w:p w14:paraId="2E3E6793">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9、我方与本投标函一起，提交了人民币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万元作为投标保证金。</w:t>
      </w:r>
    </w:p>
    <w:p w14:paraId="1F1F2D43">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10、我方理解你方不负担我们的任何投标费用，我方不要求你方对未中标原因作任何解释，也不退回投标文件。</w:t>
      </w:r>
    </w:p>
    <w:p w14:paraId="301A2D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11、我方不存在投标人须知中1.4.3规定的投标人不得存在情形。</w:t>
      </w:r>
    </w:p>
    <w:p w14:paraId="465794C8">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12、我方所递交的投标文件（包括有关资料、澄清）真实可信，不存在虚假（包括隐瞒）。如存在虚假投标行为，我方自愿按有关规定承担责任。</w:t>
      </w:r>
    </w:p>
    <w:p w14:paraId="6BF8C3DC">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13、本项目委派项目经理是</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w:t>
      </w:r>
    </w:p>
    <w:p w14:paraId="1CFC632A">
      <w:pPr>
        <w:spacing w:line="288"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注：投标报价应与工程量清单的报价汇总表数字一致。</w:t>
      </w:r>
    </w:p>
    <w:p w14:paraId="69636856">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thick"/>
        </w:rPr>
        <w:t xml:space="preserve">                                 （盖章）</w:t>
      </w:r>
    </w:p>
    <w:p w14:paraId="56C0729F">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r>
        <w:rPr>
          <w:rFonts w:hint="eastAsia" w:ascii="仿宋" w:hAnsi="仿宋" w:eastAsia="仿宋" w:cs="仿宋"/>
          <w:color w:val="auto"/>
          <w:sz w:val="24"/>
          <w:szCs w:val="24"/>
          <w:highlight w:val="none"/>
          <w:u w:val="thick"/>
        </w:rPr>
        <w:t xml:space="preserve">                                       </w:t>
      </w:r>
    </w:p>
    <w:p w14:paraId="250AD2BE">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thick"/>
        </w:rPr>
        <w:t xml:space="preserve">         （签字或盖章）</w:t>
      </w:r>
    </w:p>
    <w:p w14:paraId="1384E5B2">
      <w:pPr>
        <w:spacing w:line="560" w:lineRule="exact"/>
        <w:ind w:firstLine="770" w:firstLineChars="321"/>
        <w:rPr>
          <w:rFonts w:hint="eastAsia" w:ascii="仿宋" w:hAnsi="仿宋" w:eastAsia="仿宋" w:cs="仿宋"/>
          <w:color w:val="auto"/>
          <w:sz w:val="24"/>
          <w:szCs w:val="24"/>
          <w:highlight w:val="none"/>
          <w:u w:val="thick"/>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thick"/>
        </w:rPr>
        <w:t xml:space="preserve">         </w:t>
      </w:r>
    </w:p>
    <w:p w14:paraId="6C20B46F">
      <w:pPr>
        <w:spacing w:line="560" w:lineRule="exact"/>
        <w:ind w:firstLine="770" w:firstLineChars="32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thick"/>
        </w:rPr>
        <w:t xml:space="preserve">       </w:t>
      </w:r>
      <w:r>
        <w:rPr>
          <w:rFonts w:hint="eastAsia" w:ascii="仿宋" w:hAnsi="仿宋" w:eastAsia="仿宋" w:cs="仿宋"/>
          <w:color w:val="auto"/>
          <w:sz w:val="24"/>
          <w:szCs w:val="24"/>
          <w:highlight w:val="none"/>
        </w:rPr>
        <w:t>日</w:t>
      </w:r>
    </w:p>
    <w:p w14:paraId="5B0201BA">
      <w:pPr>
        <w:jc w:val="center"/>
        <w:rPr>
          <w:rFonts w:hint="eastAsia" w:ascii="仿宋" w:hAnsi="仿宋" w:eastAsia="仿宋" w:cs="仿宋"/>
          <w:b/>
          <w:color w:val="auto"/>
          <w:sz w:val="32"/>
          <w:highlight w:val="none"/>
        </w:rPr>
      </w:pPr>
      <w:bookmarkStart w:id="1179" w:name="_Toc208427838"/>
      <w:bookmarkStart w:id="1180" w:name="_Toc208436201"/>
      <w:r>
        <w:rPr>
          <w:rFonts w:hint="eastAsia" w:ascii="仿宋" w:hAnsi="仿宋" w:eastAsia="仿宋" w:cs="仿宋"/>
          <w:b/>
          <w:color w:val="auto"/>
          <w:sz w:val="32"/>
          <w:highlight w:val="none"/>
        </w:rPr>
        <w:t>五、对招标文件和合同条款的承诺</w:t>
      </w:r>
      <w:bookmarkEnd w:id="1179"/>
      <w:bookmarkEnd w:id="1180"/>
    </w:p>
    <w:p w14:paraId="086645F0">
      <w:pPr>
        <w:pStyle w:val="5"/>
        <w:tabs>
          <w:tab w:val="left" w:pos="588"/>
        </w:tabs>
        <w:ind w:left="0" w:leftChars="0" w:firstLine="1968" w:firstLineChars="700"/>
        <w:jc w:val="both"/>
        <w:rPr>
          <w:rFonts w:hint="default" w:ascii="Times New Roman" w:hAnsi="Times New Roman" w:eastAsia="仿宋_GB2312" w:cs="Times New Roman"/>
          <w:b/>
          <w:bCs/>
          <w:color w:val="auto"/>
          <w:sz w:val="28"/>
          <w:szCs w:val="36"/>
          <w:highlight w:val="none"/>
        </w:rPr>
      </w:pPr>
      <w:bookmarkStart w:id="1181" w:name="_Toc208427839"/>
      <w:bookmarkStart w:id="1182" w:name="_Toc208436202"/>
    </w:p>
    <w:p w14:paraId="5E90B015">
      <w:pPr>
        <w:pStyle w:val="5"/>
        <w:tabs>
          <w:tab w:val="left" w:pos="588"/>
        </w:tabs>
        <w:ind w:left="0" w:leftChars="0" w:firstLine="1968" w:firstLineChars="700"/>
        <w:jc w:val="both"/>
        <w:rPr>
          <w:rFonts w:hint="eastAsia" w:ascii="仿宋" w:hAnsi="仿宋" w:eastAsia="仿宋" w:cs="仿宋"/>
          <w:b/>
          <w:bCs/>
          <w:color w:val="auto"/>
          <w:sz w:val="28"/>
          <w:szCs w:val="36"/>
          <w:highlight w:val="none"/>
        </w:rPr>
      </w:pPr>
      <w:bookmarkStart w:id="1183" w:name="_Toc16781"/>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lang w:val="en-US" w:eastAsia="zh-CN"/>
        </w:rPr>
        <w:t>一</w:t>
      </w:r>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rPr>
        <w:t>商务、合同条款偏离表</w:t>
      </w:r>
      <w:bookmarkEnd w:id="1183"/>
    </w:p>
    <w:p w14:paraId="70C967DB">
      <w:pPr>
        <w:pStyle w:val="11"/>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p>
    <w:p w14:paraId="2591FDEC">
      <w:pPr>
        <w:pStyle w:val="11"/>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5A81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0" w:type="dxa"/>
          </w:tcPr>
          <w:p w14:paraId="40A02ACD">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835" w:type="dxa"/>
          </w:tcPr>
          <w:p w14:paraId="7E7AF850">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文件商务、合同条款</w:t>
            </w:r>
          </w:p>
        </w:tc>
        <w:tc>
          <w:tcPr>
            <w:tcW w:w="1701" w:type="dxa"/>
          </w:tcPr>
          <w:p w14:paraId="069FB72A">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完全响应</w:t>
            </w:r>
          </w:p>
        </w:tc>
        <w:tc>
          <w:tcPr>
            <w:tcW w:w="1417" w:type="dxa"/>
          </w:tcPr>
          <w:p w14:paraId="24D8EBC7">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有偏离</w:t>
            </w:r>
          </w:p>
        </w:tc>
        <w:tc>
          <w:tcPr>
            <w:tcW w:w="2195" w:type="dxa"/>
          </w:tcPr>
          <w:p w14:paraId="4E4FD633">
            <w:pPr>
              <w:pStyle w:val="1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偏离简述</w:t>
            </w:r>
          </w:p>
        </w:tc>
      </w:tr>
      <w:tr w14:paraId="197C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6B313C0">
            <w:pPr>
              <w:pStyle w:val="15"/>
              <w:jc w:val="center"/>
              <w:rPr>
                <w:rFonts w:hint="eastAsia" w:ascii="仿宋" w:hAnsi="仿宋" w:eastAsia="仿宋" w:cs="仿宋"/>
                <w:color w:val="auto"/>
                <w:sz w:val="24"/>
                <w:szCs w:val="24"/>
                <w:highlight w:val="none"/>
              </w:rPr>
            </w:pPr>
          </w:p>
        </w:tc>
        <w:tc>
          <w:tcPr>
            <w:tcW w:w="2835" w:type="dxa"/>
            <w:shd w:val="clear" w:color="auto" w:fill="auto"/>
            <w:vAlign w:val="center"/>
          </w:tcPr>
          <w:p w14:paraId="0BF5F8E9">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建设地点</w:t>
            </w:r>
          </w:p>
        </w:tc>
        <w:tc>
          <w:tcPr>
            <w:tcW w:w="1701" w:type="dxa"/>
          </w:tcPr>
          <w:p w14:paraId="37F32869">
            <w:pPr>
              <w:pStyle w:val="15"/>
              <w:jc w:val="center"/>
              <w:rPr>
                <w:rFonts w:hint="eastAsia" w:ascii="仿宋" w:hAnsi="仿宋" w:eastAsia="仿宋" w:cs="仿宋"/>
                <w:color w:val="auto"/>
                <w:sz w:val="24"/>
                <w:szCs w:val="24"/>
                <w:highlight w:val="none"/>
              </w:rPr>
            </w:pPr>
          </w:p>
        </w:tc>
        <w:tc>
          <w:tcPr>
            <w:tcW w:w="1417" w:type="dxa"/>
          </w:tcPr>
          <w:p w14:paraId="0C89392B">
            <w:pPr>
              <w:pStyle w:val="15"/>
              <w:jc w:val="center"/>
              <w:rPr>
                <w:rFonts w:hint="eastAsia" w:ascii="仿宋" w:hAnsi="仿宋" w:eastAsia="仿宋" w:cs="仿宋"/>
                <w:color w:val="auto"/>
                <w:sz w:val="24"/>
                <w:szCs w:val="24"/>
                <w:highlight w:val="none"/>
              </w:rPr>
            </w:pPr>
          </w:p>
        </w:tc>
        <w:tc>
          <w:tcPr>
            <w:tcW w:w="2195" w:type="dxa"/>
          </w:tcPr>
          <w:p w14:paraId="08833D41">
            <w:pPr>
              <w:pStyle w:val="15"/>
              <w:jc w:val="center"/>
              <w:rPr>
                <w:rFonts w:hint="eastAsia" w:ascii="仿宋" w:hAnsi="仿宋" w:eastAsia="仿宋" w:cs="仿宋"/>
                <w:color w:val="auto"/>
                <w:sz w:val="24"/>
                <w:szCs w:val="24"/>
                <w:highlight w:val="none"/>
              </w:rPr>
            </w:pPr>
          </w:p>
        </w:tc>
      </w:tr>
      <w:tr w14:paraId="4F01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B928806">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60B72BE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工期</w:t>
            </w:r>
          </w:p>
        </w:tc>
        <w:tc>
          <w:tcPr>
            <w:tcW w:w="1701" w:type="dxa"/>
          </w:tcPr>
          <w:p w14:paraId="048FB69A">
            <w:pPr>
              <w:pStyle w:val="15"/>
              <w:ind w:left="1080" w:leftChars="257" w:hanging="540"/>
              <w:jc w:val="center"/>
              <w:rPr>
                <w:rFonts w:hint="eastAsia" w:ascii="仿宋" w:hAnsi="仿宋" w:eastAsia="仿宋" w:cs="仿宋"/>
                <w:color w:val="auto"/>
                <w:sz w:val="24"/>
                <w:szCs w:val="24"/>
                <w:highlight w:val="none"/>
              </w:rPr>
            </w:pPr>
          </w:p>
        </w:tc>
        <w:tc>
          <w:tcPr>
            <w:tcW w:w="1417" w:type="dxa"/>
          </w:tcPr>
          <w:p w14:paraId="4DE391E5">
            <w:pPr>
              <w:pStyle w:val="15"/>
              <w:ind w:left="1080" w:leftChars="257" w:hanging="540"/>
              <w:jc w:val="center"/>
              <w:rPr>
                <w:rFonts w:hint="eastAsia" w:ascii="仿宋" w:hAnsi="仿宋" w:eastAsia="仿宋" w:cs="仿宋"/>
                <w:color w:val="auto"/>
                <w:sz w:val="24"/>
                <w:szCs w:val="24"/>
                <w:highlight w:val="none"/>
              </w:rPr>
            </w:pPr>
          </w:p>
        </w:tc>
        <w:tc>
          <w:tcPr>
            <w:tcW w:w="2195" w:type="dxa"/>
          </w:tcPr>
          <w:p w14:paraId="520E9DCF">
            <w:pPr>
              <w:pStyle w:val="15"/>
              <w:ind w:left="1080" w:leftChars="257" w:hanging="540"/>
              <w:rPr>
                <w:rFonts w:hint="eastAsia" w:ascii="仿宋" w:hAnsi="仿宋" w:eastAsia="仿宋" w:cs="仿宋"/>
                <w:color w:val="auto"/>
                <w:sz w:val="24"/>
                <w:szCs w:val="24"/>
                <w:highlight w:val="none"/>
              </w:rPr>
            </w:pPr>
          </w:p>
        </w:tc>
      </w:tr>
      <w:tr w14:paraId="51C6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9FFF99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37D0CC13">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质量标准</w:t>
            </w:r>
          </w:p>
        </w:tc>
        <w:tc>
          <w:tcPr>
            <w:tcW w:w="1701" w:type="dxa"/>
          </w:tcPr>
          <w:p w14:paraId="09896447">
            <w:pPr>
              <w:pStyle w:val="15"/>
              <w:ind w:left="1080" w:leftChars="257" w:hanging="540"/>
              <w:rPr>
                <w:rFonts w:hint="eastAsia" w:ascii="仿宋" w:hAnsi="仿宋" w:eastAsia="仿宋" w:cs="仿宋"/>
                <w:color w:val="auto"/>
                <w:sz w:val="24"/>
                <w:szCs w:val="24"/>
                <w:highlight w:val="none"/>
              </w:rPr>
            </w:pPr>
          </w:p>
        </w:tc>
        <w:tc>
          <w:tcPr>
            <w:tcW w:w="1417" w:type="dxa"/>
          </w:tcPr>
          <w:p w14:paraId="58A72733">
            <w:pPr>
              <w:pStyle w:val="15"/>
              <w:ind w:left="1080" w:leftChars="257" w:hanging="540"/>
              <w:rPr>
                <w:rFonts w:hint="eastAsia" w:ascii="仿宋" w:hAnsi="仿宋" w:eastAsia="仿宋" w:cs="仿宋"/>
                <w:color w:val="auto"/>
                <w:sz w:val="24"/>
                <w:szCs w:val="24"/>
                <w:highlight w:val="none"/>
              </w:rPr>
            </w:pPr>
          </w:p>
        </w:tc>
        <w:tc>
          <w:tcPr>
            <w:tcW w:w="2195" w:type="dxa"/>
          </w:tcPr>
          <w:p w14:paraId="6D400DCE">
            <w:pPr>
              <w:pStyle w:val="15"/>
              <w:ind w:left="1080" w:leftChars="257" w:hanging="540"/>
              <w:rPr>
                <w:rFonts w:hint="eastAsia" w:ascii="仿宋" w:hAnsi="仿宋" w:eastAsia="仿宋" w:cs="仿宋"/>
                <w:color w:val="auto"/>
                <w:sz w:val="24"/>
                <w:szCs w:val="24"/>
                <w:highlight w:val="none"/>
              </w:rPr>
            </w:pPr>
          </w:p>
        </w:tc>
      </w:tr>
      <w:tr w14:paraId="5BBD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1FA454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4BEF3327">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付款比例</w:t>
            </w:r>
          </w:p>
        </w:tc>
        <w:tc>
          <w:tcPr>
            <w:tcW w:w="1701" w:type="dxa"/>
          </w:tcPr>
          <w:p w14:paraId="07C4C9E5">
            <w:pPr>
              <w:pStyle w:val="15"/>
              <w:ind w:left="1080" w:leftChars="257" w:hanging="540"/>
              <w:rPr>
                <w:rFonts w:hint="eastAsia" w:ascii="仿宋" w:hAnsi="仿宋" w:eastAsia="仿宋" w:cs="仿宋"/>
                <w:color w:val="auto"/>
                <w:sz w:val="24"/>
                <w:szCs w:val="24"/>
                <w:highlight w:val="none"/>
              </w:rPr>
            </w:pPr>
          </w:p>
        </w:tc>
        <w:tc>
          <w:tcPr>
            <w:tcW w:w="1417" w:type="dxa"/>
          </w:tcPr>
          <w:p w14:paraId="67E192C1">
            <w:pPr>
              <w:pStyle w:val="15"/>
              <w:ind w:left="1080" w:leftChars="257" w:hanging="540"/>
              <w:rPr>
                <w:rFonts w:hint="eastAsia" w:ascii="仿宋" w:hAnsi="仿宋" w:eastAsia="仿宋" w:cs="仿宋"/>
                <w:color w:val="auto"/>
                <w:sz w:val="24"/>
                <w:szCs w:val="24"/>
                <w:highlight w:val="none"/>
              </w:rPr>
            </w:pPr>
          </w:p>
        </w:tc>
        <w:tc>
          <w:tcPr>
            <w:tcW w:w="2195" w:type="dxa"/>
          </w:tcPr>
          <w:p w14:paraId="40ED143F">
            <w:pPr>
              <w:pStyle w:val="15"/>
              <w:ind w:left="1080" w:leftChars="257" w:hanging="540"/>
              <w:rPr>
                <w:rFonts w:hint="eastAsia" w:ascii="仿宋" w:hAnsi="仿宋" w:eastAsia="仿宋" w:cs="仿宋"/>
                <w:color w:val="auto"/>
                <w:sz w:val="24"/>
                <w:szCs w:val="24"/>
                <w:highlight w:val="none"/>
              </w:rPr>
            </w:pPr>
          </w:p>
        </w:tc>
      </w:tr>
      <w:tr w14:paraId="348D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6D798E3E">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28221306">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质量保修期</w:t>
            </w:r>
          </w:p>
        </w:tc>
        <w:tc>
          <w:tcPr>
            <w:tcW w:w="1701" w:type="dxa"/>
          </w:tcPr>
          <w:p w14:paraId="4A4D6809">
            <w:pPr>
              <w:pStyle w:val="15"/>
              <w:ind w:left="1080" w:leftChars="257" w:hanging="540"/>
              <w:rPr>
                <w:rFonts w:hint="eastAsia" w:ascii="仿宋" w:hAnsi="仿宋" w:eastAsia="仿宋" w:cs="仿宋"/>
                <w:color w:val="auto"/>
                <w:sz w:val="24"/>
                <w:szCs w:val="24"/>
                <w:highlight w:val="none"/>
              </w:rPr>
            </w:pPr>
          </w:p>
        </w:tc>
        <w:tc>
          <w:tcPr>
            <w:tcW w:w="1417" w:type="dxa"/>
          </w:tcPr>
          <w:p w14:paraId="60C79406">
            <w:pPr>
              <w:pStyle w:val="15"/>
              <w:ind w:left="1080" w:leftChars="257" w:hanging="540"/>
              <w:rPr>
                <w:rFonts w:hint="eastAsia" w:ascii="仿宋" w:hAnsi="仿宋" w:eastAsia="仿宋" w:cs="仿宋"/>
                <w:color w:val="auto"/>
                <w:sz w:val="24"/>
                <w:szCs w:val="24"/>
                <w:highlight w:val="none"/>
              </w:rPr>
            </w:pPr>
          </w:p>
        </w:tc>
        <w:tc>
          <w:tcPr>
            <w:tcW w:w="2195" w:type="dxa"/>
          </w:tcPr>
          <w:p w14:paraId="0324ED51">
            <w:pPr>
              <w:pStyle w:val="15"/>
              <w:ind w:left="1080" w:leftChars="257" w:hanging="540"/>
              <w:rPr>
                <w:rFonts w:hint="eastAsia" w:ascii="仿宋" w:hAnsi="仿宋" w:eastAsia="仿宋" w:cs="仿宋"/>
                <w:color w:val="auto"/>
                <w:sz w:val="24"/>
                <w:szCs w:val="24"/>
                <w:highlight w:val="none"/>
              </w:rPr>
            </w:pPr>
          </w:p>
        </w:tc>
      </w:tr>
      <w:tr w14:paraId="3B5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1D84995B">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05C21B0B">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投标保证金</w:t>
            </w:r>
          </w:p>
        </w:tc>
        <w:tc>
          <w:tcPr>
            <w:tcW w:w="1701" w:type="dxa"/>
          </w:tcPr>
          <w:p w14:paraId="577B6BAA">
            <w:pPr>
              <w:pStyle w:val="15"/>
              <w:ind w:left="1080" w:leftChars="257" w:hanging="540"/>
              <w:rPr>
                <w:rFonts w:hint="eastAsia" w:ascii="仿宋" w:hAnsi="仿宋" w:eastAsia="仿宋" w:cs="仿宋"/>
                <w:color w:val="auto"/>
                <w:sz w:val="24"/>
                <w:szCs w:val="24"/>
                <w:highlight w:val="none"/>
              </w:rPr>
            </w:pPr>
          </w:p>
        </w:tc>
        <w:tc>
          <w:tcPr>
            <w:tcW w:w="1417" w:type="dxa"/>
          </w:tcPr>
          <w:p w14:paraId="79C25145">
            <w:pPr>
              <w:pStyle w:val="15"/>
              <w:ind w:left="1080" w:leftChars="257" w:hanging="540"/>
              <w:rPr>
                <w:rFonts w:hint="eastAsia" w:ascii="仿宋" w:hAnsi="仿宋" w:eastAsia="仿宋" w:cs="仿宋"/>
                <w:color w:val="auto"/>
                <w:sz w:val="24"/>
                <w:szCs w:val="24"/>
                <w:highlight w:val="none"/>
              </w:rPr>
            </w:pPr>
          </w:p>
        </w:tc>
        <w:tc>
          <w:tcPr>
            <w:tcW w:w="2195" w:type="dxa"/>
          </w:tcPr>
          <w:p w14:paraId="56475E62">
            <w:pPr>
              <w:pStyle w:val="15"/>
              <w:ind w:left="1080" w:leftChars="257" w:hanging="540"/>
              <w:rPr>
                <w:rFonts w:hint="eastAsia" w:ascii="仿宋" w:hAnsi="仿宋" w:eastAsia="仿宋" w:cs="仿宋"/>
                <w:color w:val="auto"/>
                <w:sz w:val="24"/>
                <w:szCs w:val="24"/>
                <w:highlight w:val="none"/>
              </w:rPr>
            </w:pPr>
          </w:p>
        </w:tc>
      </w:tr>
      <w:tr w14:paraId="71B39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3C501ABA">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4820B5E2">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投标有效期</w:t>
            </w:r>
          </w:p>
        </w:tc>
        <w:tc>
          <w:tcPr>
            <w:tcW w:w="1701" w:type="dxa"/>
          </w:tcPr>
          <w:p w14:paraId="3B588A2F">
            <w:pPr>
              <w:pStyle w:val="15"/>
              <w:ind w:left="1080" w:leftChars="257" w:hanging="540"/>
              <w:rPr>
                <w:rFonts w:hint="eastAsia" w:ascii="仿宋" w:hAnsi="仿宋" w:eastAsia="仿宋" w:cs="仿宋"/>
                <w:color w:val="auto"/>
                <w:sz w:val="24"/>
                <w:szCs w:val="24"/>
                <w:highlight w:val="none"/>
              </w:rPr>
            </w:pPr>
          </w:p>
        </w:tc>
        <w:tc>
          <w:tcPr>
            <w:tcW w:w="1417" w:type="dxa"/>
          </w:tcPr>
          <w:p w14:paraId="0B4B70DB">
            <w:pPr>
              <w:pStyle w:val="15"/>
              <w:ind w:left="1080" w:leftChars="257" w:hanging="540"/>
              <w:rPr>
                <w:rFonts w:hint="eastAsia" w:ascii="仿宋" w:hAnsi="仿宋" w:eastAsia="仿宋" w:cs="仿宋"/>
                <w:color w:val="auto"/>
                <w:sz w:val="24"/>
                <w:szCs w:val="24"/>
                <w:highlight w:val="none"/>
              </w:rPr>
            </w:pPr>
          </w:p>
        </w:tc>
        <w:tc>
          <w:tcPr>
            <w:tcW w:w="2195" w:type="dxa"/>
          </w:tcPr>
          <w:p w14:paraId="2BDCD8F6">
            <w:pPr>
              <w:pStyle w:val="15"/>
              <w:ind w:left="1080" w:leftChars="257" w:hanging="540"/>
              <w:rPr>
                <w:rFonts w:hint="eastAsia" w:ascii="仿宋" w:hAnsi="仿宋" w:eastAsia="仿宋" w:cs="仿宋"/>
                <w:color w:val="auto"/>
                <w:sz w:val="24"/>
                <w:szCs w:val="24"/>
                <w:highlight w:val="none"/>
              </w:rPr>
            </w:pPr>
          </w:p>
        </w:tc>
      </w:tr>
      <w:tr w14:paraId="76A9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4C73060">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064C1595">
            <w:pPr>
              <w:jc w:val="center"/>
              <w:rPr>
                <w:rFonts w:hint="eastAsia" w:ascii="仿宋" w:hAnsi="仿宋" w:eastAsia="仿宋" w:cs="仿宋"/>
                <w:bCs/>
                <w:color w:val="auto"/>
                <w:kern w:val="2"/>
                <w:sz w:val="24"/>
                <w:szCs w:val="24"/>
                <w:highlight w:val="none"/>
                <w:lang w:val="en-US" w:eastAsia="zh-CN" w:bidi="ar-SA"/>
              </w:rPr>
            </w:pPr>
          </w:p>
        </w:tc>
        <w:tc>
          <w:tcPr>
            <w:tcW w:w="1701" w:type="dxa"/>
          </w:tcPr>
          <w:p w14:paraId="56468B0C">
            <w:pPr>
              <w:pStyle w:val="15"/>
              <w:ind w:left="1080" w:leftChars="257" w:hanging="540"/>
              <w:rPr>
                <w:rFonts w:hint="eastAsia" w:ascii="仿宋" w:hAnsi="仿宋" w:eastAsia="仿宋" w:cs="仿宋"/>
                <w:color w:val="auto"/>
                <w:sz w:val="24"/>
                <w:szCs w:val="24"/>
                <w:highlight w:val="none"/>
              </w:rPr>
            </w:pPr>
          </w:p>
        </w:tc>
        <w:tc>
          <w:tcPr>
            <w:tcW w:w="1417" w:type="dxa"/>
          </w:tcPr>
          <w:p w14:paraId="4E825C7F">
            <w:pPr>
              <w:pStyle w:val="15"/>
              <w:ind w:left="1080" w:leftChars="257" w:hanging="540"/>
              <w:rPr>
                <w:rFonts w:hint="eastAsia" w:ascii="仿宋" w:hAnsi="仿宋" w:eastAsia="仿宋" w:cs="仿宋"/>
                <w:color w:val="auto"/>
                <w:sz w:val="24"/>
                <w:szCs w:val="24"/>
                <w:highlight w:val="none"/>
              </w:rPr>
            </w:pPr>
          </w:p>
        </w:tc>
        <w:tc>
          <w:tcPr>
            <w:tcW w:w="2195" w:type="dxa"/>
          </w:tcPr>
          <w:p w14:paraId="0E4A1408">
            <w:pPr>
              <w:pStyle w:val="15"/>
              <w:ind w:left="1080" w:leftChars="257" w:hanging="540"/>
              <w:rPr>
                <w:rFonts w:hint="eastAsia" w:ascii="仿宋" w:hAnsi="仿宋" w:eastAsia="仿宋" w:cs="仿宋"/>
                <w:color w:val="auto"/>
                <w:sz w:val="24"/>
                <w:szCs w:val="24"/>
                <w:highlight w:val="none"/>
              </w:rPr>
            </w:pPr>
          </w:p>
        </w:tc>
      </w:tr>
      <w:tr w14:paraId="64A3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54724D">
            <w:pPr>
              <w:pStyle w:val="15"/>
              <w:ind w:left="1080" w:leftChars="257" w:hanging="540"/>
              <w:rPr>
                <w:rFonts w:hint="eastAsia" w:ascii="仿宋" w:hAnsi="仿宋" w:eastAsia="仿宋" w:cs="仿宋"/>
                <w:color w:val="auto"/>
                <w:sz w:val="24"/>
                <w:szCs w:val="24"/>
                <w:highlight w:val="none"/>
              </w:rPr>
            </w:pPr>
          </w:p>
        </w:tc>
        <w:tc>
          <w:tcPr>
            <w:tcW w:w="2835" w:type="dxa"/>
            <w:shd w:val="clear" w:color="auto" w:fill="auto"/>
            <w:vAlign w:val="center"/>
          </w:tcPr>
          <w:p w14:paraId="3545F404">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highlight w:val="none"/>
                <w:lang w:val="en-US" w:eastAsia="zh-CN"/>
              </w:rPr>
              <w:t>...</w:t>
            </w:r>
          </w:p>
        </w:tc>
        <w:tc>
          <w:tcPr>
            <w:tcW w:w="1701" w:type="dxa"/>
          </w:tcPr>
          <w:p w14:paraId="1CBE5B7D">
            <w:pPr>
              <w:pStyle w:val="15"/>
              <w:ind w:left="1080" w:leftChars="257" w:hanging="540"/>
              <w:rPr>
                <w:rFonts w:hint="eastAsia" w:ascii="仿宋" w:hAnsi="仿宋" w:eastAsia="仿宋" w:cs="仿宋"/>
                <w:color w:val="auto"/>
                <w:sz w:val="24"/>
                <w:szCs w:val="24"/>
                <w:highlight w:val="none"/>
              </w:rPr>
            </w:pPr>
          </w:p>
        </w:tc>
        <w:tc>
          <w:tcPr>
            <w:tcW w:w="1417" w:type="dxa"/>
          </w:tcPr>
          <w:p w14:paraId="3DDE9E2E">
            <w:pPr>
              <w:pStyle w:val="15"/>
              <w:ind w:left="1080" w:leftChars="257" w:hanging="540"/>
              <w:rPr>
                <w:rFonts w:hint="eastAsia" w:ascii="仿宋" w:hAnsi="仿宋" w:eastAsia="仿宋" w:cs="仿宋"/>
                <w:color w:val="auto"/>
                <w:sz w:val="24"/>
                <w:szCs w:val="24"/>
                <w:highlight w:val="none"/>
              </w:rPr>
            </w:pPr>
          </w:p>
        </w:tc>
        <w:tc>
          <w:tcPr>
            <w:tcW w:w="2195" w:type="dxa"/>
          </w:tcPr>
          <w:p w14:paraId="6C895CE4">
            <w:pPr>
              <w:pStyle w:val="15"/>
              <w:ind w:left="1080" w:leftChars="257" w:hanging="540"/>
              <w:rPr>
                <w:rFonts w:hint="eastAsia" w:ascii="仿宋" w:hAnsi="仿宋" w:eastAsia="仿宋" w:cs="仿宋"/>
                <w:color w:val="auto"/>
                <w:sz w:val="24"/>
                <w:szCs w:val="24"/>
                <w:highlight w:val="none"/>
              </w:rPr>
            </w:pPr>
          </w:p>
        </w:tc>
      </w:tr>
    </w:tbl>
    <w:p w14:paraId="3B99134C">
      <w:pPr>
        <w:pStyle w:val="15"/>
        <w:ind w:left="1080" w:leftChars="257" w:hanging="540"/>
        <w:rPr>
          <w:rFonts w:hint="eastAsia" w:ascii="仿宋" w:hAnsi="仿宋" w:eastAsia="仿宋" w:cs="仿宋"/>
          <w:color w:val="auto"/>
          <w:sz w:val="24"/>
          <w:szCs w:val="24"/>
          <w:highlight w:val="none"/>
        </w:rPr>
      </w:pPr>
    </w:p>
    <w:p w14:paraId="4B788CE8">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（盖公章）：</w:t>
      </w:r>
      <w:r>
        <w:rPr>
          <w:rFonts w:hint="eastAsia" w:ascii="仿宋" w:hAnsi="仿宋" w:eastAsia="仿宋" w:cs="仿宋"/>
          <w:color w:val="auto"/>
          <w:sz w:val="24"/>
          <w:highlight w:val="none"/>
          <w:u w:val="single"/>
        </w:rPr>
        <w:t xml:space="preserve">                       </w:t>
      </w:r>
    </w:p>
    <w:p w14:paraId="239FD9C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4859E8BF">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1E96E248">
      <w:pPr>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szCs w:val="21"/>
          <w:highlight w:val="none"/>
        </w:rPr>
        <w:t>注：</w:t>
      </w:r>
      <w:r>
        <w:rPr>
          <w:rFonts w:hint="eastAsia" w:ascii="仿宋" w:hAnsi="仿宋" w:eastAsia="仿宋" w:cs="仿宋"/>
          <w:color w:val="auto"/>
          <w:highlight w:val="none"/>
        </w:rPr>
        <w:tab/>
      </w:r>
      <w:r>
        <w:rPr>
          <w:rFonts w:hint="eastAsia" w:ascii="仿宋" w:hAnsi="仿宋" w:eastAsia="仿宋" w:cs="仿宋"/>
          <w:color w:val="auto"/>
          <w:highlight w:val="none"/>
        </w:rPr>
        <w:t>1. 对完全响应的，在下表相应列中标注“○”。对有偏离的条目在本表相应列中标注“正偏离”或“负偏离”，并在“偏离简述”栏中加以说明。</w:t>
      </w:r>
    </w:p>
    <w:p w14:paraId="788CECF3">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2. 正偏离是指应答的条件高于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文件要求，负偏离是指应答的条件低于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文件要求，正偏离项目不作扣分处理。</w:t>
      </w:r>
    </w:p>
    <w:p w14:paraId="6FDDDF05">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 xml:space="preserve">3. </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须完整填写响应表。如果未完整填写本表的各项内容则视作</w:t>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已经对</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文件相关要求和内容完全理解并同意，其报价为在此基础上的完全价格。</w:t>
      </w:r>
    </w:p>
    <w:p w14:paraId="1175A51F">
      <w:pPr>
        <w:snapToGrid w:val="0"/>
        <w:spacing w:after="120" w:afterLines="50"/>
        <w:ind w:left="842" w:leftChars="401"/>
        <w:rPr>
          <w:rFonts w:hint="eastAsia" w:ascii="仿宋" w:hAnsi="仿宋" w:eastAsia="仿宋" w:cs="仿宋"/>
          <w:color w:val="auto"/>
          <w:highlight w:val="none"/>
        </w:rPr>
      </w:pPr>
      <w:r>
        <w:rPr>
          <w:rFonts w:hint="eastAsia" w:ascii="仿宋" w:hAnsi="仿宋" w:eastAsia="仿宋" w:cs="仿宋"/>
          <w:color w:val="auto"/>
          <w:highlight w:val="none"/>
        </w:rPr>
        <w:t>4. 在采购人与</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签订合同时，如</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未在响应文件“响应表”中列出偏离说明，无论已发生或即将发生任何情形，均视为完全符合</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文件要求，并写入合同。若</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在合同签订前，以上述事项为借口而不履行合同签订手续及执行合同，则视作拒绝与采购人签订合同。</w:t>
      </w:r>
    </w:p>
    <w:p w14:paraId="333309AA">
      <w:pPr>
        <w:pStyle w:val="15"/>
        <w:ind w:left="1080" w:leftChars="257" w:hanging="540"/>
        <w:rPr>
          <w:rFonts w:hint="eastAsia" w:ascii="仿宋" w:hAnsi="仿宋" w:eastAsia="仿宋" w:cs="仿宋"/>
          <w:color w:val="auto"/>
          <w:sz w:val="24"/>
          <w:szCs w:val="24"/>
          <w:highlight w:val="none"/>
        </w:rPr>
      </w:pPr>
    </w:p>
    <w:p w14:paraId="49D8007C">
      <w:pPr>
        <w:rPr>
          <w:rFonts w:hint="eastAsia" w:ascii="仿宋" w:hAnsi="仿宋" w:eastAsia="仿宋" w:cs="仿宋"/>
          <w:b/>
          <w:bCs/>
          <w:color w:val="auto"/>
          <w:sz w:val="28"/>
          <w:szCs w:val="36"/>
          <w:highlight w:val="none"/>
        </w:rPr>
      </w:pPr>
      <w:bookmarkStart w:id="1184" w:name="_Toc410631184"/>
      <w:bookmarkStart w:id="1185" w:name="_Toc7005136"/>
      <w:bookmarkStart w:id="1186" w:name="_Toc416103825"/>
      <w:bookmarkStart w:id="1187" w:name="_Toc414445775"/>
      <w:r>
        <w:rPr>
          <w:rFonts w:hint="eastAsia" w:ascii="仿宋" w:hAnsi="仿宋" w:eastAsia="仿宋" w:cs="仿宋"/>
          <w:b/>
          <w:bCs/>
          <w:color w:val="auto"/>
          <w:sz w:val="28"/>
          <w:szCs w:val="36"/>
          <w:highlight w:val="none"/>
        </w:rPr>
        <w:br w:type="page"/>
      </w:r>
    </w:p>
    <w:p w14:paraId="3E31425F">
      <w:pPr>
        <w:pStyle w:val="5"/>
        <w:tabs>
          <w:tab w:val="left" w:pos="588"/>
        </w:tabs>
        <w:jc w:val="both"/>
        <w:rPr>
          <w:rFonts w:hint="eastAsia" w:ascii="仿宋" w:hAnsi="仿宋" w:eastAsia="仿宋" w:cs="仿宋"/>
          <w:color w:val="auto"/>
          <w:highlight w:val="none"/>
        </w:rPr>
      </w:pPr>
      <w:bookmarkStart w:id="1188" w:name="_Toc16150"/>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lang w:val="en-US" w:eastAsia="zh-CN"/>
        </w:rPr>
        <w:t>二</w:t>
      </w:r>
      <w:r>
        <w:rPr>
          <w:rFonts w:hint="eastAsia" w:ascii="仿宋" w:hAnsi="仿宋" w:eastAsia="仿宋" w:cs="仿宋"/>
          <w:b/>
          <w:bCs/>
          <w:color w:val="auto"/>
          <w:sz w:val="28"/>
          <w:szCs w:val="36"/>
          <w:highlight w:val="none"/>
          <w:lang w:eastAsia="zh-CN"/>
        </w:rPr>
        <w:t>）</w:t>
      </w:r>
      <w:r>
        <w:rPr>
          <w:rFonts w:hint="eastAsia" w:ascii="仿宋" w:hAnsi="仿宋" w:eastAsia="仿宋" w:cs="仿宋"/>
          <w:b/>
          <w:bCs/>
          <w:color w:val="auto"/>
          <w:sz w:val="28"/>
          <w:szCs w:val="36"/>
          <w:highlight w:val="none"/>
        </w:rPr>
        <w:t>技术偏离表</w:t>
      </w:r>
      <w:bookmarkEnd w:id="1184"/>
      <w:bookmarkEnd w:id="1185"/>
      <w:bookmarkEnd w:id="1186"/>
      <w:bookmarkEnd w:id="1187"/>
      <w:bookmarkEnd w:id="1188"/>
    </w:p>
    <w:p w14:paraId="7C96FE21">
      <w:pPr>
        <w:pStyle w:val="11"/>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u w:val="single"/>
        </w:rPr>
        <w:t xml:space="preserve">              </w:t>
      </w:r>
    </w:p>
    <w:p w14:paraId="7CE0E656">
      <w:pPr>
        <w:pStyle w:val="11"/>
        <w:rPr>
          <w:rFonts w:hint="default" w:ascii="仿宋" w:hAnsi="仿宋" w:eastAsia="仿宋" w:cs="仿宋"/>
          <w:color w:val="auto"/>
          <w:highlight w:val="none"/>
          <w:lang w:val="en-US"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u w:val="single"/>
          <w:lang w:val="en-US" w:eastAsia="zh-CN"/>
        </w:rPr>
        <w:t xml:space="preserve">              </w:t>
      </w:r>
    </w:p>
    <w:tbl>
      <w:tblPr>
        <w:tblStyle w:val="34"/>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1D33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A7935F0">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招标</w:t>
            </w:r>
            <w:r>
              <w:rPr>
                <w:rFonts w:hint="eastAsia" w:ascii="仿宋" w:hAnsi="仿宋" w:eastAsia="仿宋" w:cs="仿宋"/>
                <w:color w:val="auto"/>
                <w:sz w:val="24"/>
                <w:highlight w:val="none"/>
              </w:rPr>
              <w:t>文件条目号</w:t>
            </w:r>
          </w:p>
        </w:tc>
        <w:tc>
          <w:tcPr>
            <w:tcW w:w="1932" w:type="dxa"/>
          </w:tcPr>
          <w:p w14:paraId="6129103A">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技术条款要求</w:t>
            </w:r>
          </w:p>
        </w:tc>
        <w:tc>
          <w:tcPr>
            <w:tcW w:w="1236" w:type="dxa"/>
          </w:tcPr>
          <w:p w14:paraId="415B8027">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完全响应</w:t>
            </w:r>
          </w:p>
        </w:tc>
        <w:tc>
          <w:tcPr>
            <w:tcW w:w="1236" w:type="dxa"/>
          </w:tcPr>
          <w:p w14:paraId="557B51E1">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有偏离</w:t>
            </w:r>
          </w:p>
        </w:tc>
        <w:tc>
          <w:tcPr>
            <w:tcW w:w="2394" w:type="dxa"/>
          </w:tcPr>
          <w:p w14:paraId="3A10FCEF">
            <w:pPr>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偏离简述</w:t>
            </w:r>
          </w:p>
        </w:tc>
      </w:tr>
      <w:tr w14:paraId="2402A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53DF524">
            <w:pPr>
              <w:spacing w:line="400" w:lineRule="exact"/>
              <w:rPr>
                <w:rFonts w:hint="eastAsia" w:ascii="仿宋" w:hAnsi="仿宋" w:eastAsia="仿宋" w:cs="仿宋"/>
                <w:color w:val="auto"/>
                <w:sz w:val="24"/>
                <w:highlight w:val="none"/>
              </w:rPr>
            </w:pPr>
          </w:p>
        </w:tc>
        <w:tc>
          <w:tcPr>
            <w:tcW w:w="1932" w:type="dxa"/>
          </w:tcPr>
          <w:p w14:paraId="677CE3B2">
            <w:pPr>
              <w:spacing w:line="400" w:lineRule="exact"/>
              <w:rPr>
                <w:rFonts w:hint="eastAsia" w:ascii="仿宋" w:hAnsi="仿宋" w:eastAsia="仿宋" w:cs="仿宋"/>
                <w:color w:val="auto"/>
                <w:sz w:val="24"/>
                <w:highlight w:val="none"/>
              </w:rPr>
            </w:pPr>
          </w:p>
        </w:tc>
        <w:tc>
          <w:tcPr>
            <w:tcW w:w="1236" w:type="dxa"/>
          </w:tcPr>
          <w:p w14:paraId="377EBF1B">
            <w:pPr>
              <w:spacing w:line="400" w:lineRule="exact"/>
              <w:rPr>
                <w:rFonts w:hint="eastAsia" w:ascii="仿宋" w:hAnsi="仿宋" w:eastAsia="仿宋" w:cs="仿宋"/>
                <w:color w:val="auto"/>
                <w:sz w:val="24"/>
                <w:highlight w:val="none"/>
              </w:rPr>
            </w:pPr>
          </w:p>
        </w:tc>
        <w:tc>
          <w:tcPr>
            <w:tcW w:w="1236" w:type="dxa"/>
          </w:tcPr>
          <w:p w14:paraId="376B5B91">
            <w:pPr>
              <w:spacing w:line="400" w:lineRule="exact"/>
              <w:rPr>
                <w:rFonts w:hint="eastAsia" w:ascii="仿宋" w:hAnsi="仿宋" w:eastAsia="仿宋" w:cs="仿宋"/>
                <w:color w:val="auto"/>
                <w:sz w:val="24"/>
                <w:highlight w:val="none"/>
              </w:rPr>
            </w:pPr>
          </w:p>
        </w:tc>
        <w:tc>
          <w:tcPr>
            <w:tcW w:w="2394" w:type="dxa"/>
          </w:tcPr>
          <w:p w14:paraId="7B9ABBFE">
            <w:pPr>
              <w:spacing w:line="400" w:lineRule="exact"/>
              <w:rPr>
                <w:rFonts w:hint="eastAsia" w:ascii="仿宋" w:hAnsi="仿宋" w:eastAsia="仿宋" w:cs="仿宋"/>
                <w:color w:val="auto"/>
                <w:sz w:val="24"/>
                <w:highlight w:val="none"/>
              </w:rPr>
            </w:pPr>
          </w:p>
        </w:tc>
      </w:tr>
      <w:tr w14:paraId="645D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FECA739">
            <w:pPr>
              <w:spacing w:line="400" w:lineRule="exact"/>
              <w:rPr>
                <w:rFonts w:hint="eastAsia" w:ascii="仿宋" w:hAnsi="仿宋" w:eastAsia="仿宋" w:cs="仿宋"/>
                <w:color w:val="auto"/>
                <w:sz w:val="24"/>
                <w:highlight w:val="none"/>
              </w:rPr>
            </w:pPr>
          </w:p>
        </w:tc>
        <w:tc>
          <w:tcPr>
            <w:tcW w:w="1932" w:type="dxa"/>
          </w:tcPr>
          <w:p w14:paraId="6ABFEE1E">
            <w:pPr>
              <w:spacing w:line="400" w:lineRule="exact"/>
              <w:rPr>
                <w:rFonts w:hint="eastAsia" w:ascii="仿宋" w:hAnsi="仿宋" w:eastAsia="仿宋" w:cs="仿宋"/>
                <w:color w:val="auto"/>
                <w:sz w:val="24"/>
                <w:highlight w:val="none"/>
              </w:rPr>
            </w:pPr>
          </w:p>
        </w:tc>
        <w:tc>
          <w:tcPr>
            <w:tcW w:w="1236" w:type="dxa"/>
          </w:tcPr>
          <w:p w14:paraId="6540D44B">
            <w:pPr>
              <w:spacing w:line="400" w:lineRule="exact"/>
              <w:rPr>
                <w:rFonts w:hint="eastAsia" w:ascii="仿宋" w:hAnsi="仿宋" w:eastAsia="仿宋" w:cs="仿宋"/>
                <w:color w:val="auto"/>
                <w:sz w:val="24"/>
                <w:highlight w:val="none"/>
              </w:rPr>
            </w:pPr>
          </w:p>
        </w:tc>
        <w:tc>
          <w:tcPr>
            <w:tcW w:w="1236" w:type="dxa"/>
          </w:tcPr>
          <w:p w14:paraId="6F65EE26">
            <w:pPr>
              <w:spacing w:line="400" w:lineRule="exact"/>
              <w:rPr>
                <w:rFonts w:hint="eastAsia" w:ascii="仿宋" w:hAnsi="仿宋" w:eastAsia="仿宋" w:cs="仿宋"/>
                <w:color w:val="auto"/>
                <w:sz w:val="24"/>
                <w:highlight w:val="none"/>
              </w:rPr>
            </w:pPr>
          </w:p>
        </w:tc>
        <w:tc>
          <w:tcPr>
            <w:tcW w:w="2394" w:type="dxa"/>
          </w:tcPr>
          <w:p w14:paraId="0764E2CE">
            <w:pPr>
              <w:spacing w:line="400" w:lineRule="exact"/>
              <w:rPr>
                <w:rFonts w:hint="eastAsia" w:ascii="仿宋" w:hAnsi="仿宋" w:eastAsia="仿宋" w:cs="仿宋"/>
                <w:color w:val="auto"/>
                <w:sz w:val="24"/>
                <w:highlight w:val="none"/>
              </w:rPr>
            </w:pPr>
          </w:p>
        </w:tc>
      </w:tr>
      <w:tr w14:paraId="6B89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69EC97C5">
            <w:pPr>
              <w:spacing w:line="400" w:lineRule="exact"/>
              <w:rPr>
                <w:rFonts w:hint="eastAsia" w:ascii="仿宋" w:hAnsi="仿宋" w:eastAsia="仿宋" w:cs="仿宋"/>
                <w:color w:val="auto"/>
                <w:sz w:val="24"/>
                <w:highlight w:val="none"/>
              </w:rPr>
            </w:pPr>
          </w:p>
        </w:tc>
        <w:tc>
          <w:tcPr>
            <w:tcW w:w="1932" w:type="dxa"/>
          </w:tcPr>
          <w:p w14:paraId="3D8F651E">
            <w:pPr>
              <w:spacing w:line="400" w:lineRule="exact"/>
              <w:rPr>
                <w:rFonts w:hint="eastAsia" w:ascii="仿宋" w:hAnsi="仿宋" w:eastAsia="仿宋" w:cs="仿宋"/>
                <w:color w:val="auto"/>
                <w:sz w:val="24"/>
                <w:highlight w:val="none"/>
              </w:rPr>
            </w:pPr>
          </w:p>
        </w:tc>
        <w:tc>
          <w:tcPr>
            <w:tcW w:w="1236" w:type="dxa"/>
          </w:tcPr>
          <w:p w14:paraId="75D98B11">
            <w:pPr>
              <w:spacing w:line="400" w:lineRule="exact"/>
              <w:rPr>
                <w:rFonts w:hint="eastAsia" w:ascii="仿宋" w:hAnsi="仿宋" w:eastAsia="仿宋" w:cs="仿宋"/>
                <w:color w:val="auto"/>
                <w:sz w:val="24"/>
                <w:highlight w:val="none"/>
              </w:rPr>
            </w:pPr>
          </w:p>
        </w:tc>
        <w:tc>
          <w:tcPr>
            <w:tcW w:w="1236" w:type="dxa"/>
          </w:tcPr>
          <w:p w14:paraId="63249314">
            <w:pPr>
              <w:spacing w:line="400" w:lineRule="exact"/>
              <w:rPr>
                <w:rFonts w:hint="eastAsia" w:ascii="仿宋" w:hAnsi="仿宋" w:eastAsia="仿宋" w:cs="仿宋"/>
                <w:color w:val="auto"/>
                <w:sz w:val="24"/>
                <w:highlight w:val="none"/>
              </w:rPr>
            </w:pPr>
          </w:p>
        </w:tc>
        <w:tc>
          <w:tcPr>
            <w:tcW w:w="2394" w:type="dxa"/>
          </w:tcPr>
          <w:p w14:paraId="5218BEA0">
            <w:pPr>
              <w:spacing w:line="400" w:lineRule="exact"/>
              <w:rPr>
                <w:rFonts w:hint="eastAsia" w:ascii="仿宋" w:hAnsi="仿宋" w:eastAsia="仿宋" w:cs="仿宋"/>
                <w:color w:val="auto"/>
                <w:sz w:val="24"/>
                <w:highlight w:val="none"/>
              </w:rPr>
            </w:pPr>
          </w:p>
        </w:tc>
      </w:tr>
      <w:tr w14:paraId="0D98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E0ECD06">
            <w:pPr>
              <w:spacing w:line="400" w:lineRule="exact"/>
              <w:rPr>
                <w:rFonts w:hint="eastAsia" w:ascii="仿宋" w:hAnsi="仿宋" w:eastAsia="仿宋" w:cs="仿宋"/>
                <w:color w:val="auto"/>
                <w:sz w:val="24"/>
                <w:highlight w:val="none"/>
              </w:rPr>
            </w:pPr>
          </w:p>
        </w:tc>
        <w:tc>
          <w:tcPr>
            <w:tcW w:w="1932" w:type="dxa"/>
          </w:tcPr>
          <w:p w14:paraId="5B4842EE">
            <w:pPr>
              <w:spacing w:line="400" w:lineRule="exact"/>
              <w:rPr>
                <w:rFonts w:hint="eastAsia" w:ascii="仿宋" w:hAnsi="仿宋" w:eastAsia="仿宋" w:cs="仿宋"/>
                <w:color w:val="auto"/>
                <w:sz w:val="24"/>
                <w:highlight w:val="none"/>
              </w:rPr>
            </w:pPr>
          </w:p>
        </w:tc>
        <w:tc>
          <w:tcPr>
            <w:tcW w:w="1236" w:type="dxa"/>
          </w:tcPr>
          <w:p w14:paraId="423DAB34">
            <w:pPr>
              <w:spacing w:line="400" w:lineRule="exact"/>
              <w:rPr>
                <w:rFonts w:hint="eastAsia" w:ascii="仿宋" w:hAnsi="仿宋" w:eastAsia="仿宋" w:cs="仿宋"/>
                <w:color w:val="auto"/>
                <w:sz w:val="24"/>
                <w:highlight w:val="none"/>
              </w:rPr>
            </w:pPr>
          </w:p>
        </w:tc>
        <w:tc>
          <w:tcPr>
            <w:tcW w:w="1236" w:type="dxa"/>
          </w:tcPr>
          <w:p w14:paraId="39A73839">
            <w:pPr>
              <w:spacing w:line="400" w:lineRule="exact"/>
              <w:rPr>
                <w:rFonts w:hint="eastAsia" w:ascii="仿宋" w:hAnsi="仿宋" w:eastAsia="仿宋" w:cs="仿宋"/>
                <w:color w:val="auto"/>
                <w:sz w:val="24"/>
                <w:highlight w:val="none"/>
              </w:rPr>
            </w:pPr>
          </w:p>
        </w:tc>
        <w:tc>
          <w:tcPr>
            <w:tcW w:w="2394" w:type="dxa"/>
          </w:tcPr>
          <w:p w14:paraId="6EC8720A">
            <w:pPr>
              <w:spacing w:line="400" w:lineRule="exact"/>
              <w:rPr>
                <w:rFonts w:hint="eastAsia" w:ascii="仿宋" w:hAnsi="仿宋" w:eastAsia="仿宋" w:cs="仿宋"/>
                <w:color w:val="auto"/>
                <w:sz w:val="24"/>
                <w:highlight w:val="none"/>
              </w:rPr>
            </w:pPr>
          </w:p>
        </w:tc>
      </w:tr>
      <w:tr w14:paraId="7E2E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206372A">
            <w:pPr>
              <w:spacing w:line="400" w:lineRule="exact"/>
              <w:rPr>
                <w:rFonts w:hint="eastAsia" w:ascii="仿宋" w:hAnsi="仿宋" w:eastAsia="仿宋" w:cs="仿宋"/>
                <w:color w:val="auto"/>
                <w:sz w:val="24"/>
                <w:highlight w:val="none"/>
              </w:rPr>
            </w:pPr>
          </w:p>
        </w:tc>
        <w:tc>
          <w:tcPr>
            <w:tcW w:w="1932" w:type="dxa"/>
          </w:tcPr>
          <w:p w14:paraId="33788197">
            <w:pPr>
              <w:spacing w:line="400" w:lineRule="exact"/>
              <w:rPr>
                <w:rFonts w:hint="eastAsia" w:ascii="仿宋" w:hAnsi="仿宋" w:eastAsia="仿宋" w:cs="仿宋"/>
                <w:color w:val="auto"/>
                <w:sz w:val="24"/>
                <w:highlight w:val="none"/>
              </w:rPr>
            </w:pPr>
          </w:p>
        </w:tc>
        <w:tc>
          <w:tcPr>
            <w:tcW w:w="1236" w:type="dxa"/>
          </w:tcPr>
          <w:p w14:paraId="42E74AE6">
            <w:pPr>
              <w:spacing w:line="400" w:lineRule="exact"/>
              <w:rPr>
                <w:rFonts w:hint="eastAsia" w:ascii="仿宋" w:hAnsi="仿宋" w:eastAsia="仿宋" w:cs="仿宋"/>
                <w:color w:val="auto"/>
                <w:sz w:val="24"/>
                <w:highlight w:val="none"/>
              </w:rPr>
            </w:pPr>
          </w:p>
        </w:tc>
        <w:tc>
          <w:tcPr>
            <w:tcW w:w="1236" w:type="dxa"/>
          </w:tcPr>
          <w:p w14:paraId="79996BDE">
            <w:pPr>
              <w:spacing w:line="400" w:lineRule="exact"/>
              <w:rPr>
                <w:rFonts w:hint="eastAsia" w:ascii="仿宋" w:hAnsi="仿宋" w:eastAsia="仿宋" w:cs="仿宋"/>
                <w:color w:val="auto"/>
                <w:sz w:val="24"/>
                <w:highlight w:val="none"/>
              </w:rPr>
            </w:pPr>
          </w:p>
        </w:tc>
        <w:tc>
          <w:tcPr>
            <w:tcW w:w="2394" w:type="dxa"/>
          </w:tcPr>
          <w:p w14:paraId="2A76F68A">
            <w:pPr>
              <w:spacing w:line="400" w:lineRule="exact"/>
              <w:rPr>
                <w:rFonts w:hint="eastAsia" w:ascii="仿宋" w:hAnsi="仿宋" w:eastAsia="仿宋" w:cs="仿宋"/>
                <w:color w:val="auto"/>
                <w:sz w:val="24"/>
                <w:highlight w:val="none"/>
              </w:rPr>
            </w:pPr>
          </w:p>
        </w:tc>
      </w:tr>
      <w:tr w14:paraId="55425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2AEBA3C">
            <w:pPr>
              <w:spacing w:line="400" w:lineRule="exact"/>
              <w:rPr>
                <w:rFonts w:hint="eastAsia" w:ascii="仿宋" w:hAnsi="仿宋" w:eastAsia="仿宋" w:cs="仿宋"/>
                <w:color w:val="auto"/>
                <w:sz w:val="24"/>
                <w:highlight w:val="none"/>
              </w:rPr>
            </w:pPr>
          </w:p>
        </w:tc>
        <w:tc>
          <w:tcPr>
            <w:tcW w:w="1932" w:type="dxa"/>
          </w:tcPr>
          <w:p w14:paraId="57A2689E">
            <w:pPr>
              <w:spacing w:line="400" w:lineRule="exact"/>
              <w:rPr>
                <w:rFonts w:hint="eastAsia" w:ascii="仿宋" w:hAnsi="仿宋" w:eastAsia="仿宋" w:cs="仿宋"/>
                <w:bCs/>
                <w:color w:val="auto"/>
                <w:sz w:val="24"/>
                <w:highlight w:val="none"/>
              </w:rPr>
            </w:pPr>
          </w:p>
        </w:tc>
        <w:tc>
          <w:tcPr>
            <w:tcW w:w="1236" w:type="dxa"/>
          </w:tcPr>
          <w:p w14:paraId="2F8E1ADB">
            <w:pPr>
              <w:spacing w:line="400" w:lineRule="exact"/>
              <w:rPr>
                <w:rFonts w:hint="eastAsia" w:ascii="仿宋" w:hAnsi="仿宋" w:eastAsia="仿宋" w:cs="仿宋"/>
                <w:color w:val="auto"/>
                <w:sz w:val="24"/>
                <w:highlight w:val="none"/>
              </w:rPr>
            </w:pPr>
          </w:p>
        </w:tc>
        <w:tc>
          <w:tcPr>
            <w:tcW w:w="1236" w:type="dxa"/>
          </w:tcPr>
          <w:p w14:paraId="2FBB1B22">
            <w:pPr>
              <w:spacing w:line="400" w:lineRule="exact"/>
              <w:rPr>
                <w:rFonts w:hint="eastAsia" w:ascii="仿宋" w:hAnsi="仿宋" w:eastAsia="仿宋" w:cs="仿宋"/>
                <w:color w:val="auto"/>
                <w:sz w:val="24"/>
                <w:highlight w:val="none"/>
              </w:rPr>
            </w:pPr>
          </w:p>
        </w:tc>
        <w:tc>
          <w:tcPr>
            <w:tcW w:w="2394" w:type="dxa"/>
          </w:tcPr>
          <w:p w14:paraId="108BACFC">
            <w:pPr>
              <w:spacing w:line="400" w:lineRule="exact"/>
              <w:rPr>
                <w:rFonts w:hint="eastAsia" w:ascii="仿宋" w:hAnsi="仿宋" w:eastAsia="仿宋" w:cs="仿宋"/>
                <w:color w:val="auto"/>
                <w:sz w:val="24"/>
                <w:highlight w:val="none"/>
              </w:rPr>
            </w:pPr>
          </w:p>
        </w:tc>
      </w:tr>
      <w:tr w14:paraId="5A6C9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46CE2E86">
            <w:pPr>
              <w:spacing w:line="400" w:lineRule="exact"/>
              <w:rPr>
                <w:rFonts w:hint="eastAsia" w:ascii="仿宋" w:hAnsi="仿宋" w:eastAsia="仿宋" w:cs="仿宋"/>
                <w:color w:val="auto"/>
                <w:sz w:val="24"/>
                <w:highlight w:val="none"/>
              </w:rPr>
            </w:pPr>
          </w:p>
        </w:tc>
        <w:tc>
          <w:tcPr>
            <w:tcW w:w="1932" w:type="dxa"/>
          </w:tcPr>
          <w:p w14:paraId="6FB9FE05">
            <w:pPr>
              <w:spacing w:line="400" w:lineRule="exact"/>
              <w:rPr>
                <w:rFonts w:hint="eastAsia" w:ascii="仿宋" w:hAnsi="仿宋" w:eastAsia="仿宋" w:cs="仿宋"/>
                <w:bCs/>
                <w:color w:val="auto"/>
                <w:sz w:val="24"/>
                <w:highlight w:val="none"/>
              </w:rPr>
            </w:pPr>
          </w:p>
        </w:tc>
        <w:tc>
          <w:tcPr>
            <w:tcW w:w="1236" w:type="dxa"/>
          </w:tcPr>
          <w:p w14:paraId="30044C89">
            <w:pPr>
              <w:spacing w:line="400" w:lineRule="exact"/>
              <w:rPr>
                <w:rFonts w:hint="eastAsia" w:ascii="仿宋" w:hAnsi="仿宋" w:eastAsia="仿宋" w:cs="仿宋"/>
                <w:color w:val="auto"/>
                <w:sz w:val="24"/>
                <w:highlight w:val="none"/>
              </w:rPr>
            </w:pPr>
          </w:p>
        </w:tc>
        <w:tc>
          <w:tcPr>
            <w:tcW w:w="1236" w:type="dxa"/>
          </w:tcPr>
          <w:p w14:paraId="6D714437">
            <w:pPr>
              <w:spacing w:line="400" w:lineRule="exact"/>
              <w:rPr>
                <w:rFonts w:hint="eastAsia" w:ascii="仿宋" w:hAnsi="仿宋" w:eastAsia="仿宋" w:cs="仿宋"/>
                <w:color w:val="auto"/>
                <w:sz w:val="24"/>
                <w:highlight w:val="none"/>
              </w:rPr>
            </w:pPr>
          </w:p>
        </w:tc>
        <w:tc>
          <w:tcPr>
            <w:tcW w:w="2394" w:type="dxa"/>
          </w:tcPr>
          <w:p w14:paraId="36C980B4">
            <w:pPr>
              <w:spacing w:line="400" w:lineRule="exact"/>
              <w:rPr>
                <w:rFonts w:hint="eastAsia" w:ascii="仿宋" w:hAnsi="仿宋" w:eastAsia="仿宋" w:cs="仿宋"/>
                <w:color w:val="auto"/>
                <w:sz w:val="24"/>
                <w:highlight w:val="none"/>
              </w:rPr>
            </w:pPr>
          </w:p>
        </w:tc>
      </w:tr>
    </w:tbl>
    <w:p w14:paraId="70398418">
      <w:pPr>
        <w:spacing w:line="360" w:lineRule="auto"/>
        <w:ind w:firstLine="1920" w:firstLineChars="800"/>
        <w:rPr>
          <w:rFonts w:hint="eastAsia" w:ascii="仿宋" w:hAnsi="仿宋" w:eastAsia="仿宋" w:cs="仿宋"/>
          <w:color w:val="auto"/>
          <w:sz w:val="24"/>
          <w:highlight w:val="none"/>
        </w:rPr>
      </w:pPr>
    </w:p>
    <w:p w14:paraId="67C3149F">
      <w:pPr>
        <w:spacing w:line="360" w:lineRule="auto"/>
        <w:ind w:firstLine="1920" w:firstLineChars="8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（盖公章）：</w:t>
      </w:r>
      <w:r>
        <w:rPr>
          <w:rFonts w:hint="eastAsia" w:ascii="仿宋" w:hAnsi="仿宋" w:eastAsia="仿宋" w:cs="仿宋"/>
          <w:color w:val="auto"/>
          <w:sz w:val="24"/>
          <w:highlight w:val="none"/>
          <w:u w:val="single"/>
        </w:rPr>
        <w:t xml:space="preserve">                       </w:t>
      </w:r>
    </w:p>
    <w:p w14:paraId="7DA9974B">
      <w:pPr>
        <w:spacing w:line="360" w:lineRule="auto"/>
        <w:ind w:firstLine="1920" w:firstLineChars="8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w:t>
      </w:r>
      <w:r>
        <w:rPr>
          <w:rFonts w:hint="eastAsia" w:ascii="仿宋" w:hAnsi="仿宋" w:eastAsia="仿宋" w:cs="仿宋"/>
          <w:color w:val="auto"/>
          <w:sz w:val="24"/>
          <w:highlight w:val="none"/>
          <w:lang w:eastAsia="zh-CN"/>
        </w:rPr>
        <w:t>委托代理人</w:t>
      </w:r>
      <w:r>
        <w:rPr>
          <w:rFonts w:hint="eastAsia" w:ascii="仿宋" w:hAnsi="仿宋" w:eastAsia="仿宋" w:cs="仿宋"/>
          <w:color w:val="auto"/>
          <w:sz w:val="24"/>
          <w:highlight w:val="none"/>
        </w:rPr>
        <w:t>（签字或盖章）：</w:t>
      </w:r>
      <w:r>
        <w:rPr>
          <w:rFonts w:hint="eastAsia" w:ascii="仿宋" w:hAnsi="仿宋" w:eastAsia="仿宋" w:cs="仿宋"/>
          <w:color w:val="auto"/>
          <w:sz w:val="24"/>
          <w:highlight w:val="none"/>
          <w:u w:val="single"/>
        </w:rPr>
        <w:t xml:space="preserve">         </w:t>
      </w:r>
    </w:p>
    <w:p w14:paraId="7C38E4C6">
      <w:pPr>
        <w:spacing w:line="360" w:lineRule="auto"/>
        <w:ind w:firstLine="1920" w:firstLineChars="800"/>
        <w:rPr>
          <w:rFonts w:hint="eastAsia" w:ascii="仿宋" w:hAnsi="仿宋" w:eastAsia="仿宋" w:cs="仿宋"/>
          <w:color w:val="auto"/>
          <w:kern w:val="0"/>
          <w:sz w:val="24"/>
          <w:highlight w:val="none"/>
          <w:u w:val="single"/>
        </w:rPr>
      </w:pPr>
      <w:r>
        <w:rPr>
          <w:rFonts w:hint="eastAsia" w:ascii="仿宋" w:hAnsi="仿宋" w:eastAsia="仿宋" w:cs="仿宋"/>
          <w:color w:val="auto"/>
          <w:sz w:val="24"/>
          <w:highlight w:val="none"/>
        </w:rPr>
        <w:t>日    期：</w:t>
      </w:r>
      <w:r>
        <w:rPr>
          <w:rFonts w:hint="eastAsia" w:ascii="仿宋" w:hAnsi="仿宋" w:eastAsia="仿宋" w:cs="仿宋"/>
          <w:color w:val="auto"/>
          <w:sz w:val="32"/>
          <w:highlight w:val="none"/>
          <w:u w:val="single"/>
        </w:rPr>
        <w:t xml:space="preserve">       </w:t>
      </w:r>
    </w:p>
    <w:p w14:paraId="75AD460E">
      <w:pPr>
        <w:spacing w:line="360" w:lineRule="auto"/>
        <w:rPr>
          <w:rFonts w:hint="eastAsia" w:ascii="仿宋" w:hAnsi="仿宋" w:eastAsia="仿宋" w:cs="仿宋"/>
          <w:color w:val="auto"/>
          <w:highlight w:val="none"/>
        </w:rPr>
      </w:pPr>
    </w:p>
    <w:p w14:paraId="6849F504">
      <w:pPr>
        <w:snapToGrid w:val="0"/>
        <w:spacing w:after="120" w:afterLines="50"/>
        <w:ind w:left="850" w:hanging="850" w:hangingChars="405"/>
        <w:rPr>
          <w:rFonts w:hint="eastAsia" w:ascii="仿宋" w:hAnsi="仿宋" w:eastAsia="仿宋" w:cs="仿宋"/>
          <w:color w:val="auto"/>
          <w:highlight w:val="none"/>
        </w:rPr>
      </w:pPr>
      <w:r>
        <w:rPr>
          <w:rFonts w:hint="eastAsia" w:ascii="仿宋" w:hAnsi="仿宋" w:eastAsia="仿宋" w:cs="仿宋"/>
          <w:color w:val="auto"/>
          <w:highlight w:val="none"/>
        </w:rPr>
        <w:t>注：1.</w:t>
      </w:r>
      <w:r>
        <w:rPr>
          <w:rFonts w:hint="eastAsia" w:ascii="仿宋" w:hAnsi="仿宋" w:eastAsia="仿宋" w:cs="仿宋"/>
          <w:color w:val="auto"/>
          <w:highlight w:val="none"/>
        </w:rPr>
        <w:tab/>
      </w:r>
      <w:r>
        <w:rPr>
          <w:rFonts w:hint="eastAsia" w:ascii="仿宋" w:hAnsi="仿宋" w:eastAsia="仿宋" w:cs="仿宋"/>
          <w:color w:val="auto"/>
          <w:highlight w:val="none"/>
        </w:rPr>
        <w:t>对完全响应的条目在本表相应列中标注“○”。对有偏离的条目在本表相应列中标注“正偏离”或“负偏离”。并在“偏离简述”栏中加以说明。</w:t>
      </w:r>
    </w:p>
    <w:p w14:paraId="1F94F74E">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rPr>
        <w:tab/>
      </w:r>
      <w:r>
        <w:rPr>
          <w:rFonts w:hint="eastAsia" w:ascii="仿宋" w:hAnsi="仿宋" w:eastAsia="仿宋" w:cs="仿宋"/>
          <w:color w:val="auto"/>
          <w:highlight w:val="none"/>
        </w:rPr>
        <w:t>正偏离是指应答的条件高于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文件要求，负偏离是指应答的条件低于</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文件要求，正偏离项目不作扣分处理。</w:t>
      </w:r>
    </w:p>
    <w:p w14:paraId="4DB6D710">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投标人</w:t>
      </w:r>
      <w:r>
        <w:rPr>
          <w:rFonts w:hint="eastAsia" w:ascii="仿宋" w:hAnsi="仿宋" w:eastAsia="仿宋" w:cs="仿宋"/>
          <w:color w:val="auto"/>
          <w:highlight w:val="none"/>
        </w:rPr>
        <w:t>须按照</w:t>
      </w:r>
      <w:r>
        <w:rPr>
          <w:rFonts w:hint="eastAsia" w:ascii="仿宋" w:hAnsi="仿宋" w:eastAsia="仿宋" w:cs="仿宋"/>
          <w:color w:val="auto"/>
          <w:highlight w:val="none"/>
          <w:lang w:val="en-US" w:eastAsia="zh-CN"/>
        </w:rPr>
        <w:t>采购需求</w:t>
      </w:r>
      <w:r>
        <w:rPr>
          <w:rFonts w:hint="eastAsia" w:ascii="仿宋" w:hAnsi="仿宋" w:eastAsia="仿宋" w:cs="仿宋"/>
          <w:color w:val="auto"/>
          <w:highlight w:val="none"/>
        </w:rPr>
        <w:t>逐条完整填写响应表。如果未完整填写响应表的各项内容则视作供应商已经对</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文件相关要求和内容完全理解并同意，其报价为在此基础上的完全价格。</w:t>
      </w:r>
    </w:p>
    <w:p w14:paraId="6D2756B1">
      <w:pPr>
        <w:tabs>
          <w:tab w:val="left" w:pos="1200"/>
        </w:tabs>
        <w:snapToGrid w:val="0"/>
        <w:spacing w:after="120" w:afterLines="50"/>
        <w:ind w:left="850" w:leftChars="203" w:hanging="424" w:hangingChars="202"/>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w:t>
      </w:r>
      <w:r>
        <w:rPr>
          <w:rFonts w:hint="eastAsia" w:ascii="仿宋" w:hAnsi="仿宋" w:eastAsia="仿宋" w:cs="仿宋"/>
          <w:color w:val="auto"/>
          <w:highlight w:val="none"/>
        </w:rPr>
        <w:tab/>
      </w:r>
      <w:r>
        <w:rPr>
          <w:rFonts w:hint="eastAsia" w:ascii="仿宋" w:hAnsi="仿宋" w:eastAsia="仿宋" w:cs="仿宋"/>
          <w:color w:val="auto"/>
          <w:highlight w:val="none"/>
        </w:rPr>
        <w:t>在采购人与</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签订合同时，如</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未在</w:t>
      </w:r>
      <w:r>
        <w:rPr>
          <w:rFonts w:hint="eastAsia" w:ascii="仿宋" w:hAnsi="仿宋" w:eastAsia="仿宋" w:cs="仿宋"/>
          <w:color w:val="auto"/>
          <w:highlight w:val="none"/>
          <w:lang w:val="en-US" w:eastAsia="zh-CN"/>
        </w:rPr>
        <w:t>投标</w:t>
      </w:r>
      <w:r>
        <w:rPr>
          <w:rFonts w:hint="eastAsia" w:ascii="仿宋" w:hAnsi="仿宋" w:eastAsia="仿宋" w:cs="仿宋"/>
          <w:color w:val="auto"/>
          <w:highlight w:val="none"/>
        </w:rPr>
        <w:t>文件“响应表”中列出偏离说明，无论即将发生或已发生任何情形，均视为完全符合</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文件要求，并写入合同。若</w:t>
      </w:r>
      <w:r>
        <w:rPr>
          <w:rFonts w:hint="eastAsia" w:ascii="仿宋" w:hAnsi="仿宋" w:eastAsia="仿宋" w:cs="仿宋"/>
          <w:color w:val="auto"/>
          <w:highlight w:val="none"/>
          <w:lang w:val="en-US" w:eastAsia="zh-CN"/>
        </w:rPr>
        <w:t>中标</w:t>
      </w:r>
      <w:r>
        <w:rPr>
          <w:rFonts w:hint="eastAsia" w:ascii="仿宋" w:hAnsi="仿宋" w:eastAsia="仿宋" w:cs="仿宋"/>
          <w:color w:val="auto"/>
          <w:highlight w:val="none"/>
        </w:rPr>
        <w:t>供应商在合同签订前，以上述事项为借口而不履行合同签订手续及执行合同，则视作拒绝与采购人签订合同。</w:t>
      </w:r>
    </w:p>
    <w:p w14:paraId="4D5C8804">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p>
    <w:p w14:paraId="7E23C5FE">
      <w:pPr>
        <w:pStyle w:val="3"/>
        <w:tabs>
          <w:tab w:val="left" w:pos="0"/>
        </w:tabs>
        <w:ind w:left="0" w:firstLine="0"/>
        <w:jc w:val="center"/>
        <w:rPr>
          <w:rFonts w:hint="default" w:ascii="仿宋" w:hAnsi="仿宋" w:eastAsia="仿宋" w:cs="仿宋"/>
          <w:b/>
          <w:color w:val="auto"/>
          <w:sz w:val="32"/>
          <w:highlight w:val="none"/>
          <w:lang w:val="en-US" w:eastAsia="zh-CN"/>
        </w:rPr>
      </w:pPr>
      <w:bookmarkStart w:id="1189" w:name="_Toc13994"/>
      <w:r>
        <w:rPr>
          <w:rFonts w:hint="eastAsia" w:ascii="仿宋" w:hAnsi="仿宋" w:eastAsia="仿宋" w:cs="仿宋"/>
          <w:b/>
          <w:color w:val="auto"/>
          <w:sz w:val="32"/>
          <w:highlight w:val="none"/>
          <w:lang w:val="en-US" w:eastAsia="zh-CN"/>
        </w:rPr>
        <w:t>六、</w:t>
      </w:r>
      <w:r>
        <w:rPr>
          <w:rFonts w:hint="default" w:ascii="仿宋" w:hAnsi="仿宋" w:eastAsia="仿宋" w:cs="仿宋"/>
          <w:b/>
          <w:color w:val="auto"/>
          <w:sz w:val="32"/>
          <w:highlight w:val="none"/>
          <w:lang w:val="en-US" w:eastAsia="zh-CN"/>
        </w:rPr>
        <w:t>节能、环境标志产品明细表</w:t>
      </w:r>
      <w:bookmarkEnd w:id="1189"/>
    </w:p>
    <w:p w14:paraId="3C641A75">
      <w:pPr>
        <w:pStyle w:val="11"/>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项目编号：</w:t>
      </w:r>
      <w:r>
        <w:rPr>
          <w:rFonts w:hint="default" w:ascii="Times New Roman" w:hAnsi="Times New Roman" w:eastAsia="仿宋_GB2312" w:cs="Times New Roman"/>
          <w:color w:val="auto"/>
          <w:sz w:val="24"/>
          <w:highlight w:val="none"/>
          <w:u w:val="single"/>
        </w:rPr>
        <w:t xml:space="preserve">              </w:t>
      </w:r>
    </w:p>
    <w:p w14:paraId="12FFEF0F">
      <w:pPr>
        <w:autoSpaceDE w:val="0"/>
        <w:autoSpaceDN w:val="0"/>
        <w:adjustRightInd w:val="0"/>
        <w:snapToGrid w:val="0"/>
        <w:spacing w:line="360" w:lineRule="auto"/>
        <w:jc w:val="left"/>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color w:val="auto"/>
          <w:sz w:val="24"/>
          <w:highlight w:val="none"/>
        </w:rPr>
        <w:t>项目名称：</w:t>
      </w:r>
      <w:r>
        <w:rPr>
          <w:rFonts w:hint="eastAsia" w:ascii="Times New Roman" w:hAnsi="Times New Roman" w:eastAsia="仿宋_GB2312" w:cs="Times New Roman"/>
          <w:color w:val="auto"/>
          <w:sz w:val="24"/>
          <w:highlight w:val="none"/>
          <w:u w:val="single"/>
          <w:lang w:val="en-US" w:eastAsia="zh-CN"/>
        </w:rPr>
        <w:t xml:space="preserve">              </w:t>
      </w:r>
      <w:r>
        <w:rPr>
          <w:rFonts w:hint="default" w:ascii="Times New Roman" w:hAnsi="Times New Roman" w:eastAsia="仿宋_GB2312" w:cs="Times New Roman"/>
          <w:color w:val="auto"/>
          <w:sz w:val="24"/>
          <w:highlight w:val="none"/>
        </w:rPr>
        <w:t xml:space="preserve">                                  </w:t>
      </w:r>
    </w:p>
    <w:tbl>
      <w:tblPr>
        <w:tblStyle w:val="34"/>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10987ED8">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7FAA89C3">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序</w:t>
            </w:r>
          </w:p>
          <w:p w14:paraId="076C3A7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0DF7B04A">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产品</w:t>
            </w:r>
          </w:p>
          <w:p w14:paraId="59AFAA6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2B15C6F5">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制造</w:t>
            </w:r>
          </w:p>
          <w:p w14:paraId="021AFA97">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309B95A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规格</w:t>
            </w:r>
          </w:p>
          <w:p w14:paraId="22474CF5">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型号</w:t>
            </w:r>
          </w:p>
        </w:tc>
        <w:tc>
          <w:tcPr>
            <w:tcW w:w="716" w:type="dxa"/>
            <w:tcBorders>
              <w:top w:val="single" w:color="auto" w:sz="6" w:space="0"/>
              <w:left w:val="single" w:color="auto" w:sz="6" w:space="0"/>
              <w:bottom w:val="single" w:color="auto" w:sz="6" w:space="0"/>
              <w:right w:val="single" w:color="auto" w:sz="6" w:space="0"/>
            </w:tcBorders>
          </w:tcPr>
          <w:p w14:paraId="235A40D2">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类</w:t>
            </w:r>
          </w:p>
          <w:p w14:paraId="24E50580">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12042BC8">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认证证书</w:t>
            </w:r>
          </w:p>
          <w:p w14:paraId="1138525D">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525FFE6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数</w:t>
            </w:r>
          </w:p>
          <w:p w14:paraId="7CB06768">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5D79A204">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单</w:t>
            </w:r>
          </w:p>
          <w:p w14:paraId="1C1E427C">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7E46526B">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lang w:val="zh-CN"/>
              </w:rPr>
            </w:pPr>
            <w:r>
              <w:rPr>
                <w:rFonts w:hint="default" w:ascii="Times New Roman" w:hAnsi="Times New Roman" w:eastAsia="仿宋_GB2312" w:cs="Times New Roman"/>
                <w:color w:val="auto"/>
                <w:sz w:val="24"/>
                <w:highlight w:val="none"/>
                <w:lang w:val="zh-CN"/>
              </w:rPr>
              <w:t>总</w:t>
            </w:r>
          </w:p>
          <w:p w14:paraId="3E4981B1">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zh-CN"/>
              </w:rPr>
              <w:t>价</w:t>
            </w:r>
          </w:p>
        </w:tc>
      </w:tr>
      <w:tr w14:paraId="2F070152">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340253F0">
            <w:pPr>
              <w:autoSpaceDE w:val="0"/>
              <w:autoSpaceDN w:val="0"/>
              <w:adjustRightInd w:val="0"/>
              <w:snapToGrid w:val="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（1）强制采购类</w:t>
            </w:r>
          </w:p>
        </w:tc>
      </w:tr>
      <w:tr w14:paraId="5A25596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455EC2A">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63E69BFD">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00DD7586">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C35198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8783419">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8FD5156">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0D76D9F">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E1D41BF">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035A170">
            <w:pPr>
              <w:autoSpaceDE w:val="0"/>
              <w:autoSpaceDN w:val="0"/>
              <w:adjustRightInd w:val="0"/>
              <w:snapToGrid w:val="0"/>
              <w:rPr>
                <w:rFonts w:hint="default" w:ascii="Times New Roman" w:hAnsi="Times New Roman" w:eastAsia="仿宋_GB2312" w:cs="Times New Roman"/>
                <w:color w:val="auto"/>
                <w:sz w:val="24"/>
                <w:highlight w:val="none"/>
              </w:rPr>
            </w:pPr>
          </w:p>
        </w:tc>
      </w:tr>
      <w:tr w14:paraId="4EF69A4A">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0BCD65BD">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74581A49">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2DE1FD78">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4277E23">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742A4E40">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51C0FEF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7DCBAF98">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1DF064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1DE80CB">
            <w:pPr>
              <w:autoSpaceDE w:val="0"/>
              <w:autoSpaceDN w:val="0"/>
              <w:adjustRightInd w:val="0"/>
              <w:snapToGrid w:val="0"/>
              <w:rPr>
                <w:rFonts w:hint="default" w:ascii="Times New Roman" w:hAnsi="Times New Roman" w:eastAsia="仿宋_GB2312" w:cs="Times New Roman"/>
                <w:color w:val="auto"/>
                <w:sz w:val="24"/>
                <w:highlight w:val="none"/>
              </w:rPr>
            </w:pPr>
          </w:p>
        </w:tc>
      </w:tr>
      <w:tr w14:paraId="0EC819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C4CCA37">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1B10D5AB">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14F96416">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205A089E">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5D4920D">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3561194">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1CDE5BC">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1014B18">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EE76122">
            <w:pPr>
              <w:autoSpaceDE w:val="0"/>
              <w:autoSpaceDN w:val="0"/>
              <w:adjustRightInd w:val="0"/>
              <w:snapToGrid w:val="0"/>
              <w:rPr>
                <w:rFonts w:hint="default" w:ascii="Times New Roman" w:hAnsi="Times New Roman" w:eastAsia="仿宋_GB2312" w:cs="Times New Roman"/>
                <w:color w:val="auto"/>
                <w:sz w:val="24"/>
                <w:highlight w:val="none"/>
              </w:rPr>
            </w:pPr>
          </w:p>
        </w:tc>
      </w:tr>
      <w:tr w14:paraId="69BD62D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00DDF5D">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513111E0">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15331F5E">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06BB333A">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33939A87">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35925BE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6271F50E">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1F5DBC82">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E9CDB4A">
            <w:pPr>
              <w:autoSpaceDE w:val="0"/>
              <w:autoSpaceDN w:val="0"/>
              <w:adjustRightInd w:val="0"/>
              <w:snapToGrid w:val="0"/>
              <w:rPr>
                <w:rFonts w:hint="default" w:ascii="Times New Roman" w:hAnsi="Times New Roman" w:eastAsia="仿宋_GB2312" w:cs="Times New Roman"/>
                <w:color w:val="auto"/>
                <w:sz w:val="24"/>
                <w:highlight w:val="none"/>
              </w:rPr>
            </w:pPr>
          </w:p>
        </w:tc>
      </w:tr>
      <w:tr w14:paraId="5605E37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445FC22">
            <w:pPr>
              <w:autoSpaceDE w:val="0"/>
              <w:autoSpaceDN w:val="0"/>
              <w:adjustRightInd w:val="0"/>
              <w:snapToGrid w:val="0"/>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vAlign w:val="center"/>
          </w:tcPr>
          <w:p w14:paraId="14018D11">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vAlign w:val="center"/>
          </w:tcPr>
          <w:p w14:paraId="32A76FF3">
            <w:pPr>
              <w:autoSpaceDE w:val="0"/>
              <w:autoSpaceDN w:val="0"/>
              <w:adjustRightInd w:val="0"/>
              <w:snapToGrid w:val="0"/>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vAlign w:val="center"/>
          </w:tcPr>
          <w:p w14:paraId="76BA3089">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5FF2393">
            <w:pPr>
              <w:autoSpaceDE w:val="0"/>
              <w:autoSpaceDN w:val="0"/>
              <w:adjustRightInd w:val="0"/>
              <w:snapToGrid w:val="0"/>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vAlign w:val="center"/>
          </w:tcPr>
          <w:p w14:paraId="7A542233">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5CD54F7B">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20473D61">
            <w:pPr>
              <w:autoSpaceDE w:val="0"/>
              <w:autoSpaceDN w:val="0"/>
              <w:adjustRightInd w:val="0"/>
              <w:snapToGrid w:val="0"/>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vAlign w:val="center"/>
          </w:tcPr>
          <w:p w14:paraId="01F63AF7">
            <w:pPr>
              <w:autoSpaceDE w:val="0"/>
              <w:autoSpaceDN w:val="0"/>
              <w:adjustRightInd w:val="0"/>
              <w:snapToGrid w:val="0"/>
              <w:rPr>
                <w:rFonts w:hint="default" w:ascii="Times New Roman" w:hAnsi="Times New Roman" w:eastAsia="仿宋_GB2312" w:cs="Times New Roman"/>
                <w:color w:val="auto"/>
                <w:sz w:val="24"/>
                <w:highlight w:val="none"/>
              </w:rPr>
            </w:pPr>
          </w:p>
        </w:tc>
      </w:tr>
      <w:tr w14:paraId="7E516247">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1B4288C1">
            <w:pPr>
              <w:autoSpaceDE w:val="0"/>
              <w:autoSpaceDN w:val="0"/>
              <w:adjustRightInd w:val="0"/>
              <w:snapToGrid w:val="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（2）优先采购类</w:t>
            </w:r>
          </w:p>
        </w:tc>
      </w:tr>
      <w:tr w14:paraId="3239656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33A8F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226C2D6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7E6433DD">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3086474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97E667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486DDC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6096F9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783547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202452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6C3C24E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7154A19">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61252FA8">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1CF43E47">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7842A17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14115C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0D4B8AD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4FE8691">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147D3320">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DC0E64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1BE61FA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957890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26C183B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51A4B8A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6273448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2E8E9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1090879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EE1BEA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61BBE35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B8F828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36C4D179">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44C0568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198BC5C9">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367624E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28EA852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21C0DD8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5FAFA2C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739FB8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A61E954">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32BDBC31">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58F497A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32C428A">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554" w:type="dxa"/>
            <w:tcBorders>
              <w:top w:val="single" w:color="auto" w:sz="6" w:space="0"/>
              <w:left w:val="single" w:color="auto" w:sz="6" w:space="0"/>
              <w:bottom w:val="single" w:color="auto" w:sz="6" w:space="0"/>
              <w:right w:val="single" w:color="auto" w:sz="6" w:space="0"/>
            </w:tcBorders>
          </w:tcPr>
          <w:p w14:paraId="71F1CB4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6" w:space="0"/>
              <w:bottom w:val="single" w:color="auto" w:sz="6" w:space="0"/>
              <w:right w:val="single" w:color="auto" w:sz="4" w:space="0"/>
            </w:tcBorders>
          </w:tcPr>
          <w:p w14:paraId="2C558F62">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036" w:type="dxa"/>
            <w:tcBorders>
              <w:top w:val="single" w:color="auto" w:sz="6" w:space="0"/>
              <w:left w:val="single" w:color="auto" w:sz="4" w:space="0"/>
              <w:bottom w:val="single" w:color="auto" w:sz="6" w:space="0"/>
              <w:right w:val="single" w:color="auto" w:sz="6" w:space="0"/>
            </w:tcBorders>
          </w:tcPr>
          <w:p w14:paraId="5E20011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556D52D3">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1676" w:type="dxa"/>
            <w:tcBorders>
              <w:top w:val="single" w:color="auto" w:sz="6" w:space="0"/>
              <w:left w:val="single" w:color="auto" w:sz="6" w:space="0"/>
              <w:bottom w:val="single" w:color="auto" w:sz="6" w:space="0"/>
              <w:right w:val="single" w:color="auto" w:sz="6" w:space="0"/>
            </w:tcBorders>
          </w:tcPr>
          <w:p w14:paraId="7122860E">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068496EC">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448BDA25">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c>
          <w:tcPr>
            <w:tcW w:w="716" w:type="dxa"/>
            <w:tcBorders>
              <w:top w:val="single" w:color="auto" w:sz="6" w:space="0"/>
              <w:left w:val="single" w:color="auto" w:sz="6" w:space="0"/>
              <w:bottom w:val="single" w:color="auto" w:sz="6" w:space="0"/>
              <w:right w:val="single" w:color="auto" w:sz="6" w:space="0"/>
            </w:tcBorders>
          </w:tcPr>
          <w:p w14:paraId="7595CA8F">
            <w:pPr>
              <w:autoSpaceDE w:val="0"/>
              <w:autoSpaceDN w:val="0"/>
              <w:adjustRightInd w:val="0"/>
              <w:snapToGrid w:val="0"/>
              <w:spacing w:line="360" w:lineRule="auto"/>
              <w:rPr>
                <w:rFonts w:hint="default" w:ascii="Times New Roman" w:hAnsi="Times New Roman" w:eastAsia="仿宋_GB2312" w:cs="Times New Roman"/>
                <w:color w:val="auto"/>
                <w:sz w:val="24"/>
                <w:highlight w:val="none"/>
              </w:rPr>
            </w:pPr>
          </w:p>
        </w:tc>
      </w:tr>
      <w:tr w14:paraId="52265B4B">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6408188E">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1B6938E4">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p>
        </w:tc>
      </w:tr>
      <w:tr w14:paraId="1B54173C">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tcPr>
          <w:p w14:paraId="30CE66AF">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占磋商响应总价的百分比（%）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336D0850">
            <w:pPr>
              <w:autoSpaceDE w:val="0"/>
              <w:autoSpaceDN w:val="0"/>
              <w:adjustRightInd w:val="0"/>
              <w:snapToGrid w:val="0"/>
              <w:spacing w:line="360" w:lineRule="auto"/>
              <w:jc w:val="center"/>
              <w:rPr>
                <w:rFonts w:hint="default" w:ascii="Times New Roman" w:hAnsi="Times New Roman" w:eastAsia="仿宋_GB2312" w:cs="Times New Roman"/>
                <w:color w:val="auto"/>
                <w:sz w:val="24"/>
                <w:highlight w:val="none"/>
              </w:rPr>
            </w:pPr>
          </w:p>
        </w:tc>
      </w:tr>
    </w:tbl>
    <w:p w14:paraId="43195DBA">
      <w:pPr>
        <w:autoSpaceDE w:val="0"/>
        <w:autoSpaceDN w:val="0"/>
        <w:adjustRightInd w:val="0"/>
        <w:snapToGrid w:val="0"/>
        <w:spacing w:line="360" w:lineRule="auto"/>
        <w:rPr>
          <w:rFonts w:hint="default" w:ascii="Times New Roman" w:hAnsi="Times New Roman" w:eastAsia="仿宋_GB2312" w:cs="Times New Roman"/>
          <w:color w:val="auto"/>
          <w:sz w:val="24"/>
          <w:highlight w:val="none"/>
          <w:lang w:val="zh-CN"/>
        </w:rPr>
      </w:pPr>
    </w:p>
    <w:p w14:paraId="7FABCDBD">
      <w:pPr>
        <w:autoSpaceDE w:val="0"/>
        <w:autoSpaceDN w:val="0"/>
        <w:adjustRightInd w:val="0"/>
        <w:snapToGrid w:val="0"/>
        <w:ind w:left="697" w:hanging="697" w:hangingChars="332"/>
        <w:rPr>
          <w:rFonts w:hint="default" w:ascii="Times New Roman" w:hAnsi="Times New Roman" w:eastAsia="仿宋_GB2312" w:cs="Times New Roman"/>
          <w:color w:val="auto"/>
          <w:kern w:val="2"/>
          <w:sz w:val="24"/>
          <w:szCs w:val="21"/>
          <w:highlight w:val="none"/>
          <w:lang w:val="zh-CN" w:eastAsia="zh-CN" w:bidi="ar-SA"/>
        </w:rPr>
      </w:pPr>
      <w:r>
        <w:rPr>
          <w:rFonts w:hint="default" w:ascii="Times New Roman" w:hAnsi="Times New Roman" w:eastAsia="仿宋_GB2312" w:cs="Times New Roman"/>
          <w:color w:val="auto"/>
          <w:szCs w:val="21"/>
          <w:highlight w:val="none"/>
          <w:lang w:val="zh-CN"/>
        </w:rPr>
        <w:t>注：</w:t>
      </w:r>
      <w:r>
        <w:rPr>
          <w:rFonts w:hint="default" w:ascii="Times New Roman" w:hAnsi="Times New Roman" w:eastAsia="仿宋_GB2312" w:cs="Times New Roman"/>
          <w:color w:val="auto"/>
          <w:kern w:val="2"/>
          <w:sz w:val="24"/>
          <w:szCs w:val="21"/>
          <w:highlight w:val="none"/>
          <w:lang w:val="zh-CN" w:eastAsia="zh-CN" w:bidi="ar-SA"/>
        </w:rPr>
        <w:t>1. 如</w:t>
      </w:r>
      <w:r>
        <w:rPr>
          <w:rFonts w:hint="eastAsia" w:ascii="Times New Roman" w:hAnsi="Times New Roman" w:eastAsia="仿宋_GB2312" w:cs="Times New Roman"/>
          <w:color w:val="auto"/>
          <w:kern w:val="2"/>
          <w:sz w:val="24"/>
          <w:szCs w:val="21"/>
          <w:highlight w:val="none"/>
          <w:lang w:val="en-US" w:eastAsia="zh-CN" w:bidi="ar-SA"/>
        </w:rPr>
        <w:t>投标</w:t>
      </w:r>
      <w:r>
        <w:rPr>
          <w:rFonts w:hint="default" w:ascii="Times New Roman" w:hAnsi="Times New Roman" w:eastAsia="仿宋_GB2312" w:cs="Times New Roman"/>
          <w:color w:val="auto"/>
          <w:kern w:val="2"/>
          <w:sz w:val="24"/>
          <w:szCs w:val="21"/>
          <w:highlight w:val="none"/>
          <w:lang w:val="zh-CN" w:eastAsia="zh-CN" w:bidi="ar-SA"/>
        </w:rPr>
        <w:t>产品为节能、环境标志产品，须按格式逐项填写，并附相关证明，否则评审时不予价格扣除。</w:t>
      </w:r>
    </w:p>
    <w:p w14:paraId="72EE3BC2">
      <w:pPr>
        <w:autoSpaceDE w:val="0"/>
        <w:autoSpaceDN w:val="0"/>
        <w:adjustRightInd w:val="0"/>
        <w:snapToGrid w:val="0"/>
        <w:ind w:firstLine="480"/>
        <w:rPr>
          <w:rFonts w:hint="default" w:ascii="Times New Roman" w:hAnsi="Times New Roman" w:eastAsia="仿宋_GB2312" w:cs="Times New Roman"/>
          <w:color w:val="auto"/>
          <w:kern w:val="2"/>
          <w:sz w:val="24"/>
          <w:szCs w:val="21"/>
          <w:highlight w:val="none"/>
          <w:lang w:val="zh-CN" w:eastAsia="zh-CN" w:bidi="ar-SA"/>
        </w:rPr>
      </w:pPr>
      <w:r>
        <w:rPr>
          <w:rFonts w:hint="default" w:ascii="Times New Roman" w:hAnsi="Times New Roman" w:eastAsia="仿宋_GB2312" w:cs="Times New Roman"/>
          <w:color w:val="auto"/>
          <w:kern w:val="2"/>
          <w:sz w:val="24"/>
          <w:szCs w:val="21"/>
          <w:highlight w:val="none"/>
          <w:lang w:val="zh-CN" w:eastAsia="zh-CN" w:bidi="ar-SA"/>
        </w:rPr>
        <w:t>2. 类别填写：节能产品或环境标志产品。</w:t>
      </w:r>
    </w:p>
    <w:p w14:paraId="3736A581">
      <w:pPr>
        <w:pStyle w:val="11"/>
        <w:spacing w:line="240" w:lineRule="auto"/>
        <w:ind w:left="719" w:leftChars="228" w:hanging="240"/>
        <w:rPr>
          <w:rFonts w:hint="default" w:ascii="Times New Roman" w:hAnsi="Times New Roman" w:cs="Times New Roman"/>
          <w:color w:val="auto"/>
          <w:szCs w:val="21"/>
          <w:highlight w:val="none"/>
          <w:lang w:val="zh-CN"/>
        </w:rPr>
      </w:pPr>
      <w:r>
        <w:rPr>
          <w:rFonts w:hint="default" w:ascii="Times New Roman" w:hAnsi="Times New Roman" w:eastAsia="仿宋_GB2312" w:cs="Times New Roman"/>
          <w:color w:val="auto"/>
          <w:kern w:val="2"/>
          <w:sz w:val="24"/>
          <w:szCs w:val="21"/>
          <w:highlight w:val="none"/>
          <w:lang w:val="zh-CN" w:eastAsia="zh-CN" w:bidi="ar-SA"/>
        </w:rPr>
        <w:t>3. 若所投产品为政府强制采购的节能产品，需提供响应产品经国家确定的认证机构出具的、处于有效期内的节能产品认证证书。强制类产品具体品目详见《关于印发节能产品政府采购品目清单的通知》（财库﹝2019﹞19号文）。</w:t>
      </w:r>
    </w:p>
    <w:p w14:paraId="0FF85DD1">
      <w:pPr>
        <w:autoSpaceDE w:val="0"/>
        <w:autoSpaceDN w:val="0"/>
        <w:adjustRightInd w:val="0"/>
        <w:snapToGrid w:val="0"/>
        <w:spacing w:line="360" w:lineRule="auto"/>
        <w:ind w:left="645"/>
        <w:rPr>
          <w:rFonts w:hint="default" w:ascii="Times New Roman" w:hAnsi="Times New Roman" w:eastAsia="仿宋_GB2312" w:cs="Times New Roman"/>
          <w:color w:val="auto"/>
          <w:sz w:val="24"/>
          <w:highlight w:val="none"/>
        </w:rPr>
      </w:pPr>
    </w:p>
    <w:p w14:paraId="5DFB083C">
      <w:pPr>
        <w:spacing w:line="360" w:lineRule="auto"/>
        <w:ind w:firstLine="1920" w:firstLineChars="800"/>
        <w:rPr>
          <w:rFonts w:hint="default" w:ascii="Times New Roman" w:hAnsi="Times New Roman" w:eastAsia="仿宋_GB2312" w:cs="Times New Roman"/>
          <w:color w:val="auto"/>
          <w:sz w:val="24"/>
          <w:highlight w:val="none"/>
        </w:rPr>
      </w:pPr>
      <w:r>
        <w:rPr>
          <w:rFonts w:hint="eastAsia" w:ascii="Times New Roman" w:hAnsi="Times New Roman" w:eastAsia="仿宋_GB2312" w:cs="Times New Roman"/>
          <w:color w:val="auto"/>
          <w:sz w:val="24"/>
          <w:highlight w:val="none"/>
          <w:lang w:val="en-US" w:eastAsia="zh-CN"/>
        </w:rPr>
        <w:t>投标人</w:t>
      </w:r>
      <w:r>
        <w:rPr>
          <w:rFonts w:hint="default" w:ascii="Times New Roman" w:hAnsi="Times New Roman" w:eastAsia="仿宋_GB2312" w:cs="Times New Roman"/>
          <w:color w:val="auto"/>
          <w:sz w:val="24"/>
          <w:highlight w:val="none"/>
        </w:rPr>
        <w:t>（盖公章）：</w:t>
      </w:r>
      <w:r>
        <w:rPr>
          <w:rFonts w:hint="default" w:ascii="Times New Roman" w:hAnsi="Times New Roman" w:eastAsia="仿宋_GB2312" w:cs="Times New Roman"/>
          <w:color w:val="auto"/>
          <w:sz w:val="24"/>
          <w:highlight w:val="none"/>
          <w:u w:val="single"/>
        </w:rPr>
        <w:t xml:space="preserve">                       </w:t>
      </w:r>
    </w:p>
    <w:p w14:paraId="0D506927">
      <w:pPr>
        <w:spacing w:line="360" w:lineRule="auto"/>
        <w:ind w:firstLine="1920" w:firstLineChars="800"/>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rPr>
        <w:t>法定代表人或</w:t>
      </w:r>
      <w:r>
        <w:rPr>
          <w:rFonts w:hint="default" w:ascii="Times New Roman" w:hAnsi="Times New Roman" w:eastAsia="仿宋_GB2312" w:cs="Times New Roman"/>
          <w:color w:val="auto"/>
          <w:sz w:val="24"/>
          <w:highlight w:val="none"/>
          <w:lang w:eastAsia="zh-CN"/>
        </w:rPr>
        <w:t>委托代理人</w:t>
      </w:r>
      <w:r>
        <w:rPr>
          <w:rFonts w:hint="default" w:ascii="Times New Roman" w:hAnsi="Times New Roman" w:eastAsia="仿宋_GB2312" w:cs="Times New Roman"/>
          <w:color w:val="auto"/>
          <w:sz w:val="24"/>
          <w:highlight w:val="none"/>
        </w:rPr>
        <w:t>（签字或盖章）：</w:t>
      </w:r>
      <w:r>
        <w:rPr>
          <w:rFonts w:hint="default" w:ascii="Times New Roman" w:hAnsi="Times New Roman" w:eastAsia="仿宋_GB2312" w:cs="Times New Roman"/>
          <w:color w:val="auto"/>
          <w:sz w:val="24"/>
          <w:highlight w:val="none"/>
          <w:u w:val="single"/>
        </w:rPr>
        <w:t xml:space="preserve">         </w:t>
      </w:r>
    </w:p>
    <w:p w14:paraId="73E946BD">
      <w:pPr>
        <w:numPr>
          <w:ilvl w:val="0"/>
          <w:numId w:val="0"/>
        </w:numPr>
        <w:ind w:firstLine="2160" w:firstLineChars="900"/>
        <w:jc w:val="both"/>
        <w:rPr>
          <w:rFonts w:hint="eastAsia" w:ascii="仿宋" w:hAnsi="仿宋" w:eastAsia="仿宋" w:cs="仿宋"/>
          <w:b/>
          <w:color w:val="auto"/>
          <w:sz w:val="32"/>
          <w:highlight w:val="none"/>
        </w:rPr>
      </w:pPr>
      <w:r>
        <w:rPr>
          <w:rFonts w:hint="default" w:ascii="Times New Roman" w:hAnsi="Times New Roman" w:eastAsia="仿宋_GB2312" w:cs="Times New Roman"/>
          <w:color w:val="auto"/>
          <w:sz w:val="24"/>
          <w:highlight w:val="none"/>
        </w:rPr>
        <w:t>日    期：</w:t>
      </w:r>
      <w:r>
        <w:rPr>
          <w:rFonts w:hint="default" w:ascii="Times New Roman" w:hAnsi="Times New Roman" w:eastAsia="仿宋_GB2312" w:cs="Times New Roman"/>
          <w:color w:val="auto"/>
          <w:sz w:val="32"/>
          <w:highlight w:val="none"/>
          <w:u w:val="single"/>
        </w:rPr>
        <w:t xml:space="preserve"> </w:t>
      </w:r>
      <w:r>
        <w:rPr>
          <w:rFonts w:hint="eastAsia" w:ascii="仿宋" w:hAnsi="仿宋" w:eastAsia="仿宋" w:cs="仿宋"/>
          <w:b/>
          <w:color w:val="auto"/>
          <w:sz w:val="32"/>
          <w:highlight w:val="none"/>
        </w:rPr>
        <w:br w:type="page"/>
      </w:r>
    </w:p>
    <w:p w14:paraId="43CD9CD7">
      <w:pPr>
        <w:pStyle w:val="3"/>
        <w:tabs>
          <w:tab w:val="left" w:pos="0"/>
        </w:tabs>
        <w:ind w:left="0" w:firstLine="0"/>
        <w:jc w:val="center"/>
        <w:rPr>
          <w:rFonts w:hint="eastAsia" w:ascii="仿宋" w:hAnsi="仿宋" w:eastAsia="仿宋" w:cs="仿宋"/>
          <w:b/>
          <w:color w:val="auto"/>
          <w:sz w:val="32"/>
          <w:highlight w:val="none"/>
        </w:rPr>
      </w:pPr>
      <w:bookmarkStart w:id="1190" w:name="_Toc26899"/>
      <w:r>
        <w:rPr>
          <w:rFonts w:hint="eastAsia" w:ascii="仿宋" w:hAnsi="仿宋" w:eastAsia="仿宋" w:cs="仿宋"/>
          <w:b/>
          <w:color w:val="auto"/>
          <w:sz w:val="32"/>
          <w:highlight w:val="none"/>
          <w:lang w:val="en-US" w:eastAsia="zh-CN"/>
        </w:rPr>
        <w:t>七</w:t>
      </w:r>
      <w:r>
        <w:rPr>
          <w:rFonts w:hint="eastAsia" w:ascii="仿宋" w:hAnsi="仿宋" w:eastAsia="仿宋" w:cs="仿宋"/>
          <w:b/>
          <w:color w:val="auto"/>
          <w:sz w:val="32"/>
          <w:highlight w:val="none"/>
        </w:rPr>
        <w:t>、已标价工程量清单</w:t>
      </w:r>
      <w:bookmarkEnd w:id="1181"/>
      <w:bookmarkEnd w:id="1182"/>
      <w:bookmarkEnd w:id="1190"/>
    </w:p>
    <w:p w14:paraId="0D7E3919">
      <w:pPr>
        <w:spacing w:line="360" w:lineRule="auto"/>
        <w:ind w:firstLine="559" w:firstLineChars="232"/>
        <w:rPr>
          <w:rFonts w:hint="eastAsia" w:ascii="仿宋" w:hAnsi="仿宋" w:eastAsia="仿宋" w:cs="仿宋"/>
          <w:b/>
          <w:color w:val="auto"/>
          <w:sz w:val="24"/>
          <w:highlight w:val="none"/>
        </w:rPr>
      </w:pPr>
    </w:p>
    <w:p w14:paraId="107E34DF">
      <w:pPr>
        <w:spacing w:line="360" w:lineRule="auto"/>
        <w:ind w:firstLine="540" w:firstLineChars="224"/>
        <w:rPr>
          <w:rFonts w:hint="eastAsia" w:ascii="仿宋" w:hAnsi="仿宋" w:eastAsia="仿宋" w:cs="仿宋"/>
          <w:color w:val="auto"/>
          <w:sz w:val="24"/>
          <w:highlight w:val="none"/>
        </w:rPr>
      </w:pPr>
      <w:r>
        <w:rPr>
          <w:rFonts w:hint="eastAsia" w:ascii="仿宋" w:hAnsi="仿宋" w:eastAsia="仿宋" w:cs="仿宋"/>
          <w:b/>
          <w:color w:val="auto"/>
          <w:sz w:val="24"/>
          <w:highlight w:val="none"/>
        </w:rPr>
        <w:t>说明：</w:t>
      </w:r>
      <w:r>
        <w:rPr>
          <w:rFonts w:hint="eastAsia" w:ascii="仿宋" w:hAnsi="仿宋" w:eastAsia="仿宋" w:cs="仿宋"/>
          <w:color w:val="auto"/>
          <w:sz w:val="24"/>
          <w:highlight w:val="none"/>
        </w:rPr>
        <w:t>已标价工程量清单按第五章“工程量清单”中的相关清单表格式填写。构成合同文件的已标价工程量清单包括但不限于投标报价汇总表，单位工程造价汇总表，分部分项工程量清单计价表，措施项目清单计价表，规费、税金项目清单计价表，主要材料价格表（表格样式以软件生成格式为</w:t>
      </w:r>
      <w:bookmarkEnd w:id="1131"/>
      <w:bookmarkEnd w:id="1132"/>
      <w:r>
        <w:rPr>
          <w:rFonts w:hint="eastAsia" w:ascii="仿宋" w:hAnsi="仿宋" w:eastAsia="仿宋" w:cs="仿宋"/>
          <w:color w:val="auto"/>
          <w:sz w:val="24"/>
          <w:highlight w:val="none"/>
        </w:rPr>
        <w:t>准）。工程量清单综合单价分析表（中标后提供）。</w:t>
      </w:r>
    </w:p>
    <w:p w14:paraId="22AA8885">
      <w:pPr>
        <w:spacing w:line="360" w:lineRule="auto"/>
        <w:ind w:firstLine="540" w:firstLineChars="224"/>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已标价工程量清单有注册造价工程师签字并盖执业专用章</w:t>
      </w:r>
    </w:p>
    <w:p w14:paraId="723E1F70">
      <w:pPr>
        <w:spacing w:line="360" w:lineRule="auto"/>
        <w:ind w:firstLine="537" w:firstLineChars="224"/>
        <w:rPr>
          <w:rFonts w:hint="eastAsia" w:ascii="仿宋" w:hAnsi="仿宋" w:eastAsia="仿宋" w:cs="仿宋"/>
          <w:color w:val="auto"/>
          <w:sz w:val="24"/>
          <w:highlight w:val="none"/>
        </w:rPr>
      </w:pPr>
    </w:p>
    <w:p w14:paraId="5EDC168F">
      <w:pPr>
        <w:spacing w:line="360" w:lineRule="auto"/>
        <w:ind w:firstLine="537" w:firstLineChars="224"/>
        <w:rPr>
          <w:rFonts w:hint="eastAsia" w:ascii="仿宋" w:hAnsi="仿宋" w:eastAsia="仿宋" w:cs="仿宋"/>
          <w:color w:val="auto"/>
          <w:sz w:val="24"/>
          <w:highlight w:val="none"/>
        </w:rPr>
      </w:pPr>
    </w:p>
    <w:p w14:paraId="4DEDC24A">
      <w:pPr>
        <w:spacing w:line="360" w:lineRule="auto"/>
        <w:ind w:firstLine="537" w:firstLineChars="224"/>
        <w:rPr>
          <w:rFonts w:hint="eastAsia" w:ascii="仿宋" w:hAnsi="仿宋" w:eastAsia="仿宋" w:cs="仿宋"/>
          <w:color w:val="auto"/>
          <w:sz w:val="24"/>
          <w:highlight w:val="none"/>
        </w:rPr>
      </w:pPr>
    </w:p>
    <w:p w14:paraId="3DE35127">
      <w:pPr>
        <w:spacing w:line="360" w:lineRule="auto"/>
        <w:ind w:firstLine="627" w:firstLineChars="224"/>
        <w:rPr>
          <w:rFonts w:hint="eastAsia" w:ascii="仿宋" w:hAnsi="仿宋" w:eastAsia="仿宋" w:cs="仿宋"/>
          <w:color w:val="auto"/>
          <w:sz w:val="28"/>
          <w:szCs w:val="28"/>
          <w:highlight w:val="none"/>
        </w:rPr>
      </w:pPr>
    </w:p>
    <w:p w14:paraId="3FA1C553">
      <w:pPr>
        <w:rPr>
          <w:rFonts w:hint="eastAsia" w:ascii="仿宋" w:hAnsi="仿宋" w:eastAsia="仿宋" w:cs="仿宋"/>
          <w:color w:val="auto"/>
          <w:sz w:val="32"/>
          <w:szCs w:val="32"/>
          <w:highlight w:val="none"/>
        </w:rPr>
      </w:pPr>
    </w:p>
    <w:p w14:paraId="4B92E63B">
      <w:pPr>
        <w:pStyle w:val="5"/>
        <w:ind w:firstLine="0" w:firstLineChars="0"/>
        <w:jc w:val="center"/>
        <w:rPr>
          <w:rFonts w:hint="eastAsia" w:ascii="仿宋" w:hAnsi="仿宋" w:eastAsia="仿宋" w:cs="仿宋"/>
          <w:b w:val="0"/>
          <w:color w:val="auto"/>
          <w:sz w:val="28"/>
          <w:highlight w:val="none"/>
        </w:rPr>
      </w:pPr>
      <w:bookmarkStart w:id="1191" w:name="_Toc176384096"/>
      <w:bookmarkStart w:id="1192" w:name="_Toc194095938"/>
      <w:bookmarkStart w:id="1193" w:name="_Toc200034109"/>
      <w:bookmarkStart w:id="1194" w:name="_Toc200891363"/>
      <w:r>
        <w:rPr>
          <w:rFonts w:hint="eastAsia" w:ascii="仿宋" w:hAnsi="仿宋" w:eastAsia="仿宋" w:cs="仿宋"/>
          <w:color w:val="auto"/>
          <w:sz w:val="28"/>
          <w:highlight w:val="none"/>
        </w:rPr>
        <w:br w:type="page"/>
      </w:r>
      <w:bookmarkStart w:id="1195" w:name="_Toc32764"/>
      <w:bookmarkStart w:id="1196" w:name="_Toc2396"/>
      <w:r>
        <w:rPr>
          <w:rFonts w:hint="eastAsia" w:ascii="仿宋" w:hAnsi="仿宋" w:eastAsia="仿宋" w:cs="仿宋"/>
          <w:color w:val="auto"/>
          <w:sz w:val="28"/>
          <w:highlight w:val="none"/>
        </w:rPr>
        <w:t>投标信用承诺书</w:t>
      </w:r>
      <w:bookmarkEnd w:id="1191"/>
      <w:bookmarkEnd w:id="1192"/>
      <w:bookmarkEnd w:id="1193"/>
      <w:bookmarkEnd w:id="1194"/>
      <w:bookmarkEnd w:id="1195"/>
      <w:bookmarkEnd w:id="1196"/>
    </w:p>
    <w:p w14:paraId="60EF3C0C">
      <w:pPr>
        <w:pStyle w:val="29"/>
        <w:snapToGrid w:val="0"/>
        <w:spacing w:before="0" w:beforeAutospacing="0" w:after="0" w:afterAutospacing="0" w:line="276" w:lineRule="auto"/>
        <w:jc w:val="both"/>
        <w:outlineLvl w:val="2"/>
        <w:rPr>
          <w:rFonts w:hint="eastAsia" w:ascii="仿宋" w:hAnsi="仿宋" w:eastAsia="仿宋" w:cs="仿宋"/>
          <w:b/>
          <w:bCs/>
          <w:color w:val="auto"/>
          <w:szCs w:val="28"/>
          <w:highlight w:val="none"/>
        </w:rPr>
      </w:pPr>
      <w:bookmarkStart w:id="1197" w:name="_Toc194095939"/>
      <w:bookmarkStart w:id="1198" w:name="_Toc30349"/>
      <w:bookmarkStart w:id="1199" w:name="_Toc200034110"/>
      <w:bookmarkStart w:id="1200" w:name="_Toc14629"/>
      <w:bookmarkStart w:id="1201" w:name="_Toc165235294"/>
      <w:bookmarkStart w:id="1202" w:name="_Toc176384097"/>
      <w:bookmarkStart w:id="1203" w:name="_Toc200891364"/>
      <w:bookmarkStart w:id="1204" w:name="_Toc149939208"/>
      <w:r>
        <w:rPr>
          <w:rFonts w:hint="eastAsia" w:ascii="仿宋" w:hAnsi="仿宋" w:eastAsia="仿宋" w:cs="仿宋"/>
          <w:b/>
          <w:bCs/>
          <w:color w:val="auto"/>
          <w:szCs w:val="28"/>
          <w:highlight w:val="none"/>
        </w:rPr>
        <w:t>附件1：榆林市政府采购工程类/货物类/服务类项目供应商信用承诺书</w:t>
      </w:r>
      <w:bookmarkEnd w:id="1197"/>
      <w:bookmarkEnd w:id="1198"/>
      <w:bookmarkEnd w:id="1199"/>
      <w:bookmarkEnd w:id="1200"/>
      <w:bookmarkEnd w:id="1201"/>
      <w:bookmarkEnd w:id="1202"/>
      <w:bookmarkEnd w:id="1203"/>
      <w:bookmarkEnd w:id="1204"/>
    </w:p>
    <w:p w14:paraId="68E111CB">
      <w:pPr>
        <w:widowControl/>
        <w:adjustRightInd w:val="0"/>
        <w:snapToGrid w:val="0"/>
        <w:spacing w:line="276" w:lineRule="auto"/>
        <w:ind w:firstLine="480"/>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市场主体名称：                     法人代表：</w:t>
      </w:r>
    </w:p>
    <w:p w14:paraId="2BF5D67A">
      <w:pPr>
        <w:widowControl/>
        <w:adjustRightInd w:val="0"/>
        <w:snapToGrid w:val="0"/>
        <w:spacing w:line="276" w:lineRule="auto"/>
        <w:ind w:firstLine="480"/>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件类型：</w:t>
      </w:r>
      <w:r>
        <w:rPr>
          <w:rFonts w:hint="eastAsia" w:ascii="仿宋" w:hAnsi="仿宋" w:eastAsia="仿宋" w:cs="仿宋"/>
          <w:color w:val="auto"/>
          <w:kern w:val="0"/>
          <w:sz w:val="24"/>
          <w:highlight w:val="none"/>
          <w:u w:val="single"/>
        </w:rPr>
        <w:t>统一社会信用代码</w:t>
      </w:r>
      <w:r>
        <w:rPr>
          <w:rFonts w:hint="eastAsia" w:ascii="仿宋" w:hAnsi="仿宋" w:eastAsia="仿宋" w:cs="仿宋"/>
          <w:color w:val="auto"/>
          <w:kern w:val="0"/>
          <w:sz w:val="24"/>
          <w:highlight w:val="none"/>
        </w:rPr>
        <w:t xml:space="preserve">           证件号码：   </w:t>
      </w:r>
    </w:p>
    <w:p w14:paraId="2DE45044">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p>
    <w:p w14:paraId="46F148DF">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承诺内容：为维护公开、公平、公正的政府采购市场秩序，树立诚实守信的政府采购供应商形象，本单位自愿做出以下承诺：</w:t>
      </w:r>
    </w:p>
    <w:p w14:paraId="270AFE30">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一、承诺本单位严格遵守国家法律、法规和规章，全面履行应尽的责任和义务，全面做到履约守信，具备《政府采购法》第二十二条第一款规定的条件;</w:t>
      </w:r>
    </w:p>
    <w:p w14:paraId="0ACB60A5">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二、承诺本单位提供给注册登记部门、行业管理部门、司法部门、行业组织以及在政府采购活动中提交的所有资料均合法、真实、有效，无任何伪造、修改、虚假成份，并对所提供资料的真实性负责；</w:t>
      </w:r>
    </w:p>
    <w:p w14:paraId="24F0224F">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三、承诺本单位严格依法开展生产经营活动，主动接受行业监管，自愿接受依法开展的日常检查；违法失信经营后将自愿接受约束和惩戒，并依法承担相应责任；</w:t>
      </w:r>
    </w:p>
    <w:p w14:paraId="0DC6AC01">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四、承诺本单位自觉接受行政管理部门、行业组织、社会公众、新闻舆论的监督；</w:t>
      </w:r>
    </w:p>
    <w:p w14:paraId="75D74CE9">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五、承诺本单位自我约束、自我管理，重合同、守信用，不制假售假、商标侵权、虚假宣传、违约毁约、恶意逃债、偷税漏税、价格欺诈、垄断和不正当竞争，维护经营者、消费者的合法权益；</w:t>
      </w:r>
    </w:p>
    <w:p w14:paraId="08B4B0C0">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六、承诺本单位提出政府采购质疑和投诉坚持依法依规、诚实信用原则，在全国范围12个月内没有三次以上查无实据的政府采购投诉；</w:t>
      </w:r>
    </w:p>
    <w:p w14:paraId="659BB1DA">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七、根据政府采购相关法律法规的规定需要作出的其他承诺;</w:t>
      </w:r>
    </w:p>
    <w:p w14:paraId="7A60D3E1">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八、按照信用信息管理有关要求，本单位同意将以上承诺在各级信用信息共享平台公示，接受社会监督。</w:t>
      </w:r>
    </w:p>
    <w:p w14:paraId="4A5D79FB">
      <w:pPr>
        <w:widowControl/>
        <w:adjustRightInd w:val="0"/>
        <w:snapToGrid w:val="0"/>
        <w:spacing w:line="276"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若违背以上承诺，同意依据相关规定记入企业信用档案和在各级信用信息共享平台公示；性质严重的，同意承担相应法律后果和责任，并依法依规列入严重失信名单。</w:t>
      </w:r>
    </w:p>
    <w:p w14:paraId="123AFFB8">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承诺单位：（盖章）</w:t>
      </w:r>
      <w:r>
        <w:rPr>
          <w:rFonts w:hint="eastAsia" w:ascii="仿宋" w:hAnsi="仿宋" w:eastAsia="仿宋" w:cs="仿宋"/>
          <w:color w:val="auto"/>
          <w:kern w:val="0"/>
          <w:sz w:val="24"/>
          <w:highlight w:val="none"/>
          <w:u w:val="single"/>
        </w:rPr>
        <w:t xml:space="preserve">             </w:t>
      </w:r>
    </w:p>
    <w:p w14:paraId="56D8E976">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u w:val="single"/>
        </w:rPr>
        <w:t xml:space="preserve">                 </w:t>
      </w:r>
    </w:p>
    <w:p w14:paraId="02D9DDCC">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法定代表人（负责人）签字或盖章：</w:t>
      </w:r>
      <w:r>
        <w:rPr>
          <w:rFonts w:hint="eastAsia" w:ascii="仿宋" w:hAnsi="仿宋" w:eastAsia="仿宋" w:cs="仿宋"/>
          <w:color w:val="auto"/>
          <w:kern w:val="0"/>
          <w:sz w:val="24"/>
          <w:highlight w:val="none"/>
          <w:u w:val="single"/>
        </w:rPr>
        <w:t xml:space="preserve">            </w:t>
      </w:r>
    </w:p>
    <w:p w14:paraId="6FD6D07D">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u w:val="single"/>
        </w:rPr>
        <w:t xml:space="preserve">                 </w:t>
      </w:r>
    </w:p>
    <w:p w14:paraId="114AD685">
      <w:pPr>
        <w:widowControl/>
        <w:wordWrap w:val="0"/>
        <w:adjustRightInd w:val="0"/>
        <w:snapToGrid w:val="0"/>
        <w:spacing w:line="276" w:lineRule="auto"/>
        <w:ind w:firstLine="480"/>
        <w:jc w:val="righ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法定代表人（负责人）身份证号：</w:t>
      </w:r>
      <w:r>
        <w:rPr>
          <w:rFonts w:hint="eastAsia" w:ascii="仿宋" w:hAnsi="仿宋" w:eastAsia="仿宋" w:cs="仿宋"/>
          <w:color w:val="auto"/>
          <w:kern w:val="0"/>
          <w:sz w:val="24"/>
          <w:highlight w:val="none"/>
          <w:u w:val="single"/>
        </w:rPr>
        <w:t xml:space="preserve">            </w:t>
      </w:r>
    </w:p>
    <w:p w14:paraId="7C043900">
      <w:pPr>
        <w:widowControl/>
        <w:adjustRightInd w:val="0"/>
        <w:snapToGrid w:val="0"/>
        <w:spacing w:line="276" w:lineRule="auto"/>
        <w:ind w:firstLine="480"/>
        <w:jc w:val="righ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承诺日期：   年  月  日</w:t>
      </w:r>
    </w:p>
    <w:p w14:paraId="53CAE7E9">
      <w:pPr>
        <w:widowControl/>
        <w:adjustRightInd w:val="0"/>
        <w:snapToGrid w:val="0"/>
        <w:spacing w:line="276" w:lineRule="auto"/>
        <w:jc w:val="left"/>
        <w:rPr>
          <w:rFonts w:hint="eastAsia" w:ascii="仿宋" w:hAnsi="仿宋" w:eastAsia="仿宋" w:cs="仿宋"/>
          <w:b/>
          <w:bCs/>
          <w:color w:val="auto"/>
          <w:kern w:val="0"/>
          <w:sz w:val="24"/>
          <w:szCs w:val="28"/>
          <w:highlight w:val="none"/>
        </w:rPr>
      </w:pPr>
      <w:r>
        <w:rPr>
          <w:rFonts w:hint="eastAsia" w:ascii="仿宋" w:hAnsi="仿宋" w:eastAsia="仿宋" w:cs="仿宋"/>
          <w:color w:val="auto"/>
          <w:kern w:val="0"/>
          <w:sz w:val="24"/>
          <w:highlight w:val="none"/>
        </w:rPr>
        <w:t>注：此承诺书除附在响应文件中还需上传至“信用中国（陕西榆林）”网站供应商自主上报信用承诺书附件（承诺有效期为1年，承诺起始时间为递交响应文件截止之日）。法定代表人或负责人、主体名称发生变更的应当重新做出承诺。</w:t>
      </w:r>
    </w:p>
    <w:p w14:paraId="66AA84C5">
      <w:pPr>
        <w:pStyle w:val="29"/>
        <w:snapToGrid w:val="0"/>
        <w:spacing w:before="0" w:beforeAutospacing="0" w:after="0" w:afterAutospacing="0" w:line="360" w:lineRule="auto"/>
        <w:jc w:val="both"/>
        <w:outlineLvl w:val="2"/>
        <w:rPr>
          <w:rFonts w:hint="eastAsia" w:ascii="仿宋" w:hAnsi="仿宋" w:eastAsia="仿宋" w:cs="仿宋"/>
          <w:b/>
          <w:bCs/>
          <w:color w:val="auto"/>
          <w:szCs w:val="28"/>
          <w:highlight w:val="none"/>
        </w:rPr>
      </w:pPr>
      <w:bookmarkStart w:id="1205" w:name="_Toc149939209"/>
      <w:r>
        <w:rPr>
          <w:rFonts w:hint="eastAsia" w:ascii="仿宋" w:hAnsi="仿宋" w:eastAsia="仿宋" w:cs="仿宋"/>
          <w:b/>
          <w:bCs/>
          <w:color w:val="auto"/>
          <w:szCs w:val="28"/>
          <w:highlight w:val="none"/>
        </w:rPr>
        <w:br w:type="page"/>
      </w:r>
      <w:bookmarkStart w:id="1206" w:name="_Toc17083"/>
      <w:bookmarkStart w:id="1207" w:name="_Toc194095940"/>
      <w:bookmarkStart w:id="1208" w:name="_Toc4685"/>
      <w:bookmarkStart w:id="1209" w:name="_Toc165235295"/>
      <w:bookmarkStart w:id="1210" w:name="_Toc200891365"/>
      <w:bookmarkStart w:id="1211" w:name="_Toc200034111"/>
      <w:bookmarkStart w:id="1212" w:name="_Toc176384098"/>
      <w:r>
        <w:rPr>
          <w:rFonts w:hint="eastAsia" w:ascii="仿宋" w:hAnsi="仿宋" w:eastAsia="仿宋" w:cs="仿宋"/>
          <w:b/>
          <w:bCs/>
          <w:color w:val="auto"/>
          <w:szCs w:val="28"/>
          <w:highlight w:val="none"/>
        </w:rPr>
        <w:t>附件2：投标人信用承诺</w:t>
      </w:r>
      <w:bookmarkEnd w:id="1205"/>
      <w:bookmarkEnd w:id="1206"/>
      <w:bookmarkEnd w:id="1207"/>
      <w:bookmarkEnd w:id="1208"/>
      <w:bookmarkEnd w:id="1209"/>
      <w:bookmarkEnd w:id="1210"/>
      <w:bookmarkEnd w:id="1211"/>
      <w:bookmarkEnd w:id="1212"/>
    </w:p>
    <w:p w14:paraId="61A799A9">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u w:val="single"/>
        </w:rPr>
        <w:t xml:space="preserve">                                                                   </w:t>
      </w:r>
    </w:p>
    <w:p w14:paraId="772E0331">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统一社会信用代码：</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法人代表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u w:val="single"/>
        </w:rPr>
        <w:t xml:space="preserve">                  </w:t>
      </w:r>
    </w:p>
    <w:p w14:paraId="64C0DAE3">
      <w:pPr>
        <w:widowControl/>
        <w:adjustRightInd w:val="0"/>
        <w:snapToGrid w:val="0"/>
        <w:spacing w:line="36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4979850A">
      <w:pPr>
        <w:widowControl/>
        <w:adjustRightInd w:val="0"/>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项目招投标活动中，我公司（单位）郑重作出以下信用承诺：</w:t>
      </w:r>
    </w:p>
    <w:p w14:paraId="3120BEC9">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23711355">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31C54A05">
      <w:pPr>
        <w:widowControl/>
        <w:adjustRightInd w:val="0"/>
        <w:snapToGrid w:val="0"/>
        <w:spacing w:line="360" w:lineRule="auto"/>
        <w:ind w:firstLine="482"/>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（三）自愿接受招投标监督部门和有关行政监督部门的依法检查。</w:t>
      </w:r>
    </w:p>
    <w:p w14:paraId="61BEEEB6">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（四）同意将此信用承诺纳入陕西省公共信用信息平台和榆林市公共信用信息共享平台，并上网公示，接受社会监督。</w:t>
      </w:r>
    </w:p>
    <w:p w14:paraId="2D698330">
      <w:pPr>
        <w:widowControl/>
        <w:adjustRightInd w:val="0"/>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C415D36">
      <w:pPr>
        <w:widowControl/>
        <w:tabs>
          <w:tab w:val="left" w:pos="4395"/>
        </w:tabs>
        <w:adjustRightInd w:val="0"/>
        <w:snapToGrid w:val="0"/>
        <w:spacing w:line="36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法定代表人（签章）：                 投标人（盖章）：</w:t>
      </w:r>
    </w:p>
    <w:p w14:paraId="327DAB68">
      <w:pPr>
        <w:adjustRightInd w:val="0"/>
        <w:snapToGrid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color w:val="auto"/>
          <w:kern w:val="0"/>
          <w:sz w:val="24"/>
          <w:highlight w:val="none"/>
        </w:rPr>
        <w:t xml:space="preserve">                     承诺时间：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5D537E0A">
      <w:pPr>
        <w:pStyle w:val="29"/>
        <w:snapToGrid w:val="0"/>
        <w:spacing w:before="0" w:beforeAutospacing="0" w:after="0" w:afterAutospacing="0" w:line="360" w:lineRule="auto"/>
        <w:jc w:val="both"/>
        <w:outlineLvl w:val="2"/>
        <w:rPr>
          <w:rFonts w:hint="eastAsia" w:ascii="仿宋" w:hAnsi="仿宋" w:eastAsia="仿宋" w:cs="仿宋"/>
          <w:b/>
          <w:bCs/>
          <w:color w:val="auto"/>
          <w:szCs w:val="28"/>
          <w:highlight w:val="none"/>
        </w:rPr>
      </w:pPr>
      <w:bookmarkStart w:id="1213" w:name="_Toc149939210"/>
      <w:r>
        <w:rPr>
          <w:rFonts w:hint="eastAsia" w:ascii="仿宋" w:hAnsi="仿宋" w:eastAsia="仿宋" w:cs="仿宋"/>
          <w:b/>
          <w:bCs/>
          <w:color w:val="auto"/>
          <w:szCs w:val="28"/>
          <w:highlight w:val="none"/>
        </w:rPr>
        <w:br w:type="page"/>
      </w:r>
      <w:bookmarkStart w:id="1214" w:name="_Toc200034112"/>
      <w:bookmarkStart w:id="1215" w:name="_Toc194095941"/>
      <w:bookmarkStart w:id="1216" w:name="_Toc3394"/>
      <w:bookmarkStart w:id="1217" w:name="_Toc176384099"/>
      <w:bookmarkStart w:id="1218" w:name="_Toc165235296"/>
      <w:bookmarkStart w:id="1219" w:name="_Toc15865"/>
      <w:bookmarkStart w:id="1220" w:name="_Toc200891366"/>
      <w:r>
        <w:rPr>
          <w:rFonts w:hint="eastAsia" w:ascii="仿宋" w:hAnsi="仿宋" w:eastAsia="仿宋" w:cs="仿宋"/>
          <w:b/>
          <w:bCs/>
          <w:color w:val="auto"/>
          <w:szCs w:val="28"/>
          <w:highlight w:val="none"/>
        </w:rPr>
        <w:t>附件3：投标信用(保证金）承诺书</w:t>
      </w:r>
      <w:bookmarkEnd w:id="1213"/>
      <w:bookmarkEnd w:id="1214"/>
      <w:bookmarkEnd w:id="1215"/>
      <w:bookmarkEnd w:id="1216"/>
      <w:bookmarkEnd w:id="1217"/>
      <w:bookmarkEnd w:id="1218"/>
      <w:bookmarkEnd w:id="1219"/>
      <w:bookmarkEnd w:id="1220"/>
      <w:r>
        <w:rPr>
          <w:rFonts w:hint="eastAsia" w:ascii="仿宋" w:hAnsi="仿宋" w:eastAsia="仿宋" w:cs="仿宋"/>
          <w:b/>
          <w:bCs/>
          <w:color w:val="auto"/>
          <w:szCs w:val="28"/>
          <w:highlight w:val="none"/>
        </w:rPr>
        <w:t xml:space="preserve">               </w:t>
      </w:r>
    </w:p>
    <w:p w14:paraId="76EC2A7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p w14:paraId="74F792B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p>
    <w:p w14:paraId="62D7306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                               法人代表：                 </w:t>
      </w:r>
    </w:p>
    <w:p w14:paraId="383DDBC3">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在本项目标段招投标活动中，我公司（单位）自愿作出以下投标信用承诺：</w:t>
      </w:r>
    </w:p>
    <w:p w14:paraId="7D72C33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（一）能严格遵守法律法规、职业道德和行业规范。</w:t>
      </w:r>
    </w:p>
    <w:p w14:paraId="0604279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7FF32C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8229781">
      <w:pPr>
        <w:pStyle w:val="28"/>
        <w:rPr>
          <w:rFonts w:hint="eastAsia" w:ascii="仿宋" w:hAnsi="仿宋" w:eastAsia="仿宋" w:cs="仿宋"/>
          <w:color w:val="auto"/>
          <w:sz w:val="24"/>
          <w:highlight w:val="none"/>
        </w:rPr>
      </w:pPr>
    </w:p>
    <w:p w14:paraId="4E5D7D1F">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法定代表人（签章）：             投标人（盖章）：</w:t>
      </w:r>
    </w:p>
    <w:p w14:paraId="56EBCB18">
      <w:pPr>
        <w:snapToGrid w:val="0"/>
        <w:spacing w:line="288" w:lineRule="auto"/>
        <w:ind w:firstLine="480" w:firstLineChars="200"/>
        <w:rPr>
          <w:rFonts w:hint="eastAsia" w:ascii="仿宋" w:hAnsi="仿宋" w:eastAsia="仿宋" w:cs="仿宋"/>
          <w:color w:val="auto"/>
          <w:sz w:val="24"/>
          <w:highlight w:val="none"/>
        </w:rPr>
      </w:pPr>
    </w:p>
    <w:p w14:paraId="57FDBDD5">
      <w:pPr>
        <w:snapToGrid w:val="0"/>
        <w:spacing w:line="288"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承诺时间：       年     月     日</w:t>
      </w:r>
    </w:p>
    <w:p w14:paraId="6387FC8F">
      <w:pPr>
        <w:snapToGrid w:val="0"/>
        <w:spacing w:line="288" w:lineRule="auto"/>
        <w:ind w:firstLine="480" w:firstLineChars="200"/>
        <w:rPr>
          <w:rFonts w:hint="eastAsia" w:ascii="仿宋" w:hAnsi="仿宋" w:eastAsia="仿宋" w:cs="仿宋"/>
          <w:color w:val="auto"/>
          <w:sz w:val="24"/>
          <w:highlight w:val="none"/>
        </w:rPr>
      </w:pPr>
    </w:p>
    <w:p w14:paraId="459E4B81">
      <w:pPr>
        <w:snapToGrid w:val="0"/>
        <w:spacing w:line="288" w:lineRule="auto"/>
        <w:ind w:firstLine="480" w:firstLineChars="200"/>
        <w:rPr>
          <w:rFonts w:hint="eastAsia" w:ascii="仿宋" w:hAnsi="仿宋" w:eastAsia="仿宋" w:cs="仿宋"/>
          <w:color w:val="auto"/>
          <w:sz w:val="24"/>
          <w:highlight w:val="none"/>
        </w:rPr>
      </w:pPr>
    </w:p>
    <w:p w14:paraId="7279A579">
      <w:pPr>
        <w:snapToGrid w:val="0"/>
        <w:spacing w:line="288" w:lineRule="auto"/>
        <w:ind w:firstLine="480" w:firstLineChars="200"/>
        <w:rPr>
          <w:rFonts w:hint="eastAsia" w:ascii="仿宋" w:hAnsi="仿宋" w:eastAsia="仿宋" w:cs="仿宋"/>
          <w:color w:val="auto"/>
          <w:sz w:val="24"/>
          <w:highlight w:val="none"/>
        </w:rPr>
      </w:pPr>
    </w:p>
    <w:p w14:paraId="7A049AC7">
      <w:pPr>
        <w:snapToGrid w:val="0"/>
        <w:spacing w:line="288"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说明：本承诺书效力和作用等同于投标保证金，其有效期与投标有效期一致。</w:t>
      </w:r>
    </w:p>
    <w:p w14:paraId="2FA4BB94">
      <w:pPr>
        <w:snapToGrid w:val="0"/>
        <w:spacing w:line="288" w:lineRule="auto"/>
        <w:ind w:firstLine="482" w:firstLineChars="200"/>
        <w:rPr>
          <w:rFonts w:hint="eastAsia" w:ascii="仿宋" w:hAnsi="仿宋" w:eastAsia="仿宋" w:cs="仿宋"/>
          <w:b/>
          <w:bCs/>
          <w:color w:val="auto"/>
          <w:sz w:val="24"/>
          <w:highlight w:val="none"/>
        </w:rPr>
      </w:pPr>
    </w:p>
    <w:p w14:paraId="116A5D5A">
      <w:pPr>
        <w:widowControl/>
        <w:jc w:val="left"/>
        <w:rPr>
          <w:rFonts w:hint="eastAsia" w:ascii="仿宋" w:hAnsi="仿宋" w:eastAsia="仿宋" w:cs="仿宋"/>
          <w:b/>
          <w:bCs/>
          <w:color w:val="auto"/>
          <w:kern w:val="0"/>
          <w:sz w:val="24"/>
          <w:szCs w:val="28"/>
          <w:highlight w:val="none"/>
        </w:rPr>
      </w:pPr>
      <w:r>
        <w:rPr>
          <w:rFonts w:hint="eastAsia" w:ascii="仿宋" w:hAnsi="仿宋" w:eastAsia="仿宋" w:cs="仿宋"/>
          <w:b/>
          <w:bCs/>
          <w:color w:val="auto"/>
          <w:szCs w:val="28"/>
          <w:highlight w:val="none"/>
        </w:rPr>
        <w:br w:type="page"/>
      </w:r>
    </w:p>
    <w:p w14:paraId="2DE7E479">
      <w:pPr>
        <w:pStyle w:val="29"/>
        <w:snapToGrid w:val="0"/>
        <w:spacing w:before="0" w:beforeAutospacing="0" w:after="0" w:afterAutospacing="0" w:line="276" w:lineRule="auto"/>
        <w:jc w:val="both"/>
        <w:outlineLvl w:val="2"/>
        <w:rPr>
          <w:rFonts w:hint="eastAsia" w:ascii="仿宋" w:hAnsi="仿宋" w:eastAsia="仿宋" w:cs="仿宋"/>
          <w:b/>
          <w:bCs/>
          <w:color w:val="auto"/>
          <w:szCs w:val="28"/>
          <w:highlight w:val="none"/>
        </w:rPr>
      </w:pPr>
      <w:bookmarkStart w:id="1221" w:name="_Toc200034113"/>
      <w:bookmarkStart w:id="1222" w:name="_Toc200891367"/>
      <w:bookmarkStart w:id="1223" w:name="_Toc12001"/>
      <w:bookmarkStart w:id="1224" w:name="_Toc194095942"/>
      <w:bookmarkStart w:id="1225" w:name="_Toc149939211"/>
      <w:bookmarkStart w:id="1226" w:name="_Toc893"/>
      <w:bookmarkStart w:id="1227" w:name="_Toc176384100"/>
      <w:bookmarkStart w:id="1228" w:name="_Toc165235297"/>
      <w:r>
        <w:rPr>
          <w:rFonts w:hint="eastAsia" w:ascii="仿宋" w:hAnsi="仿宋" w:eastAsia="仿宋" w:cs="仿宋"/>
          <w:b/>
          <w:bCs/>
          <w:color w:val="auto"/>
          <w:szCs w:val="28"/>
          <w:highlight w:val="none"/>
        </w:rPr>
        <w:t>附件4：投标人委托代理人员信用承诺书</w:t>
      </w:r>
      <w:bookmarkEnd w:id="1221"/>
      <w:bookmarkEnd w:id="1222"/>
      <w:bookmarkEnd w:id="1223"/>
      <w:bookmarkEnd w:id="1224"/>
      <w:bookmarkEnd w:id="1225"/>
      <w:bookmarkEnd w:id="1226"/>
      <w:bookmarkEnd w:id="1227"/>
      <w:bookmarkEnd w:id="1228"/>
    </w:p>
    <w:p w14:paraId="7FEFEB23">
      <w:pPr>
        <w:widowControl/>
        <w:spacing w:line="540" w:lineRule="exact"/>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在</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项目招投标活动中，我个人郑重作出以下信用承诺：</w:t>
      </w:r>
    </w:p>
    <w:p w14:paraId="3ACCE4AC">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（一）能严格遵守法律法规、职业道德和行业规范，具有独立承担民事责任的能力；无法律法规规定禁止开展从业活动情形。我所递交的文件资料合法、真实、准确、完整、有效，无弄虚作假等情形。</w:t>
      </w:r>
    </w:p>
    <w:p w14:paraId="6F0A45C3">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7EB91748">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（三）自愿接受招投标监督部门和有关行政监督部门的依法检查。</w:t>
      </w:r>
    </w:p>
    <w:p w14:paraId="320597DE">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（四）同意将此信用承诺纳入陕西省公共信用信息平台和榆林市公共信用信息共享平台，并接受社会监督。</w:t>
      </w:r>
    </w:p>
    <w:p w14:paraId="08C9F291">
      <w:pPr>
        <w:widowControl/>
        <w:adjustRightInd w:val="0"/>
        <w:snapToGrid w:val="0"/>
        <w:spacing w:line="540" w:lineRule="exact"/>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1850ABFD">
      <w:pPr>
        <w:widowControl/>
        <w:spacing w:line="320" w:lineRule="exact"/>
        <w:ind w:firstLine="482"/>
        <w:jc w:val="left"/>
        <w:rPr>
          <w:rFonts w:hint="eastAsia" w:ascii="仿宋" w:hAnsi="仿宋" w:eastAsia="仿宋" w:cs="仿宋"/>
          <w:color w:val="auto"/>
          <w:kern w:val="0"/>
          <w:sz w:val="24"/>
          <w:highlight w:val="none"/>
        </w:rPr>
      </w:pPr>
    </w:p>
    <w:p w14:paraId="4E833D1E">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承诺有效期限：</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  —</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3317B741">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投标人：</w:t>
      </w:r>
      <w:r>
        <w:rPr>
          <w:rFonts w:hint="eastAsia" w:ascii="仿宋" w:hAnsi="仿宋" w:eastAsia="仿宋" w:cs="仿宋"/>
          <w:color w:val="auto"/>
          <w:kern w:val="0"/>
          <w:sz w:val="24"/>
          <w:highlight w:val="none"/>
          <w:u w:val="single"/>
        </w:rPr>
        <w:t xml:space="preserve">                                                        </w:t>
      </w:r>
    </w:p>
    <w:p w14:paraId="778CC1BC">
      <w:pPr>
        <w:widowControl/>
        <w:spacing w:line="300" w:lineRule="auto"/>
        <w:jc w:val="left"/>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承诺人</w:t>
      </w:r>
      <w:r>
        <w:rPr>
          <w:rFonts w:hint="eastAsia" w:ascii="仿宋" w:hAnsi="仿宋" w:eastAsia="仿宋" w:cs="仿宋"/>
          <w:color w:val="auto"/>
          <w:sz w:val="24"/>
          <w:highlight w:val="none"/>
        </w:rPr>
        <w:t>（签字或盖章）</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p>
    <w:p w14:paraId="04D482BA">
      <w:pPr>
        <w:widowControl/>
        <w:spacing w:line="300" w:lineRule="auto"/>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承诺时间：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年</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月</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日</w:t>
      </w:r>
    </w:p>
    <w:p w14:paraId="28B946C4">
      <w:pPr>
        <w:pStyle w:val="5"/>
        <w:ind w:firstLine="0" w:firstLineChars="0"/>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br w:type="page"/>
      </w:r>
      <w:bookmarkStart w:id="1229" w:name="_Toc200034114"/>
      <w:bookmarkStart w:id="1230" w:name="_Toc176384101"/>
      <w:bookmarkStart w:id="1231" w:name="_Toc20362"/>
      <w:bookmarkStart w:id="1232" w:name="_Toc17180"/>
      <w:bookmarkStart w:id="1233" w:name="_Toc200891368"/>
      <w:bookmarkStart w:id="1234" w:name="_Toc194095943"/>
      <w:r>
        <w:rPr>
          <w:rFonts w:hint="eastAsia" w:ascii="仿宋" w:hAnsi="仿宋" w:eastAsia="仿宋" w:cs="仿宋"/>
          <w:color w:val="auto"/>
          <w:sz w:val="28"/>
          <w:highlight w:val="none"/>
        </w:rPr>
        <w:t>提供在信用中国（陕西榆林）网址上申报的截图</w:t>
      </w:r>
      <w:bookmarkEnd w:id="1229"/>
      <w:bookmarkEnd w:id="1230"/>
      <w:bookmarkEnd w:id="1231"/>
      <w:bookmarkEnd w:id="1232"/>
      <w:bookmarkEnd w:id="1233"/>
      <w:bookmarkEnd w:id="1234"/>
    </w:p>
    <w:p w14:paraId="7D5EB7D8">
      <w:pPr>
        <w:rPr>
          <w:rFonts w:hint="eastAsia" w:ascii="仿宋" w:hAnsi="仿宋" w:eastAsia="仿宋" w:cs="仿宋"/>
          <w:color w:val="auto"/>
          <w:highlight w:val="none"/>
        </w:rPr>
      </w:pPr>
    </w:p>
    <w:p w14:paraId="73F43B5E">
      <w:pPr>
        <w:pStyle w:val="5"/>
        <w:ind w:firstLine="0" w:firstLineChars="0"/>
        <w:jc w:val="center"/>
        <w:rPr>
          <w:rFonts w:hint="eastAsia" w:ascii="仿宋" w:hAnsi="仿宋" w:eastAsia="仿宋" w:cs="仿宋"/>
          <w:color w:val="auto"/>
          <w:sz w:val="28"/>
          <w:highlight w:val="none"/>
        </w:rPr>
      </w:pPr>
      <w:r>
        <w:rPr>
          <w:rFonts w:hint="eastAsia" w:ascii="仿宋" w:hAnsi="仿宋" w:eastAsia="仿宋" w:cs="仿宋"/>
          <w:color w:val="auto"/>
          <w:sz w:val="32"/>
          <w:szCs w:val="32"/>
          <w:highlight w:val="none"/>
          <w:lang w:val="zh-CN"/>
        </w:rPr>
        <w:br w:type="page"/>
      </w:r>
      <w:bookmarkStart w:id="1235" w:name="_Toc176384102"/>
      <w:bookmarkStart w:id="1236" w:name="_Toc200891369"/>
      <w:bookmarkStart w:id="1237" w:name="_Toc200034115"/>
      <w:bookmarkStart w:id="1238" w:name="_Toc29448"/>
      <w:bookmarkStart w:id="1239" w:name="_Toc194095944"/>
      <w:bookmarkStart w:id="1240" w:name="_Toc16717"/>
      <w:r>
        <w:rPr>
          <w:rFonts w:hint="eastAsia" w:ascii="仿宋" w:hAnsi="仿宋" w:eastAsia="仿宋" w:cs="仿宋"/>
          <w:color w:val="auto"/>
          <w:sz w:val="28"/>
          <w:highlight w:val="none"/>
        </w:rPr>
        <w:t>关于信用承诺网上公示的通知及操作指南</w:t>
      </w:r>
      <w:bookmarkEnd w:id="1235"/>
      <w:bookmarkEnd w:id="1236"/>
      <w:bookmarkEnd w:id="1237"/>
      <w:bookmarkEnd w:id="1238"/>
      <w:bookmarkEnd w:id="1239"/>
      <w:bookmarkEnd w:id="1240"/>
    </w:p>
    <w:p w14:paraId="7C750493">
      <w:pPr>
        <w:pageBreakBefore w:val="0"/>
        <w:widowControl w:val="0"/>
        <w:kinsoku/>
        <w:wordWrap/>
        <w:overflowPunct/>
        <w:topLinePunct w:val="0"/>
        <w:bidi w:val="0"/>
        <w:snapToGrid/>
        <w:ind w:firstLine="0" w:firstLineChars="0"/>
        <w:jc w:val="center"/>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shd w:val="clear" w:color="auto" w:fill="FFFFFF"/>
          <w:lang w:val="zh-CN"/>
        </w:rPr>
        <w:drawing>
          <wp:inline distT="0" distB="0" distL="114300" distR="114300">
            <wp:extent cx="5579745" cy="7879715"/>
            <wp:effectExtent l="0" t="0" r="1905" b="6985"/>
            <wp:docPr id="3" name="图片 14" descr="“信用中国”信用承诺网上公示操作流程(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descr="“信用中国”信用承诺网上公示操作流程(1)_00"/>
                    <pic:cNvPicPr>
                      <a:picLocks noChangeAspect="1"/>
                    </pic:cNvPicPr>
                  </pic:nvPicPr>
                  <pic:blipFill>
                    <a:blip r:embed="rId11"/>
                    <a:stretch>
                      <a:fillRect/>
                    </a:stretch>
                  </pic:blipFill>
                  <pic:spPr>
                    <a:xfrm>
                      <a:off x="0" y="0"/>
                      <a:ext cx="5579745" cy="7879715"/>
                    </a:xfrm>
                    <a:prstGeom prst="rect">
                      <a:avLst/>
                    </a:prstGeom>
                    <a:noFill/>
                    <a:ln>
                      <a:noFill/>
                    </a:ln>
                  </pic:spPr>
                </pic:pic>
              </a:graphicData>
            </a:graphic>
          </wp:inline>
        </w:drawing>
      </w:r>
      <w:r>
        <w:rPr>
          <w:rFonts w:hint="eastAsia" w:ascii="仿宋" w:hAnsi="仿宋" w:eastAsia="仿宋" w:cs="仿宋"/>
          <w:color w:val="auto"/>
          <w:sz w:val="32"/>
          <w:szCs w:val="32"/>
          <w:highlight w:val="none"/>
          <w:shd w:val="clear" w:color="auto" w:fill="FFFFFF"/>
          <w:lang w:val="zh-CN"/>
        </w:rPr>
        <w:drawing>
          <wp:inline distT="0" distB="0" distL="114300" distR="114300">
            <wp:extent cx="5093970" cy="7193280"/>
            <wp:effectExtent l="0" t="0" r="11430" b="7620"/>
            <wp:docPr id="4" name="图片 15" descr="“信用中国”信用承诺网上公示操作流程(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信用中国”信用承诺网上公示操作流程(1)_01"/>
                    <pic:cNvPicPr>
                      <a:picLocks noChangeAspect="1"/>
                    </pic:cNvPicPr>
                  </pic:nvPicPr>
                  <pic:blipFill>
                    <a:blip r:embed="rId12"/>
                    <a:stretch>
                      <a:fillRect/>
                    </a:stretch>
                  </pic:blipFill>
                  <pic:spPr>
                    <a:xfrm>
                      <a:off x="0" y="0"/>
                      <a:ext cx="5093970" cy="719328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46370" cy="3051810"/>
            <wp:effectExtent l="0" t="0" r="11430" b="15240"/>
            <wp:docPr id="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6"/>
                    <pic:cNvPicPr>
                      <a:picLocks noChangeAspect="1"/>
                    </pic:cNvPicPr>
                  </pic:nvPicPr>
                  <pic:blipFill>
                    <a:blip r:embed="rId13"/>
                    <a:stretch>
                      <a:fillRect/>
                    </a:stretch>
                  </pic:blipFill>
                  <pic:spPr>
                    <a:xfrm>
                      <a:off x="0" y="0"/>
                      <a:ext cx="5246370" cy="305181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54625" cy="3742055"/>
            <wp:effectExtent l="0" t="0" r="3175" b="10795"/>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pic:cNvPicPr>
                  </pic:nvPicPr>
                  <pic:blipFill>
                    <a:blip r:embed="rId14"/>
                    <a:stretch>
                      <a:fillRect/>
                    </a:stretch>
                  </pic:blipFill>
                  <pic:spPr>
                    <a:xfrm>
                      <a:off x="0" y="0"/>
                      <a:ext cx="5254625" cy="374205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50180" cy="3810000"/>
            <wp:effectExtent l="0" t="0" r="7620" b="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pic:cNvPicPr>
                  </pic:nvPicPr>
                  <pic:blipFill>
                    <a:blip r:embed="rId15"/>
                    <a:stretch>
                      <a:fillRect/>
                    </a:stretch>
                  </pic:blipFill>
                  <pic:spPr>
                    <a:xfrm>
                      <a:off x="0" y="0"/>
                      <a:ext cx="5250180" cy="3810000"/>
                    </a:xfrm>
                    <a:prstGeom prst="rect">
                      <a:avLst/>
                    </a:prstGeom>
                    <a:noFill/>
                    <a:ln>
                      <a:noFill/>
                    </a:ln>
                  </pic:spPr>
                </pic:pic>
              </a:graphicData>
            </a:graphic>
          </wp:inline>
        </w:drawing>
      </w:r>
      <w:r>
        <w:rPr>
          <w:rFonts w:hint="eastAsia" w:ascii="仿宋" w:hAnsi="仿宋" w:eastAsia="仿宋" w:cs="仿宋"/>
          <w:color w:val="auto"/>
          <w:highlight w:val="none"/>
          <w:lang w:val="en-US" w:eastAsia="zh-CN"/>
        </w:rPr>
        <w:tab/>
      </w:r>
      <w:r>
        <w:rPr>
          <w:rFonts w:hint="eastAsia" w:ascii="仿宋" w:hAnsi="仿宋" w:eastAsia="仿宋" w:cs="仿宋"/>
          <w:color w:val="auto"/>
          <w:highlight w:val="none"/>
        </w:rPr>
        <w:drawing>
          <wp:inline distT="0" distB="0" distL="114300" distR="114300">
            <wp:extent cx="5107940" cy="4490085"/>
            <wp:effectExtent l="0" t="0" r="16510" b="5715"/>
            <wp:docPr id="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9"/>
                    <pic:cNvPicPr>
                      <a:picLocks noChangeAspect="1"/>
                    </pic:cNvPicPr>
                  </pic:nvPicPr>
                  <pic:blipFill>
                    <a:blip r:embed="rId16"/>
                    <a:stretch>
                      <a:fillRect/>
                    </a:stretch>
                  </pic:blipFill>
                  <pic:spPr>
                    <a:xfrm>
                      <a:off x="0" y="0"/>
                      <a:ext cx="5107940" cy="449008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2710" cy="2536825"/>
            <wp:effectExtent l="0" t="0" r="8890" b="15875"/>
            <wp:docPr id="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0"/>
                    <pic:cNvPicPr>
                      <a:picLocks noChangeAspect="1"/>
                    </pic:cNvPicPr>
                  </pic:nvPicPr>
                  <pic:blipFill>
                    <a:blip r:embed="rId17"/>
                    <a:stretch>
                      <a:fillRect/>
                    </a:stretch>
                  </pic:blipFill>
                  <pic:spPr>
                    <a:xfrm>
                      <a:off x="0" y="0"/>
                      <a:ext cx="5172710" cy="253682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2710" cy="2708275"/>
            <wp:effectExtent l="0" t="0" r="8890" b="15875"/>
            <wp:docPr id="1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1"/>
                    <pic:cNvPicPr>
                      <a:picLocks noChangeAspect="1"/>
                    </pic:cNvPicPr>
                  </pic:nvPicPr>
                  <pic:blipFill>
                    <a:blip r:embed="rId18"/>
                    <a:stretch>
                      <a:fillRect/>
                    </a:stretch>
                  </pic:blipFill>
                  <pic:spPr>
                    <a:xfrm>
                      <a:off x="0" y="0"/>
                      <a:ext cx="5172710" cy="270827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78425" cy="1738630"/>
            <wp:effectExtent l="0" t="0" r="3175" b="13970"/>
            <wp:docPr id="1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2"/>
                    <pic:cNvPicPr>
                      <a:picLocks noChangeAspect="1"/>
                    </pic:cNvPicPr>
                  </pic:nvPicPr>
                  <pic:blipFill>
                    <a:blip r:embed="rId19"/>
                    <a:srcRect t="16750" b="9335"/>
                    <a:stretch>
                      <a:fillRect/>
                    </a:stretch>
                  </pic:blipFill>
                  <pic:spPr>
                    <a:xfrm>
                      <a:off x="0" y="0"/>
                      <a:ext cx="5178425" cy="1738630"/>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185410" cy="2510155"/>
            <wp:effectExtent l="0" t="0" r="15240" b="4445"/>
            <wp:docPr id="1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3"/>
                    <pic:cNvPicPr>
                      <a:picLocks noChangeAspect="1"/>
                    </pic:cNvPicPr>
                  </pic:nvPicPr>
                  <pic:blipFill>
                    <a:blip r:embed="rId20"/>
                    <a:srcRect t="1682" b="3944"/>
                    <a:stretch>
                      <a:fillRect/>
                    </a:stretch>
                  </pic:blipFill>
                  <pic:spPr>
                    <a:xfrm>
                      <a:off x="0" y="0"/>
                      <a:ext cx="5185410" cy="2510155"/>
                    </a:xfrm>
                    <a:prstGeom prst="rect">
                      <a:avLst/>
                    </a:prstGeom>
                    <a:noFill/>
                    <a:ln>
                      <a:noFill/>
                    </a:ln>
                  </pic:spPr>
                </pic:pic>
              </a:graphicData>
            </a:graphic>
          </wp:inline>
        </w:drawing>
      </w:r>
      <w:r>
        <w:rPr>
          <w:rFonts w:hint="eastAsia" w:ascii="仿宋" w:hAnsi="仿宋" w:eastAsia="仿宋" w:cs="仿宋"/>
          <w:color w:val="auto"/>
          <w:highlight w:val="none"/>
        </w:rPr>
        <w:drawing>
          <wp:inline distT="0" distB="0" distL="114300" distR="114300">
            <wp:extent cx="5235575" cy="2604135"/>
            <wp:effectExtent l="0" t="0" r="3175" b="5715"/>
            <wp:docPr id="1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pic:cNvPicPr>
                      <a:picLocks noChangeAspect="1"/>
                    </pic:cNvPicPr>
                  </pic:nvPicPr>
                  <pic:blipFill>
                    <a:blip r:embed="rId21"/>
                    <a:srcRect t="10237" b="8508"/>
                    <a:stretch>
                      <a:fillRect/>
                    </a:stretch>
                  </pic:blipFill>
                  <pic:spPr>
                    <a:xfrm>
                      <a:off x="0" y="0"/>
                      <a:ext cx="5235575" cy="2604135"/>
                    </a:xfrm>
                    <a:prstGeom prst="rect">
                      <a:avLst/>
                    </a:prstGeom>
                    <a:noFill/>
                    <a:ln>
                      <a:noFill/>
                    </a:ln>
                  </pic:spPr>
                </pic:pic>
              </a:graphicData>
            </a:graphic>
          </wp:inline>
        </w:drawing>
      </w:r>
    </w:p>
    <w:p w14:paraId="04EED071">
      <w:pPr>
        <w:pageBreakBefore w:val="0"/>
        <w:widowControl w:val="0"/>
        <w:kinsoku/>
        <w:wordWrap/>
        <w:overflowPunct/>
        <w:topLinePunct w:val="0"/>
        <w:bidi w:val="0"/>
        <w:snapToGrid/>
        <w:ind w:firstLine="0" w:firstLineChars="0"/>
        <w:jc w:val="both"/>
        <w:textAlignment w:val="auto"/>
        <w:outlineLvl w:val="9"/>
        <w:rPr>
          <w:rFonts w:hint="eastAsia" w:ascii="仿宋" w:hAnsi="仿宋" w:eastAsia="仿宋" w:cs="仿宋"/>
          <w:color w:val="auto"/>
          <w:sz w:val="32"/>
          <w:szCs w:val="32"/>
          <w:highlight w:val="none"/>
        </w:rPr>
      </w:pPr>
    </w:p>
    <w:p w14:paraId="4A260BC4">
      <w:pPr>
        <w:pageBreakBefore w:val="0"/>
        <w:widowControl w:val="0"/>
        <w:kinsoku/>
        <w:wordWrap/>
        <w:overflowPunct/>
        <w:topLinePunct w:val="0"/>
        <w:bidi w:val="0"/>
        <w:snapToGrid/>
        <w:textAlignment w:val="auto"/>
        <w:outlineLvl w:val="9"/>
        <w:rPr>
          <w:rFonts w:hint="eastAsia" w:ascii="仿宋" w:hAnsi="仿宋" w:eastAsia="仿宋" w:cs="仿宋"/>
          <w:color w:val="auto"/>
          <w:sz w:val="32"/>
          <w:szCs w:val="32"/>
          <w:highlight w:val="none"/>
        </w:rPr>
      </w:pPr>
    </w:p>
    <w:sectPr>
      <w:footerReference r:id="rId7" w:type="default"/>
      <w:pgSz w:w="11907" w:h="16840"/>
      <w:pgMar w:top="1474" w:right="1814" w:bottom="1474" w:left="1814"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DA25B4B-D5F7-40DA-BCB9-4BCA90621EE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5787B3F8-20EC-4E86-835A-FBFE17AA6733}"/>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ourceHanSansCN-Regular">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3" w:fontKey="{6555A8E7-F47F-4180-9718-AE216739C443}"/>
  </w:font>
  <w:font w:name="楷体">
    <w:panose1 w:val="02010609060101010101"/>
    <w:charset w:val="86"/>
    <w:family w:val="auto"/>
    <w:pitch w:val="default"/>
    <w:sig w:usb0="800002BF" w:usb1="38CF7CFA" w:usb2="00000016" w:usb3="00000000" w:csb0="00040001" w:csb1="00000000"/>
    <w:embedRegular r:id="rId4" w:fontKey="{AC6AFC4E-FE95-4355-BB3B-2D50F27CDD2A}"/>
  </w:font>
  <w:font w:name="Wingdings 2">
    <w:panose1 w:val="05020102010507070707"/>
    <w:charset w:val="02"/>
    <w:family w:val="roman"/>
    <w:pitch w:val="default"/>
    <w:sig w:usb0="00000000" w:usb1="00000000" w:usb2="00000000" w:usb3="00000000" w:csb0="80000000" w:csb1="00000000"/>
    <w:embedRegular r:id="rId5" w:fontKey="{7668D890-F89B-4D77-9B75-112E00243E31}"/>
  </w:font>
  <w:font w:name="WPSEMBED1">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BDD52">
    <w:pPr>
      <w:pStyle w:val="20"/>
      <w:jc w:val="center"/>
    </w:pPr>
  </w:p>
  <w:p w14:paraId="22805425">
    <w:pPr>
      <w:pStyle w:val="20"/>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CC361">
    <w:pPr>
      <w:pStyle w:val="2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2B012">
    <w:pPr>
      <w:pStyle w:val="20"/>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E6555">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AEE6555">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2BE76">
    <w:pPr>
      <w:pStyle w:val="2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1127A">
                          <w:pPr>
                            <w:pStyle w:val="20"/>
                          </w:pPr>
                          <w:r>
                            <w:fldChar w:fldCharType="begin"/>
                          </w:r>
                          <w:r>
                            <w:instrText xml:space="preserve"> PAGE  \* MERGEFORMAT </w:instrText>
                          </w:r>
                          <w:r>
                            <w:fldChar w:fldCharType="separate"/>
                          </w:r>
                          <w:r>
                            <w:t>168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911127A">
                    <w:pPr>
                      <w:pStyle w:val="20"/>
                    </w:pPr>
                    <w:r>
                      <w:fldChar w:fldCharType="begin"/>
                    </w:r>
                    <w:r>
                      <w:instrText xml:space="preserve"> PAGE  \* MERGEFORMAT </w:instrText>
                    </w:r>
                    <w:r>
                      <w:fldChar w:fldCharType="separate"/>
                    </w:r>
                    <w:r>
                      <w:t>168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20C37">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0D4E4">
                          <w:pPr>
                            <w:pStyle w:val="20"/>
                          </w:pPr>
                          <w:r>
                            <w:fldChar w:fldCharType="begin"/>
                          </w:r>
                          <w:r>
                            <w:instrText xml:space="preserve"> PAGE  \* MERGEFORMAT </w:instrText>
                          </w:r>
                          <w:r>
                            <w:fldChar w:fldCharType="separate"/>
                          </w:r>
                          <w:r>
                            <w:t>184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F70D4E4">
                    <w:pPr>
                      <w:pStyle w:val="20"/>
                    </w:pPr>
                    <w:r>
                      <w:fldChar w:fldCharType="begin"/>
                    </w:r>
                    <w:r>
                      <w:instrText xml:space="preserve"> PAGE  \* MERGEFORMAT </w:instrText>
                    </w:r>
                    <w:r>
                      <w:fldChar w:fldCharType="separate"/>
                    </w:r>
                    <w:r>
                      <w:t>184</w:t>
                    </w:r>
                    <w:r>
                      <w:fldChar w:fldCharType="end"/>
                    </w:r>
                  </w:p>
                </w:txbxContent>
              </v:textbox>
            </v:shape>
          </w:pict>
        </mc:Fallback>
      </mc:AlternateContent>
    </w:r>
  </w:p>
  <w:p w14:paraId="66CF54AB">
    <w:pPr>
      <w:pStyle w:val="20"/>
      <w:ind w:right="360"/>
      <w:jc w:val="right"/>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3B1D6F"/>
    <w:multiLevelType w:val="singleLevel"/>
    <w:tmpl w:val="CD3B1D6F"/>
    <w:lvl w:ilvl="0" w:tentative="0">
      <w:start w:val="9"/>
      <w:numFmt w:val="chineseCounting"/>
      <w:suff w:val="nothing"/>
      <w:lvlText w:val="%1、"/>
      <w:lvlJc w:val="left"/>
      <w:rPr>
        <w:rFonts w:hint="eastAsia"/>
      </w:rPr>
    </w:lvl>
  </w:abstractNum>
  <w:abstractNum w:abstractNumId="1">
    <w:nsid w:val="0862126D"/>
    <w:multiLevelType w:val="singleLevel"/>
    <w:tmpl w:val="0862126D"/>
    <w:lvl w:ilvl="0" w:tentative="0">
      <w:start w:val="2"/>
      <w:numFmt w:val="decimal"/>
      <w:suff w:val="nothing"/>
      <w:lvlText w:val="%1、"/>
      <w:lvlJc w:val="left"/>
    </w:lvl>
  </w:abstractNum>
  <w:abstractNum w:abstractNumId="2">
    <w:nsid w:val="0FF9642E"/>
    <w:multiLevelType w:val="multilevel"/>
    <w:tmpl w:val="0FF9642E"/>
    <w:lvl w:ilvl="0" w:tentative="0">
      <w:start w:val="1"/>
      <w:numFmt w:val="decimal"/>
      <w:pStyle w:val="75"/>
      <w:lvlText w:val="第%1章"/>
      <w:lvlJc w:val="left"/>
      <w:pPr>
        <w:tabs>
          <w:tab w:val="left" w:pos="4834"/>
        </w:tabs>
        <w:ind w:left="4834" w:hanging="1290"/>
      </w:pPr>
      <w:rPr>
        <w:rFonts w:hint="default"/>
        <w:b/>
        <w:lang w:val="en-US"/>
      </w:rPr>
    </w:lvl>
    <w:lvl w:ilvl="1" w:tentative="0">
      <w:start w:val="1"/>
      <w:numFmt w:val="lowerLetter"/>
      <w:lvlText w:val="%2)"/>
      <w:lvlJc w:val="left"/>
      <w:pPr>
        <w:tabs>
          <w:tab w:val="left" w:pos="1380"/>
        </w:tabs>
        <w:ind w:left="1380" w:hanging="420"/>
      </w:pPr>
      <w:rPr>
        <w:rFonts w:hint="eastAsia"/>
      </w:rPr>
    </w:lvl>
    <w:lvl w:ilvl="2" w:tentative="0">
      <w:start w:val="1"/>
      <w:numFmt w:val="lowerRoman"/>
      <w:lvlText w:val="%3."/>
      <w:lvlJc w:val="right"/>
      <w:pPr>
        <w:tabs>
          <w:tab w:val="left" w:pos="1800"/>
        </w:tabs>
        <w:ind w:left="1800" w:hanging="420"/>
      </w:pPr>
      <w:rPr>
        <w:rFonts w:hint="eastAsia"/>
      </w:rPr>
    </w:lvl>
    <w:lvl w:ilvl="3" w:tentative="0">
      <w:start w:val="1"/>
      <w:numFmt w:val="decimal"/>
      <w:lvlText w:val="%4."/>
      <w:lvlJc w:val="left"/>
      <w:pPr>
        <w:tabs>
          <w:tab w:val="left" w:pos="2220"/>
        </w:tabs>
        <w:ind w:left="2220" w:hanging="420"/>
      </w:pPr>
      <w:rPr>
        <w:rFonts w:hint="eastAsia"/>
      </w:rPr>
    </w:lvl>
    <w:lvl w:ilvl="4" w:tentative="0">
      <w:start w:val="1"/>
      <w:numFmt w:val="lowerLetter"/>
      <w:lvlText w:val="%5)"/>
      <w:lvlJc w:val="left"/>
      <w:pPr>
        <w:tabs>
          <w:tab w:val="left" w:pos="2640"/>
        </w:tabs>
        <w:ind w:left="2640" w:hanging="420"/>
      </w:pPr>
      <w:rPr>
        <w:rFonts w:hint="eastAsia"/>
      </w:rPr>
    </w:lvl>
    <w:lvl w:ilvl="5" w:tentative="0">
      <w:start w:val="1"/>
      <w:numFmt w:val="lowerRoman"/>
      <w:lvlText w:val="%6."/>
      <w:lvlJc w:val="right"/>
      <w:pPr>
        <w:tabs>
          <w:tab w:val="left" w:pos="3060"/>
        </w:tabs>
        <w:ind w:left="3060" w:hanging="420"/>
      </w:pPr>
      <w:rPr>
        <w:rFonts w:hint="eastAsia"/>
      </w:rPr>
    </w:lvl>
    <w:lvl w:ilvl="6" w:tentative="0">
      <w:start w:val="1"/>
      <w:numFmt w:val="decimal"/>
      <w:lvlText w:val="%7."/>
      <w:lvlJc w:val="left"/>
      <w:pPr>
        <w:tabs>
          <w:tab w:val="left" w:pos="3480"/>
        </w:tabs>
        <w:ind w:left="3480" w:hanging="420"/>
      </w:pPr>
      <w:rPr>
        <w:rFonts w:hint="eastAsia"/>
      </w:rPr>
    </w:lvl>
    <w:lvl w:ilvl="7" w:tentative="0">
      <w:start w:val="1"/>
      <w:numFmt w:val="lowerLetter"/>
      <w:lvlText w:val="%8)"/>
      <w:lvlJc w:val="left"/>
      <w:pPr>
        <w:tabs>
          <w:tab w:val="left" w:pos="3900"/>
        </w:tabs>
        <w:ind w:left="3900" w:hanging="420"/>
      </w:pPr>
      <w:rPr>
        <w:rFonts w:hint="eastAsia"/>
      </w:rPr>
    </w:lvl>
    <w:lvl w:ilvl="8" w:tentative="0">
      <w:start w:val="1"/>
      <w:numFmt w:val="lowerRoman"/>
      <w:lvlText w:val="%9."/>
      <w:lvlJc w:val="right"/>
      <w:pPr>
        <w:tabs>
          <w:tab w:val="left" w:pos="4320"/>
        </w:tabs>
        <w:ind w:left="4320" w:hanging="420"/>
      </w:pPr>
      <w:rPr>
        <w:rFonts w:hint="eastAsia"/>
      </w:rPr>
    </w:lvl>
  </w:abstractNum>
  <w:abstractNum w:abstractNumId="3">
    <w:nsid w:val="155E6A8F"/>
    <w:multiLevelType w:val="multilevel"/>
    <w:tmpl w:val="155E6A8F"/>
    <w:lvl w:ilvl="0" w:tentative="0">
      <w:start w:val="1"/>
      <w:numFmt w:val="decimal"/>
      <w:lvlText w:val="（%1）"/>
      <w:lvlJc w:val="left"/>
      <w:pPr>
        <w:tabs>
          <w:tab w:val="left" w:pos="1571"/>
        </w:tabs>
        <w:ind w:left="1571" w:hanging="720"/>
      </w:pPr>
      <w:rPr>
        <w:rFonts w:ascii="仿宋_GB2312" w:hAnsi="宋体" w:eastAsia="仿宋_GB2312" w:cs="Times New Roman"/>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4">
    <w:nsid w:val="1EFE382B"/>
    <w:multiLevelType w:val="multilevel"/>
    <w:tmpl w:val="1EFE382B"/>
    <w:lvl w:ilvl="0" w:tentative="0">
      <w:start w:val="1"/>
      <w:numFmt w:val="chineseCountingThousand"/>
      <w:lvlText w:val="%1、"/>
      <w:lvlJc w:val="left"/>
      <w:pPr>
        <w:tabs>
          <w:tab w:val="left" w:pos="720"/>
        </w:tabs>
        <w:ind w:left="720" w:hanging="720"/>
      </w:pPr>
      <w:rPr>
        <w:rFonts w:hint="default"/>
        <w:b/>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E66FC14"/>
    <w:multiLevelType w:val="singleLevel"/>
    <w:tmpl w:val="2E66FC14"/>
    <w:lvl w:ilvl="0" w:tentative="0">
      <w:start w:val="7"/>
      <w:numFmt w:val="decimal"/>
      <w:suff w:val="nothing"/>
      <w:lvlText w:val="%1）"/>
      <w:lvlJc w:val="left"/>
    </w:lvl>
  </w:abstractNum>
  <w:abstractNum w:abstractNumId="6">
    <w:nsid w:val="3C1B0649"/>
    <w:multiLevelType w:val="multilevel"/>
    <w:tmpl w:val="3C1B0649"/>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74681D32"/>
    <w:multiLevelType w:val="multilevel"/>
    <w:tmpl w:val="74681D32"/>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2"/>
  </w:num>
  <w:num w:numId="2">
    <w:abstractNumId w:val="3"/>
  </w:num>
  <w:num w:numId="3">
    <w:abstractNumId w:val="6"/>
  </w:num>
  <w:num w:numId="4">
    <w:abstractNumId w:val="0"/>
  </w:num>
  <w:num w:numId="5">
    <w:abstractNumId w:val="4"/>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2MxYzJjZWFiODM2ZTc1NTkyN2VkM2EzMWU0YTlkY2MifQ=="/>
    <w:docVar w:name="VTCASE" w:val="4"/>
    <w:docVar w:name="VTCommandPending" w:val="NONE"/>
  </w:docVars>
  <w:rsids>
    <w:rsidRoot w:val="00887D93"/>
    <w:rsid w:val="000003F8"/>
    <w:rsid w:val="000004CD"/>
    <w:rsid w:val="00000B88"/>
    <w:rsid w:val="00001783"/>
    <w:rsid w:val="00001797"/>
    <w:rsid w:val="000018E2"/>
    <w:rsid w:val="0000273B"/>
    <w:rsid w:val="000041A8"/>
    <w:rsid w:val="000055D7"/>
    <w:rsid w:val="00006413"/>
    <w:rsid w:val="000078F7"/>
    <w:rsid w:val="00014763"/>
    <w:rsid w:val="00014892"/>
    <w:rsid w:val="0001529F"/>
    <w:rsid w:val="000157E2"/>
    <w:rsid w:val="0001668B"/>
    <w:rsid w:val="0001697A"/>
    <w:rsid w:val="000169E1"/>
    <w:rsid w:val="00020D78"/>
    <w:rsid w:val="00021486"/>
    <w:rsid w:val="00021AE8"/>
    <w:rsid w:val="00021CB0"/>
    <w:rsid w:val="00021ED8"/>
    <w:rsid w:val="00022E94"/>
    <w:rsid w:val="0003033F"/>
    <w:rsid w:val="00030B4B"/>
    <w:rsid w:val="00030FAA"/>
    <w:rsid w:val="000313B5"/>
    <w:rsid w:val="000315C4"/>
    <w:rsid w:val="00032B95"/>
    <w:rsid w:val="000333A8"/>
    <w:rsid w:val="0003349B"/>
    <w:rsid w:val="000422D6"/>
    <w:rsid w:val="000434F9"/>
    <w:rsid w:val="00043533"/>
    <w:rsid w:val="00045D67"/>
    <w:rsid w:val="0004677C"/>
    <w:rsid w:val="00047F5E"/>
    <w:rsid w:val="000538CC"/>
    <w:rsid w:val="000541C7"/>
    <w:rsid w:val="00054A8E"/>
    <w:rsid w:val="00055A71"/>
    <w:rsid w:val="00056583"/>
    <w:rsid w:val="00056932"/>
    <w:rsid w:val="00057BB2"/>
    <w:rsid w:val="0006019D"/>
    <w:rsid w:val="000608CE"/>
    <w:rsid w:val="000612B3"/>
    <w:rsid w:val="000619FE"/>
    <w:rsid w:val="00061B68"/>
    <w:rsid w:val="0006254B"/>
    <w:rsid w:val="00062F6D"/>
    <w:rsid w:val="000634E0"/>
    <w:rsid w:val="00063504"/>
    <w:rsid w:val="00063750"/>
    <w:rsid w:val="00063848"/>
    <w:rsid w:val="00064D90"/>
    <w:rsid w:val="00065379"/>
    <w:rsid w:val="000673C5"/>
    <w:rsid w:val="00070907"/>
    <w:rsid w:val="000710A4"/>
    <w:rsid w:val="000719AB"/>
    <w:rsid w:val="00071A8D"/>
    <w:rsid w:val="000731AC"/>
    <w:rsid w:val="00073668"/>
    <w:rsid w:val="00073852"/>
    <w:rsid w:val="0007437C"/>
    <w:rsid w:val="00076670"/>
    <w:rsid w:val="00080A9E"/>
    <w:rsid w:val="00080B56"/>
    <w:rsid w:val="00080FC7"/>
    <w:rsid w:val="00081B91"/>
    <w:rsid w:val="00081D11"/>
    <w:rsid w:val="00083115"/>
    <w:rsid w:val="00087D90"/>
    <w:rsid w:val="00091306"/>
    <w:rsid w:val="00092DF6"/>
    <w:rsid w:val="00093269"/>
    <w:rsid w:val="00093645"/>
    <w:rsid w:val="0009376D"/>
    <w:rsid w:val="000938B0"/>
    <w:rsid w:val="00094850"/>
    <w:rsid w:val="00094D7A"/>
    <w:rsid w:val="00096150"/>
    <w:rsid w:val="00096ABA"/>
    <w:rsid w:val="00096F54"/>
    <w:rsid w:val="000A31C4"/>
    <w:rsid w:val="000A3727"/>
    <w:rsid w:val="000A378F"/>
    <w:rsid w:val="000A49C1"/>
    <w:rsid w:val="000A799B"/>
    <w:rsid w:val="000B097D"/>
    <w:rsid w:val="000B0FD5"/>
    <w:rsid w:val="000B1F67"/>
    <w:rsid w:val="000B3242"/>
    <w:rsid w:val="000B3392"/>
    <w:rsid w:val="000B362F"/>
    <w:rsid w:val="000B366A"/>
    <w:rsid w:val="000B3958"/>
    <w:rsid w:val="000B4D5A"/>
    <w:rsid w:val="000B54A2"/>
    <w:rsid w:val="000B6C50"/>
    <w:rsid w:val="000B7166"/>
    <w:rsid w:val="000B7F8A"/>
    <w:rsid w:val="000C0FDF"/>
    <w:rsid w:val="000C15AF"/>
    <w:rsid w:val="000C3524"/>
    <w:rsid w:val="000C3A1F"/>
    <w:rsid w:val="000C5071"/>
    <w:rsid w:val="000C55ED"/>
    <w:rsid w:val="000C6555"/>
    <w:rsid w:val="000C6B1E"/>
    <w:rsid w:val="000C6F86"/>
    <w:rsid w:val="000C78AE"/>
    <w:rsid w:val="000D10E4"/>
    <w:rsid w:val="000D1613"/>
    <w:rsid w:val="000D19C1"/>
    <w:rsid w:val="000D1D95"/>
    <w:rsid w:val="000D4821"/>
    <w:rsid w:val="000D498D"/>
    <w:rsid w:val="000D4E69"/>
    <w:rsid w:val="000D5125"/>
    <w:rsid w:val="000D51DB"/>
    <w:rsid w:val="000D5894"/>
    <w:rsid w:val="000D751E"/>
    <w:rsid w:val="000D7812"/>
    <w:rsid w:val="000E1288"/>
    <w:rsid w:val="000E3784"/>
    <w:rsid w:val="000E37E0"/>
    <w:rsid w:val="000E47A0"/>
    <w:rsid w:val="000E56F6"/>
    <w:rsid w:val="000E597F"/>
    <w:rsid w:val="000E5BFC"/>
    <w:rsid w:val="000E6242"/>
    <w:rsid w:val="000E67B9"/>
    <w:rsid w:val="000E694F"/>
    <w:rsid w:val="000E7158"/>
    <w:rsid w:val="000E74D4"/>
    <w:rsid w:val="000F2D05"/>
    <w:rsid w:val="000F2EEE"/>
    <w:rsid w:val="000F349B"/>
    <w:rsid w:val="000F3ED4"/>
    <w:rsid w:val="000F4234"/>
    <w:rsid w:val="000F5B22"/>
    <w:rsid w:val="000F6215"/>
    <w:rsid w:val="000F63C8"/>
    <w:rsid w:val="000F6581"/>
    <w:rsid w:val="00102417"/>
    <w:rsid w:val="001032CC"/>
    <w:rsid w:val="00105B0B"/>
    <w:rsid w:val="00106A8B"/>
    <w:rsid w:val="0011024E"/>
    <w:rsid w:val="0011113E"/>
    <w:rsid w:val="00111480"/>
    <w:rsid w:val="00112163"/>
    <w:rsid w:val="00114579"/>
    <w:rsid w:val="0011463E"/>
    <w:rsid w:val="00114CA2"/>
    <w:rsid w:val="00115BF1"/>
    <w:rsid w:val="00116280"/>
    <w:rsid w:val="00120292"/>
    <w:rsid w:val="0012032C"/>
    <w:rsid w:val="0012244B"/>
    <w:rsid w:val="001224B5"/>
    <w:rsid w:val="00122643"/>
    <w:rsid w:val="00122E9B"/>
    <w:rsid w:val="0012425B"/>
    <w:rsid w:val="001244F8"/>
    <w:rsid w:val="001247F0"/>
    <w:rsid w:val="001252D8"/>
    <w:rsid w:val="001257D4"/>
    <w:rsid w:val="001313C6"/>
    <w:rsid w:val="00131E0D"/>
    <w:rsid w:val="0013359E"/>
    <w:rsid w:val="00137694"/>
    <w:rsid w:val="0014049E"/>
    <w:rsid w:val="00141EAC"/>
    <w:rsid w:val="00141EC4"/>
    <w:rsid w:val="00142833"/>
    <w:rsid w:val="00143652"/>
    <w:rsid w:val="00143CDB"/>
    <w:rsid w:val="0014470E"/>
    <w:rsid w:val="0014488E"/>
    <w:rsid w:val="0014627C"/>
    <w:rsid w:val="00146D60"/>
    <w:rsid w:val="00146E10"/>
    <w:rsid w:val="00147659"/>
    <w:rsid w:val="00150E43"/>
    <w:rsid w:val="0015142E"/>
    <w:rsid w:val="001532F0"/>
    <w:rsid w:val="00154FB3"/>
    <w:rsid w:val="001550F4"/>
    <w:rsid w:val="00155D60"/>
    <w:rsid w:val="00156F33"/>
    <w:rsid w:val="00157612"/>
    <w:rsid w:val="00157C74"/>
    <w:rsid w:val="00157D8E"/>
    <w:rsid w:val="00161678"/>
    <w:rsid w:val="00161D71"/>
    <w:rsid w:val="00162805"/>
    <w:rsid w:val="00164959"/>
    <w:rsid w:val="00165014"/>
    <w:rsid w:val="0017180F"/>
    <w:rsid w:val="00172939"/>
    <w:rsid w:val="00172F97"/>
    <w:rsid w:val="001733C3"/>
    <w:rsid w:val="00173BFF"/>
    <w:rsid w:val="00173D06"/>
    <w:rsid w:val="00173DC3"/>
    <w:rsid w:val="00174749"/>
    <w:rsid w:val="00174764"/>
    <w:rsid w:val="00174FCA"/>
    <w:rsid w:val="001758A8"/>
    <w:rsid w:val="00175AFB"/>
    <w:rsid w:val="00176F12"/>
    <w:rsid w:val="001770BE"/>
    <w:rsid w:val="00177A3E"/>
    <w:rsid w:val="001839F8"/>
    <w:rsid w:val="00183E4B"/>
    <w:rsid w:val="00185E58"/>
    <w:rsid w:val="001871F8"/>
    <w:rsid w:val="00187B13"/>
    <w:rsid w:val="00187EB4"/>
    <w:rsid w:val="00191A05"/>
    <w:rsid w:val="0019282C"/>
    <w:rsid w:val="001952EC"/>
    <w:rsid w:val="00195570"/>
    <w:rsid w:val="0019618B"/>
    <w:rsid w:val="001963DD"/>
    <w:rsid w:val="00196FA0"/>
    <w:rsid w:val="001A282B"/>
    <w:rsid w:val="001A2968"/>
    <w:rsid w:val="001A3B44"/>
    <w:rsid w:val="001A3BEB"/>
    <w:rsid w:val="001A5B0B"/>
    <w:rsid w:val="001A5EEB"/>
    <w:rsid w:val="001A62A5"/>
    <w:rsid w:val="001A6980"/>
    <w:rsid w:val="001A7068"/>
    <w:rsid w:val="001B05CA"/>
    <w:rsid w:val="001B3B4C"/>
    <w:rsid w:val="001B4216"/>
    <w:rsid w:val="001B49A4"/>
    <w:rsid w:val="001B521B"/>
    <w:rsid w:val="001B5C9A"/>
    <w:rsid w:val="001B5CC8"/>
    <w:rsid w:val="001B6587"/>
    <w:rsid w:val="001C0582"/>
    <w:rsid w:val="001C058D"/>
    <w:rsid w:val="001C4E93"/>
    <w:rsid w:val="001C54C3"/>
    <w:rsid w:val="001C577E"/>
    <w:rsid w:val="001D027D"/>
    <w:rsid w:val="001D0412"/>
    <w:rsid w:val="001D4A1E"/>
    <w:rsid w:val="001D6C02"/>
    <w:rsid w:val="001D70E9"/>
    <w:rsid w:val="001E181E"/>
    <w:rsid w:val="001E1DCD"/>
    <w:rsid w:val="001E25CB"/>
    <w:rsid w:val="001E4481"/>
    <w:rsid w:val="001E44EF"/>
    <w:rsid w:val="001E5225"/>
    <w:rsid w:val="001E5AD9"/>
    <w:rsid w:val="001E62FA"/>
    <w:rsid w:val="001E674E"/>
    <w:rsid w:val="001E6C1A"/>
    <w:rsid w:val="001E7629"/>
    <w:rsid w:val="001E7846"/>
    <w:rsid w:val="001E7E8B"/>
    <w:rsid w:val="001F02D8"/>
    <w:rsid w:val="001F20DA"/>
    <w:rsid w:val="001F2F0B"/>
    <w:rsid w:val="001F3130"/>
    <w:rsid w:val="001F325D"/>
    <w:rsid w:val="001F3E0A"/>
    <w:rsid w:val="001F5620"/>
    <w:rsid w:val="001F5903"/>
    <w:rsid w:val="001F624A"/>
    <w:rsid w:val="001F7292"/>
    <w:rsid w:val="001F7B07"/>
    <w:rsid w:val="002001DC"/>
    <w:rsid w:val="002032B0"/>
    <w:rsid w:val="00203618"/>
    <w:rsid w:val="00203778"/>
    <w:rsid w:val="0020407A"/>
    <w:rsid w:val="00206B42"/>
    <w:rsid w:val="00207B86"/>
    <w:rsid w:val="00210AE7"/>
    <w:rsid w:val="002123C7"/>
    <w:rsid w:val="002124BD"/>
    <w:rsid w:val="00213411"/>
    <w:rsid w:val="00214C91"/>
    <w:rsid w:val="0021518F"/>
    <w:rsid w:val="00215B2E"/>
    <w:rsid w:val="00216D4F"/>
    <w:rsid w:val="00216E43"/>
    <w:rsid w:val="00220866"/>
    <w:rsid w:val="00220E32"/>
    <w:rsid w:val="00220F85"/>
    <w:rsid w:val="00221DE5"/>
    <w:rsid w:val="00221E50"/>
    <w:rsid w:val="002231A4"/>
    <w:rsid w:val="00223245"/>
    <w:rsid w:val="00224447"/>
    <w:rsid w:val="00224A77"/>
    <w:rsid w:val="0022671D"/>
    <w:rsid w:val="0022758C"/>
    <w:rsid w:val="0023090E"/>
    <w:rsid w:val="00231C64"/>
    <w:rsid w:val="00232C22"/>
    <w:rsid w:val="0023318A"/>
    <w:rsid w:val="00233ADF"/>
    <w:rsid w:val="00236A9B"/>
    <w:rsid w:val="0023715B"/>
    <w:rsid w:val="00237592"/>
    <w:rsid w:val="002402C0"/>
    <w:rsid w:val="0024141B"/>
    <w:rsid w:val="00242361"/>
    <w:rsid w:val="00244A0E"/>
    <w:rsid w:val="00244F73"/>
    <w:rsid w:val="00245783"/>
    <w:rsid w:val="00247E67"/>
    <w:rsid w:val="002501BB"/>
    <w:rsid w:val="002509CA"/>
    <w:rsid w:val="00250C1D"/>
    <w:rsid w:val="00251A29"/>
    <w:rsid w:val="00251B89"/>
    <w:rsid w:val="00252AAF"/>
    <w:rsid w:val="00253615"/>
    <w:rsid w:val="00253950"/>
    <w:rsid w:val="00254F7E"/>
    <w:rsid w:val="0025569E"/>
    <w:rsid w:val="002564FE"/>
    <w:rsid w:val="002603EB"/>
    <w:rsid w:val="00261FEB"/>
    <w:rsid w:val="00262A4F"/>
    <w:rsid w:val="00264327"/>
    <w:rsid w:val="002650F1"/>
    <w:rsid w:val="00266403"/>
    <w:rsid w:val="00266406"/>
    <w:rsid w:val="002679CA"/>
    <w:rsid w:val="00270373"/>
    <w:rsid w:val="00272722"/>
    <w:rsid w:val="002745E7"/>
    <w:rsid w:val="00275D57"/>
    <w:rsid w:val="002760AC"/>
    <w:rsid w:val="00276A3B"/>
    <w:rsid w:val="00277935"/>
    <w:rsid w:val="00277E8E"/>
    <w:rsid w:val="002804D8"/>
    <w:rsid w:val="00280DD6"/>
    <w:rsid w:val="002810E7"/>
    <w:rsid w:val="002822AE"/>
    <w:rsid w:val="00282496"/>
    <w:rsid w:val="00283033"/>
    <w:rsid w:val="002854DC"/>
    <w:rsid w:val="002859A3"/>
    <w:rsid w:val="0028616B"/>
    <w:rsid w:val="00290CDE"/>
    <w:rsid w:val="00290DE2"/>
    <w:rsid w:val="00291E87"/>
    <w:rsid w:val="00294129"/>
    <w:rsid w:val="002941B7"/>
    <w:rsid w:val="002959CC"/>
    <w:rsid w:val="002968A8"/>
    <w:rsid w:val="00297ED3"/>
    <w:rsid w:val="002A0AA2"/>
    <w:rsid w:val="002A0C27"/>
    <w:rsid w:val="002A1414"/>
    <w:rsid w:val="002A2315"/>
    <w:rsid w:val="002A2732"/>
    <w:rsid w:val="002A2D72"/>
    <w:rsid w:val="002A3153"/>
    <w:rsid w:val="002A6C9C"/>
    <w:rsid w:val="002A7A68"/>
    <w:rsid w:val="002B36A1"/>
    <w:rsid w:val="002B64E4"/>
    <w:rsid w:val="002C05B8"/>
    <w:rsid w:val="002C0F6F"/>
    <w:rsid w:val="002C10AC"/>
    <w:rsid w:val="002C1F27"/>
    <w:rsid w:val="002C2AE8"/>
    <w:rsid w:val="002C2FF3"/>
    <w:rsid w:val="002C3A5A"/>
    <w:rsid w:val="002C4227"/>
    <w:rsid w:val="002C4ABE"/>
    <w:rsid w:val="002C71EC"/>
    <w:rsid w:val="002C7548"/>
    <w:rsid w:val="002C780B"/>
    <w:rsid w:val="002C7E47"/>
    <w:rsid w:val="002D1BA1"/>
    <w:rsid w:val="002D2C13"/>
    <w:rsid w:val="002D2FFB"/>
    <w:rsid w:val="002D4E0A"/>
    <w:rsid w:val="002D4E16"/>
    <w:rsid w:val="002D4F0F"/>
    <w:rsid w:val="002D4FA3"/>
    <w:rsid w:val="002D505C"/>
    <w:rsid w:val="002D5DF8"/>
    <w:rsid w:val="002D7759"/>
    <w:rsid w:val="002E127E"/>
    <w:rsid w:val="002E334D"/>
    <w:rsid w:val="002E486A"/>
    <w:rsid w:val="002E53C0"/>
    <w:rsid w:val="002E7166"/>
    <w:rsid w:val="002E766C"/>
    <w:rsid w:val="002E7A9E"/>
    <w:rsid w:val="002F02C8"/>
    <w:rsid w:val="002F0A07"/>
    <w:rsid w:val="002F2D5F"/>
    <w:rsid w:val="002F3072"/>
    <w:rsid w:val="002F3AF8"/>
    <w:rsid w:val="002F46DC"/>
    <w:rsid w:val="002F5145"/>
    <w:rsid w:val="002F5CB9"/>
    <w:rsid w:val="002F659B"/>
    <w:rsid w:val="002F683C"/>
    <w:rsid w:val="00305764"/>
    <w:rsid w:val="00310C52"/>
    <w:rsid w:val="0031140B"/>
    <w:rsid w:val="00312F1A"/>
    <w:rsid w:val="00314E3D"/>
    <w:rsid w:val="00317120"/>
    <w:rsid w:val="003171BB"/>
    <w:rsid w:val="0032100C"/>
    <w:rsid w:val="003212C2"/>
    <w:rsid w:val="0032144E"/>
    <w:rsid w:val="00321921"/>
    <w:rsid w:val="00321926"/>
    <w:rsid w:val="00322C1C"/>
    <w:rsid w:val="00322E43"/>
    <w:rsid w:val="003238BD"/>
    <w:rsid w:val="00327707"/>
    <w:rsid w:val="00330334"/>
    <w:rsid w:val="0033060D"/>
    <w:rsid w:val="003318F3"/>
    <w:rsid w:val="00331A7D"/>
    <w:rsid w:val="00331ECA"/>
    <w:rsid w:val="00333153"/>
    <w:rsid w:val="00333919"/>
    <w:rsid w:val="00333D91"/>
    <w:rsid w:val="00334F3E"/>
    <w:rsid w:val="003379AF"/>
    <w:rsid w:val="00337C5C"/>
    <w:rsid w:val="00343E4C"/>
    <w:rsid w:val="003466C4"/>
    <w:rsid w:val="0034779B"/>
    <w:rsid w:val="003478FB"/>
    <w:rsid w:val="00351550"/>
    <w:rsid w:val="00351ABD"/>
    <w:rsid w:val="00352BC8"/>
    <w:rsid w:val="00355D82"/>
    <w:rsid w:val="00356CAF"/>
    <w:rsid w:val="0035739A"/>
    <w:rsid w:val="0036041B"/>
    <w:rsid w:val="00361177"/>
    <w:rsid w:val="003612A6"/>
    <w:rsid w:val="00363EC8"/>
    <w:rsid w:val="0036400E"/>
    <w:rsid w:val="00364B1F"/>
    <w:rsid w:val="003671F3"/>
    <w:rsid w:val="00367712"/>
    <w:rsid w:val="00367C88"/>
    <w:rsid w:val="00367DB2"/>
    <w:rsid w:val="00370155"/>
    <w:rsid w:val="00370B19"/>
    <w:rsid w:val="00371139"/>
    <w:rsid w:val="00371C8C"/>
    <w:rsid w:val="00372779"/>
    <w:rsid w:val="00373408"/>
    <w:rsid w:val="003748EB"/>
    <w:rsid w:val="00375DCD"/>
    <w:rsid w:val="00376F36"/>
    <w:rsid w:val="003800A6"/>
    <w:rsid w:val="0038151E"/>
    <w:rsid w:val="00382FFA"/>
    <w:rsid w:val="003839DF"/>
    <w:rsid w:val="00383B0A"/>
    <w:rsid w:val="0038491D"/>
    <w:rsid w:val="00385E7A"/>
    <w:rsid w:val="00386A20"/>
    <w:rsid w:val="00387606"/>
    <w:rsid w:val="00387983"/>
    <w:rsid w:val="0039056C"/>
    <w:rsid w:val="00391DD2"/>
    <w:rsid w:val="003925E1"/>
    <w:rsid w:val="00393D74"/>
    <w:rsid w:val="003943A7"/>
    <w:rsid w:val="00396A66"/>
    <w:rsid w:val="003A0D00"/>
    <w:rsid w:val="003A0E06"/>
    <w:rsid w:val="003A1A69"/>
    <w:rsid w:val="003A27D9"/>
    <w:rsid w:val="003A37B8"/>
    <w:rsid w:val="003A582F"/>
    <w:rsid w:val="003A6B72"/>
    <w:rsid w:val="003B020F"/>
    <w:rsid w:val="003B26A2"/>
    <w:rsid w:val="003B3917"/>
    <w:rsid w:val="003B41D9"/>
    <w:rsid w:val="003B4356"/>
    <w:rsid w:val="003B4CEF"/>
    <w:rsid w:val="003B5422"/>
    <w:rsid w:val="003B6694"/>
    <w:rsid w:val="003B7293"/>
    <w:rsid w:val="003C4C52"/>
    <w:rsid w:val="003C53B2"/>
    <w:rsid w:val="003C6422"/>
    <w:rsid w:val="003C6C9A"/>
    <w:rsid w:val="003C7950"/>
    <w:rsid w:val="003D352C"/>
    <w:rsid w:val="003D359E"/>
    <w:rsid w:val="003D4B1E"/>
    <w:rsid w:val="003D51FB"/>
    <w:rsid w:val="003D6961"/>
    <w:rsid w:val="003D6BCD"/>
    <w:rsid w:val="003D6E2A"/>
    <w:rsid w:val="003E22FA"/>
    <w:rsid w:val="003E2C77"/>
    <w:rsid w:val="003E2C89"/>
    <w:rsid w:val="003E3C14"/>
    <w:rsid w:val="003E63BB"/>
    <w:rsid w:val="003E6516"/>
    <w:rsid w:val="003E747A"/>
    <w:rsid w:val="003F0149"/>
    <w:rsid w:val="003F0992"/>
    <w:rsid w:val="003F11BD"/>
    <w:rsid w:val="003F17CA"/>
    <w:rsid w:val="003F4748"/>
    <w:rsid w:val="003F61AC"/>
    <w:rsid w:val="00401267"/>
    <w:rsid w:val="00401B70"/>
    <w:rsid w:val="00402836"/>
    <w:rsid w:val="0040298F"/>
    <w:rsid w:val="0040367C"/>
    <w:rsid w:val="00404B23"/>
    <w:rsid w:val="00405154"/>
    <w:rsid w:val="00405DA6"/>
    <w:rsid w:val="004109B8"/>
    <w:rsid w:val="00412221"/>
    <w:rsid w:val="0041238C"/>
    <w:rsid w:val="00412524"/>
    <w:rsid w:val="00412829"/>
    <w:rsid w:val="0041314E"/>
    <w:rsid w:val="00414EDB"/>
    <w:rsid w:val="004164DF"/>
    <w:rsid w:val="00417107"/>
    <w:rsid w:val="00417EAE"/>
    <w:rsid w:val="00420C2B"/>
    <w:rsid w:val="0042141B"/>
    <w:rsid w:val="00423C6D"/>
    <w:rsid w:val="00423F6F"/>
    <w:rsid w:val="004249CB"/>
    <w:rsid w:val="004257D5"/>
    <w:rsid w:val="00425ED5"/>
    <w:rsid w:val="00425FB2"/>
    <w:rsid w:val="004261AF"/>
    <w:rsid w:val="00426BB0"/>
    <w:rsid w:val="00427BE9"/>
    <w:rsid w:val="004317BA"/>
    <w:rsid w:val="00433EEA"/>
    <w:rsid w:val="00433F68"/>
    <w:rsid w:val="00436CDF"/>
    <w:rsid w:val="00436D8A"/>
    <w:rsid w:val="0044052A"/>
    <w:rsid w:val="004408B0"/>
    <w:rsid w:val="004408EE"/>
    <w:rsid w:val="00441C7F"/>
    <w:rsid w:val="00441E5E"/>
    <w:rsid w:val="00443F3A"/>
    <w:rsid w:val="0044515D"/>
    <w:rsid w:val="0044524F"/>
    <w:rsid w:val="004460A0"/>
    <w:rsid w:val="0044654E"/>
    <w:rsid w:val="00446B2D"/>
    <w:rsid w:val="004504F2"/>
    <w:rsid w:val="00450C1F"/>
    <w:rsid w:val="00455240"/>
    <w:rsid w:val="0045705D"/>
    <w:rsid w:val="00457157"/>
    <w:rsid w:val="00457AEF"/>
    <w:rsid w:val="00457FD7"/>
    <w:rsid w:val="0046046C"/>
    <w:rsid w:val="00463430"/>
    <w:rsid w:val="004634A3"/>
    <w:rsid w:val="004645F0"/>
    <w:rsid w:val="004653F6"/>
    <w:rsid w:val="004663F3"/>
    <w:rsid w:val="00467553"/>
    <w:rsid w:val="0046779A"/>
    <w:rsid w:val="00471F78"/>
    <w:rsid w:val="00472E7C"/>
    <w:rsid w:val="00473B94"/>
    <w:rsid w:val="00473DC2"/>
    <w:rsid w:val="0047547F"/>
    <w:rsid w:val="0047556E"/>
    <w:rsid w:val="00475991"/>
    <w:rsid w:val="00475B13"/>
    <w:rsid w:val="00476DBB"/>
    <w:rsid w:val="004801F5"/>
    <w:rsid w:val="00480D8D"/>
    <w:rsid w:val="004814E5"/>
    <w:rsid w:val="0048151D"/>
    <w:rsid w:val="00484641"/>
    <w:rsid w:val="004846F8"/>
    <w:rsid w:val="00485EFC"/>
    <w:rsid w:val="00490080"/>
    <w:rsid w:val="0049045E"/>
    <w:rsid w:val="00490A94"/>
    <w:rsid w:val="004911E4"/>
    <w:rsid w:val="004912F4"/>
    <w:rsid w:val="00491574"/>
    <w:rsid w:val="00491D00"/>
    <w:rsid w:val="004922BC"/>
    <w:rsid w:val="00492522"/>
    <w:rsid w:val="00492CE8"/>
    <w:rsid w:val="00492FCC"/>
    <w:rsid w:val="00493558"/>
    <w:rsid w:val="00493B59"/>
    <w:rsid w:val="00493EC9"/>
    <w:rsid w:val="00494ECE"/>
    <w:rsid w:val="00495251"/>
    <w:rsid w:val="00495B0C"/>
    <w:rsid w:val="004962FC"/>
    <w:rsid w:val="004963A5"/>
    <w:rsid w:val="004A05E5"/>
    <w:rsid w:val="004A09BD"/>
    <w:rsid w:val="004A1759"/>
    <w:rsid w:val="004A2275"/>
    <w:rsid w:val="004A3872"/>
    <w:rsid w:val="004A3AC0"/>
    <w:rsid w:val="004A42D0"/>
    <w:rsid w:val="004A4ED0"/>
    <w:rsid w:val="004A5081"/>
    <w:rsid w:val="004A6F61"/>
    <w:rsid w:val="004B0706"/>
    <w:rsid w:val="004B0F5D"/>
    <w:rsid w:val="004B22B1"/>
    <w:rsid w:val="004B3467"/>
    <w:rsid w:val="004B46E5"/>
    <w:rsid w:val="004B6542"/>
    <w:rsid w:val="004B72A3"/>
    <w:rsid w:val="004C1E33"/>
    <w:rsid w:val="004C6870"/>
    <w:rsid w:val="004D29A3"/>
    <w:rsid w:val="004D4D48"/>
    <w:rsid w:val="004D5250"/>
    <w:rsid w:val="004D6AD9"/>
    <w:rsid w:val="004E0517"/>
    <w:rsid w:val="004E0C12"/>
    <w:rsid w:val="004E13F0"/>
    <w:rsid w:val="004E2C84"/>
    <w:rsid w:val="004E4838"/>
    <w:rsid w:val="004E4854"/>
    <w:rsid w:val="004E5FCE"/>
    <w:rsid w:val="004F036B"/>
    <w:rsid w:val="004F052D"/>
    <w:rsid w:val="004F0E54"/>
    <w:rsid w:val="004F21C3"/>
    <w:rsid w:val="004F5B43"/>
    <w:rsid w:val="004F7B7E"/>
    <w:rsid w:val="00501785"/>
    <w:rsid w:val="00503724"/>
    <w:rsid w:val="00504E3C"/>
    <w:rsid w:val="0050520F"/>
    <w:rsid w:val="00506888"/>
    <w:rsid w:val="00507970"/>
    <w:rsid w:val="00507AD5"/>
    <w:rsid w:val="00513F7C"/>
    <w:rsid w:val="005149B8"/>
    <w:rsid w:val="005168FA"/>
    <w:rsid w:val="005175C0"/>
    <w:rsid w:val="00520001"/>
    <w:rsid w:val="00521717"/>
    <w:rsid w:val="0052391C"/>
    <w:rsid w:val="0052393A"/>
    <w:rsid w:val="00527C12"/>
    <w:rsid w:val="00530942"/>
    <w:rsid w:val="00530C3F"/>
    <w:rsid w:val="005322F7"/>
    <w:rsid w:val="00532B1D"/>
    <w:rsid w:val="00533524"/>
    <w:rsid w:val="00534347"/>
    <w:rsid w:val="005373CA"/>
    <w:rsid w:val="00540C55"/>
    <w:rsid w:val="0054145D"/>
    <w:rsid w:val="00542227"/>
    <w:rsid w:val="005422EB"/>
    <w:rsid w:val="00542C08"/>
    <w:rsid w:val="0054426F"/>
    <w:rsid w:val="0054508F"/>
    <w:rsid w:val="00546DE6"/>
    <w:rsid w:val="00546F3A"/>
    <w:rsid w:val="005475C6"/>
    <w:rsid w:val="00547EA1"/>
    <w:rsid w:val="00550C61"/>
    <w:rsid w:val="00552FBA"/>
    <w:rsid w:val="005547AE"/>
    <w:rsid w:val="00554D9D"/>
    <w:rsid w:val="00555A82"/>
    <w:rsid w:val="00556C52"/>
    <w:rsid w:val="00557EC6"/>
    <w:rsid w:val="0056008C"/>
    <w:rsid w:val="00560E97"/>
    <w:rsid w:val="00570A8A"/>
    <w:rsid w:val="00571BE1"/>
    <w:rsid w:val="0057268E"/>
    <w:rsid w:val="00573C95"/>
    <w:rsid w:val="005744DE"/>
    <w:rsid w:val="005750B7"/>
    <w:rsid w:val="0057541B"/>
    <w:rsid w:val="005806C7"/>
    <w:rsid w:val="00581D60"/>
    <w:rsid w:val="005825DD"/>
    <w:rsid w:val="00582CA5"/>
    <w:rsid w:val="00582FE9"/>
    <w:rsid w:val="00584703"/>
    <w:rsid w:val="0058511B"/>
    <w:rsid w:val="005852AF"/>
    <w:rsid w:val="00585E1D"/>
    <w:rsid w:val="00586027"/>
    <w:rsid w:val="005867FB"/>
    <w:rsid w:val="00586FF5"/>
    <w:rsid w:val="00591FF8"/>
    <w:rsid w:val="00596ED3"/>
    <w:rsid w:val="005A0332"/>
    <w:rsid w:val="005A1634"/>
    <w:rsid w:val="005A1737"/>
    <w:rsid w:val="005A1914"/>
    <w:rsid w:val="005A1D6F"/>
    <w:rsid w:val="005A378B"/>
    <w:rsid w:val="005A3804"/>
    <w:rsid w:val="005A40B3"/>
    <w:rsid w:val="005A6376"/>
    <w:rsid w:val="005A7536"/>
    <w:rsid w:val="005A7B43"/>
    <w:rsid w:val="005A7FAA"/>
    <w:rsid w:val="005B1361"/>
    <w:rsid w:val="005B177D"/>
    <w:rsid w:val="005B3B4A"/>
    <w:rsid w:val="005B4C4C"/>
    <w:rsid w:val="005B71D2"/>
    <w:rsid w:val="005B7966"/>
    <w:rsid w:val="005C0341"/>
    <w:rsid w:val="005C3CDD"/>
    <w:rsid w:val="005C46E4"/>
    <w:rsid w:val="005C6801"/>
    <w:rsid w:val="005D10C8"/>
    <w:rsid w:val="005D2B33"/>
    <w:rsid w:val="005D2FE9"/>
    <w:rsid w:val="005D33EE"/>
    <w:rsid w:val="005D3437"/>
    <w:rsid w:val="005D43ED"/>
    <w:rsid w:val="005D4B36"/>
    <w:rsid w:val="005D5B37"/>
    <w:rsid w:val="005D6D35"/>
    <w:rsid w:val="005E1062"/>
    <w:rsid w:val="005E12BD"/>
    <w:rsid w:val="005E132E"/>
    <w:rsid w:val="005E1F41"/>
    <w:rsid w:val="005E305E"/>
    <w:rsid w:val="005E3907"/>
    <w:rsid w:val="005E3ECC"/>
    <w:rsid w:val="005E4686"/>
    <w:rsid w:val="005E53A4"/>
    <w:rsid w:val="005F1F63"/>
    <w:rsid w:val="005F324D"/>
    <w:rsid w:val="005F42C9"/>
    <w:rsid w:val="005F4C0F"/>
    <w:rsid w:val="005F58B2"/>
    <w:rsid w:val="005F5BD6"/>
    <w:rsid w:val="005F60A0"/>
    <w:rsid w:val="006011F9"/>
    <w:rsid w:val="006016B0"/>
    <w:rsid w:val="00602247"/>
    <w:rsid w:val="00602B16"/>
    <w:rsid w:val="006054AE"/>
    <w:rsid w:val="006061E9"/>
    <w:rsid w:val="006065BA"/>
    <w:rsid w:val="00606661"/>
    <w:rsid w:val="00612A91"/>
    <w:rsid w:val="006156AB"/>
    <w:rsid w:val="00615BD4"/>
    <w:rsid w:val="00615EA1"/>
    <w:rsid w:val="00617367"/>
    <w:rsid w:val="006176D9"/>
    <w:rsid w:val="0062063C"/>
    <w:rsid w:val="00620ACB"/>
    <w:rsid w:val="00621EEA"/>
    <w:rsid w:val="00622049"/>
    <w:rsid w:val="00622E7C"/>
    <w:rsid w:val="00625082"/>
    <w:rsid w:val="00625736"/>
    <w:rsid w:val="00625BF4"/>
    <w:rsid w:val="006266E4"/>
    <w:rsid w:val="006267AC"/>
    <w:rsid w:val="00626E16"/>
    <w:rsid w:val="006275F8"/>
    <w:rsid w:val="00630C8F"/>
    <w:rsid w:val="0063126C"/>
    <w:rsid w:val="006321D9"/>
    <w:rsid w:val="00635ACD"/>
    <w:rsid w:val="006379BF"/>
    <w:rsid w:val="00641758"/>
    <w:rsid w:val="00645F9B"/>
    <w:rsid w:val="006462F4"/>
    <w:rsid w:val="00646C7B"/>
    <w:rsid w:val="00650EEA"/>
    <w:rsid w:val="00652109"/>
    <w:rsid w:val="00653EEF"/>
    <w:rsid w:val="00654361"/>
    <w:rsid w:val="00656A74"/>
    <w:rsid w:val="00656DB1"/>
    <w:rsid w:val="0065706C"/>
    <w:rsid w:val="006570F3"/>
    <w:rsid w:val="006574CA"/>
    <w:rsid w:val="00661B92"/>
    <w:rsid w:val="00661D58"/>
    <w:rsid w:val="00662D1D"/>
    <w:rsid w:val="00663087"/>
    <w:rsid w:val="0066317C"/>
    <w:rsid w:val="00663681"/>
    <w:rsid w:val="00664A96"/>
    <w:rsid w:val="0066518E"/>
    <w:rsid w:val="00666E6E"/>
    <w:rsid w:val="00667926"/>
    <w:rsid w:val="00672312"/>
    <w:rsid w:val="00672A07"/>
    <w:rsid w:val="00672A3D"/>
    <w:rsid w:val="00673284"/>
    <w:rsid w:val="00673C56"/>
    <w:rsid w:val="0067463F"/>
    <w:rsid w:val="00674E3C"/>
    <w:rsid w:val="00675947"/>
    <w:rsid w:val="00684218"/>
    <w:rsid w:val="00684A17"/>
    <w:rsid w:val="0068548A"/>
    <w:rsid w:val="00686ACA"/>
    <w:rsid w:val="006875D7"/>
    <w:rsid w:val="00687A0D"/>
    <w:rsid w:val="006904AF"/>
    <w:rsid w:val="00695821"/>
    <w:rsid w:val="006959CB"/>
    <w:rsid w:val="0069607D"/>
    <w:rsid w:val="006960C5"/>
    <w:rsid w:val="0069704C"/>
    <w:rsid w:val="006A05F8"/>
    <w:rsid w:val="006A0897"/>
    <w:rsid w:val="006A27B1"/>
    <w:rsid w:val="006A4246"/>
    <w:rsid w:val="006A56B9"/>
    <w:rsid w:val="006A64EB"/>
    <w:rsid w:val="006A7750"/>
    <w:rsid w:val="006A7FD4"/>
    <w:rsid w:val="006B0E91"/>
    <w:rsid w:val="006B1891"/>
    <w:rsid w:val="006B37AE"/>
    <w:rsid w:val="006B3A39"/>
    <w:rsid w:val="006B3C07"/>
    <w:rsid w:val="006B476E"/>
    <w:rsid w:val="006B65AA"/>
    <w:rsid w:val="006B679D"/>
    <w:rsid w:val="006B7254"/>
    <w:rsid w:val="006B73B9"/>
    <w:rsid w:val="006C0F43"/>
    <w:rsid w:val="006C16FB"/>
    <w:rsid w:val="006C2D51"/>
    <w:rsid w:val="006C4B81"/>
    <w:rsid w:val="006C517C"/>
    <w:rsid w:val="006C55EF"/>
    <w:rsid w:val="006C5BA3"/>
    <w:rsid w:val="006C5CAA"/>
    <w:rsid w:val="006C6855"/>
    <w:rsid w:val="006C7F43"/>
    <w:rsid w:val="006D16F3"/>
    <w:rsid w:val="006D3332"/>
    <w:rsid w:val="006D341E"/>
    <w:rsid w:val="006D49E3"/>
    <w:rsid w:val="006D4C2C"/>
    <w:rsid w:val="006D4EFB"/>
    <w:rsid w:val="006D59BA"/>
    <w:rsid w:val="006D62FF"/>
    <w:rsid w:val="006D68D1"/>
    <w:rsid w:val="006D7B30"/>
    <w:rsid w:val="006E019F"/>
    <w:rsid w:val="006E18C4"/>
    <w:rsid w:val="006E2C10"/>
    <w:rsid w:val="006E3E50"/>
    <w:rsid w:val="006E402A"/>
    <w:rsid w:val="006E4B20"/>
    <w:rsid w:val="006E525F"/>
    <w:rsid w:val="006E5670"/>
    <w:rsid w:val="006E6666"/>
    <w:rsid w:val="006E74F5"/>
    <w:rsid w:val="006E7DCA"/>
    <w:rsid w:val="006F2035"/>
    <w:rsid w:val="006F28EE"/>
    <w:rsid w:val="006F42C2"/>
    <w:rsid w:val="006F602A"/>
    <w:rsid w:val="006F7412"/>
    <w:rsid w:val="007017FB"/>
    <w:rsid w:val="00704E65"/>
    <w:rsid w:val="0071025E"/>
    <w:rsid w:val="007102AC"/>
    <w:rsid w:val="007105A5"/>
    <w:rsid w:val="00710B8D"/>
    <w:rsid w:val="00712CF9"/>
    <w:rsid w:val="00713024"/>
    <w:rsid w:val="00713EA1"/>
    <w:rsid w:val="0071421C"/>
    <w:rsid w:val="00715D6B"/>
    <w:rsid w:val="0071772E"/>
    <w:rsid w:val="00717F6B"/>
    <w:rsid w:val="00720864"/>
    <w:rsid w:val="007212F0"/>
    <w:rsid w:val="00722EC6"/>
    <w:rsid w:val="00723C5D"/>
    <w:rsid w:val="00723FF6"/>
    <w:rsid w:val="0072460B"/>
    <w:rsid w:val="00724FB9"/>
    <w:rsid w:val="00726876"/>
    <w:rsid w:val="007269B1"/>
    <w:rsid w:val="00730433"/>
    <w:rsid w:val="00730B58"/>
    <w:rsid w:val="00730DF7"/>
    <w:rsid w:val="0073123A"/>
    <w:rsid w:val="007331F6"/>
    <w:rsid w:val="0073362F"/>
    <w:rsid w:val="00733A3E"/>
    <w:rsid w:val="00736B54"/>
    <w:rsid w:val="00740605"/>
    <w:rsid w:val="00740FA5"/>
    <w:rsid w:val="00741E76"/>
    <w:rsid w:val="007423EC"/>
    <w:rsid w:val="00742FE2"/>
    <w:rsid w:val="007440A8"/>
    <w:rsid w:val="00747B97"/>
    <w:rsid w:val="00747DD4"/>
    <w:rsid w:val="00750912"/>
    <w:rsid w:val="00751413"/>
    <w:rsid w:val="00751598"/>
    <w:rsid w:val="00751820"/>
    <w:rsid w:val="00751B7E"/>
    <w:rsid w:val="00752AB2"/>
    <w:rsid w:val="00753A0F"/>
    <w:rsid w:val="00754193"/>
    <w:rsid w:val="007556C8"/>
    <w:rsid w:val="00756C9B"/>
    <w:rsid w:val="00756FA1"/>
    <w:rsid w:val="0075756F"/>
    <w:rsid w:val="007605DF"/>
    <w:rsid w:val="0076244A"/>
    <w:rsid w:val="00762D9D"/>
    <w:rsid w:val="00762FAD"/>
    <w:rsid w:val="00763FD6"/>
    <w:rsid w:val="0076431D"/>
    <w:rsid w:val="00765260"/>
    <w:rsid w:val="00766DE9"/>
    <w:rsid w:val="007678A5"/>
    <w:rsid w:val="00770841"/>
    <w:rsid w:val="00771F67"/>
    <w:rsid w:val="00772012"/>
    <w:rsid w:val="00772112"/>
    <w:rsid w:val="007739AB"/>
    <w:rsid w:val="0077418F"/>
    <w:rsid w:val="00774C01"/>
    <w:rsid w:val="00777875"/>
    <w:rsid w:val="00777BD2"/>
    <w:rsid w:val="00781BED"/>
    <w:rsid w:val="007823C9"/>
    <w:rsid w:val="00782CCA"/>
    <w:rsid w:val="007835B7"/>
    <w:rsid w:val="00786373"/>
    <w:rsid w:val="007863E1"/>
    <w:rsid w:val="0078743C"/>
    <w:rsid w:val="00790B71"/>
    <w:rsid w:val="007910D3"/>
    <w:rsid w:val="007922B4"/>
    <w:rsid w:val="0079336E"/>
    <w:rsid w:val="007A28AA"/>
    <w:rsid w:val="007A52CC"/>
    <w:rsid w:val="007A5BD0"/>
    <w:rsid w:val="007A7066"/>
    <w:rsid w:val="007B0A61"/>
    <w:rsid w:val="007B140A"/>
    <w:rsid w:val="007B351A"/>
    <w:rsid w:val="007B4B46"/>
    <w:rsid w:val="007B55A4"/>
    <w:rsid w:val="007B5E5F"/>
    <w:rsid w:val="007B6CA0"/>
    <w:rsid w:val="007B6F71"/>
    <w:rsid w:val="007C06F8"/>
    <w:rsid w:val="007C27E5"/>
    <w:rsid w:val="007C28AC"/>
    <w:rsid w:val="007C2E24"/>
    <w:rsid w:val="007C323B"/>
    <w:rsid w:val="007C3F78"/>
    <w:rsid w:val="007C4009"/>
    <w:rsid w:val="007C4B09"/>
    <w:rsid w:val="007C6167"/>
    <w:rsid w:val="007C6EB8"/>
    <w:rsid w:val="007C7048"/>
    <w:rsid w:val="007C7809"/>
    <w:rsid w:val="007D0393"/>
    <w:rsid w:val="007D13B9"/>
    <w:rsid w:val="007D1E6D"/>
    <w:rsid w:val="007D2774"/>
    <w:rsid w:val="007D562C"/>
    <w:rsid w:val="007D62C5"/>
    <w:rsid w:val="007D6E28"/>
    <w:rsid w:val="007D71F7"/>
    <w:rsid w:val="007E024C"/>
    <w:rsid w:val="007E160E"/>
    <w:rsid w:val="007E1BDD"/>
    <w:rsid w:val="007E290A"/>
    <w:rsid w:val="007E700C"/>
    <w:rsid w:val="007E7388"/>
    <w:rsid w:val="007F04FC"/>
    <w:rsid w:val="007F0C63"/>
    <w:rsid w:val="007F1BAF"/>
    <w:rsid w:val="007F1F1C"/>
    <w:rsid w:val="007F2277"/>
    <w:rsid w:val="007F433C"/>
    <w:rsid w:val="007F439F"/>
    <w:rsid w:val="007F4428"/>
    <w:rsid w:val="007F63B8"/>
    <w:rsid w:val="007F77FD"/>
    <w:rsid w:val="008004B0"/>
    <w:rsid w:val="0080133F"/>
    <w:rsid w:val="008045D9"/>
    <w:rsid w:val="00806C8A"/>
    <w:rsid w:val="0080702C"/>
    <w:rsid w:val="00807165"/>
    <w:rsid w:val="008073C9"/>
    <w:rsid w:val="0081164B"/>
    <w:rsid w:val="00812094"/>
    <w:rsid w:val="0081333B"/>
    <w:rsid w:val="008140D7"/>
    <w:rsid w:val="0081653B"/>
    <w:rsid w:val="00820CBE"/>
    <w:rsid w:val="00821DF6"/>
    <w:rsid w:val="00823984"/>
    <w:rsid w:val="00823CCC"/>
    <w:rsid w:val="008270BA"/>
    <w:rsid w:val="00827179"/>
    <w:rsid w:val="0083029A"/>
    <w:rsid w:val="00830426"/>
    <w:rsid w:val="00830E02"/>
    <w:rsid w:val="00831C83"/>
    <w:rsid w:val="00831E0A"/>
    <w:rsid w:val="00833EC8"/>
    <w:rsid w:val="008343C4"/>
    <w:rsid w:val="00834418"/>
    <w:rsid w:val="00835847"/>
    <w:rsid w:val="00835C6F"/>
    <w:rsid w:val="00836EAC"/>
    <w:rsid w:val="00837429"/>
    <w:rsid w:val="0083745B"/>
    <w:rsid w:val="00840252"/>
    <w:rsid w:val="00840420"/>
    <w:rsid w:val="00841AEA"/>
    <w:rsid w:val="00842DE3"/>
    <w:rsid w:val="00843B85"/>
    <w:rsid w:val="00844F5E"/>
    <w:rsid w:val="008454FE"/>
    <w:rsid w:val="0084585B"/>
    <w:rsid w:val="00846701"/>
    <w:rsid w:val="0084763E"/>
    <w:rsid w:val="00847C72"/>
    <w:rsid w:val="0085122C"/>
    <w:rsid w:val="0085232F"/>
    <w:rsid w:val="00854E2A"/>
    <w:rsid w:val="008550CD"/>
    <w:rsid w:val="00855A6E"/>
    <w:rsid w:val="00857E3A"/>
    <w:rsid w:val="00861135"/>
    <w:rsid w:val="00861C99"/>
    <w:rsid w:val="00862848"/>
    <w:rsid w:val="00862C19"/>
    <w:rsid w:val="0086330D"/>
    <w:rsid w:val="00863C12"/>
    <w:rsid w:val="00864495"/>
    <w:rsid w:val="0086449D"/>
    <w:rsid w:val="00864C3F"/>
    <w:rsid w:val="008651BC"/>
    <w:rsid w:val="00867059"/>
    <w:rsid w:val="00867A5A"/>
    <w:rsid w:val="008711B1"/>
    <w:rsid w:val="00871FBA"/>
    <w:rsid w:val="00872119"/>
    <w:rsid w:val="008722FB"/>
    <w:rsid w:val="00872906"/>
    <w:rsid w:val="00877A3A"/>
    <w:rsid w:val="00877EA2"/>
    <w:rsid w:val="008808CA"/>
    <w:rsid w:val="0088232A"/>
    <w:rsid w:val="0088251B"/>
    <w:rsid w:val="008878E2"/>
    <w:rsid w:val="00887D93"/>
    <w:rsid w:val="00890912"/>
    <w:rsid w:val="00890D7D"/>
    <w:rsid w:val="00891548"/>
    <w:rsid w:val="008917B4"/>
    <w:rsid w:val="00892E7B"/>
    <w:rsid w:val="00892FC2"/>
    <w:rsid w:val="008933C7"/>
    <w:rsid w:val="008941B9"/>
    <w:rsid w:val="00894216"/>
    <w:rsid w:val="00894A76"/>
    <w:rsid w:val="00895986"/>
    <w:rsid w:val="008959F9"/>
    <w:rsid w:val="0089623F"/>
    <w:rsid w:val="00896786"/>
    <w:rsid w:val="00897413"/>
    <w:rsid w:val="008A08EB"/>
    <w:rsid w:val="008A118C"/>
    <w:rsid w:val="008A2391"/>
    <w:rsid w:val="008A3618"/>
    <w:rsid w:val="008A46DC"/>
    <w:rsid w:val="008A4806"/>
    <w:rsid w:val="008A4BF4"/>
    <w:rsid w:val="008A510D"/>
    <w:rsid w:val="008A5EDE"/>
    <w:rsid w:val="008A7A4E"/>
    <w:rsid w:val="008A7C4F"/>
    <w:rsid w:val="008B2FA8"/>
    <w:rsid w:val="008B3253"/>
    <w:rsid w:val="008B33CF"/>
    <w:rsid w:val="008B73BA"/>
    <w:rsid w:val="008C020E"/>
    <w:rsid w:val="008C2F9E"/>
    <w:rsid w:val="008C4103"/>
    <w:rsid w:val="008C74F5"/>
    <w:rsid w:val="008C76A6"/>
    <w:rsid w:val="008D03EA"/>
    <w:rsid w:val="008D16BD"/>
    <w:rsid w:val="008D17A7"/>
    <w:rsid w:val="008D21ED"/>
    <w:rsid w:val="008D2C15"/>
    <w:rsid w:val="008D2E91"/>
    <w:rsid w:val="008D58E2"/>
    <w:rsid w:val="008D6283"/>
    <w:rsid w:val="008D7DD5"/>
    <w:rsid w:val="008D7FB0"/>
    <w:rsid w:val="008E050B"/>
    <w:rsid w:val="008E0FC2"/>
    <w:rsid w:val="008E1010"/>
    <w:rsid w:val="008E28BF"/>
    <w:rsid w:val="008E2C2E"/>
    <w:rsid w:val="008E71A8"/>
    <w:rsid w:val="008E72A8"/>
    <w:rsid w:val="008F0627"/>
    <w:rsid w:val="008F1FF1"/>
    <w:rsid w:val="008F2498"/>
    <w:rsid w:val="008F41FB"/>
    <w:rsid w:val="008F4B49"/>
    <w:rsid w:val="008F5977"/>
    <w:rsid w:val="008F5C9B"/>
    <w:rsid w:val="00901C83"/>
    <w:rsid w:val="00902206"/>
    <w:rsid w:val="0090330F"/>
    <w:rsid w:val="009039C8"/>
    <w:rsid w:val="0090481A"/>
    <w:rsid w:val="00904BCF"/>
    <w:rsid w:val="00905B77"/>
    <w:rsid w:val="009063B3"/>
    <w:rsid w:val="00906FD6"/>
    <w:rsid w:val="00907383"/>
    <w:rsid w:val="009079D0"/>
    <w:rsid w:val="00907DCD"/>
    <w:rsid w:val="009104AA"/>
    <w:rsid w:val="0091288F"/>
    <w:rsid w:val="00912F00"/>
    <w:rsid w:val="00914466"/>
    <w:rsid w:val="00915D8A"/>
    <w:rsid w:val="00917609"/>
    <w:rsid w:val="00917746"/>
    <w:rsid w:val="009209A5"/>
    <w:rsid w:val="00920F98"/>
    <w:rsid w:val="00922448"/>
    <w:rsid w:val="009228BB"/>
    <w:rsid w:val="00922FDA"/>
    <w:rsid w:val="0092336C"/>
    <w:rsid w:val="00923FF1"/>
    <w:rsid w:val="009244DF"/>
    <w:rsid w:val="009266E4"/>
    <w:rsid w:val="00926BBF"/>
    <w:rsid w:val="00927EF6"/>
    <w:rsid w:val="00930D45"/>
    <w:rsid w:val="00930E14"/>
    <w:rsid w:val="00933885"/>
    <w:rsid w:val="009338DA"/>
    <w:rsid w:val="009355D2"/>
    <w:rsid w:val="00936E93"/>
    <w:rsid w:val="00937FDA"/>
    <w:rsid w:val="00943E73"/>
    <w:rsid w:val="009444F2"/>
    <w:rsid w:val="00944FC5"/>
    <w:rsid w:val="00947632"/>
    <w:rsid w:val="0094786C"/>
    <w:rsid w:val="00947907"/>
    <w:rsid w:val="00947B9F"/>
    <w:rsid w:val="00947FB4"/>
    <w:rsid w:val="00947FE9"/>
    <w:rsid w:val="00952CF3"/>
    <w:rsid w:val="00952D2F"/>
    <w:rsid w:val="00952D60"/>
    <w:rsid w:val="00952E44"/>
    <w:rsid w:val="00953733"/>
    <w:rsid w:val="00955447"/>
    <w:rsid w:val="00955A17"/>
    <w:rsid w:val="00957C50"/>
    <w:rsid w:val="00960E12"/>
    <w:rsid w:val="0096331F"/>
    <w:rsid w:val="00963914"/>
    <w:rsid w:val="00963A90"/>
    <w:rsid w:val="00963D62"/>
    <w:rsid w:val="00964992"/>
    <w:rsid w:val="009679C3"/>
    <w:rsid w:val="009703AC"/>
    <w:rsid w:val="00971418"/>
    <w:rsid w:val="009729D8"/>
    <w:rsid w:val="0097354B"/>
    <w:rsid w:val="0097453F"/>
    <w:rsid w:val="00974577"/>
    <w:rsid w:val="00975045"/>
    <w:rsid w:val="00976670"/>
    <w:rsid w:val="00976BC3"/>
    <w:rsid w:val="00976CD1"/>
    <w:rsid w:val="00976E64"/>
    <w:rsid w:val="00977929"/>
    <w:rsid w:val="00982FAB"/>
    <w:rsid w:val="0098410B"/>
    <w:rsid w:val="0098426D"/>
    <w:rsid w:val="0098690E"/>
    <w:rsid w:val="00987D55"/>
    <w:rsid w:val="0099016E"/>
    <w:rsid w:val="00993B1F"/>
    <w:rsid w:val="00993F70"/>
    <w:rsid w:val="0099428D"/>
    <w:rsid w:val="009942EF"/>
    <w:rsid w:val="00995932"/>
    <w:rsid w:val="00996586"/>
    <w:rsid w:val="00996D49"/>
    <w:rsid w:val="009A1C77"/>
    <w:rsid w:val="009A2A1C"/>
    <w:rsid w:val="009A3287"/>
    <w:rsid w:val="009A4AC4"/>
    <w:rsid w:val="009A51E6"/>
    <w:rsid w:val="009A5BC5"/>
    <w:rsid w:val="009A61AA"/>
    <w:rsid w:val="009A7153"/>
    <w:rsid w:val="009A747C"/>
    <w:rsid w:val="009A77EA"/>
    <w:rsid w:val="009A7DAC"/>
    <w:rsid w:val="009B2B6E"/>
    <w:rsid w:val="009B3C1F"/>
    <w:rsid w:val="009B4FCD"/>
    <w:rsid w:val="009B6063"/>
    <w:rsid w:val="009B7D7E"/>
    <w:rsid w:val="009C0814"/>
    <w:rsid w:val="009C10F7"/>
    <w:rsid w:val="009C11B1"/>
    <w:rsid w:val="009C1722"/>
    <w:rsid w:val="009C1A23"/>
    <w:rsid w:val="009C5448"/>
    <w:rsid w:val="009C6235"/>
    <w:rsid w:val="009C6482"/>
    <w:rsid w:val="009C6E76"/>
    <w:rsid w:val="009D00B8"/>
    <w:rsid w:val="009D3E42"/>
    <w:rsid w:val="009D4E11"/>
    <w:rsid w:val="009D682E"/>
    <w:rsid w:val="009D724A"/>
    <w:rsid w:val="009E039D"/>
    <w:rsid w:val="009E0D88"/>
    <w:rsid w:val="009E1067"/>
    <w:rsid w:val="009E3216"/>
    <w:rsid w:val="009E40F9"/>
    <w:rsid w:val="009E5844"/>
    <w:rsid w:val="009E5E63"/>
    <w:rsid w:val="009E653F"/>
    <w:rsid w:val="009E7C9A"/>
    <w:rsid w:val="009F3EE2"/>
    <w:rsid w:val="009F4C6D"/>
    <w:rsid w:val="009F5062"/>
    <w:rsid w:val="009F51C8"/>
    <w:rsid w:val="009F7746"/>
    <w:rsid w:val="00A01D25"/>
    <w:rsid w:val="00A02A23"/>
    <w:rsid w:val="00A0500D"/>
    <w:rsid w:val="00A0624A"/>
    <w:rsid w:val="00A06830"/>
    <w:rsid w:val="00A12892"/>
    <w:rsid w:val="00A149DF"/>
    <w:rsid w:val="00A14F9A"/>
    <w:rsid w:val="00A157A1"/>
    <w:rsid w:val="00A1634D"/>
    <w:rsid w:val="00A1707B"/>
    <w:rsid w:val="00A179BF"/>
    <w:rsid w:val="00A26247"/>
    <w:rsid w:val="00A3051B"/>
    <w:rsid w:val="00A31E66"/>
    <w:rsid w:val="00A32694"/>
    <w:rsid w:val="00A33A18"/>
    <w:rsid w:val="00A3415B"/>
    <w:rsid w:val="00A3442B"/>
    <w:rsid w:val="00A348F9"/>
    <w:rsid w:val="00A350BE"/>
    <w:rsid w:val="00A358B2"/>
    <w:rsid w:val="00A35C8A"/>
    <w:rsid w:val="00A36343"/>
    <w:rsid w:val="00A36638"/>
    <w:rsid w:val="00A36B9A"/>
    <w:rsid w:val="00A40131"/>
    <w:rsid w:val="00A40946"/>
    <w:rsid w:val="00A4129F"/>
    <w:rsid w:val="00A4149B"/>
    <w:rsid w:val="00A41D58"/>
    <w:rsid w:val="00A47600"/>
    <w:rsid w:val="00A507FF"/>
    <w:rsid w:val="00A50A4B"/>
    <w:rsid w:val="00A50C88"/>
    <w:rsid w:val="00A51030"/>
    <w:rsid w:val="00A51611"/>
    <w:rsid w:val="00A51ECF"/>
    <w:rsid w:val="00A5335D"/>
    <w:rsid w:val="00A53BA7"/>
    <w:rsid w:val="00A55251"/>
    <w:rsid w:val="00A56524"/>
    <w:rsid w:val="00A610B8"/>
    <w:rsid w:val="00A61208"/>
    <w:rsid w:val="00A62660"/>
    <w:rsid w:val="00A62D2C"/>
    <w:rsid w:val="00A64D6A"/>
    <w:rsid w:val="00A66A0F"/>
    <w:rsid w:val="00A67FB0"/>
    <w:rsid w:val="00A700BE"/>
    <w:rsid w:val="00A7038D"/>
    <w:rsid w:val="00A70640"/>
    <w:rsid w:val="00A73440"/>
    <w:rsid w:val="00A74B85"/>
    <w:rsid w:val="00A75908"/>
    <w:rsid w:val="00A75D01"/>
    <w:rsid w:val="00A762C8"/>
    <w:rsid w:val="00A76B01"/>
    <w:rsid w:val="00A8120E"/>
    <w:rsid w:val="00A813D7"/>
    <w:rsid w:val="00A824D3"/>
    <w:rsid w:val="00A83BB1"/>
    <w:rsid w:val="00A83EE4"/>
    <w:rsid w:val="00A84857"/>
    <w:rsid w:val="00A87807"/>
    <w:rsid w:val="00A90332"/>
    <w:rsid w:val="00A93936"/>
    <w:rsid w:val="00A94426"/>
    <w:rsid w:val="00A95D76"/>
    <w:rsid w:val="00A95DAC"/>
    <w:rsid w:val="00A9679A"/>
    <w:rsid w:val="00A96CD8"/>
    <w:rsid w:val="00A9734B"/>
    <w:rsid w:val="00A979E7"/>
    <w:rsid w:val="00A97D26"/>
    <w:rsid w:val="00AA06C5"/>
    <w:rsid w:val="00AA1669"/>
    <w:rsid w:val="00AA1BF8"/>
    <w:rsid w:val="00AA2C92"/>
    <w:rsid w:val="00AA3A8E"/>
    <w:rsid w:val="00AA3B38"/>
    <w:rsid w:val="00AA4352"/>
    <w:rsid w:val="00AA5BB8"/>
    <w:rsid w:val="00AA5D50"/>
    <w:rsid w:val="00AA6066"/>
    <w:rsid w:val="00AA6487"/>
    <w:rsid w:val="00AA7CED"/>
    <w:rsid w:val="00AB001E"/>
    <w:rsid w:val="00AB0FDA"/>
    <w:rsid w:val="00AB1C79"/>
    <w:rsid w:val="00AB245D"/>
    <w:rsid w:val="00AB24DF"/>
    <w:rsid w:val="00AB27BA"/>
    <w:rsid w:val="00AB29A5"/>
    <w:rsid w:val="00AB2D04"/>
    <w:rsid w:val="00AB2F70"/>
    <w:rsid w:val="00AB318B"/>
    <w:rsid w:val="00AB781D"/>
    <w:rsid w:val="00AB7D6A"/>
    <w:rsid w:val="00AC03EE"/>
    <w:rsid w:val="00AC0A22"/>
    <w:rsid w:val="00AC2A24"/>
    <w:rsid w:val="00AC2F2D"/>
    <w:rsid w:val="00AC3A3F"/>
    <w:rsid w:val="00AC3B0B"/>
    <w:rsid w:val="00AC4D81"/>
    <w:rsid w:val="00AC6A56"/>
    <w:rsid w:val="00AC7241"/>
    <w:rsid w:val="00AD0A7D"/>
    <w:rsid w:val="00AD190D"/>
    <w:rsid w:val="00AD2DAB"/>
    <w:rsid w:val="00AD5CB1"/>
    <w:rsid w:val="00AD6726"/>
    <w:rsid w:val="00AD6AC1"/>
    <w:rsid w:val="00AE1BBB"/>
    <w:rsid w:val="00AE2141"/>
    <w:rsid w:val="00AE26C9"/>
    <w:rsid w:val="00AE2F4C"/>
    <w:rsid w:val="00AE3B4A"/>
    <w:rsid w:val="00AE4A87"/>
    <w:rsid w:val="00AE4E4F"/>
    <w:rsid w:val="00AE5591"/>
    <w:rsid w:val="00AE57FF"/>
    <w:rsid w:val="00AE673D"/>
    <w:rsid w:val="00AE749B"/>
    <w:rsid w:val="00AE7D3C"/>
    <w:rsid w:val="00AF0629"/>
    <w:rsid w:val="00AF1BF1"/>
    <w:rsid w:val="00AF211E"/>
    <w:rsid w:val="00AF32B8"/>
    <w:rsid w:val="00AF3CB3"/>
    <w:rsid w:val="00AF3CFF"/>
    <w:rsid w:val="00AF531B"/>
    <w:rsid w:val="00AF5337"/>
    <w:rsid w:val="00AF53C2"/>
    <w:rsid w:val="00AF71F6"/>
    <w:rsid w:val="00AF7C60"/>
    <w:rsid w:val="00B005C5"/>
    <w:rsid w:val="00B018F5"/>
    <w:rsid w:val="00B02305"/>
    <w:rsid w:val="00B02E23"/>
    <w:rsid w:val="00B060D5"/>
    <w:rsid w:val="00B1175D"/>
    <w:rsid w:val="00B12731"/>
    <w:rsid w:val="00B12AA5"/>
    <w:rsid w:val="00B146BC"/>
    <w:rsid w:val="00B14DF1"/>
    <w:rsid w:val="00B153B3"/>
    <w:rsid w:val="00B17CBB"/>
    <w:rsid w:val="00B204CB"/>
    <w:rsid w:val="00B20BBF"/>
    <w:rsid w:val="00B21481"/>
    <w:rsid w:val="00B21672"/>
    <w:rsid w:val="00B217CC"/>
    <w:rsid w:val="00B23531"/>
    <w:rsid w:val="00B24977"/>
    <w:rsid w:val="00B25447"/>
    <w:rsid w:val="00B264D8"/>
    <w:rsid w:val="00B271C9"/>
    <w:rsid w:val="00B31BF4"/>
    <w:rsid w:val="00B31C57"/>
    <w:rsid w:val="00B32F09"/>
    <w:rsid w:val="00B33D96"/>
    <w:rsid w:val="00B33E36"/>
    <w:rsid w:val="00B3465A"/>
    <w:rsid w:val="00B34F0E"/>
    <w:rsid w:val="00B35F5F"/>
    <w:rsid w:val="00B36F78"/>
    <w:rsid w:val="00B3755E"/>
    <w:rsid w:val="00B404A6"/>
    <w:rsid w:val="00B40A63"/>
    <w:rsid w:val="00B40D70"/>
    <w:rsid w:val="00B45C45"/>
    <w:rsid w:val="00B47277"/>
    <w:rsid w:val="00B51047"/>
    <w:rsid w:val="00B53D99"/>
    <w:rsid w:val="00B561BA"/>
    <w:rsid w:val="00B56FB7"/>
    <w:rsid w:val="00B57221"/>
    <w:rsid w:val="00B57619"/>
    <w:rsid w:val="00B577A6"/>
    <w:rsid w:val="00B5787D"/>
    <w:rsid w:val="00B607BE"/>
    <w:rsid w:val="00B61E09"/>
    <w:rsid w:val="00B6274D"/>
    <w:rsid w:val="00B62B63"/>
    <w:rsid w:val="00B632E5"/>
    <w:rsid w:val="00B64D41"/>
    <w:rsid w:val="00B66CB3"/>
    <w:rsid w:val="00B66D6E"/>
    <w:rsid w:val="00B67351"/>
    <w:rsid w:val="00B67D20"/>
    <w:rsid w:val="00B706C6"/>
    <w:rsid w:val="00B739CF"/>
    <w:rsid w:val="00B7475F"/>
    <w:rsid w:val="00B7508D"/>
    <w:rsid w:val="00B76206"/>
    <w:rsid w:val="00B80B07"/>
    <w:rsid w:val="00B8178C"/>
    <w:rsid w:val="00B81BF0"/>
    <w:rsid w:val="00B82E33"/>
    <w:rsid w:val="00B82ECB"/>
    <w:rsid w:val="00B8310B"/>
    <w:rsid w:val="00B83C8B"/>
    <w:rsid w:val="00B85BAF"/>
    <w:rsid w:val="00B90874"/>
    <w:rsid w:val="00B90BFA"/>
    <w:rsid w:val="00B91DA7"/>
    <w:rsid w:val="00B91E9A"/>
    <w:rsid w:val="00B93044"/>
    <w:rsid w:val="00B931B0"/>
    <w:rsid w:val="00B932C9"/>
    <w:rsid w:val="00B93ED9"/>
    <w:rsid w:val="00B947D6"/>
    <w:rsid w:val="00B9524C"/>
    <w:rsid w:val="00B95E2C"/>
    <w:rsid w:val="00BA2C17"/>
    <w:rsid w:val="00BA2D53"/>
    <w:rsid w:val="00BA40F3"/>
    <w:rsid w:val="00BA5F6B"/>
    <w:rsid w:val="00BA6BD0"/>
    <w:rsid w:val="00BA7ECF"/>
    <w:rsid w:val="00BB0589"/>
    <w:rsid w:val="00BB09D6"/>
    <w:rsid w:val="00BB1682"/>
    <w:rsid w:val="00BB1AF8"/>
    <w:rsid w:val="00BB26B1"/>
    <w:rsid w:val="00BB2E2A"/>
    <w:rsid w:val="00BB4B39"/>
    <w:rsid w:val="00BB5F65"/>
    <w:rsid w:val="00BB6F58"/>
    <w:rsid w:val="00BB7E40"/>
    <w:rsid w:val="00BC0A1A"/>
    <w:rsid w:val="00BC170A"/>
    <w:rsid w:val="00BC243B"/>
    <w:rsid w:val="00BC3515"/>
    <w:rsid w:val="00BC4A64"/>
    <w:rsid w:val="00BC59C2"/>
    <w:rsid w:val="00BC6AAD"/>
    <w:rsid w:val="00BD02CC"/>
    <w:rsid w:val="00BD079D"/>
    <w:rsid w:val="00BD22C7"/>
    <w:rsid w:val="00BD277B"/>
    <w:rsid w:val="00BD530D"/>
    <w:rsid w:val="00BE01A0"/>
    <w:rsid w:val="00BE205B"/>
    <w:rsid w:val="00BE264E"/>
    <w:rsid w:val="00BE27B1"/>
    <w:rsid w:val="00BE3868"/>
    <w:rsid w:val="00BE3D81"/>
    <w:rsid w:val="00BE4E80"/>
    <w:rsid w:val="00BE4FAF"/>
    <w:rsid w:val="00BE5DDE"/>
    <w:rsid w:val="00BE68B4"/>
    <w:rsid w:val="00BE70C9"/>
    <w:rsid w:val="00BE78DC"/>
    <w:rsid w:val="00BF3999"/>
    <w:rsid w:val="00BF4B30"/>
    <w:rsid w:val="00BF5376"/>
    <w:rsid w:val="00BF6CBB"/>
    <w:rsid w:val="00C00497"/>
    <w:rsid w:val="00C029B6"/>
    <w:rsid w:val="00C03B0F"/>
    <w:rsid w:val="00C03E68"/>
    <w:rsid w:val="00C05139"/>
    <w:rsid w:val="00C058A5"/>
    <w:rsid w:val="00C07D8E"/>
    <w:rsid w:val="00C124B7"/>
    <w:rsid w:val="00C15CE7"/>
    <w:rsid w:val="00C15DD3"/>
    <w:rsid w:val="00C15F74"/>
    <w:rsid w:val="00C16AB3"/>
    <w:rsid w:val="00C17224"/>
    <w:rsid w:val="00C17685"/>
    <w:rsid w:val="00C20CBD"/>
    <w:rsid w:val="00C223A5"/>
    <w:rsid w:val="00C229EF"/>
    <w:rsid w:val="00C23A93"/>
    <w:rsid w:val="00C23BCF"/>
    <w:rsid w:val="00C2546E"/>
    <w:rsid w:val="00C2648A"/>
    <w:rsid w:val="00C2711D"/>
    <w:rsid w:val="00C275B4"/>
    <w:rsid w:val="00C27616"/>
    <w:rsid w:val="00C310A0"/>
    <w:rsid w:val="00C3245C"/>
    <w:rsid w:val="00C351DB"/>
    <w:rsid w:val="00C36A88"/>
    <w:rsid w:val="00C3720E"/>
    <w:rsid w:val="00C406DE"/>
    <w:rsid w:val="00C40C71"/>
    <w:rsid w:val="00C4111F"/>
    <w:rsid w:val="00C412D5"/>
    <w:rsid w:val="00C4150B"/>
    <w:rsid w:val="00C420E4"/>
    <w:rsid w:val="00C433A2"/>
    <w:rsid w:val="00C43DB8"/>
    <w:rsid w:val="00C44141"/>
    <w:rsid w:val="00C46039"/>
    <w:rsid w:val="00C47496"/>
    <w:rsid w:val="00C50B0E"/>
    <w:rsid w:val="00C53EEF"/>
    <w:rsid w:val="00C54389"/>
    <w:rsid w:val="00C55A01"/>
    <w:rsid w:val="00C56A39"/>
    <w:rsid w:val="00C57DD6"/>
    <w:rsid w:val="00C607D5"/>
    <w:rsid w:val="00C61780"/>
    <w:rsid w:val="00C62A8F"/>
    <w:rsid w:val="00C63263"/>
    <w:rsid w:val="00C634E0"/>
    <w:rsid w:val="00C671BC"/>
    <w:rsid w:val="00C67C67"/>
    <w:rsid w:val="00C70919"/>
    <w:rsid w:val="00C7141B"/>
    <w:rsid w:val="00C759E4"/>
    <w:rsid w:val="00C75BEC"/>
    <w:rsid w:val="00C808AA"/>
    <w:rsid w:val="00C80D96"/>
    <w:rsid w:val="00C83560"/>
    <w:rsid w:val="00C836E3"/>
    <w:rsid w:val="00C83A19"/>
    <w:rsid w:val="00C84D79"/>
    <w:rsid w:val="00C8527E"/>
    <w:rsid w:val="00C855D2"/>
    <w:rsid w:val="00C85E96"/>
    <w:rsid w:val="00C86FBD"/>
    <w:rsid w:val="00C9128F"/>
    <w:rsid w:val="00C91666"/>
    <w:rsid w:val="00C916F0"/>
    <w:rsid w:val="00C91F93"/>
    <w:rsid w:val="00C9219D"/>
    <w:rsid w:val="00C923D5"/>
    <w:rsid w:val="00C92EB0"/>
    <w:rsid w:val="00C94D3C"/>
    <w:rsid w:val="00C94E84"/>
    <w:rsid w:val="00C9502B"/>
    <w:rsid w:val="00CA0D9F"/>
    <w:rsid w:val="00CA18FB"/>
    <w:rsid w:val="00CA1A36"/>
    <w:rsid w:val="00CA1BD1"/>
    <w:rsid w:val="00CA1CEF"/>
    <w:rsid w:val="00CA1E6A"/>
    <w:rsid w:val="00CB030A"/>
    <w:rsid w:val="00CB125C"/>
    <w:rsid w:val="00CB26D4"/>
    <w:rsid w:val="00CB455B"/>
    <w:rsid w:val="00CB4D87"/>
    <w:rsid w:val="00CB53B6"/>
    <w:rsid w:val="00CB7AE4"/>
    <w:rsid w:val="00CC0EC9"/>
    <w:rsid w:val="00CC2188"/>
    <w:rsid w:val="00CC4E6E"/>
    <w:rsid w:val="00CC6E0A"/>
    <w:rsid w:val="00CC7617"/>
    <w:rsid w:val="00CC7935"/>
    <w:rsid w:val="00CD1286"/>
    <w:rsid w:val="00CD17D1"/>
    <w:rsid w:val="00CD20F9"/>
    <w:rsid w:val="00CD33BC"/>
    <w:rsid w:val="00CD66FB"/>
    <w:rsid w:val="00CD67D5"/>
    <w:rsid w:val="00CE2EED"/>
    <w:rsid w:val="00CE6D2A"/>
    <w:rsid w:val="00CE70E4"/>
    <w:rsid w:val="00CF075B"/>
    <w:rsid w:val="00CF0889"/>
    <w:rsid w:val="00CF106A"/>
    <w:rsid w:val="00CF2156"/>
    <w:rsid w:val="00CF3A91"/>
    <w:rsid w:val="00CF41C5"/>
    <w:rsid w:val="00CF4D7B"/>
    <w:rsid w:val="00CF6914"/>
    <w:rsid w:val="00CF7F30"/>
    <w:rsid w:val="00D003A3"/>
    <w:rsid w:val="00D003AF"/>
    <w:rsid w:val="00D0264B"/>
    <w:rsid w:val="00D049C3"/>
    <w:rsid w:val="00D0747E"/>
    <w:rsid w:val="00D07715"/>
    <w:rsid w:val="00D106FE"/>
    <w:rsid w:val="00D10ED3"/>
    <w:rsid w:val="00D125E8"/>
    <w:rsid w:val="00D12D3B"/>
    <w:rsid w:val="00D14535"/>
    <w:rsid w:val="00D14699"/>
    <w:rsid w:val="00D14AA5"/>
    <w:rsid w:val="00D15FDA"/>
    <w:rsid w:val="00D161B7"/>
    <w:rsid w:val="00D20810"/>
    <w:rsid w:val="00D21ED8"/>
    <w:rsid w:val="00D22504"/>
    <w:rsid w:val="00D22A32"/>
    <w:rsid w:val="00D23012"/>
    <w:rsid w:val="00D23BC7"/>
    <w:rsid w:val="00D23F3B"/>
    <w:rsid w:val="00D25D69"/>
    <w:rsid w:val="00D26D9F"/>
    <w:rsid w:val="00D26EC1"/>
    <w:rsid w:val="00D2709A"/>
    <w:rsid w:val="00D302D1"/>
    <w:rsid w:val="00D30569"/>
    <w:rsid w:val="00D31737"/>
    <w:rsid w:val="00D31F30"/>
    <w:rsid w:val="00D31F45"/>
    <w:rsid w:val="00D335BB"/>
    <w:rsid w:val="00D34B05"/>
    <w:rsid w:val="00D35489"/>
    <w:rsid w:val="00D37504"/>
    <w:rsid w:val="00D37996"/>
    <w:rsid w:val="00D40E20"/>
    <w:rsid w:val="00D41D3D"/>
    <w:rsid w:val="00D42530"/>
    <w:rsid w:val="00D42B89"/>
    <w:rsid w:val="00D43AEE"/>
    <w:rsid w:val="00D4725F"/>
    <w:rsid w:val="00D54091"/>
    <w:rsid w:val="00D54B9A"/>
    <w:rsid w:val="00D54F2F"/>
    <w:rsid w:val="00D557F5"/>
    <w:rsid w:val="00D61100"/>
    <w:rsid w:val="00D612CD"/>
    <w:rsid w:val="00D61C45"/>
    <w:rsid w:val="00D62AEF"/>
    <w:rsid w:val="00D62CE1"/>
    <w:rsid w:val="00D64DD6"/>
    <w:rsid w:val="00D6587C"/>
    <w:rsid w:val="00D662D3"/>
    <w:rsid w:val="00D6730F"/>
    <w:rsid w:val="00D72563"/>
    <w:rsid w:val="00D72C4E"/>
    <w:rsid w:val="00D74B04"/>
    <w:rsid w:val="00D756CA"/>
    <w:rsid w:val="00D75A5B"/>
    <w:rsid w:val="00D75C81"/>
    <w:rsid w:val="00D76061"/>
    <w:rsid w:val="00D77713"/>
    <w:rsid w:val="00D7798A"/>
    <w:rsid w:val="00D80053"/>
    <w:rsid w:val="00D82E02"/>
    <w:rsid w:val="00D8307B"/>
    <w:rsid w:val="00D8327C"/>
    <w:rsid w:val="00D836F7"/>
    <w:rsid w:val="00D844A6"/>
    <w:rsid w:val="00D84645"/>
    <w:rsid w:val="00D84B55"/>
    <w:rsid w:val="00D864F8"/>
    <w:rsid w:val="00D86ACF"/>
    <w:rsid w:val="00D879A3"/>
    <w:rsid w:val="00D918A9"/>
    <w:rsid w:val="00D93123"/>
    <w:rsid w:val="00D9320C"/>
    <w:rsid w:val="00D95878"/>
    <w:rsid w:val="00DA527C"/>
    <w:rsid w:val="00DA5B6B"/>
    <w:rsid w:val="00DA5EEB"/>
    <w:rsid w:val="00DA603F"/>
    <w:rsid w:val="00DA700C"/>
    <w:rsid w:val="00DA75C7"/>
    <w:rsid w:val="00DB2EF0"/>
    <w:rsid w:val="00DB4640"/>
    <w:rsid w:val="00DB70DE"/>
    <w:rsid w:val="00DB72D0"/>
    <w:rsid w:val="00DB790F"/>
    <w:rsid w:val="00DC039A"/>
    <w:rsid w:val="00DC045F"/>
    <w:rsid w:val="00DC19CB"/>
    <w:rsid w:val="00DC350C"/>
    <w:rsid w:val="00DC437A"/>
    <w:rsid w:val="00DC44F4"/>
    <w:rsid w:val="00DC45DF"/>
    <w:rsid w:val="00DC6605"/>
    <w:rsid w:val="00DD027E"/>
    <w:rsid w:val="00DD0447"/>
    <w:rsid w:val="00DD67BF"/>
    <w:rsid w:val="00DD688C"/>
    <w:rsid w:val="00DD6E09"/>
    <w:rsid w:val="00DE07FB"/>
    <w:rsid w:val="00DE2607"/>
    <w:rsid w:val="00DE2783"/>
    <w:rsid w:val="00DE27B8"/>
    <w:rsid w:val="00DE3D55"/>
    <w:rsid w:val="00DE466D"/>
    <w:rsid w:val="00DE4C62"/>
    <w:rsid w:val="00DE55BC"/>
    <w:rsid w:val="00DE5707"/>
    <w:rsid w:val="00DE64DE"/>
    <w:rsid w:val="00DE70C6"/>
    <w:rsid w:val="00DF0094"/>
    <w:rsid w:val="00DF07DB"/>
    <w:rsid w:val="00DF0DB1"/>
    <w:rsid w:val="00DF21A8"/>
    <w:rsid w:val="00DF2DC3"/>
    <w:rsid w:val="00DF3A84"/>
    <w:rsid w:val="00DF4EB7"/>
    <w:rsid w:val="00DF5271"/>
    <w:rsid w:val="00DF70F6"/>
    <w:rsid w:val="00DF7939"/>
    <w:rsid w:val="00DF7C6E"/>
    <w:rsid w:val="00E013BE"/>
    <w:rsid w:val="00E01663"/>
    <w:rsid w:val="00E01A46"/>
    <w:rsid w:val="00E03F1C"/>
    <w:rsid w:val="00E04FDE"/>
    <w:rsid w:val="00E070B6"/>
    <w:rsid w:val="00E07A39"/>
    <w:rsid w:val="00E104EF"/>
    <w:rsid w:val="00E125CB"/>
    <w:rsid w:val="00E13C7D"/>
    <w:rsid w:val="00E13EDF"/>
    <w:rsid w:val="00E146EE"/>
    <w:rsid w:val="00E15076"/>
    <w:rsid w:val="00E165C9"/>
    <w:rsid w:val="00E17165"/>
    <w:rsid w:val="00E202E6"/>
    <w:rsid w:val="00E21B3E"/>
    <w:rsid w:val="00E21F7E"/>
    <w:rsid w:val="00E224C3"/>
    <w:rsid w:val="00E2288B"/>
    <w:rsid w:val="00E239D3"/>
    <w:rsid w:val="00E23B83"/>
    <w:rsid w:val="00E23FD1"/>
    <w:rsid w:val="00E25D87"/>
    <w:rsid w:val="00E27377"/>
    <w:rsid w:val="00E300EC"/>
    <w:rsid w:val="00E305F5"/>
    <w:rsid w:val="00E30DEA"/>
    <w:rsid w:val="00E31E46"/>
    <w:rsid w:val="00E3293B"/>
    <w:rsid w:val="00E332F5"/>
    <w:rsid w:val="00E34AE2"/>
    <w:rsid w:val="00E36A37"/>
    <w:rsid w:val="00E372FA"/>
    <w:rsid w:val="00E37601"/>
    <w:rsid w:val="00E42235"/>
    <w:rsid w:val="00E43B3E"/>
    <w:rsid w:val="00E4414C"/>
    <w:rsid w:val="00E443BA"/>
    <w:rsid w:val="00E454CC"/>
    <w:rsid w:val="00E45FB7"/>
    <w:rsid w:val="00E470CE"/>
    <w:rsid w:val="00E478AC"/>
    <w:rsid w:val="00E50F94"/>
    <w:rsid w:val="00E515EB"/>
    <w:rsid w:val="00E528C9"/>
    <w:rsid w:val="00E53D40"/>
    <w:rsid w:val="00E5462E"/>
    <w:rsid w:val="00E61A5B"/>
    <w:rsid w:val="00E64BE9"/>
    <w:rsid w:val="00E65605"/>
    <w:rsid w:val="00E65AFF"/>
    <w:rsid w:val="00E6767D"/>
    <w:rsid w:val="00E71E5D"/>
    <w:rsid w:val="00E73327"/>
    <w:rsid w:val="00E7411A"/>
    <w:rsid w:val="00E76BD7"/>
    <w:rsid w:val="00E77A83"/>
    <w:rsid w:val="00E80977"/>
    <w:rsid w:val="00E82D1B"/>
    <w:rsid w:val="00E83645"/>
    <w:rsid w:val="00E84E98"/>
    <w:rsid w:val="00E85972"/>
    <w:rsid w:val="00E85C9A"/>
    <w:rsid w:val="00E85CB5"/>
    <w:rsid w:val="00E90E9C"/>
    <w:rsid w:val="00E94FB0"/>
    <w:rsid w:val="00E9512C"/>
    <w:rsid w:val="00EA0077"/>
    <w:rsid w:val="00EA0E38"/>
    <w:rsid w:val="00EA1872"/>
    <w:rsid w:val="00EA22A9"/>
    <w:rsid w:val="00EA477B"/>
    <w:rsid w:val="00EA604E"/>
    <w:rsid w:val="00EA6069"/>
    <w:rsid w:val="00EA6536"/>
    <w:rsid w:val="00EA7167"/>
    <w:rsid w:val="00EA78D0"/>
    <w:rsid w:val="00EB0026"/>
    <w:rsid w:val="00EB0384"/>
    <w:rsid w:val="00EB0D56"/>
    <w:rsid w:val="00EB31BB"/>
    <w:rsid w:val="00EB39F8"/>
    <w:rsid w:val="00EB3AE8"/>
    <w:rsid w:val="00EB3DE5"/>
    <w:rsid w:val="00EB6196"/>
    <w:rsid w:val="00EB67F0"/>
    <w:rsid w:val="00EB6B0C"/>
    <w:rsid w:val="00EB6F46"/>
    <w:rsid w:val="00EC058C"/>
    <w:rsid w:val="00EC0B25"/>
    <w:rsid w:val="00EC1BDE"/>
    <w:rsid w:val="00EC1F4B"/>
    <w:rsid w:val="00EC311D"/>
    <w:rsid w:val="00EC3F67"/>
    <w:rsid w:val="00EC5097"/>
    <w:rsid w:val="00EC53C0"/>
    <w:rsid w:val="00ED1413"/>
    <w:rsid w:val="00ED1663"/>
    <w:rsid w:val="00ED23A4"/>
    <w:rsid w:val="00ED3A2D"/>
    <w:rsid w:val="00ED4106"/>
    <w:rsid w:val="00ED4499"/>
    <w:rsid w:val="00ED50F5"/>
    <w:rsid w:val="00ED5149"/>
    <w:rsid w:val="00ED6BE1"/>
    <w:rsid w:val="00ED7099"/>
    <w:rsid w:val="00ED7757"/>
    <w:rsid w:val="00EE009A"/>
    <w:rsid w:val="00EE027B"/>
    <w:rsid w:val="00EE0630"/>
    <w:rsid w:val="00EE13A1"/>
    <w:rsid w:val="00EE285F"/>
    <w:rsid w:val="00EE2893"/>
    <w:rsid w:val="00EE31DF"/>
    <w:rsid w:val="00EE3AE5"/>
    <w:rsid w:val="00EE5B77"/>
    <w:rsid w:val="00EE7702"/>
    <w:rsid w:val="00EE7916"/>
    <w:rsid w:val="00EF1C6E"/>
    <w:rsid w:val="00EF2AE5"/>
    <w:rsid w:val="00EF2C80"/>
    <w:rsid w:val="00EF4D3B"/>
    <w:rsid w:val="00EF52FD"/>
    <w:rsid w:val="00EF6A34"/>
    <w:rsid w:val="00EF7579"/>
    <w:rsid w:val="00EF75D5"/>
    <w:rsid w:val="00EF7B34"/>
    <w:rsid w:val="00F00BE0"/>
    <w:rsid w:val="00F016BD"/>
    <w:rsid w:val="00F026F0"/>
    <w:rsid w:val="00F04496"/>
    <w:rsid w:val="00F05814"/>
    <w:rsid w:val="00F0680A"/>
    <w:rsid w:val="00F06ED0"/>
    <w:rsid w:val="00F12013"/>
    <w:rsid w:val="00F126FC"/>
    <w:rsid w:val="00F12999"/>
    <w:rsid w:val="00F12C0D"/>
    <w:rsid w:val="00F12DA5"/>
    <w:rsid w:val="00F13822"/>
    <w:rsid w:val="00F13E50"/>
    <w:rsid w:val="00F1410C"/>
    <w:rsid w:val="00F14565"/>
    <w:rsid w:val="00F14A70"/>
    <w:rsid w:val="00F175A5"/>
    <w:rsid w:val="00F176ED"/>
    <w:rsid w:val="00F17CC1"/>
    <w:rsid w:val="00F230F1"/>
    <w:rsid w:val="00F275C3"/>
    <w:rsid w:val="00F27B8D"/>
    <w:rsid w:val="00F304FB"/>
    <w:rsid w:val="00F313F8"/>
    <w:rsid w:val="00F315AB"/>
    <w:rsid w:val="00F33E41"/>
    <w:rsid w:val="00F33F07"/>
    <w:rsid w:val="00F34D85"/>
    <w:rsid w:val="00F35871"/>
    <w:rsid w:val="00F35D52"/>
    <w:rsid w:val="00F35F8C"/>
    <w:rsid w:val="00F36C93"/>
    <w:rsid w:val="00F373E1"/>
    <w:rsid w:val="00F410E0"/>
    <w:rsid w:val="00F42574"/>
    <w:rsid w:val="00F43AAC"/>
    <w:rsid w:val="00F45257"/>
    <w:rsid w:val="00F45805"/>
    <w:rsid w:val="00F45CA2"/>
    <w:rsid w:val="00F45D78"/>
    <w:rsid w:val="00F46154"/>
    <w:rsid w:val="00F462F3"/>
    <w:rsid w:val="00F46AD5"/>
    <w:rsid w:val="00F47598"/>
    <w:rsid w:val="00F47DCD"/>
    <w:rsid w:val="00F50813"/>
    <w:rsid w:val="00F50CA4"/>
    <w:rsid w:val="00F50CE7"/>
    <w:rsid w:val="00F51438"/>
    <w:rsid w:val="00F515D3"/>
    <w:rsid w:val="00F5301A"/>
    <w:rsid w:val="00F538BB"/>
    <w:rsid w:val="00F549E7"/>
    <w:rsid w:val="00F54AA2"/>
    <w:rsid w:val="00F55237"/>
    <w:rsid w:val="00F5550D"/>
    <w:rsid w:val="00F55934"/>
    <w:rsid w:val="00F57CF3"/>
    <w:rsid w:val="00F60C92"/>
    <w:rsid w:val="00F60E82"/>
    <w:rsid w:val="00F618BB"/>
    <w:rsid w:val="00F62689"/>
    <w:rsid w:val="00F62FB3"/>
    <w:rsid w:val="00F6302F"/>
    <w:rsid w:val="00F64EF0"/>
    <w:rsid w:val="00F65518"/>
    <w:rsid w:val="00F67625"/>
    <w:rsid w:val="00F70AD4"/>
    <w:rsid w:val="00F71828"/>
    <w:rsid w:val="00F7191C"/>
    <w:rsid w:val="00F73671"/>
    <w:rsid w:val="00F76B14"/>
    <w:rsid w:val="00F80938"/>
    <w:rsid w:val="00F81487"/>
    <w:rsid w:val="00F849F9"/>
    <w:rsid w:val="00F85F21"/>
    <w:rsid w:val="00F90CF5"/>
    <w:rsid w:val="00F90D68"/>
    <w:rsid w:val="00F90E69"/>
    <w:rsid w:val="00F91AD8"/>
    <w:rsid w:val="00F922B1"/>
    <w:rsid w:val="00FA0E80"/>
    <w:rsid w:val="00FA1CBD"/>
    <w:rsid w:val="00FA2C07"/>
    <w:rsid w:val="00FA32BE"/>
    <w:rsid w:val="00FA56EF"/>
    <w:rsid w:val="00FA5D99"/>
    <w:rsid w:val="00FA5F0B"/>
    <w:rsid w:val="00FA6505"/>
    <w:rsid w:val="00FA6F1C"/>
    <w:rsid w:val="00FA72F6"/>
    <w:rsid w:val="00FB0E58"/>
    <w:rsid w:val="00FB0FB6"/>
    <w:rsid w:val="00FB10A3"/>
    <w:rsid w:val="00FB36D4"/>
    <w:rsid w:val="00FB3B0F"/>
    <w:rsid w:val="00FB510B"/>
    <w:rsid w:val="00FB5690"/>
    <w:rsid w:val="00FB5D1B"/>
    <w:rsid w:val="00FB68C8"/>
    <w:rsid w:val="00FB75F9"/>
    <w:rsid w:val="00FB76D2"/>
    <w:rsid w:val="00FB7C5A"/>
    <w:rsid w:val="00FC1C97"/>
    <w:rsid w:val="00FC26BF"/>
    <w:rsid w:val="00FC2D26"/>
    <w:rsid w:val="00FC423E"/>
    <w:rsid w:val="00FC523E"/>
    <w:rsid w:val="00FC6CE0"/>
    <w:rsid w:val="00FC7232"/>
    <w:rsid w:val="00FC7525"/>
    <w:rsid w:val="00FD02C5"/>
    <w:rsid w:val="00FD1A30"/>
    <w:rsid w:val="00FD418F"/>
    <w:rsid w:val="00FD4365"/>
    <w:rsid w:val="00FD4D39"/>
    <w:rsid w:val="00FD4F52"/>
    <w:rsid w:val="00FD532F"/>
    <w:rsid w:val="00FD5E40"/>
    <w:rsid w:val="00FD6485"/>
    <w:rsid w:val="00FD7589"/>
    <w:rsid w:val="00FE1CF6"/>
    <w:rsid w:val="00FE1EF3"/>
    <w:rsid w:val="00FE315D"/>
    <w:rsid w:val="00FE3182"/>
    <w:rsid w:val="00FE41E1"/>
    <w:rsid w:val="00FE55F1"/>
    <w:rsid w:val="00FE6567"/>
    <w:rsid w:val="00FF07E9"/>
    <w:rsid w:val="00FF213C"/>
    <w:rsid w:val="00FF2889"/>
    <w:rsid w:val="00FF2C66"/>
    <w:rsid w:val="00FF410C"/>
    <w:rsid w:val="00FF4D81"/>
    <w:rsid w:val="00FF57F9"/>
    <w:rsid w:val="00FF5E9F"/>
    <w:rsid w:val="00FF6CBD"/>
    <w:rsid w:val="00FF75F5"/>
    <w:rsid w:val="00FF7C3A"/>
    <w:rsid w:val="01091FB1"/>
    <w:rsid w:val="01213882"/>
    <w:rsid w:val="012B6AE6"/>
    <w:rsid w:val="01382A72"/>
    <w:rsid w:val="013C690E"/>
    <w:rsid w:val="01400D78"/>
    <w:rsid w:val="0141725F"/>
    <w:rsid w:val="01592D24"/>
    <w:rsid w:val="017165B7"/>
    <w:rsid w:val="01775986"/>
    <w:rsid w:val="01844BDB"/>
    <w:rsid w:val="01885E23"/>
    <w:rsid w:val="01891B53"/>
    <w:rsid w:val="018E7ABF"/>
    <w:rsid w:val="01940E85"/>
    <w:rsid w:val="019501C8"/>
    <w:rsid w:val="0198796C"/>
    <w:rsid w:val="019A0A09"/>
    <w:rsid w:val="019D73AC"/>
    <w:rsid w:val="01A241DB"/>
    <w:rsid w:val="01B96C47"/>
    <w:rsid w:val="01C133B8"/>
    <w:rsid w:val="01C71DF0"/>
    <w:rsid w:val="01C77B99"/>
    <w:rsid w:val="01D54001"/>
    <w:rsid w:val="01F978D8"/>
    <w:rsid w:val="02053ECA"/>
    <w:rsid w:val="020C01CA"/>
    <w:rsid w:val="020F2171"/>
    <w:rsid w:val="022B3FFE"/>
    <w:rsid w:val="023B2AFC"/>
    <w:rsid w:val="02463B94"/>
    <w:rsid w:val="026A34B4"/>
    <w:rsid w:val="026C549F"/>
    <w:rsid w:val="026F2119"/>
    <w:rsid w:val="027179F0"/>
    <w:rsid w:val="027C5214"/>
    <w:rsid w:val="028247F4"/>
    <w:rsid w:val="029274C2"/>
    <w:rsid w:val="02A27E2B"/>
    <w:rsid w:val="02A3645B"/>
    <w:rsid w:val="02A429BD"/>
    <w:rsid w:val="02A82C73"/>
    <w:rsid w:val="02A926DE"/>
    <w:rsid w:val="02AB0393"/>
    <w:rsid w:val="02B53906"/>
    <w:rsid w:val="02BA0E46"/>
    <w:rsid w:val="02CB7387"/>
    <w:rsid w:val="02D634CE"/>
    <w:rsid w:val="02DB3277"/>
    <w:rsid w:val="02E70FF2"/>
    <w:rsid w:val="02F142EC"/>
    <w:rsid w:val="02F74F1B"/>
    <w:rsid w:val="02F75AEA"/>
    <w:rsid w:val="02F778BD"/>
    <w:rsid w:val="03070BD7"/>
    <w:rsid w:val="03121468"/>
    <w:rsid w:val="03196F07"/>
    <w:rsid w:val="03302911"/>
    <w:rsid w:val="03496160"/>
    <w:rsid w:val="03681C3C"/>
    <w:rsid w:val="036B5288"/>
    <w:rsid w:val="036B69EA"/>
    <w:rsid w:val="03763668"/>
    <w:rsid w:val="03822C68"/>
    <w:rsid w:val="038B1C6A"/>
    <w:rsid w:val="039F2BBC"/>
    <w:rsid w:val="03A314B9"/>
    <w:rsid w:val="03A33962"/>
    <w:rsid w:val="03AC1B29"/>
    <w:rsid w:val="03D1333D"/>
    <w:rsid w:val="03D96AC5"/>
    <w:rsid w:val="04067E50"/>
    <w:rsid w:val="04133BA9"/>
    <w:rsid w:val="041B6CAE"/>
    <w:rsid w:val="042913CB"/>
    <w:rsid w:val="042E35B9"/>
    <w:rsid w:val="04402271"/>
    <w:rsid w:val="045F6B9B"/>
    <w:rsid w:val="04732647"/>
    <w:rsid w:val="0486168A"/>
    <w:rsid w:val="04883EB2"/>
    <w:rsid w:val="049D750D"/>
    <w:rsid w:val="04A24CDA"/>
    <w:rsid w:val="04A32778"/>
    <w:rsid w:val="04A92EE3"/>
    <w:rsid w:val="04AB1D13"/>
    <w:rsid w:val="04B7715C"/>
    <w:rsid w:val="04C821F7"/>
    <w:rsid w:val="04DE0A3C"/>
    <w:rsid w:val="04E050DE"/>
    <w:rsid w:val="04E10804"/>
    <w:rsid w:val="04E35A1E"/>
    <w:rsid w:val="04F35535"/>
    <w:rsid w:val="04FA6940"/>
    <w:rsid w:val="05027B01"/>
    <w:rsid w:val="05071955"/>
    <w:rsid w:val="050B36B6"/>
    <w:rsid w:val="05145BD8"/>
    <w:rsid w:val="051E3875"/>
    <w:rsid w:val="051E68C2"/>
    <w:rsid w:val="0533125B"/>
    <w:rsid w:val="053F0E49"/>
    <w:rsid w:val="0544731E"/>
    <w:rsid w:val="05475D28"/>
    <w:rsid w:val="054D74A5"/>
    <w:rsid w:val="054F4EE9"/>
    <w:rsid w:val="05595CE0"/>
    <w:rsid w:val="056B1EC6"/>
    <w:rsid w:val="05760640"/>
    <w:rsid w:val="057614DC"/>
    <w:rsid w:val="057818E6"/>
    <w:rsid w:val="058501AE"/>
    <w:rsid w:val="058663AA"/>
    <w:rsid w:val="058D14E6"/>
    <w:rsid w:val="059115CF"/>
    <w:rsid w:val="05AD22AA"/>
    <w:rsid w:val="05B662F4"/>
    <w:rsid w:val="05C42AA9"/>
    <w:rsid w:val="05C96278"/>
    <w:rsid w:val="05CB200E"/>
    <w:rsid w:val="05F131A3"/>
    <w:rsid w:val="06003BD8"/>
    <w:rsid w:val="06063CBF"/>
    <w:rsid w:val="061741A3"/>
    <w:rsid w:val="062331C8"/>
    <w:rsid w:val="063319A2"/>
    <w:rsid w:val="063764C7"/>
    <w:rsid w:val="0650730D"/>
    <w:rsid w:val="06555E73"/>
    <w:rsid w:val="065709EF"/>
    <w:rsid w:val="06581AF4"/>
    <w:rsid w:val="065C34DF"/>
    <w:rsid w:val="065D710A"/>
    <w:rsid w:val="065E2E82"/>
    <w:rsid w:val="06AB5586"/>
    <w:rsid w:val="06BA1363"/>
    <w:rsid w:val="06C41BC0"/>
    <w:rsid w:val="06C90ED3"/>
    <w:rsid w:val="06CB44B7"/>
    <w:rsid w:val="06CC42F7"/>
    <w:rsid w:val="06D62A99"/>
    <w:rsid w:val="06EE20B1"/>
    <w:rsid w:val="06FE40F2"/>
    <w:rsid w:val="07100621"/>
    <w:rsid w:val="072D2F81"/>
    <w:rsid w:val="073D00CA"/>
    <w:rsid w:val="073F4A62"/>
    <w:rsid w:val="07494F76"/>
    <w:rsid w:val="074A73F6"/>
    <w:rsid w:val="07511ECA"/>
    <w:rsid w:val="075B63E2"/>
    <w:rsid w:val="07747737"/>
    <w:rsid w:val="077479C5"/>
    <w:rsid w:val="077F1631"/>
    <w:rsid w:val="07852DBD"/>
    <w:rsid w:val="078533E8"/>
    <w:rsid w:val="078933B7"/>
    <w:rsid w:val="078C70EF"/>
    <w:rsid w:val="07A00A4C"/>
    <w:rsid w:val="07A07BF6"/>
    <w:rsid w:val="07A5356E"/>
    <w:rsid w:val="07A54CCF"/>
    <w:rsid w:val="07B1625B"/>
    <w:rsid w:val="07D96E9C"/>
    <w:rsid w:val="07E850FA"/>
    <w:rsid w:val="07F41E54"/>
    <w:rsid w:val="080612A7"/>
    <w:rsid w:val="080D4B60"/>
    <w:rsid w:val="08125B1A"/>
    <w:rsid w:val="081B102B"/>
    <w:rsid w:val="082045DB"/>
    <w:rsid w:val="083052C9"/>
    <w:rsid w:val="083F6977"/>
    <w:rsid w:val="08534B88"/>
    <w:rsid w:val="085A0E45"/>
    <w:rsid w:val="085E6EED"/>
    <w:rsid w:val="0891753F"/>
    <w:rsid w:val="08986B20"/>
    <w:rsid w:val="08996192"/>
    <w:rsid w:val="08AB6853"/>
    <w:rsid w:val="08B16C34"/>
    <w:rsid w:val="08D0546F"/>
    <w:rsid w:val="08D107D5"/>
    <w:rsid w:val="08D37B58"/>
    <w:rsid w:val="08D5262E"/>
    <w:rsid w:val="08D631A4"/>
    <w:rsid w:val="08E40179"/>
    <w:rsid w:val="08EC3869"/>
    <w:rsid w:val="08EE243C"/>
    <w:rsid w:val="08F062C2"/>
    <w:rsid w:val="09023F99"/>
    <w:rsid w:val="090A2990"/>
    <w:rsid w:val="090B19E1"/>
    <w:rsid w:val="0910646C"/>
    <w:rsid w:val="09114527"/>
    <w:rsid w:val="092C684B"/>
    <w:rsid w:val="095567BF"/>
    <w:rsid w:val="09743F64"/>
    <w:rsid w:val="098C2FDB"/>
    <w:rsid w:val="098D6AC9"/>
    <w:rsid w:val="09920286"/>
    <w:rsid w:val="09AC6517"/>
    <w:rsid w:val="09AE1DD4"/>
    <w:rsid w:val="09B14F6D"/>
    <w:rsid w:val="09BB48A6"/>
    <w:rsid w:val="09BE4894"/>
    <w:rsid w:val="09BF59D6"/>
    <w:rsid w:val="09E15530"/>
    <w:rsid w:val="09FD483E"/>
    <w:rsid w:val="09FE160D"/>
    <w:rsid w:val="0A04627D"/>
    <w:rsid w:val="0A131366"/>
    <w:rsid w:val="0A1B58FF"/>
    <w:rsid w:val="0A1C108A"/>
    <w:rsid w:val="0A1D7861"/>
    <w:rsid w:val="0A245017"/>
    <w:rsid w:val="0A2952E4"/>
    <w:rsid w:val="0A34224F"/>
    <w:rsid w:val="0A513888"/>
    <w:rsid w:val="0A6D7B49"/>
    <w:rsid w:val="0A747BD7"/>
    <w:rsid w:val="0A7D6541"/>
    <w:rsid w:val="0AAD02CE"/>
    <w:rsid w:val="0ABB645C"/>
    <w:rsid w:val="0AD11D45"/>
    <w:rsid w:val="0AD16319"/>
    <w:rsid w:val="0AD3776C"/>
    <w:rsid w:val="0AE0655C"/>
    <w:rsid w:val="0AE903B8"/>
    <w:rsid w:val="0AEB1110"/>
    <w:rsid w:val="0B1873A5"/>
    <w:rsid w:val="0B2C56BA"/>
    <w:rsid w:val="0B664CB3"/>
    <w:rsid w:val="0B696551"/>
    <w:rsid w:val="0B7462A1"/>
    <w:rsid w:val="0B9A22D9"/>
    <w:rsid w:val="0BA16641"/>
    <w:rsid w:val="0BBE0E0C"/>
    <w:rsid w:val="0BBE689D"/>
    <w:rsid w:val="0BD07D28"/>
    <w:rsid w:val="0BD22349"/>
    <w:rsid w:val="0BDC6D23"/>
    <w:rsid w:val="0C254868"/>
    <w:rsid w:val="0C5E4195"/>
    <w:rsid w:val="0C8F4B36"/>
    <w:rsid w:val="0CA9342A"/>
    <w:rsid w:val="0CAC6BB6"/>
    <w:rsid w:val="0CBB26FC"/>
    <w:rsid w:val="0CBF5DD4"/>
    <w:rsid w:val="0CC34F37"/>
    <w:rsid w:val="0CC71781"/>
    <w:rsid w:val="0CDD2D53"/>
    <w:rsid w:val="0CE95576"/>
    <w:rsid w:val="0CEA1C84"/>
    <w:rsid w:val="0CEA5470"/>
    <w:rsid w:val="0CEC3980"/>
    <w:rsid w:val="0CF4642C"/>
    <w:rsid w:val="0CF62067"/>
    <w:rsid w:val="0CF626F0"/>
    <w:rsid w:val="0CFE2CC9"/>
    <w:rsid w:val="0D020A0B"/>
    <w:rsid w:val="0D0A78C0"/>
    <w:rsid w:val="0D132C19"/>
    <w:rsid w:val="0D147A2B"/>
    <w:rsid w:val="0D1E3490"/>
    <w:rsid w:val="0D363A05"/>
    <w:rsid w:val="0D5B011C"/>
    <w:rsid w:val="0D643474"/>
    <w:rsid w:val="0D7041A5"/>
    <w:rsid w:val="0D784644"/>
    <w:rsid w:val="0D7D4164"/>
    <w:rsid w:val="0D7F6BA7"/>
    <w:rsid w:val="0D864353"/>
    <w:rsid w:val="0D950EE7"/>
    <w:rsid w:val="0D98311E"/>
    <w:rsid w:val="0D9F61E8"/>
    <w:rsid w:val="0DA77418"/>
    <w:rsid w:val="0DBC6828"/>
    <w:rsid w:val="0DC451BB"/>
    <w:rsid w:val="0DCA2A4D"/>
    <w:rsid w:val="0DCF52F2"/>
    <w:rsid w:val="0DD505F0"/>
    <w:rsid w:val="0DDA7292"/>
    <w:rsid w:val="0DEA5E6A"/>
    <w:rsid w:val="0DF746D5"/>
    <w:rsid w:val="0DF75996"/>
    <w:rsid w:val="0DFC36FB"/>
    <w:rsid w:val="0E07732B"/>
    <w:rsid w:val="0E0B38F0"/>
    <w:rsid w:val="0E2B5D40"/>
    <w:rsid w:val="0E3B2427"/>
    <w:rsid w:val="0E717ED5"/>
    <w:rsid w:val="0E826B13"/>
    <w:rsid w:val="0E914EA6"/>
    <w:rsid w:val="0EA53D44"/>
    <w:rsid w:val="0EAA20CA"/>
    <w:rsid w:val="0EB37705"/>
    <w:rsid w:val="0EC51FBE"/>
    <w:rsid w:val="0ECB1AC7"/>
    <w:rsid w:val="0EDD528C"/>
    <w:rsid w:val="0EE859DF"/>
    <w:rsid w:val="0EEC7DE1"/>
    <w:rsid w:val="0F0D26CC"/>
    <w:rsid w:val="0F184ADA"/>
    <w:rsid w:val="0F1E7653"/>
    <w:rsid w:val="0F2A0243"/>
    <w:rsid w:val="0F511725"/>
    <w:rsid w:val="0F566293"/>
    <w:rsid w:val="0F6D407D"/>
    <w:rsid w:val="0F7554C5"/>
    <w:rsid w:val="0F785122"/>
    <w:rsid w:val="0F791B3B"/>
    <w:rsid w:val="0F877ADA"/>
    <w:rsid w:val="0F8B4CE8"/>
    <w:rsid w:val="0F964CB9"/>
    <w:rsid w:val="0FA1669B"/>
    <w:rsid w:val="0FAD3935"/>
    <w:rsid w:val="0FB0474F"/>
    <w:rsid w:val="0FB87AA7"/>
    <w:rsid w:val="0FC41FA8"/>
    <w:rsid w:val="0FE02A3F"/>
    <w:rsid w:val="0FEC2EFE"/>
    <w:rsid w:val="100D394F"/>
    <w:rsid w:val="10264A11"/>
    <w:rsid w:val="103A0073"/>
    <w:rsid w:val="104A5783"/>
    <w:rsid w:val="108958F5"/>
    <w:rsid w:val="108A1444"/>
    <w:rsid w:val="108C25A3"/>
    <w:rsid w:val="1097590F"/>
    <w:rsid w:val="10985021"/>
    <w:rsid w:val="10A25F15"/>
    <w:rsid w:val="10A5627E"/>
    <w:rsid w:val="10A65B52"/>
    <w:rsid w:val="10D53A58"/>
    <w:rsid w:val="10EF538B"/>
    <w:rsid w:val="10F32A84"/>
    <w:rsid w:val="112A6193"/>
    <w:rsid w:val="11312DC0"/>
    <w:rsid w:val="113D2012"/>
    <w:rsid w:val="11406595"/>
    <w:rsid w:val="11435CA2"/>
    <w:rsid w:val="114535BD"/>
    <w:rsid w:val="114701EB"/>
    <w:rsid w:val="115A6AF4"/>
    <w:rsid w:val="11863B82"/>
    <w:rsid w:val="118848CF"/>
    <w:rsid w:val="11A77389"/>
    <w:rsid w:val="11A958FA"/>
    <w:rsid w:val="11B67DC6"/>
    <w:rsid w:val="11C11380"/>
    <w:rsid w:val="11CD4F19"/>
    <w:rsid w:val="11D74C92"/>
    <w:rsid w:val="11DE1DC1"/>
    <w:rsid w:val="12040109"/>
    <w:rsid w:val="12092462"/>
    <w:rsid w:val="120F2891"/>
    <w:rsid w:val="12135F22"/>
    <w:rsid w:val="121D403F"/>
    <w:rsid w:val="121E6FA2"/>
    <w:rsid w:val="122A07E9"/>
    <w:rsid w:val="1235395E"/>
    <w:rsid w:val="12443F91"/>
    <w:rsid w:val="1247165B"/>
    <w:rsid w:val="124A1C7E"/>
    <w:rsid w:val="128451C7"/>
    <w:rsid w:val="12933085"/>
    <w:rsid w:val="12946CCB"/>
    <w:rsid w:val="129E2710"/>
    <w:rsid w:val="129F7C67"/>
    <w:rsid w:val="12A25AA4"/>
    <w:rsid w:val="12B419C2"/>
    <w:rsid w:val="12C53BE4"/>
    <w:rsid w:val="12CE603E"/>
    <w:rsid w:val="12D1078B"/>
    <w:rsid w:val="12EA441C"/>
    <w:rsid w:val="12EA6C3E"/>
    <w:rsid w:val="12EE06F0"/>
    <w:rsid w:val="12F75244"/>
    <w:rsid w:val="12FC5EFD"/>
    <w:rsid w:val="1301365C"/>
    <w:rsid w:val="130C25E4"/>
    <w:rsid w:val="13115B9B"/>
    <w:rsid w:val="13217712"/>
    <w:rsid w:val="13290B0A"/>
    <w:rsid w:val="13291396"/>
    <w:rsid w:val="13380DD8"/>
    <w:rsid w:val="133E6515"/>
    <w:rsid w:val="1344521A"/>
    <w:rsid w:val="134804D3"/>
    <w:rsid w:val="135D4BC9"/>
    <w:rsid w:val="1364306F"/>
    <w:rsid w:val="13645ACB"/>
    <w:rsid w:val="13663FB1"/>
    <w:rsid w:val="137F2DB6"/>
    <w:rsid w:val="138B3007"/>
    <w:rsid w:val="13DC1FB6"/>
    <w:rsid w:val="13E67280"/>
    <w:rsid w:val="13E957B5"/>
    <w:rsid w:val="13F54664"/>
    <w:rsid w:val="141554C8"/>
    <w:rsid w:val="141A488D"/>
    <w:rsid w:val="14327E28"/>
    <w:rsid w:val="14412BB2"/>
    <w:rsid w:val="14445B3F"/>
    <w:rsid w:val="14510223"/>
    <w:rsid w:val="145219D7"/>
    <w:rsid w:val="145C0215"/>
    <w:rsid w:val="1460770F"/>
    <w:rsid w:val="146E6986"/>
    <w:rsid w:val="146F2D0E"/>
    <w:rsid w:val="14A8037D"/>
    <w:rsid w:val="14B95E54"/>
    <w:rsid w:val="14C10AEB"/>
    <w:rsid w:val="14C91E0F"/>
    <w:rsid w:val="14E969EF"/>
    <w:rsid w:val="150F1F18"/>
    <w:rsid w:val="151B4D60"/>
    <w:rsid w:val="151E4C56"/>
    <w:rsid w:val="151E65FF"/>
    <w:rsid w:val="152D05F0"/>
    <w:rsid w:val="15367D49"/>
    <w:rsid w:val="15434204"/>
    <w:rsid w:val="15516C03"/>
    <w:rsid w:val="155609F9"/>
    <w:rsid w:val="15571597"/>
    <w:rsid w:val="155B515D"/>
    <w:rsid w:val="155E3968"/>
    <w:rsid w:val="15635A69"/>
    <w:rsid w:val="1566325A"/>
    <w:rsid w:val="156839D6"/>
    <w:rsid w:val="156B5F7D"/>
    <w:rsid w:val="157410AC"/>
    <w:rsid w:val="158D06CE"/>
    <w:rsid w:val="15A078BC"/>
    <w:rsid w:val="15AE733A"/>
    <w:rsid w:val="15B14D7D"/>
    <w:rsid w:val="15B31140"/>
    <w:rsid w:val="15BE3D91"/>
    <w:rsid w:val="15C9016D"/>
    <w:rsid w:val="15D373E9"/>
    <w:rsid w:val="15DE1064"/>
    <w:rsid w:val="15E46F00"/>
    <w:rsid w:val="15E50ECA"/>
    <w:rsid w:val="15E92769"/>
    <w:rsid w:val="15F01D32"/>
    <w:rsid w:val="16005D04"/>
    <w:rsid w:val="16061BAE"/>
    <w:rsid w:val="16090E6F"/>
    <w:rsid w:val="16122AC5"/>
    <w:rsid w:val="161F6D30"/>
    <w:rsid w:val="162D2727"/>
    <w:rsid w:val="16310AD5"/>
    <w:rsid w:val="163E1CC0"/>
    <w:rsid w:val="164A7928"/>
    <w:rsid w:val="164C6D98"/>
    <w:rsid w:val="164F2A01"/>
    <w:rsid w:val="165A3938"/>
    <w:rsid w:val="165A5E55"/>
    <w:rsid w:val="1661486F"/>
    <w:rsid w:val="166A175B"/>
    <w:rsid w:val="16734728"/>
    <w:rsid w:val="168241F9"/>
    <w:rsid w:val="16900E36"/>
    <w:rsid w:val="16A3500D"/>
    <w:rsid w:val="16C042BD"/>
    <w:rsid w:val="16C62716"/>
    <w:rsid w:val="16CF48C3"/>
    <w:rsid w:val="16D16AA9"/>
    <w:rsid w:val="16D3646B"/>
    <w:rsid w:val="16E66D61"/>
    <w:rsid w:val="16EB42BE"/>
    <w:rsid w:val="16F05D79"/>
    <w:rsid w:val="16F520D5"/>
    <w:rsid w:val="16F93153"/>
    <w:rsid w:val="16F94C2D"/>
    <w:rsid w:val="17066928"/>
    <w:rsid w:val="1709092B"/>
    <w:rsid w:val="1714775C"/>
    <w:rsid w:val="171D6872"/>
    <w:rsid w:val="1727550F"/>
    <w:rsid w:val="172A1253"/>
    <w:rsid w:val="172D2B29"/>
    <w:rsid w:val="17412BF5"/>
    <w:rsid w:val="1742207E"/>
    <w:rsid w:val="17623505"/>
    <w:rsid w:val="1767603B"/>
    <w:rsid w:val="17680005"/>
    <w:rsid w:val="176B41F6"/>
    <w:rsid w:val="1785299A"/>
    <w:rsid w:val="178932DE"/>
    <w:rsid w:val="17A60B24"/>
    <w:rsid w:val="17AC119B"/>
    <w:rsid w:val="17B9493E"/>
    <w:rsid w:val="17BB0135"/>
    <w:rsid w:val="17BF37AC"/>
    <w:rsid w:val="17C214C3"/>
    <w:rsid w:val="17DD4930"/>
    <w:rsid w:val="17EA0A1A"/>
    <w:rsid w:val="17EF6030"/>
    <w:rsid w:val="17F43C69"/>
    <w:rsid w:val="182E6B59"/>
    <w:rsid w:val="183124A5"/>
    <w:rsid w:val="18314603"/>
    <w:rsid w:val="183A07EC"/>
    <w:rsid w:val="183E6899"/>
    <w:rsid w:val="1847093C"/>
    <w:rsid w:val="186938B7"/>
    <w:rsid w:val="188977EB"/>
    <w:rsid w:val="18904498"/>
    <w:rsid w:val="1898547C"/>
    <w:rsid w:val="189C0CED"/>
    <w:rsid w:val="18A3471E"/>
    <w:rsid w:val="18A62B93"/>
    <w:rsid w:val="18A97C51"/>
    <w:rsid w:val="18BC5F12"/>
    <w:rsid w:val="18C416C5"/>
    <w:rsid w:val="18E6320F"/>
    <w:rsid w:val="18E86C1D"/>
    <w:rsid w:val="18F22BD0"/>
    <w:rsid w:val="18FC6C57"/>
    <w:rsid w:val="19094ED0"/>
    <w:rsid w:val="190A23F2"/>
    <w:rsid w:val="19145D4E"/>
    <w:rsid w:val="191C3FB7"/>
    <w:rsid w:val="192048F7"/>
    <w:rsid w:val="192B2C0A"/>
    <w:rsid w:val="192B4DF7"/>
    <w:rsid w:val="192D5062"/>
    <w:rsid w:val="193B4ACA"/>
    <w:rsid w:val="193C52A5"/>
    <w:rsid w:val="194440D5"/>
    <w:rsid w:val="1969287C"/>
    <w:rsid w:val="196F1D79"/>
    <w:rsid w:val="196F7429"/>
    <w:rsid w:val="198A4D50"/>
    <w:rsid w:val="199B16E5"/>
    <w:rsid w:val="19B34FBB"/>
    <w:rsid w:val="19BA6371"/>
    <w:rsid w:val="19CC06F7"/>
    <w:rsid w:val="19E5256C"/>
    <w:rsid w:val="19F90D7B"/>
    <w:rsid w:val="1A1C16AE"/>
    <w:rsid w:val="1A3B555D"/>
    <w:rsid w:val="1A457B27"/>
    <w:rsid w:val="1A4964D8"/>
    <w:rsid w:val="1A6D37C2"/>
    <w:rsid w:val="1A7171D0"/>
    <w:rsid w:val="1A77355B"/>
    <w:rsid w:val="1A8667BD"/>
    <w:rsid w:val="1A9D1D1D"/>
    <w:rsid w:val="1AA9696A"/>
    <w:rsid w:val="1ABA0B77"/>
    <w:rsid w:val="1AD339E7"/>
    <w:rsid w:val="1AF6583C"/>
    <w:rsid w:val="1B041DF3"/>
    <w:rsid w:val="1B102545"/>
    <w:rsid w:val="1B1C0EEA"/>
    <w:rsid w:val="1B206F5C"/>
    <w:rsid w:val="1B395F40"/>
    <w:rsid w:val="1B544879"/>
    <w:rsid w:val="1B5763C6"/>
    <w:rsid w:val="1B7A20B5"/>
    <w:rsid w:val="1B7B66B5"/>
    <w:rsid w:val="1B836D75"/>
    <w:rsid w:val="1B990FB2"/>
    <w:rsid w:val="1B9D3974"/>
    <w:rsid w:val="1BAF1D5E"/>
    <w:rsid w:val="1BC51582"/>
    <w:rsid w:val="1BC57376"/>
    <w:rsid w:val="1BCD0070"/>
    <w:rsid w:val="1BCD4697"/>
    <w:rsid w:val="1BDC35DF"/>
    <w:rsid w:val="1BF57FD0"/>
    <w:rsid w:val="1C011A73"/>
    <w:rsid w:val="1C077DEC"/>
    <w:rsid w:val="1C1E0544"/>
    <w:rsid w:val="1C225F98"/>
    <w:rsid w:val="1C272EF4"/>
    <w:rsid w:val="1C284952"/>
    <w:rsid w:val="1C2F2E9F"/>
    <w:rsid w:val="1C3B5CE8"/>
    <w:rsid w:val="1C4E2B63"/>
    <w:rsid w:val="1C4F709D"/>
    <w:rsid w:val="1C672639"/>
    <w:rsid w:val="1C6C7C4F"/>
    <w:rsid w:val="1C72388E"/>
    <w:rsid w:val="1C7A6810"/>
    <w:rsid w:val="1C957073"/>
    <w:rsid w:val="1CA21A6F"/>
    <w:rsid w:val="1CA94DBE"/>
    <w:rsid w:val="1CAA0778"/>
    <w:rsid w:val="1CB00416"/>
    <w:rsid w:val="1CC161ED"/>
    <w:rsid w:val="1CC63804"/>
    <w:rsid w:val="1CD5426B"/>
    <w:rsid w:val="1CE4012E"/>
    <w:rsid w:val="1CEC4854"/>
    <w:rsid w:val="1CF64D1B"/>
    <w:rsid w:val="1CFB1847"/>
    <w:rsid w:val="1CFC7811"/>
    <w:rsid w:val="1D0D2C58"/>
    <w:rsid w:val="1D122238"/>
    <w:rsid w:val="1D13456F"/>
    <w:rsid w:val="1D320A97"/>
    <w:rsid w:val="1D32554B"/>
    <w:rsid w:val="1D3541D9"/>
    <w:rsid w:val="1D3D339A"/>
    <w:rsid w:val="1D3E6FE0"/>
    <w:rsid w:val="1D4F2685"/>
    <w:rsid w:val="1D570895"/>
    <w:rsid w:val="1D674F2B"/>
    <w:rsid w:val="1D7A073C"/>
    <w:rsid w:val="1D7C4F1D"/>
    <w:rsid w:val="1DA63635"/>
    <w:rsid w:val="1DAD6772"/>
    <w:rsid w:val="1DB23C39"/>
    <w:rsid w:val="1DBA0B1F"/>
    <w:rsid w:val="1DC4028C"/>
    <w:rsid w:val="1DC71EB4"/>
    <w:rsid w:val="1DCA2399"/>
    <w:rsid w:val="1DCC4D58"/>
    <w:rsid w:val="1DD106B2"/>
    <w:rsid w:val="1DD54077"/>
    <w:rsid w:val="1DE30A61"/>
    <w:rsid w:val="1DED6B6E"/>
    <w:rsid w:val="1DFB4D49"/>
    <w:rsid w:val="1E14430A"/>
    <w:rsid w:val="1E20667A"/>
    <w:rsid w:val="1E2352F7"/>
    <w:rsid w:val="1E2F098E"/>
    <w:rsid w:val="1E3E2D25"/>
    <w:rsid w:val="1E4507E4"/>
    <w:rsid w:val="1E51534F"/>
    <w:rsid w:val="1E5C01C2"/>
    <w:rsid w:val="1E6210B8"/>
    <w:rsid w:val="1E6432D4"/>
    <w:rsid w:val="1E764DB5"/>
    <w:rsid w:val="1E8511F3"/>
    <w:rsid w:val="1EB06519"/>
    <w:rsid w:val="1EB449C0"/>
    <w:rsid w:val="1EC014EF"/>
    <w:rsid w:val="1EC664F8"/>
    <w:rsid w:val="1EDA6951"/>
    <w:rsid w:val="1EF45F00"/>
    <w:rsid w:val="1EF734A5"/>
    <w:rsid w:val="1EF74148"/>
    <w:rsid w:val="1F08542E"/>
    <w:rsid w:val="1F1E7D70"/>
    <w:rsid w:val="1F3A0BDF"/>
    <w:rsid w:val="1F726943"/>
    <w:rsid w:val="1F7E6617"/>
    <w:rsid w:val="1F8261F3"/>
    <w:rsid w:val="1FA84089"/>
    <w:rsid w:val="1FAF4489"/>
    <w:rsid w:val="1FB42039"/>
    <w:rsid w:val="1FC13108"/>
    <w:rsid w:val="1FD004F5"/>
    <w:rsid w:val="1FD64AF8"/>
    <w:rsid w:val="1FD93027"/>
    <w:rsid w:val="1FDC744A"/>
    <w:rsid w:val="1FF57F5C"/>
    <w:rsid w:val="1FF91559"/>
    <w:rsid w:val="1FFD700C"/>
    <w:rsid w:val="20087C8F"/>
    <w:rsid w:val="20121328"/>
    <w:rsid w:val="201523AC"/>
    <w:rsid w:val="201C4C90"/>
    <w:rsid w:val="20375D57"/>
    <w:rsid w:val="203C5240"/>
    <w:rsid w:val="203E1903"/>
    <w:rsid w:val="203E3020"/>
    <w:rsid w:val="204F154B"/>
    <w:rsid w:val="20626BAD"/>
    <w:rsid w:val="20703503"/>
    <w:rsid w:val="207A43B8"/>
    <w:rsid w:val="208A0FEC"/>
    <w:rsid w:val="20996FA4"/>
    <w:rsid w:val="20A0436C"/>
    <w:rsid w:val="20CC6735"/>
    <w:rsid w:val="20CF69FF"/>
    <w:rsid w:val="20E424AA"/>
    <w:rsid w:val="20E71876"/>
    <w:rsid w:val="20EB7C33"/>
    <w:rsid w:val="20F125CE"/>
    <w:rsid w:val="20FC5049"/>
    <w:rsid w:val="2109266C"/>
    <w:rsid w:val="210E7527"/>
    <w:rsid w:val="211B7668"/>
    <w:rsid w:val="211C7480"/>
    <w:rsid w:val="211D0455"/>
    <w:rsid w:val="212459E8"/>
    <w:rsid w:val="212925B3"/>
    <w:rsid w:val="2138675F"/>
    <w:rsid w:val="214B1912"/>
    <w:rsid w:val="214F3C23"/>
    <w:rsid w:val="214F7359"/>
    <w:rsid w:val="21507B40"/>
    <w:rsid w:val="21703D3E"/>
    <w:rsid w:val="217A1FC2"/>
    <w:rsid w:val="21947636"/>
    <w:rsid w:val="21965F59"/>
    <w:rsid w:val="21A3266E"/>
    <w:rsid w:val="21A67337"/>
    <w:rsid w:val="21A8172A"/>
    <w:rsid w:val="21AC14FB"/>
    <w:rsid w:val="21B5131F"/>
    <w:rsid w:val="21DF2C72"/>
    <w:rsid w:val="21EC32DF"/>
    <w:rsid w:val="21F05FFE"/>
    <w:rsid w:val="21F677E6"/>
    <w:rsid w:val="22155EFF"/>
    <w:rsid w:val="22227889"/>
    <w:rsid w:val="22406912"/>
    <w:rsid w:val="224C6C6F"/>
    <w:rsid w:val="2254242E"/>
    <w:rsid w:val="22561186"/>
    <w:rsid w:val="226006F6"/>
    <w:rsid w:val="226E170E"/>
    <w:rsid w:val="22810B01"/>
    <w:rsid w:val="22B0753C"/>
    <w:rsid w:val="22B21D4D"/>
    <w:rsid w:val="22CE28C0"/>
    <w:rsid w:val="22E07A9F"/>
    <w:rsid w:val="22F34680"/>
    <w:rsid w:val="2305495A"/>
    <w:rsid w:val="231812C3"/>
    <w:rsid w:val="23193561"/>
    <w:rsid w:val="23207452"/>
    <w:rsid w:val="234B1DF5"/>
    <w:rsid w:val="23563407"/>
    <w:rsid w:val="235B017B"/>
    <w:rsid w:val="2364528E"/>
    <w:rsid w:val="2369138D"/>
    <w:rsid w:val="2378337E"/>
    <w:rsid w:val="2395665B"/>
    <w:rsid w:val="23977CA8"/>
    <w:rsid w:val="23BE019F"/>
    <w:rsid w:val="23C363E4"/>
    <w:rsid w:val="23D74697"/>
    <w:rsid w:val="23DC45C3"/>
    <w:rsid w:val="23E138B2"/>
    <w:rsid w:val="23F13E30"/>
    <w:rsid w:val="23FE0BB4"/>
    <w:rsid w:val="24082954"/>
    <w:rsid w:val="240C0F44"/>
    <w:rsid w:val="241F6A65"/>
    <w:rsid w:val="242349A9"/>
    <w:rsid w:val="24303C58"/>
    <w:rsid w:val="24431BDE"/>
    <w:rsid w:val="246758CC"/>
    <w:rsid w:val="247F2D86"/>
    <w:rsid w:val="2488101B"/>
    <w:rsid w:val="248D10AB"/>
    <w:rsid w:val="249E6AF6"/>
    <w:rsid w:val="24A361D8"/>
    <w:rsid w:val="24BE1264"/>
    <w:rsid w:val="24CD4FD1"/>
    <w:rsid w:val="24E72569"/>
    <w:rsid w:val="24EA2F6A"/>
    <w:rsid w:val="24EF7F3A"/>
    <w:rsid w:val="24F36825"/>
    <w:rsid w:val="24F778DB"/>
    <w:rsid w:val="24FC2019"/>
    <w:rsid w:val="250B5612"/>
    <w:rsid w:val="252717F0"/>
    <w:rsid w:val="25344F55"/>
    <w:rsid w:val="25394A15"/>
    <w:rsid w:val="25445D9E"/>
    <w:rsid w:val="25617952"/>
    <w:rsid w:val="2564005E"/>
    <w:rsid w:val="25656C82"/>
    <w:rsid w:val="256F255E"/>
    <w:rsid w:val="25753B62"/>
    <w:rsid w:val="259124D5"/>
    <w:rsid w:val="25982BAC"/>
    <w:rsid w:val="25A8619C"/>
    <w:rsid w:val="25B85CB3"/>
    <w:rsid w:val="25CB2682"/>
    <w:rsid w:val="25EC505C"/>
    <w:rsid w:val="25FE211B"/>
    <w:rsid w:val="25FF2CBA"/>
    <w:rsid w:val="261749D9"/>
    <w:rsid w:val="261B309E"/>
    <w:rsid w:val="263D4A6F"/>
    <w:rsid w:val="263E7553"/>
    <w:rsid w:val="26663E05"/>
    <w:rsid w:val="266876DA"/>
    <w:rsid w:val="269B7B47"/>
    <w:rsid w:val="26A10C53"/>
    <w:rsid w:val="26B446CD"/>
    <w:rsid w:val="26CF57CC"/>
    <w:rsid w:val="26E03714"/>
    <w:rsid w:val="26E079BC"/>
    <w:rsid w:val="26FC4863"/>
    <w:rsid w:val="26FC7E22"/>
    <w:rsid w:val="27022042"/>
    <w:rsid w:val="270A6CE2"/>
    <w:rsid w:val="27462CF5"/>
    <w:rsid w:val="27644233"/>
    <w:rsid w:val="2769195B"/>
    <w:rsid w:val="276C29FF"/>
    <w:rsid w:val="27734588"/>
    <w:rsid w:val="27772CF5"/>
    <w:rsid w:val="27A26C1B"/>
    <w:rsid w:val="27B13177"/>
    <w:rsid w:val="27BA5FC0"/>
    <w:rsid w:val="27C254B2"/>
    <w:rsid w:val="27C43E56"/>
    <w:rsid w:val="27C938F0"/>
    <w:rsid w:val="27D03390"/>
    <w:rsid w:val="27D112AE"/>
    <w:rsid w:val="27E234BC"/>
    <w:rsid w:val="27EC32A4"/>
    <w:rsid w:val="27F02B4A"/>
    <w:rsid w:val="27F84A8D"/>
    <w:rsid w:val="280E45E4"/>
    <w:rsid w:val="2821230B"/>
    <w:rsid w:val="285E1D3F"/>
    <w:rsid w:val="2863112C"/>
    <w:rsid w:val="28642123"/>
    <w:rsid w:val="286C7249"/>
    <w:rsid w:val="28855A7D"/>
    <w:rsid w:val="28940FA3"/>
    <w:rsid w:val="2897781E"/>
    <w:rsid w:val="28E26747"/>
    <w:rsid w:val="28E86DB7"/>
    <w:rsid w:val="28FF321C"/>
    <w:rsid w:val="29080D00"/>
    <w:rsid w:val="29093791"/>
    <w:rsid w:val="292F258B"/>
    <w:rsid w:val="2941113F"/>
    <w:rsid w:val="294A57BC"/>
    <w:rsid w:val="294D3731"/>
    <w:rsid w:val="295F4405"/>
    <w:rsid w:val="296C128F"/>
    <w:rsid w:val="297840D8"/>
    <w:rsid w:val="297D16EE"/>
    <w:rsid w:val="298760C9"/>
    <w:rsid w:val="2990258A"/>
    <w:rsid w:val="29910649"/>
    <w:rsid w:val="29AC25AB"/>
    <w:rsid w:val="29B315E1"/>
    <w:rsid w:val="29B72C02"/>
    <w:rsid w:val="29BE65C8"/>
    <w:rsid w:val="29C97465"/>
    <w:rsid w:val="29EB624B"/>
    <w:rsid w:val="29F00D73"/>
    <w:rsid w:val="2A110088"/>
    <w:rsid w:val="2A1D4C7F"/>
    <w:rsid w:val="2A3117A7"/>
    <w:rsid w:val="2A3472CD"/>
    <w:rsid w:val="2A472991"/>
    <w:rsid w:val="2A4E6BE6"/>
    <w:rsid w:val="2A5A0790"/>
    <w:rsid w:val="2A670B7C"/>
    <w:rsid w:val="2A6D1762"/>
    <w:rsid w:val="2A7E571E"/>
    <w:rsid w:val="2A862824"/>
    <w:rsid w:val="2AB93EF7"/>
    <w:rsid w:val="2ABF25ED"/>
    <w:rsid w:val="2ADE3166"/>
    <w:rsid w:val="2AE86ABE"/>
    <w:rsid w:val="2AF7309E"/>
    <w:rsid w:val="2B025CC6"/>
    <w:rsid w:val="2B195446"/>
    <w:rsid w:val="2B280569"/>
    <w:rsid w:val="2B287437"/>
    <w:rsid w:val="2B2A3917"/>
    <w:rsid w:val="2B373B1E"/>
    <w:rsid w:val="2B514BAE"/>
    <w:rsid w:val="2B5A2786"/>
    <w:rsid w:val="2B5E3CCB"/>
    <w:rsid w:val="2B7A4FD6"/>
    <w:rsid w:val="2BA42B91"/>
    <w:rsid w:val="2BC22A76"/>
    <w:rsid w:val="2BD0215F"/>
    <w:rsid w:val="2BE95450"/>
    <w:rsid w:val="2BF61A25"/>
    <w:rsid w:val="2C02412C"/>
    <w:rsid w:val="2C0440A1"/>
    <w:rsid w:val="2C187060"/>
    <w:rsid w:val="2C1A6291"/>
    <w:rsid w:val="2C212F61"/>
    <w:rsid w:val="2C2643AF"/>
    <w:rsid w:val="2C3818C2"/>
    <w:rsid w:val="2C3B6BCD"/>
    <w:rsid w:val="2C491D5B"/>
    <w:rsid w:val="2C496214"/>
    <w:rsid w:val="2C585C06"/>
    <w:rsid w:val="2C5C119F"/>
    <w:rsid w:val="2C6800F5"/>
    <w:rsid w:val="2C763F9B"/>
    <w:rsid w:val="2C83032E"/>
    <w:rsid w:val="2C842D93"/>
    <w:rsid w:val="2C9034E6"/>
    <w:rsid w:val="2CB216AE"/>
    <w:rsid w:val="2CC31B0E"/>
    <w:rsid w:val="2CC4280F"/>
    <w:rsid w:val="2CC76232"/>
    <w:rsid w:val="2CD340DF"/>
    <w:rsid w:val="2CE35D0C"/>
    <w:rsid w:val="2CE701AC"/>
    <w:rsid w:val="2CEA094F"/>
    <w:rsid w:val="2CEF46B1"/>
    <w:rsid w:val="2CF271A5"/>
    <w:rsid w:val="2D0068BE"/>
    <w:rsid w:val="2D105839"/>
    <w:rsid w:val="2D1749F7"/>
    <w:rsid w:val="2D177576"/>
    <w:rsid w:val="2D1C121E"/>
    <w:rsid w:val="2D227F11"/>
    <w:rsid w:val="2D236108"/>
    <w:rsid w:val="2D2F4F9F"/>
    <w:rsid w:val="2D395076"/>
    <w:rsid w:val="2D426A09"/>
    <w:rsid w:val="2D69305E"/>
    <w:rsid w:val="2D744082"/>
    <w:rsid w:val="2D777CAE"/>
    <w:rsid w:val="2D7A12FE"/>
    <w:rsid w:val="2D8400D7"/>
    <w:rsid w:val="2D851D9A"/>
    <w:rsid w:val="2D946E6F"/>
    <w:rsid w:val="2D951634"/>
    <w:rsid w:val="2DB463C6"/>
    <w:rsid w:val="2DCF73D0"/>
    <w:rsid w:val="2DD145DB"/>
    <w:rsid w:val="2DD83397"/>
    <w:rsid w:val="2DDD1629"/>
    <w:rsid w:val="2DEC1900"/>
    <w:rsid w:val="2DF018E0"/>
    <w:rsid w:val="2DFD4BAB"/>
    <w:rsid w:val="2E016CBA"/>
    <w:rsid w:val="2E09304F"/>
    <w:rsid w:val="2E0B1BED"/>
    <w:rsid w:val="2E0B6614"/>
    <w:rsid w:val="2E3424AE"/>
    <w:rsid w:val="2E3D769E"/>
    <w:rsid w:val="2E41718E"/>
    <w:rsid w:val="2E466B0B"/>
    <w:rsid w:val="2E536EC1"/>
    <w:rsid w:val="2E5D564A"/>
    <w:rsid w:val="2E80408C"/>
    <w:rsid w:val="2E9D0067"/>
    <w:rsid w:val="2E9E7D49"/>
    <w:rsid w:val="2EA92857"/>
    <w:rsid w:val="2EDA4128"/>
    <w:rsid w:val="2EDE0726"/>
    <w:rsid w:val="2EE13AA5"/>
    <w:rsid w:val="2EEF27B7"/>
    <w:rsid w:val="2EFB145F"/>
    <w:rsid w:val="2F0B0099"/>
    <w:rsid w:val="2F0D5BDD"/>
    <w:rsid w:val="2F1F572D"/>
    <w:rsid w:val="2F3977EB"/>
    <w:rsid w:val="2F4100D3"/>
    <w:rsid w:val="2F573CF2"/>
    <w:rsid w:val="2F594063"/>
    <w:rsid w:val="2F715851"/>
    <w:rsid w:val="2F724B38"/>
    <w:rsid w:val="2F7B10A8"/>
    <w:rsid w:val="2F8337D6"/>
    <w:rsid w:val="2FAD0853"/>
    <w:rsid w:val="2FD023CF"/>
    <w:rsid w:val="2FD03E83"/>
    <w:rsid w:val="2FDA4D8F"/>
    <w:rsid w:val="2FDE27BA"/>
    <w:rsid w:val="2FE7396B"/>
    <w:rsid w:val="2FE778C1"/>
    <w:rsid w:val="2FE86A68"/>
    <w:rsid w:val="2FF125A3"/>
    <w:rsid w:val="3002294D"/>
    <w:rsid w:val="300D7D4A"/>
    <w:rsid w:val="300F2922"/>
    <w:rsid w:val="302208F9"/>
    <w:rsid w:val="302F3016"/>
    <w:rsid w:val="30466CDD"/>
    <w:rsid w:val="30487007"/>
    <w:rsid w:val="304A4274"/>
    <w:rsid w:val="304E7940"/>
    <w:rsid w:val="305D2584"/>
    <w:rsid w:val="305D7B83"/>
    <w:rsid w:val="30653C62"/>
    <w:rsid w:val="30657FDD"/>
    <w:rsid w:val="307152CA"/>
    <w:rsid w:val="307A6987"/>
    <w:rsid w:val="307C0A59"/>
    <w:rsid w:val="30801853"/>
    <w:rsid w:val="309350C7"/>
    <w:rsid w:val="30983B9C"/>
    <w:rsid w:val="309D405E"/>
    <w:rsid w:val="309D4424"/>
    <w:rsid w:val="309F019C"/>
    <w:rsid w:val="30C331EE"/>
    <w:rsid w:val="30C714A1"/>
    <w:rsid w:val="30D0318D"/>
    <w:rsid w:val="30EA437C"/>
    <w:rsid w:val="30FE04DD"/>
    <w:rsid w:val="310D5445"/>
    <w:rsid w:val="312B5ED3"/>
    <w:rsid w:val="312D39F9"/>
    <w:rsid w:val="312F61A4"/>
    <w:rsid w:val="31300B2E"/>
    <w:rsid w:val="31360804"/>
    <w:rsid w:val="31477BE9"/>
    <w:rsid w:val="314804F6"/>
    <w:rsid w:val="314A1D01"/>
    <w:rsid w:val="314F3970"/>
    <w:rsid w:val="31563F0C"/>
    <w:rsid w:val="31565409"/>
    <w:rsid w:val="31576CC8"/>
    <w:rsid w:val="315E1E05"/>
    <w:rsid w:val="31644BD5"/>
    <w:rsid w:val="31660CB9"/>
    <w:rsid w:val="316F6E2A"/>
    <w:rsid w:val="317E2BA2"/>
    <w:rsid w:val="318F74C6"/>
    <w:rsid w:val="31960FF1"/>
    <w:rsid w:val="31B25D73"/>
    <w:rsid w:val="31C75889"/>
    <w:rsid w:val="31C959A7"/>
    <w:rsid w:val="31E247E4"/>
    <w:rsid w:val="31E340B8"/>
    <w:rsid w:val="31EF0CAF"/>
    <w:rsid w:val="31FC34B5"/>
    <w:rsid w:val="31FE7C49"/>
    <w:rsid w:val="32022F99"/>
    <w:rsid w:val="32085CA7"/>
    <w:rsid w:val="32146ADF"/>
    <w:rsid w:val="324442AF"/>
    <w:rsid w:val="324463DD"/>
    <w:rsid w:val="324A05DB"/>
    <w:rsid w:val="324A23F5"/>
    <w:rsid w:val="325A081E"/>
    <w:rsid w:val="325F5E35"/>
    <w:rsid w:val="326A2A2B"/>
    <w:rsid w:val="3270299B"/>
    <w:rsid w:val="32737B32"/>
    <w:rsid w:val="3284796E"/>
    <w:rsid w:val="328F5FEE"/>
    <w:rsid w:val="32935D9A"/>
    <w:rsid w:val="32A30797"/>
    <w:rsid w:val="32C237CA"/>
    <w:rsid w:val="32CB25A0"/>
    <w:rsid w:val="32CF16A8"/>
    <w:rsid w:val="32DC13D3"/>
    <w:rsid w:val="32E5584C"/>
    <w:rsid w:val="32F67886"/>
    <w:rsid w:val="33134E71"/>
    <w:rsid w:val="33153347"/>
    <w:rsid w:val="332826CA"/>
    <w:rsid w:val="33286205"/>
    <w:rsid w:val="332E0FAB"/>
    <w:rsid w:val="334A0F9A"/>
    <w:rsid w:val="33524ECE"/>
    <w:rsid w:val="336161E1"/>
    <w:rsid w:val="336B25B7"/>
    <w:rsid w:val="336E5629"/>
    <w:rsid w:val="33AF19E8"/>
    <w:rsid w:val="33CF2B46"/>
    <w:rsid w:val="33DB2E25"/>
    <w:rsid w:val="33E74DCD"/>
    <w:rsid w:val="34136117"/>
    <w:rsid w:val="34172892"/>
    <w:rsid w:val="34262582"/>
    <w:rsid w:val="34325900"/>
    <w:rsid w:val="34394198"/>
    <w:rsid w:val="344B52B9"/>
    <w:rsid w:val="34571DD7"/>
    <w:rsid w:val="346644D8"/>
    <w:rsid w:val="34830AFA"/>
    <w:rsid w:val="34906F14"/>
    <w:rsid w:val="349618B6"/>
    <w:rsid w:val="34C04E88"/>
    <w:rsid w:val="34C74165"/>
    <w:rsid w:val="34CC4AF9"/>
    <w:rsid w:val="34D84DA0"/>
    <w:rsid w:val="34DA5C46"/>
    <w:rsid w:val="34DD3E47"/>
    <w:rsid w:val="34E9168F"/>
    <w:rsid w:val="34EA7757"/>
    <w:rsid w:val="350B4052"/>
    <w:rsid w:val="351504E3"/>
    <w:rsid w:val="351A7FC7"/>
    <w:rsid w:val="351D636B"/>
    <w:rsid w:val="351F0762"/>
    <w:rsid w:val="35200D21"/>
    <w:rsid w:val="35205F5B"/>
    <w:rsid w:val="35431A3E"/>
    <w:rsid w:val="35635FE6"/>
    <w:rsid w:val="35766601"/>
    <w:rsid w:val="357A11D7"/>
    <w:rsid w:val="357C3B47"/>
    <w:rsid w:val="35A52FD0"/>
    <w:rsid w:val="35B6520A"/>
    <w:rsid w:val="35BC534C"/>
    <w:rsid w:val="35BF4381"/>
    <w:rsid w:val="35D20C0D"/>
    <w:rsid w:val="35E0193D"/>
    <w:rsid w:val="35EF127D"/>
    <w:rsid w:val="360607D9"/>
    <w:rsid w:val="36141BC4"/>
    <w:rsid w:val="36190C5C"/>
    <w:rsid w:val="363B355D"/>
    <w:rsid w:val="363D616D"/>
    <w:rsid w:val="36421CF5"/>
    <w:rsid w:val="364B2ECB"/>
    <w:rsid w:val="364B65D3"/>
    <w:rsid w:val="366E65EA"/>
    <w:rsid w:val="367023D8"/>
    <w:rsid w:val="3680580C"/>
    <w:rsid w:val="369E6599"/>
    <w:rsid w:val="36A97C2B"/>
    <w:rsid w:val="36BF20AF"/>
    <w:rsid w:val="36C80CBE"/>
    <w:rsid w:val="36DF4D5A"/>
    <w:rsid w:val="36EC74D3"/>
    <w:rsid w:val="370D7188"/>
    <w:rsid w:val="37146332"/>
    <w:rsid w:val="3715740A"/>
    <w:rsid w:val="37234207"/>
    <w:rsid w:val="37254742"/>
    <w:rsid w:val="37333ACA"/>
    <w:rsid w:val="37375E56"/>
    <w:rsid w:val="373D28D9"/>
    <w:rsid w:val="373E3148"/>
    <w:rsid w:val="37497E2D"/>
    <w:rsid w:val="374F317A"/>
    <w:rsid w:val="379C07FD"/>
    <w:rsid w:val="37C350B5"/>
    <w:rsid w:val="37CB7AC8"/>
    <w:rsid w:val="37D74806"/>
    <w:rsid w:val="37E45585"/>
    <w:rsid w:val="37F16728"/>
    <w:rsid w:val="380134EA"/>
    <w:rsid w:val="38113082"/>
    <w:rsid w:val="38124CE8"/>
    <w:rsid w:val="383C5B9A"/>
    <w:rsid w:val="385A07E5"/>
    <w:rsid w:val="38657C3C"/>
    <w:rsid w:val="38731510"/>
    <w:rsid w:val="38763ED8"/>
    <w:rsid w:val="38842CA1"/>
    <w:rsid w:val="389E008F"/>
    <w:rsid w:val="38A13419"/>
    <w:rsid w:val="38A46889"/>
    <w:rsid w:val="38A547BD"/>
    <w:rsid w:val="38A94C99"/>
    <w:rsid w:val="38B61A61"/>
    <w:rsid w:val="38BC1B91"/>
    <w:rsid w:val="38D6246F"/>
    <w:rsid w:val="38F00189"/>
    <w:rsid w:val="39135500"/>
    <w:rsid w:val="391D4882"/>
    <w:rsid w:val="391F00CC"/>
    <w:rsid w:val="39261FCD"/>
    <w:rsid w:val="395F26D5"/>
    <w:rsid w:val="396C1759"/>
    <w:rsid w:val="396F7738"/>
    <w:rsid w:val="39763A64"/>
    <w:rsid w:val="397D3044"/>
    <w:rsid w:val="398610CE"/>
    <w:rsid w:val="39882115"/>
    <w:rsid w:val="39893CD5"/>
    <w:rsid w:val="39974342"/>
    <w:rsid w:val="399B0D3D"/>
    <w:rsid w:val="39D8471E"/>
    <w:rsid w:val="39E84962"/>
    <w:rsid w:val="39ED170C"/>
    <w:rsid w:val="39ED7EC3"/>
    <w:rsid w:val="39F06BFD"/>
    <w:rsid w:val="3A1054F9"/>
    <w:rsid w:val="3A184B1B"/>
    <w:rsid w:val="3A1A6D55"/>
    <w:rsid w:val="3A26548A"/>
    <w:rsid w:val="3A3C70DA"/>
    <w:rsid w:val="3A454C6C"/>
    <w:rsid w:val="3A465B2C"/>
    <w:rsid w:val="3A4818A4"/>
    <w:rsid w:val="3A4F6FD0"/>
    <w:rsid w:val="3A5D0F30"/>
    <w:rsid w:val="3A6442C7"/>
    <w:rsid w:val="3A8E5D10"/>
    <w:rsid w:val="3AC23405"/>
    <w:rsid w:val="3ADD383E"/>
    <w:rsid w:val="3AE11A4E"/>
    <w:rsid w:val="3AE315CD"/>
    <w:rsid w:val="3AEC0481"/>
    <w:rsid w:val="3B10495E"/>
    <w:rsid w:val="3B121111"/>
    <w:rsid w:val="3B167C0B"/>
    <w:rsid w:val="3B1E76C7"/>
    <w:rsid w:val="3B2017EA"/>
    <w:rsid w:val="3B2338B7"/>
    <w:rsid w:val="3B275C48"/>
    <w:rsid w:val="3B2A4FB6"/>
    <w:rsid w:val="3B345984"/>
    <w:rsid w:val="3B6042F8"/>
    <w:rsid w:val="3B6224F2"/>
    <w:rsid w:val="3B653D90"/>
    <w:rsid w:val="3B675D5A"/>
    <w:rsid w:val="3B697D24"/>
    <w:rsid w:val="3B7663FB"/>
    <w:rsid w:val="3B775A05"/>
    <w:rsid w:val="3B7A2E51"/>
    <w:rsid w:val="3B7C326A"/>
    <w:rsid w:val="3B7F30A4"/>
    <w:rsid w:val="3B8A6325"/>
    <w:rsid w:val="3B932D9C"/>
    <w:rsid w:val="3B9575F3"/>
    <w:rsid w:val="3BD26834"/>
    <w:rsid w:val="3C19288C"/>
    <w:rsid w:val="3C2D0D52"/>
    <w:rsid w:val="3C5F4C83"/>
    <w:rsid w:val="3C7124D2"/>
    <w:rsid w:val="3C75311D"/>
    <w:rsid w:val="3C905633"/>
    <w:rsid w:val="3C906EB5"/>
    <w:rsid w:val="3C9240B7"/>
    <w:rsid w:val="3CA02FBF"/>
    <w:rsid w:val="3CAC1FDE"/>
    <w:rsid w:val="3CAE19CE"/>
    <w:rsid w:val="3CAE2160"/>
    <w:rsid w:val="3CBA43FC"/>
    <w:rsid w:val="3CBD0327"/>
    <w:rsid w:val="3CC03974"/>
    <w:rsid w:val="3CCE5FE8"/>
    <w:rsid w:val="3CDD0A77"/>
    <w:rsid w:val="3D08605E"/>
    <w:rsid w:val="3D541C08"/>
    <w:rsid w:val="3D573AAE"/>
    <w:rsid w:val="3D5A2496"/>
    <w:rsid w:val="3D751F42"/>
    <w:rsid w:val="3D76583D"/>
    <w:rsid w:val="3D85392A"/>
    <w:rsid w:val="3D9345DD"/>
    <w:rsid w:val="3D9C247F"/>
    <w:rsid w:val="3DB35BA7"/>
    <w:rsid w:val="3DB53026"/>
    <w:rsid w:val="3DB644B6"/>
    <w:rsid w:val="3DBA3599"/>
    <w:rsid w:val="3DBB5D2E"/>
    <w:rsid w:val="3DDC6AF7"/>
    <w:rsid w:val="3DED6319"/>
    <w:rsid w:val="3DF16F67"/>
    <w:rsid w:val="3DFB5183"/>
    <w:rsid w:val="3DFC4E7F"/>
    <w:rsid w:val="3E126B17"/>
    <w:rsid w:val="3E143AEF"/>
    <w:rsid w:val="3E1521CA"/>
    <w:rsid w:val="3E247F32"/>
    <w:rsid w:val="3E2A3CA3"/>
    <w:rsid w:val="3E2A6041"/>
    <w:rsid w:val="3E37067B"/>
    <w:rsid w:val="3E3F1527"/>
    <w:rsid w:val="3E490237"/>
    <w:rsid w:val="3E5F1E94"/>
    <w:rsid w:val="3E62271C"/>
    <w:rsid w:val="3E8310FD"/>
    <w:rsid w:val="3EA60502"/>
    <w:rsid w:val="3EA6436B"/>
    <w:rsid w:val="3EBA3EC2"/>
    <w:rsid w:val="3EBC460F"/>
    <w:rsid w:val="3EC314F9"/>
    <w:rsid w:val="3EC534C3"/>
    <w:rsid w:val="3EC6723B"/>
    <w:rsid w:val="3EC74751"/>
    <w:rsid w:val="3ECD05CA"/>
    <w:rsid w:val="3ECD4126"/>
    <w:rsid w:val="3EDA6843"/>
    <w:rsid w:val="3EE020AB"/>
    <w:rsid w:val="3EE10933"/>
    <w:rsid w:val="3EE17BD1"/>
    <w:rsid w:val="3EEC1D93"/>
    <w:rsid w:val="3EF43DA9"/>
    <w:rsid w:val="3EF545D9"/>
    <w:rsid w:val="3EFE0737"/>
    <w:rsid w:val="3F022944"/>
    <w:rsid w:val="3F125943"/>
    <w:rsid w:val="3F204B9E"/>
    <w:rsid w:val="3F312B06"/>
    <w:rsid w:val="3F406FEE"/>
    <w:rsid w:val="3F4D5267"/>
    <w:rsid w:val="3F582E62"/>
    <w:rsid w:val="3F606D53"/>
    <w:rsid w:val="3F7F239D"/>
    <w:rsid w:val="3F817D6A"/>
    <w:rsid w:val="3F960AB3"/>
    <w:rsid w:val="3FA3073A"/>
    <w:rsid w:val="3FA57E6B"/>
    <w:rsid w:val="3FAA11A4"/>
    <w:rsid w:val="3FAF4912"/>
    <w:rsid w:val="3FB7625E"/>
    <w:rsid w:val="3FD3118C"/>
    <w:rsid w:val="3FD339BE"/>
    <w:rsid w:val="3FD457E3"/>
    <w:rsid w:val="400277B2"/>
    <w:rsid w:val="401146D6"/>
    <w:rsid w:val="4014414F"/>
    <w:rsid w:val="40270D28"/>
    <w:rsid w:val="402B26F5"/>
    <w:rsid w:val="403F1053"/>
    <w:rsid w:val="404E1D52"/>
    <w:rsid w:val="406A72FF"/>
    <w:rsid w:val="408539B1"/>
    <w:rsid w:val="408E324B"/>
    <w:rsid w:val="40A1676B"/>
    <w:rsid w:val="40A857C2"/>
    <w:rsid w:val="40B57568"/>
    <w:rsid w:val="40CC736F"/>
    <w:rsid w:val="40CD787E"/>
    <w:rsid w:val="41037702"/>
    <w:rsid w:val="411249BA"/>
    <w:rsid w:val="411D1F93"/>
    <w:rsid w:val="41254736"/>
    <w:rsid w:val="414032D5"/>
    <w:rsid w:val="41426B03"/>
    <w:rsid w:val="4148693A"/>
    <w:rsid w:val="416A4FA6"/>
    <w:rsid w:val="417D62D7"/>
    <w:rsid w:val="41822731"/>
    <w:rsid w:val="41972DF8"/>
    <w:rsid w:val="41F36599"/>
    <w:rsid w:val="41FF0A9A"/>
    <w:rsid w:val="420C356B"/>
    <w:rsid w:val="420E05D1"/>
    <w:rsid w:val="421502BE"/>
    <w:rsid w:val="421B33FA"/>
    <w:rsid w:val="421B7832"/>
    <w:rsid w:val="42254A34"/>
    <w:rsid w:val="422E5823"/>
    <w:rsid w:val="423D796E"/>
    <w:rsid w:val="424A18DF"/>
    <w:rsid w:val="42670BEB"/>
    <w:rsid w:val="42701998"/>
    <w:rsid w:val="42712C99"/>
    <w:rsid w:val="428611BC"/>
    <w:rsid w:val="429462ED"/>
    <w:rsid w:val="42946332"/>
    <w:rsid w:val="42BC7DDF"/>
    <w:rsid w:val="42E5365A"/>
    <w:rsid w:val="42FB3958"/>
    <w:rsid w:val="43076C51"/>
    <w:rsid w:val="430976F7"/>
    <w:rsid w:val="43123BFE"/>
    <w:rsid w:val="43236A0A"/>
    <w:rsid w:val="43251383"/>
    <w:rsid w:val="43293223"/>
    <w:rsid w:val="432A0910"/>
    <w:rsid w:val="432C5DB1"/>
    <w:rsid w:val="43471244"/>
    <w:rsid w:val="434A02FE"/>
    <w:rsid w:val="43523C38"/>
    <w:rsid w:val="435A272F"/>
    <w:rsid w:val="4367727A"/>
    <w:rsid w:val="436F1C50"/>
    <w:rsid w:val="43727992"/>
    <w:rsid w:val="437C611B"/>
    <w:rsid w:val="437E2698"/>
    <w:rsid w:val="438C104B"/>
    <w:rsid w:val="43903FBC"/>
    <w:rsid w:val="43AD43B9"/>
    <w:rsid w:val="43B458B4"/>
    <w:rsid w:val="43C15C8A"/>
    <w:rsid w:val="44201AAB"/>
    <w:rsid w:val="44323820"/>
    <w:rsid w:val="443F1622"/>
    <w:rsid w:val="4450382F"/>
    <w:rsid w:val="44504C0E"/>
    <w:rsid w:val="4453331F"/>
    <w:rsid w:val="445A2900"/>
    <w:rsid w:val="445C47A6"/>
    <w:rsid w:val="448654A3"/>
    <w:rsid w:val="448820AD"/>
    <w:rsid w:val="448A72D9"/>
    <w:rsid w:val="449007F4"/>
    <w:rsid w:val="449F5DD3"/>
    <w:rsid w:val="44A27E03"/>
    <w:rsid w:val="44A93CEA"/>
    <w:rsid w:val="44BA339E"/>
    <w:rsid w:val="44EF1B82"/>
    <w:rsid w:val="44F00B6E"/>
    <w:rsid w:val="44FE16D9"/>
    <w:rsid w:val="451E7991"/>
    <w:rsid w:val="452F78E8"/>
    <w:rsid w:val="45303661"/>
    <w:rsid w:val="453170D2"/>
    <w:rsid w:val="45343151"/>
    <w:rsid w:val="45797C51"/>
    <w:rsid w:val="457E1756"/>
    <w:rsid w:val="45912351"/>
    <w:rsid w:val="45943BEF"/>
    <w:rsid w:val="459D6299"/>
    <w:rsid w:val="45A04342"/>
    <w:rsid w:val="45A168B6"/>
    <w:rsid w:val="45AB2CE7"/>
    <w:rsid w:val="45C1177C"/>
    <w:rsid w:val="45DB2DA7"/>
    <w:rsid w:val="45E77275"/>
    <w:rsid w:val="45EE4E64"/>
    <w:rsid w:val="45EE6863"/>
    <w:rsid w:val="46001285"/>
    <w:rsid w:val="46194E19"/>
    <w:rsid w:val="461B2714"/>
    <w:rsid w:val="46342CDD"/>
    <w:rsid w:val="4645313C"/>
    <w:rsid w:val="464C6767"/>
    <w:rsid w:val="4650718D"/>
    <w:rsid w:val="46520770"/>
    <w:rsid w:val="46607F75"/>
    <w:rsid w:val="46674E60"/>
    <w:rsid w:val="46852349"/>
    <w:rsid w:val="468B1D89"/>
    <w:rsid w:val="468C48C7"/>
    <w:rsid w:val="469C7200"/>
    <w:rsid w:val="46A55352"/>
    <w:rsid w:val="46AA7D34"/>
    <w:rsid w:val="46BC25C5"/>
    <w:rsid w:val="46BF4C9C"/>
    <w:rsid w:val="46DA3884"/>
    <w:rsid w:val="46F12888"/>
    <w:rsid w:val="46F41301"/>
    <w:rsid w:val="46FC6C97"/>
    <w:rsid w:val="4702556E"/>
    <w:rsid w:val="47094169"/>
    <w:rsid w:val="473274E6"/>
    <w:rsid w:val="473B0C16"/>
    <w:rsid w:val="473D2DF8"/>
    <w:rsid w:val="47525985"/>
    <w:rsid w:val="47562C48"/>
    <w:rsid w:val="47692D7E"/>
    <w:rsid w:val="477C493B"/>
    <w:rsid w:val="477F43B1"/>
    <w:rsid w:val="478832E0"/>
    <w:rsid w:val="478E35A7"/>
    <w:rsid w:val="478F245B"/>
    <w:rsid w:val="47A45C40"/>
    <w:rsid w:val="47AA14A8"/>
    <w:rsid w:val="47D10682"/>
    <w:rsid w:val="47F247DF"/>
    <w:rsid w:val="47F508A3"/>
    <w:rsid w:val="47F66832"/>
    <w:rsid w:val="47F95F8C"/>
    <w:rsid w:val="48065425"/>
    <w:rsid w:val="48194880"/>
    <w:rsid w:val="481C17B6"/>
    <w:rsid w:val="48236963"/>
    <w:rsid w:val="48256D81"/>
    <w:rsid w:val="48287ADF"/>
    <w:rsid w:val="483E4CD6"/>
    <w:rsid w:val="484A67E7"/>
    <w:rsid w:val="4855757D"/>
    <w:rsid w:val="48757D08"/>
    <w:rsid w:val="487A74DB"/>
    <w:rsid w:val="488175D2"/>
    <w:rsid w:val="488D463C"/>
    <w:rsid w:val="488E0DCA"/>
    <w:rsid w:val="489B7043"/>
    <w:rsid w:val="489D2CF9"/>
    <w:rsid w:val="48BF71D5"/>
    <w:rsid w:val="48C21418"/>
    <w:rsid w:val="48C93BB0"/>
    <w:rsid w:val="48CC6D51"/>
    <w:rsid w:val="48E42798"/>
    <w:rsid w:val="48E96C05"/>
    <w:rsid w:val="490270C2"/>
    <w:rsid w:val="490612E6"/>
    <w:rsid w:val="49195E87"/>
    <w:rsid w:val="491A00CD"/>
    <w:rsid w:val="491F08B2"/>
    <w:rsid w:val="49247038"/>
    <w:rsid w:val="49284D7B"/>
    <w:rsid w:val="492A6366"/>
    <w:rsid w:val="493A01CB"/>
    <w:rsid w:val="49441969"/>
    <w:rsid w:val="495C2C76"/>
    <w:rsid w:val="497003A2"/>
    <w:rsid w:val="49760E58"/>
    <w:rsid w:val="49785F7B"/>
    <w:rsid w:val="497D499A"/>
    <w:rsid w:val="4981448B"/>
    <w:rsid w:val="49A101B5"/>
    <w:rsid w:val="49B012BE"/>
    <w:rsid w:val="49C820BA"/>
    <w:rsid w:val="49CD7AE5"/>
    <w:rsid w:val="49D10E80"/>
    <w:rsid w:val="49FE3D2D"/>
    <w:rsid w:val="4A0B2BB3"/>
    <w:rsid w:val="4A5F5BA3"/>
    <w:rsid w:val="4A903954"/>
    <w:rsid w:val="4A934670"/>
    <w:rsid w:val="4A9D2AB4"/>
    <w:rsid w:val="4AA411A0"/>
    <w:rsid w:val="4AB55D69"/>
    <w:rsid w:val="4AB82E60"/>
    <w:rsid w:val="4ABB463C"/>
    <w:rsid w:val="4ABE0291"/>
    <w:rsid w:val="4ABF5B70"/>
    <w:rsid w:val="4AC07CF5"/>
    <w:rsid w:val="4ACE68C9"/>
    <w:rsid w:val="4AD35FF9"/>
    <w:rsid w:val="4ADF1ACC"/>
    <w:rsid w:val="4AF01898"/>
    <w:rsid w:val="4AF55130"/>
    <w:rsid w:val="4B005883"/>
    <w:rsid w:val="4B0E4F0E"/>
    <w:rsid w:val="4B240272"/>
    <w:rsid w:val="4B25127B"/>
    <w:rsid w:val="4B386A6C"/>
    <w:rsid w:val="4B3A3171"/>
    <w:rsid w:val="4B3E5B32"/>
    <w:rsid w:val="4B3F6129"/>
    <w:rsid w:val="4B406720"/>
    <w:rsid w:val="4B4370D4"/>
    <w:rsid w:val="4B4439C2"/>
    <w:rsid w:val="4B4518AC"/>
    <w:rsid w:val="4B714420"/>
    <w:rsid w:val="4B7666AB"/>
    <w:rsid w:val="4B807D59"/>
    <w:rsid w:val="4B885FA4"/>
    <w:rsid w:val="4B8F7819"/>
    <w:rsid w:val="4B985D35"/>
    <w:rsid w:val="4B995617"/>
    <w:rsid w:val="4B9B67AC"/>
    <w:rsid w:val="4BA72EF2"/>
    <w:rsid w:val="4BAD1567"/>
    <w:rsid w:val="4BB52B12"/>
    <w:rsid w:val="4BC90A28"/>
    <w:rsid w:val="4BD525C4"/>
    <w:rsid w:val="4BE13907"/>
    <w:rsid w:val="4BEA7754"/>
    <w:rsid w:val="4BF159C5"/>
    <w:rsid w:val="4BF52F0E"/>
    <w:rsid w:val="4BF74ED8"/>
    <w:rsid w:val="4BF929FE"/>
    <w:rsid w:val="4C005968"/>
    <w:rsid w:val="4C126621"/>
    <w:rsid w:val="4C260CF9"/>
    <w:rsid w:val="4C3E203F"/>
    <w:rsid w:val="4C4A2448"/>
    <w:rsid w:val="4C6360CA"/>
    <w:rsid w:val="4C642A66"/>
    <w:rsid w:val="4C69654B"/>
    <w:rsid w:val="4C870DB5"/>
    <w:rsid w:val="4C9444D5"/>
    <w:rsid w:val="4C9D2484"/>
    <w:rsid w:val="4CCA7EF7"/>
    <w:rsid w:val="4CCE1D7B"/>
    <w:rsid w:val="4CD9638C"/>
    <w:rsid w:val="4CF6285E"/>
    <w:rsid w:val="4CFA2A94"/>
    <w:rsid w:val="4D0A4797"/>
    <w:rsid w:val="4D136870"/>
    <w:rsid w:val="4D183E14"/>
    <w:rsid w:val="4D4C4DB0"/>
    <w:rsid w:val="4D516E2B"/>
    <w:rsid w:val="4D720271"/>
    <w:rsid w:val="4D726C18"/>
    <w:rsid w:val="4D907392"/>
    <w:rsid w:val="4D9323C6"/>
    <w:rsid w:val="4D954AC7"/>
    <w:rsid w:val="4DA16EA9"/>
    <w:rsid w:val="4DB87E05"/>
    <w:rsid w:val="4DC1687B"/>
    <w:rsid w:val="4DE35F9D"/>
    <w:rsid w:val="4DEB45C9"/>
    <w:rsid w:val="4DED0341"/>
    <w:rsid w:val="4DED455B"/>
    <w:rsid w:val="4DED52D5"/>
    <w:rsid w:val="4DEE5EDB"/>
    <w:rsid w:val="4E0E3982"/>
    <w:rsid w:val="4E177A4A"/>
    <w:rsid w:val="4E1B0EA4"/>
    <w:rsid w:val="4E212577"/>
    <w:rsid w:val="4E3B2540"/>
    <w:rsid w:val="4E4011FA"/>
    <w:rsid w:val="4E402FFB"/>
    <w:rsid w:val="4E545D2B"/>
    <w:rsid w:val="4E6A0766"/>
    <w:rsid w:val="4E810359"/>
    <w:rsid w:val="4E8977FE"/>
    <w:rsid w:val="4E8B1422"/>
    <w:rsid w:val="4E9407BC"/>
    <w:rsid w:val="4E953265"/>
    <w:rsid w:val="4E997359"/>
    <w:rsid w:val="4EBA48B9"/>
    <w:rsid w:val="4EBB21ED"/>
    <w:rsid w:val="4EBC506D"/>
    <w:rsid w:val="4EC039FB"/>
    <w:rsid w:val="4ECF17A1"/>
    <w:rsid w:val="4ED4505D"/>
    <w:rsid w:val="4EE259CC"/>
    <w:rsid w:val="4EE61CDA"/>
    <w:rsid w:val="4F053468"/>
    <w:rsid w:val="4F082957"/>
    <w:rsid w:val="4F157106"/>
    <w:rsid w:val="4F1A65F1"/>
    <w:rsid w:val="4F1B712F"/>
    <w:rsid w:val="4F2064F4"/>
    <w:rsid w:val="4F226A9E"/>
    <w:rsid w:val="4F3F083F"/>
    <w:rsid w:val="4F455F5A"/>
    <w:rsid w:val="4F4E3061"/>
    <w:rsid w:val="4F73779A"/>
    <w:rsid w:val="4FB97DFA"/>
    <w:rsid w:val="4FBD65B6"/>
    <w:rsid w:val="4FCB34AE"/>
    <w:rsid w:val="4FEB7FA3"/>
    <w:rsid w:val="50267B3A"/>
    <w:rsid w:val="50273E6C"/>
    <w:rsid w:val="5031572A"/>
    <w:rsid w:val="50444F40"/>
    <w:rsid w:val="504C68C2"/>
    <w:rsid w:val="504D144E"/>
    <w:rsid w:val="505268E8"/>
    <w:rsid w:val="5060514F"/>
    <w:rsid w:val="506964DC"/>
    <w:rsid w:val="506D39BB"/>
    <w:rsid w:val="50772144"/>
    <w:rsid w:val="50856A77"/>
    <w:rsid w:val="508F050A"/>
    <w:rsid w:val="50902684"/>
    <w:rsid w:val="50A85E85"/>
    <w:rsid w:val="50AB7913"/>
    <w:rsid w:val="50BA02B4"/>
    <w:rsid w:val="50D6296C"/>
    <w:rsid w:val="50DF56DA"/>
    <w:rsid w:val="50E672F3"/>
    <w:rsid w:val="50E772C9"/>
    <w:rsid w:val="50F05223"/>
    <w:rsid w:val="50F96FFC"/>
    <w:rsid w:val="51022355"/>
    <w:rsid w:val="5114473D"/>
    <w:rsid w:val="511D5C1C"/>
    <w:rsid w:val="5123601C"/>
    <w:rsid w:val="51265514"/>
    <w:rsid w:val="513B1A3D"/>
    <w:rsid w:val="513D41D6"/>
    <w:rsid w:val="51693F36"/>
    <w:rsid w:val="516A1F01"/>
    <w:rsid w:val="518F1CB0"/>
    <w:rsid w:val="51AE7211"/>
    <w:rsid w:val="51C0452D"/>
    <w:rsid w:val="51C55131"/>
    <w:rsid w:val="51CA2205"/>
    <w:rsid w:val="51E05D03"/>
    <w:rsid w:val="51F31FFB"/>
    <w:rsid w:val="51FA127E"/>
    <w:rsid w:val="51FA302C"/>
    <w:rsid w:val="520514AA"/>
    <w:rsid w:val="52232583"/>
    <w:rsid w:val="522A1187"/>
    <w:rsid w:val="52574BB9"/>
    <w:rsid w:val="52693681"/>
    <w:rsid w:val="527103FC"/>
    <w:rsid w:val="527C647C"/>
    <w:rsid w:val="527F5331"/>
    <w:rsid w:val="529120DA"/>
    <w:rsid w:val="52943481"/>
    <w:rsid w:val="529A792F"/>
    <w:rsid w:val="529B5DDF"/>
    <w:rsid w:val="52A01E26"/>
    <w:rsid w:val="52A4759B"/>
    <w:rsid w:val="52A51CE2"/>
    <w:rsid w:val="52B35629"/>
    <w:rsid w:val="52BD6C15"/>
    <w:rsid w:val="52D32AFD"/>
    <w:rsid w:val="52D8094A"/>
    <w:rsid w:val="52E726FD"/>
    <w:rsid w:val="52EF6909"/>
    <w:rsid w:val="52F23520"/>
    <w:rsid w:val="52F92CDD"/>
    <w:rsid w:val="52FC2DD4"/>
    <w:rsid w:val="53006B26"/>
    <w:rsid w:val="531B2A2A"/>
    <w:rsid w:val="53481136"/>
    <w:rsid w:val="534C0848"/>
    <w:rsid w:val="53672719"/>
    <w:rsid w:val="539F3171"/>
    <w:rsid w:val="53A5346C"/>
    <w:rsid w:val="53B349C5"/>
    <w:rsid w:val="53BA0524"/>
    <w:rsid w:val="53CB1246"/>
    <w:rsid w:val="53CB60CB"/>
    <w:rsid w:val="53D012CF"/>
    <w:rsid w:val="53ED661C"/>
    <w:rsid w:val="53FA7313"/>
    <w:rsid w:val="54011D8E"/>
    <w:rsid w:val="54044F01"/>
    <w:rsid w:val="540536F3"/>
    <w:rsid w:val="541852D3"/>
    <w:rsid w:val="541930DB"/>
    <w:rsid w:val="54214CFE"/>
    <w:rsid w:val="54237896"/>
    <w:rsid w:val="5426635A"/>
    <w:rsid w:val="542A6B8F"/>
    <w:rsid w:val="542E5537"/>
    <w:rsid w:val="54381AEB"/>
    <w:rsid w:val="54446C36"/>
    <w:rsid w:val="546509D4"/>
    <w:rsid w:val="546E3B92"/>
    <w:rsid w:val="548B2661"/>
    <w:rsid w:val="54A379AB"/>
    <w:rsid w:val="54A6388D"/>
    <w:rsid w:val="54C618EB"/>
    <w:rsid w:val="54C97D27"/>
    <w:rsid w:val="54F63994"/>
    <w:rsid w:val="54F65DEE"/>
    <w:rsid w:val="54FD0BE1"/>
    <w:rsid w:val="54FF02B0"/>
    <w:rsid w:val="55086696"/>
    <w:rsid w:val="55245753"/>
    <w:rsid w:val="55310004"/>
    <w:rsid w:val="55385B6C"/>
    <w:rsid w:val="553B4087"/>
    <w:rsid w:val="55564A1D"/>
    <w:rsid w:val="55630501"/>
    <w:rsid w:val="5580491C"/>
    <w:rsid w:val="558F3EB3"/>
    <w:rsid w:val="55992337"/>
    <w:rsid w:val="559D089E"/>
    <w:rsid w:val="55C37BD9"/>
    <w:rsid w:val="55DB13C7"/>
    <w:rsid w:val="55E12DDF"/>
    <w:rsid w:val="55E510BF"/>
    <w:rsid w:val="55EA0AB9"/>
    <w:rsid w:val="55FD133D"/>
    <w:rsid w:val="561B7187"/>
    <w:rsid w:val="561F1F50"/>
    <w:rsid w:val="56242930"/>
    <w:rsid w:val="56262AA1"/>
    <w:rsid w:val="56266AA3"/>
    <w:rsid w:val="562E2336"/>
    <w:rsid w:val="562F13A1"/>
    <w:rsid w:val="564B02FA"/>
    <w:rsid w:val="564E3947"/>
    <w:rsid w:val="564E7DEA"/>
    <w:rsid w:val="565F1615"/>
    <w:rsid w:val="5663166A"/>
    <w:rsid w:val="5681771C"/>
    <w:rsid w:val="56890E23"/>
    <w:rsid w:val="56A72578"/>
    <w:rsid w:val="56B0183E"/>
    <w:rsid w:val="56B539C6"/>
    <w:rsid w:val="56B7773E"/>
    <w:rsid w:val="56C92444"/>
    <w:rsid w:val="56D32C79"/>
    <w:rsid w:val="56E56A5B"/>
    <w:rsid w:val="56EF6ED8"/>
    <w:rsid w:val="57046C3B"/>
    <w:rsid w:val="570973EC"/>
    <w:rsid w:val="570B7257"/>
    <w:rsid w:val="570F1328"/>
    <w:rsid w:val="5717642E"/>
    <w:rsid w:val="571B5F1F"/>
    <w:rsid w:val="57354A8E"/>
    <w:rsid w:val="5747168F"/>
    <w:rsid w:val="57495405"/>
    <w:rsid w:val="574F3B38"/>
    <w:rsid w:val="574F5BC8"/>
    <w:rsid w:val="57541D32"/>
    <w:rsid w:val="579F61CA"/>
    <w:rsid w:val="57A90B07"/>
    <w:rsid w:val="57B11728"/>
    <w:rsid w:val="57B67C8D"/>
    <w:rsid w:val="57C370CC"/>
    <w:rsid w:val="57C82D1B"/>
    <w:rsid w:val="57CC4A0D"/>
    <w:rsid w:val="57D0048B"/>
    <w:rsid w:val="57D17EC7"/>
    <w:rsid w:val="57D4431F"/>
    <w:rsid w:val="57DD3ED9"/>
    <w:rsid w:val="581F25C1"/>
    <w:rsid w:val="582A7B05"/>
    <w:rsid w:val="58393145"/>
    <w:rsid w:val="584B45E2"/>
    <w:rsid w:val="588747F1"/>
    <w:rsid w:val="58977827"/>
    <w:rsid w:val="58A24306"/>
    <w:rsid w:val="58AD0DF8"/>
    <w:rsid w:val="58B074A0"/>
    <w:rsid w:val="58C12619"/>
    <w:rsid w:val="58DE5456"/>
    <w:rsid w:val="58DF6CF4"/>
    <w:rsid w:val="58F92290"/>
    <w:rsid w:val="5904132B"/>
    <w:rsid w:val="590579B7"/>
    <w:rsid w:val="59157827"/>
    <w:rsid w:val="591C1F72"/>
    <w:rsid w:val="592310BA"/>
    <w:rsid w:val="592B3A1B"/>
    <w:rsid w:val="59410110"/>
    <w:rsid w:val="594400A5"/>
    <w:rsid w:val="59460EC7"/>
    <w:rsid w:val="59492A03"/>
    <w:rsid w:val="596003C3"/>
    <w:rsid w:val="59610174"/>
    <w:rsid w:val="596811C3"/>
    <w:rsid w:val="59883BD8"/>
    <w:rsid w:val="59884704"/>
    <w:rsid w:val="5995397D"/>
    <w:rsid w:val="59961D8E"/>
    <w:rsid w:val="599E5274"/>
    <w:rsid w:val="59AD1935"/>
    <w:rsid w:val="59B33B1D"/>
    <w:rsid w:val="59B937CD"/>
    <w:rsid w:val="59C4289D"/>
    <w:rsid w:val="59C90F05"/>
    <w:rsid w:val="59FD62AC"/>
    <w:rsid w:val="59FE5684"/>
    <w:rsid w:val="5A02716B"/>
    <w:rsid w:val="5A112174"/>
    <w:rsid w:val="5A1F5D26"/>
    <w:rsid w:val="5A3115B5"/>
    <w:rsid w:val="5A427C66"/>
    <w:rsid w:val="5A432510"/>
    <w:rsid w:val="5A56101C"/>
    <w:rsid w:val="5A7C7A26"/>
    <w:rsid w:val="5A9409C1"/>
    <w:rsid w:val="5A9410D3"/>
    <w:rsid w:val="5A975B2D"/>
    <w:rsid w:val="5AB23A35"/>
    <w:rsid w:val="5AC5335D"/>
    <w:rsid w:val="5AD77EF8"/>
    <w:rsid w:val="5AD87BF2"/>
    <w:rsid w:val="5AE35EFA"/>
    <w:rsid w:val="5AF00910"/>
    <w:rsid w:val="5AF413B3"/>
    <w:rsid w:val="5AF8394B"/>
    <w:rsid w:val="5AF848DA"/>
    <w:rsid w:val="5B100AB5"/>
    <w:rsid w:val="5B136848"/>
    <w:rsid w:val="5B1F7767"/>
    <w:rsid w:val="5B4041A6"/>
    <w:rsid w:val="5B432946"/>
    <w:rsid w:val="5B44356A"/>
    <w:rsid w:val="5B4F7AA0"/>
    <w:rsid w:val="5B6C5E29"/>
    <w:rsid w:val="5B737973"/>
    <w:rsid w:val="5B9A2150"/>
    <w:rsid w:val="5BA069F2"/>
    <w:rsid w:val="5BA1052E"/>
    <w:rsid w:val="5BA673C2"/>
    <w:rsid w:val="5BA741CE"/>
    <w:rsid w:val="5BAA0372"/>
    <w:rsid w:val="5BBB44EB"/>
    <w:rsid w:val="5BCD17B1"/>
    <w:rsid w:val="5BE30FD5"/>
    <w:rsid w:val="5BF16A5B"/>
    <w:rsid w:val="5C1734C7"/>
    <w:rsid w:val="5C2D4130"/>
    <w:rsid w:val="5C3914B8"/>
    <w:rsid w:val="5C4757D4"/>
    <w:rsid w:val="5C5477DD"/>
    <w:rsid w:val="5C642116"/>
    <w:rsid w:val="5C6D68F5"/>
    <w:rsid w:val="5C78796F"/>
    <w:rsid w:val="5C837D51"/>
    <w:rsid w:val="5C85755D"/>
    <w:rsid w:val="5CA81224"/>
    <w:rsid w:val="5CA95D7B"/>
    <w:rsid w:val="5CAE2661"/>
    <w:rsid w:val="5CB10FE2"/>
    <w:rsid w:val="5CC251C0"/>
    <w:rsid w:val="5CC9610E"/>
    <w:rsid w:val="5CDF5A9C"/>
    <w:rsid w:val="5CE3407F"/>
    <w:rsid w:val="5CEA4EE8"/>
    <w:rsid w:val="5D05644B"/>
    <w:rsid w:val="5D061E08"/>
    <w:rsid w:val="5D086F45"/>
    <w:rsid w:val="5D26561D"/>
    <w:rsid w:val="5D2827BE"/>
    <w:rsid w:val="5D30225E"/>
    <w:rsid w:val="5D563A09"/>
    <w:rsid w:val="5D58704F"/>
    <w:rsid w:val="5D5B522E"/>
    <w:rsid w:val="5D5C72F2"/>
    <w:rsid w:val="5D6E07ED"/>
    <w:rsid w:val="5D7647EC"/>
    <w:rsid w:val="5D7F2B8B"/>
    <w:rsid w:val="5D923767"/>
    <w:rsid w:val="5D9718EE"/>
    <w:rsid w:val="5DB72C65"/>
    <w:rsid w:val="5DB91C27"/>
    <w:rsid w:val="5DBA1FF8"/>
    <w:rsid w:val="5DC7460B"/>
    <w:rsid w:val="5DC83B06"/>
    <w:rsid w:val="5DE057CC"/>
    <w:rsid w:val="5DEB5F1F"/>
    <w:rsid w:val="5DF50B4C"/>
    <w:rsid w:val="5DF809C2"/>
    <w:rsid w:val="5E063EF5"/>
    <w:rsid w:val="5E1D3725"/>
    <w:rsid w:val="5E37668B"/>
    <w:rsid w:val="5E3F50EA"/>
    <w:rsid w:val="5E413D91"/>
    <w:rsid w:val="5E4915C3"/>
    <w:rsid w:val="5E4C6CAA"/>
    <w:rsid w:val="5E591A42"/>
    <w:rsid w:val="5E696A00"/>
    <w:rsid w:val="5E6F6B50"/>
    <w:rsid w:val="5E7243C2"/>
    <w:rsid w:val="5E771000"/>
    <w:rsid w:val="5E850121"/>
    <w:rsid w:val="5E8866B3"/>
    <w:rsid w:val="5E8A2B50"/>
    <w:rsid w:val="5E9C51FA"/>
    <w:rsid w:val="5EBF35AC"/>
    <w:rsid w:val="5EC21376"/>
    <w:rsid w:val="5EC42D73"/>
    <w:rsid w:val="5ECA7203"/>
    <w:rsid w:val="5ECE6501"/>
    <w:rsid w:val="5ED54C52"/>
    <w:rsid w:val="5EE237C6"/>
    <w:rsid w:val="5EFF1C82"/>
    <w:rsid w:val="5F0D055B"/>
    <w:rsid w:val="5F143EC1"/>
    <w:rsid w:val="5F1849E5"/>
    <w:rsid w:val="5F1A4D0E"/>
    <w:rsid w:val="5F1E43A2"/>
    <w:rsid w:val="5F221E14"/>
    <w:rsid w:val="5F222B99"/>
    <w:rsid w:val="5F223BC2"/>
    <w:rsid w:val="5F365D96"/>
    <w:rsid w:val="5F3833E6"/>
    <w:rsid w:val="5F4A6B4E"/>
    <w:rsid w:val="5F635DBA"/>
    <w:rsid w:val="5F92436A"/>
    <w:rsid w:val="5FB661B0"/>
    <w:rsid w:val="5FC72A52"/>
    <w:rsid w:val="5FC8476A"/>
    <w:rsid w:val="5FC90A9B"/>
    <w:rsid w:val="5FD50C35"/>
    <w:rsid w:val="5FE132D1"/>
    <w:rsid w:val="5FF8347D"/>
    <w:rsid w:val="601856F1"/>
    <w:rsid w:val="601A3E3F"/>
    <w:rsid w:val="601B6F8F"/>
    <w:rsid w:val="601C4AB5"/>
    <w:rsid w:val="60243DB0"/>
    <w:rsid w:val="60275934"/>
    <w:rsid w:val="603051A0"/>
    <w:rsid w:val="60335705"/>
    <w:rsid w:val="603D34A6"/>
    <w:rsid w:val="604326ED"/>
    <w:rsid w:val="606306D7"/>
    <w:rsid w:val="606326E4"/>
    <w:rsid w:val="60741174"/>
    <w:rsid w:val="608B683C"/>
    <w:rsid w:val="608D09A3"/>
    <w:rsid w:val="60A6142B"/>
    <w:rsid w:val="60A6372F"/>
    <w:rsid w:val="60A94A40"/>
    <w:rsid w:val="60AC0F7A"/>
    <w:rsid w:val="60AF08A8"/>
    <w:rsid w:val="60B01290"/>
    <w:rsid w:val="60B116A2"/>
    <w:rsid w:val="60C346C6"/>
    <w:rsid w:val="60C73328"/>
    <w:rsid w:val="60CC2038"/>
    <w:rsid w:val="60D16016"/>
    <w:rsid w:val="60E03D35"/>
    <w:rsid w:val="60FA4DF7"/>
    <w:rsid w:val="60FE69B5"/>
    <w:rsid w:val="61086B24"/>
    <w:rsid w:val="610C4B2A"/>
    <w:rsid w:val="61141727"/>
    <w:rsid w:val="61357F2E"/>
    <w:rsid w:val="615238B1"/>
    <w:rsid w:val="615A5895"/>
    <w:rsid w:val="61693D2A"/>
    <w:rsid w:val="6171653F"/>
    <w:rsid w:val="618344E7"/>
    <w:rsid w:val="61964177"/>
    <w:rsid w:val="61A02E98"/>
    <w:rsid w:val="61BE5E24"/>
    <w:rsid w:val="61D41829"/>
    <w:rsid w:val="61E45946"/>
    <w:rsid w:val="61EE2027"/>
    <w:rsid w:val="61F8179A"/>
    <w:rsid w:val="620121B5"/>
    <w:rsid w:val="6203135B"/>
    <w:rsid w:val="62172CA1"/>
    <w:rsid w:val="62257D7B"/>
    <w:rsid w:val="623215E9"/>
    <w:rsid w:val="62347E94"/>
    <w:rsid w:val="623D288E"/>
    <w:rsid w:val="62481B92"/>
    <w:rsid w:val="624E2F58"/>
    <w:rsid w:val="625E1FC6"/>
    <w:rsid w:val="62602AAB"/>
    <w:rsid w:val="62610D92"/>
    <w:rsid w:val="627662ED"/>
    <w:rsid w:val="628030DA"/>
    <w:rsid w:val="62835E45"/>
    <w:rsid w:val="628C5836"/>
    <w:rsid w:val="629B704A"/>
    <w:rsid w:val="629C01A7"/>
    <w:rsid w:val="62B1554A"/>
    <w:rsid w:val="62B37492"/>
    <w:rsid w:val="62C400C3"/>
    <w:rsid w:val="62C622F5"/>
    <w:rsid w:val="62C85055"/>
    <w:rsid w:val="62D902EC"/>
    <w:rsid w:val="62DB0C58"/>
    <w:rsid w:val="62E726C4"/>
    <w:rsid w:val="62EB763E"/>
    <w:rsid w:val="62F1485A"/>
    <w:rsid w:val="630048F7"/>
    <w:rsid w:val="631303F2"/>
    <w:rsid w:val="63215DB8"/>
    <w:rsid w:val="632717A7"/>
    <w:rsid w:val="632757F0"/>
    <w:rsid w:val="6328708E"/>
    <w:rsid w:val="632A1297"/>
    <w:rsid w:val="63353F6D"/>
    <w:rsid w:val="633E47F1"/>
    <w:rsid w:val="634525D5"/>
    <w:rsid w:val="635F3637"/>
    <w:rsid w:val="63754843"/>
    <w:rsid w:val="637569B7"/>
    <w:rsid w:val="63AC3C5F"/>
    <w:rsid w:val="63B03E93"/>
    <w:rsid w:val="63B77B8E"/>
    <w:rsid w:val="63BF141D"/>
    <w:rsid w:val="640177BB"/>
    <w:rsid w:val="641C6509"/>
    <w:rsid w:val="642D7291"/>
    <w:rsid w:val="64332AA2"/>
    <w:rsid w:val="643B3FC5"/>
    <w:rsid w:val="645079A9"/>
    <w:rsid w:val="64593EF4"/>
    <w:rsid w:val="64790728"/>
    <w:rsid w:val="64A93316"/>
    <w:rsid w:val="64AC63B8"/>
    <w:rsid w:val="64BE130D"/>
    <w:rsid w:val="64C63F4B"/>
    <w:rsid w:val="64C96A22"/>
    <w:rsid w:val="64DD4813"/>
    <w:rsid w:val="64EA33D4"/>
    <w:rsid w:val="64EE6A20"/>
    <w:rsid w:val="65006754"/>
    <w:rsid w:val="650417B4"/>
    <w:rsid w:val="650A4AEB"/>
    <w:rsid w:val="65174517"/>
    <w:rsid w:val="65345B7E"/>
    <w:rsid w:val="653528A1"/>
    <w:rsid w:val="653C01C1"/>
    <w:rsid w:val="65490F56"/>
    <w:rsid w:val="656E2D6F"/>
    <w:rsid w:val="65773631"/>
    <w:rsid w:val="658F3B57"/>
    <w:rsid w:val="65914C4B"/>
    <w:rsid w:val="65A43583"/>
    <w:rsid w:val="65A915D7"/>
    <w:rsid w:val="65B25CA0"/>
    <w:rsid w:val="65D339FA"/>
    <w:rsid w:val="65D851DD"/>
    <w:rsid w:val="65DE0A6D"/>
    <w:rsid w:val="65E06E0D"/>
    <w:rsid w:val="65E971E8"/>
    <w:rsid w:val="65EC60A9"/>
    <w:rsid w:val="65F30067"/>
    <w:rsid w:val="661105A8"/>
    <w:rsid w:val="661A00AE"/>
    <w:rsid w:val="66222D83"/>
    <w:rsid w:val="662A1A05"/>
    <w:rsid w:val="662B1179"/>
    <w:rsid w:val="662B5A52"/>
    <w:rsid w:val="662C3B8C"/>
    <w:rsid w:val="66397A98"/>
    <w:rsid w:val="665C2A9E"/>
    <w:rsid w:val="66621637"/>
    <w:rsid w:val="666E595E"/>
    <w:rsid w:val="667C184F"/>
    <w:rsid w:val="66817267"/>
    <w:rsid w:val="668F7750"/>
    <w:rsid w:val="6692027B"/>
    <w:rsid w:val="66950875"/>
    <w:rsid w:val="66A216E8"/>
    <w:rsid w:val="66A650D9"/>
    <w:rsid w:val="66AD290B"/>
    <w:rsid w:val="66B772E6"/>
    <w:rsid w:val="66BF666F"/>
    <w:rsid w:val="66CF2882"/>
    <w:rsid w:val="66D1515F"/>
    <w:rsid w:val="66F95B50"/>
    <w:rsid w:val="67002A91"/>
    <w:rsid w:val="670A5668"/>
    <w:rsid w:val="67224EF6"/>
    <w:rsid w:val="67452B44"/>
    <w:rsid w:val="674B6F9F"/>
    <w:rsid w:val="674C7894"/>
    <w:rsid w:val="674E71B7"/>
    <w:rsid w:val="675D7E8D"/>
    <w:rsid w:val="6766198E"/>
    <w:rsid w:val="676758FB"/>
    <w:rsid w:val="676C1E7F"/>
    <w:rsid w:val="677837BD"/>
    <w:rsid w:val="67784CC7"/>
    <w:rsid w:val="67852F40"/>
    <w:rsid w:val="67907B2C"/>
    <w:rsid w:val="679B1F3D"/>
    <w:rsid w:val="67B64415"/>
    <w:rsid w:val="67CE6C0A"/>
    <w:rsid w:val="67D77C40"/>
    <w:rsid w:val="67E671E3"/>
    <w:rsid w:val="67ED27D9"/>
    <w:rsid w:val="67F02AB0"/>
    <w:rsid w:val="67F222F5"/>
    <w:rsid w:val="67FA2386"/>
    <w:rsid w:val="68307350"/>
    <w:rsid w:val="6849484D"/>
    <w:rsid w:val="684F1CD8"/>
    <w:rsid w:val="685A5149"/>
    <w:rsid w:val="6878082B"/>
    <w:rsid w:val="68945B31"/>
    <w:rsid w:val="68A815DC"/>
    <w:rsid w:val="68AE178C"/>
    <w:rsid w:val="68B00491"/>
    <w:rsid w:val="68C1444C"/>
    <w:rsid w:val="68E779E3"/>
    <w:rsid w:val="68ED77DD"/>
    <w:rsid w:val="68F10571"/>
    <w:rsid w:val="68FA0D0D"/>
    <w:rsid w:val="690E5871"/>
    <w:rsid w:val="692B0CE1"/>
    <w:rsid w:val="693A33BA"/>
    <w:rsid w:val="695F683E"/>
    <w:rsid w:val="69690D6B"/>
    <w:rsid w:val="696B5954"/>
    <w:rsid w:val="697257F6"/>
    <w:rsid w:val="69866617"/>
    <w:rsid w:val="6995419A"/>
    <w:rsid w:val="69A2602B"/>
    <w:rsid w:val="69AB0345"/>
    <w:rsid w:val="69AB6604"/>
    <w:rsid w:val="69AF24F6"/>
    <w:rsid w:val="69B0699A"/>
    <w:rsid w:val="69C04704"/>
    <w:rsid w:val="69C96803"/>
    <w:rsid w:val="69F63A40"/>
    <w:rsid w:val="6A120A2D"/>
    <w:rsid w:val="6A160FCF"/>
    <w:rsid w:val="6A161C94"/>
    <w:rsid w:val="6A162806"/>
    <w:rsid w:val="6A1C5DDE"/>
    <w:rsid w:val="6A220F1A"/>
    <w:rsid w:val="6A296146"/>
    <w:rsid w:val="6A2D62D3"/>
    <w:rsid w:val="6A3A4DD7"/>
    <w:rsid w:val="6A4175F2"/>
    <w:rsid w:val="6A521800"/>
    <w:rsid w:val="6A601EDE"/>
    <w:rsid w:val="6A647785"/>
    <w:rsid w:val="6A7A48EC"/>
    <w:rsid w:val="6A8A71EB"/>
    <w:rsid w:val="6A8F72B9"/>
    <w:rsid w:val="6A9B08F9"/>
    <w:rsid w:val="6AA95198"/>
    <w:rsid w:val="6AAB7F50"/>
    <w:rsid w:val="6AC72890"/>
    <w:rsid w:val="6AD41C28"/>
    <w:rsid w:val="6AE05D7A"/>
    <w:rsid w:val="6AE73A53"/>
    <w:rsid w:val="6AF20FCD"/>
    <w:rsid w:val="6B05327D"/>
    <w:rsid w:val="6B1637B6"/>
    <w:rsid w:val="6B471919"/>
    <w:rsid w:val="6B563571"/>
    <w:rsid w:val="6B944D76"/>
    <w:rsid w:val="6B995FFE"/>
    <w:rsid w:val="6BA60ACC"/>
    <w:rsid w:val="6BB46349"/>
    <w:rsid w:val="6BBA3B00"/>
    <w:rsid w:val="6BD81F10"/>
    <w:rsid w:val="6BDF5356"/>
    <w:rsid w:val="6BE96194"/>
    <w:rsid w:val="6BF91EAD"/>
    <w:rsid w:val="6BFB7C75"/>
    <w:rsid w:val="6C285D9C"/>
    <w:rsid w:val="6C2D6AD7"/>
    <w:rsid w:val="6C310293"/>
    <w:rsid w:val="6C5D7FE5"/>
    <w:rsid w:val="6C6C1EF2"/>
    <w:rsid w:val="6C713C49"/>
    <w:rsid w:val="6C7E2BCD"/>
    <w:rsid w:val="6C814488"/>
    <w:rsid w:val="6C921765"/>
    <w:rsid w:val="6C980177"/>
    <w:rsid w:val="6C9E5D5C"/>
    <w:rsid w:val="6CA45D41"/>
    <w:rsid w:val="6CAC3CBF"/>
    <w:rsid w:val="6CBB6F39"/>
    <w:rsid w:val="6CC90D79"/>
    <w:rsid w:val="6CEC0622"/>
    <w:rsid w:val="6D2264AB"/>
    <w:rsid w:val="6D27503E"/>
    <w:rsid w:val="6D3451EC"/>
    <w:rsid w:val="6D352759"/>
    <w:rsid w:val="6D3B2A1F"/>
    <w:rsid w:val="6D3E7098"/>
    <w:rsid w:val="6D407738"/>
    <w:rsid w:val="6D470259"/>
    <w:rsid w:val="6D655433"/>
    <w:rsid w:val="6D7970A3"/>
    <w:rsid w:val="6D804169"/>
    <w:rsid w:val="6D9956BA"/>
    <w:rsid w:val="6DAE6F8E"/>
    <w:rsid w:val="6DBB76BC"/>
    <w:rsid w:val="6DBE343B"/>
    <w:rsid w:val="6DCB757A"/>
    <w:rsid w:val="6DD62D9A"/>
    <w:rsid w:val="6DD97399"/>
    <w:rsid w:val="6DFC351E"/>
    <w:rsid w:val="6E0127B0"/>
    <w:rsid w:val="6E027099"/>
    <w:rsid w:val="6E1B0BFC"/>
    <w:rsid w:val="6E274D51"/>
    <w:rsid w:val="6E275E73"/>
    <w:rsid w:val="6E300BBD"/>
    <w:rsid w:val="6E4E6782"/>
    <w:rsid w:val="6E580410"/>
    <w:rsid w:val="6E625129"/>
    <w:rsid w:val="6E70104D"/>
    <w:rsid w:val="6EA16987"/>
    <w:rsid w:val="6EAF3BF9"/>
    <w:rsid w:val="6EC64279"/>
    <w:rsid w:val="6ED651FE"/>
    <w:rsid w:val="6F327E52"/>
    <w:rsid w:val="6F4656AB"/>
    <w:rsid w:val="6F484143"/>
    <w:rsid w:val="6F574271"/>
    <w:rsid w:val="6F626ABC"/>
    <w:rsid w:val="6F6551A2"/>
    <w:rsid w:val="6F6D2C38"/>
    <w:rsid w:val="6F750F26"/>
    <w:rsid w:val="6F7915DC"/>
    <w:rsid w:val="6F7B72E9"/>
    <w:rsid w:val="6F814CA8"/>
    <w:rsid w:val="6F8445D4"/>
    <w:rsid w:val="6F863CF9"/>
    <w:rsid w:val="6F8C551D"/>
    <w:rsid w:val="6F8D5C1A"/>
    <w:rsid w:val="6F8E342E"/>
    <w:rsid w:val="6F96218E"/>
    <w:rsid w:val="6F9B0501"/>
    <w:rsid w:val="6FA348AB"/>
    <w:rsid w:val="6FA8133A"/>
    <w:rsid w:val="6FA92D40"/>
    <w:rsid w:val="6FCF38F2"/>
    <w:rsid w:val="6FD03FAE"/>
    <w:rsid w:val="6FD27139"/>
    <w:rsid w:val="6FD60FB9"/>
    <w:rsid w:val="6FE03CEE"/>
    <w:rsid w:val="6FF12841"/>
    <w:rsid w:val="6FF670D1"/>
    <w:rsid w:val="70086198"/>
    <w:rsid w:val="70131A31"/>
    <w:rsid w:val="70223A22"/>
    <w:rsid w:val="70241EE0"/>
    <w:rsid w:val="70294DB1"/>
    <w:rsid w:val="70311EB7"/>
    <w:rsid w:val="703A6478"/>
    <w:rsid w:val="704A7CBD"/>
    <w:rsid w:val="705362D1"/>
    <w:rsid w:val="705D337D"/>
    <w:rsid w:val="70A1703D"/>
    <w:rsid w:val="70A562F0"/>
    <w:rsid w:val="70A73F27"/>
    <w:rsid w:val="70CD2B48"/>
    <w:rsid w:val="70D42B79"/>
    <w:rsid w:val="70D87E35"/>
    <w:rsid w:val="70F47AC3"/>
    <w:rsid w:val="71126EE7"/>
    <w:rsid w:val="711B5606"/>
    <w:rsid w:val="711F2F6E"/>
    <w:rsid w:val="712107AA"/>
    <w:rsid w:val="71284CC5"/>
    <w:rsid w:val="712B4B58"/>
    <w:rsid w:val="712E4649"/>
    <w:rsid w:val="7150636D"/>
    <w:rsid w:val="71617DF1"/>
    <w:rsid w:val="71654E27"/>
    <w:rsid w:val="7170420F"/>
    <w:rsid w:val="71752277"/>
    <w:rsid w:val="71797077"/>
    <w:rsid w:val="718B5628"/>
    <w:rsid w:val="718F6EFB"/>
    <w:rsid w:val="719E73CE"/>
    <w:rsid w:val="71A02A13"/>
    <w:rsid w:val="71A67164"/>
    <w:rsid w:val="71AB5428"/>
    <w:rsid w:val="71B21D98"/>
    <w:rsid w:val="71B309C6"/>
    <w:rsid w:val="71C6221A"/>
    <w:rsid w:val="71C84566"/>
    <w:rsid w:val="71CD3E62"/>
    <w:rsid w:val="71CF7BDA"/>
    <w:rsid w:val="71D93CF6"/>
    <w:rsid w:val="71D94D43"/>
    <w:rsid w:val="71F6500C"/>
    <w:rsid w:val="71F66724"/>
    <w:rsid w:val="71FD0107"/>
    <w:rsid w:val="721B720C"/>
    <w:rsid w:val="722F68B9"/>
    <w:rsid w:val="723E08BB"/>
    <w:rsid w:val="724759C2"/>
    <w:rsid w:val="726059C5"/>
    <w:rsid w:val="726246F7"/>
    <w:rsid w:val="72A97CC2"/>
    <w:rsid w:val="72AB1549"/>
    <w:rsid w:val="72B017B9"/>
    <w:rsid w:val="72B312A9"/>
    <w:rsid w:val="72C65099"/>
    <w:rsid w:val="72FD2F27"/>
    <w:rsid w:val="73064543"/>
    <w:rsid w:val="730F3EF0"/>
    <w:rsid w:val="73176AC7"/>
    <w:rsid w:val="73347F90"/>
    <w:rsid w:val="733B33E0"/>
    <w:rsid w:val="734B5A8D"/>
    <w:rsid w:val="734F0FD2"/>
    <w:rsid w:val="735F4F8D"/>
    <w:rsid w:val="737C6A9A"/>
    <w:rsid w:val="737E24ED"/>
    <w:rsid w:val="738F5A36"/>
    <w:rsid w:val="73986296"/>
    <w:rsid w:val="73B045D2"/>
    <w:rsid w:val="73D72776"/>
    <w:rsid w:val="73D94CFF"/>
    <w:rsid w:val="73F85011"/>
    <w:rsid w:val="74031DBD"/>
    <w:rsid w:val="742025C2"/>
    <w:rsid w:val="74203020"/>
    <w:rsid w:val="742D55DD"/>
    <w:rsid w:val="74387230"/>
    <w:rsid w:val="744C5D23"/>
    <w:rsid w:val="744E128A"/>
    <w:rsid w:val="74552F0F"/>
    <w:rsid w:val="7485329A"/>
    <w:rsid w:val="74936C9D"/>
    <w:rsid w:val="749F682B"/>
    <w:rsid w:val="74A70BF3"/>
    <w:rsid w:val="74C46221"/>
    <w:rsid w:val="74C46C63"/>
    <w:rsid w:val="74DF1EE2"/>
    <w:rsid w:val="74E4399C"/>
    <w:rsid w:val="74E97A35"/>
    <w:rsid w:val="74F11F08"/>
    <w:rsid w:val="75157DF0"/>
    <w:rsid w:val="75287D2D"/>
    <w:rsid w:val="753F6E24"/>
    <w:rsid w:val="75466405"/>
    <w:rsid w:val="757765BE"/>
    <w:rsid w:val="757C043C"/>
    <w:rsid w:val="75803660"/>
    <w:rsid w:val="75851583"/>
    <w:rsid w:val="759F04CE"/>
    <w:rsid w:val="75A37EA3"/>
    <w:rsid w:val="75BB43EF"/>
    <w:rsid w:val="75BE0722"/>
    <w:rsid w:val="75BF1D13"/>
    <w:rsid w:val="75CA1F8C"/>
    <w:rsid w:val="75D05983"/>
    <w:rsid w:val="75DA7EE7"/>
    <w:rsid w:val="75E014A5"/>
    <w:rsid w:val="75E55C1E"/>
    <w:rsid w:val="75ED062E"/>
    <w:rsid w:val="75F5762C"/>
    <w:rsid w:val="76134845"/>
    <w:rsid w:val="76236D07"/>
    <w:rsid w:val="762E4008"/>
    <w:rsid w:val="763922F4"/>
    <w:rsid w:val="764B043F"/>
    <w:rsid w:val="76A97EA3"/>
    <w:rsid w:val="76BA0E58"/>
    <w:rsid w:val="76D449F2"/>
    <w:rsid w:val="76DC0816"/>
    <w:rsid w:val="76F65C09"/>
    <w:rsid w:val="77132317"/>
    <w:rsid w:val="771A401A"/>
    <w:rsid w:val="771B741D"/>
    <w:rsid w:val="774B075C"/>
    <w:rsid w:val="774D74E3"/>
    <w:rsid w:val="7757749B"/>
    <w:rsid w:val="77597F97"/>
    <w:rsid w:val="77754D7F"/>
    <w:rsid w:val="77896DD2"/>
    <w:rsid w:val="778F6F79"/>
    <w:rsid w:val="77920613"/>
    <w:rsid w:val="77925931"/>
    <w:rsid w:val="779553F4"/>
    <w:rsid w:val="77975012"/>
    <w:rsid w:val="779A4844"/>
    <w:rsid w:val="77A478A1"/>
    <w:rsid w:val="77A960A7"/>
    <w:rsid w:val="77AF5BFA"/>
    <w:rsid w:val="77C16217"/>
    <w:rsid w:val="77D23039"/>
    <w:rsid w:val="77FE25BD"/>
    <w:rsid w:val="7804331D"/>
    <w:rsid w:val="780879A1"/>
    <w:rsid w:val="780D320A"/>
    <w:rsid w:val="78206777"/>
    <w:rsid w:val="78212190"/>
    <w:rsid w:val="78216CB5"/>
    <w:rsid w:val="782A7F03"/>
    <w:rsid w:val="783A55A4"/>
    <w:rsid w:val="7841648A"/>
    <w:rsid w:val="787050BC"/>
    <w:rsid w:val="7894400D"/>
    <w:rsid w:val="78966177"/>
    <w:rsid w:val="78A31447"/>
    <w:rsid w:val="78C134D4"/>
    <w:rsid w:val="78CE1A49"/>
    <w:rsid w:val="78DD0E2E"/>
    <w:rsid w:val="78FA364B"/>
    <w:rsid w:val="79092014"/>
    <w:rsid w:val="790B6163"/>
    <w:rsid w:val="79144124"/>
    <w:rsid w:val="79216810"/>
    <w:rsid w:val="79234537"/>
    <w:rsid w:val="79371424"/>
    <w:rsid w:val="79403229"/>
    <w:rsid w:val="79615574"/>
    <w:rsid w:val="79616DC4"/>
    <w:rsid w:val="79707F32"/>
    <w:rsid w:val="79724919"/>
    <w:rsid w:val="79773031"/>
    <w:rsid w:val="797831E0"/>
    <w:rsid w:val="79882B42"/>
    <w:rsid w:val="798972E3"/>
    <w:rsid w:val="799120F6"/>
    <w:rsid w:val="79991615"/>
    <w:rsid w:val="79B54A85"/>
    <w:rsid w:val="79CF5EC2"/>
    <w:rsid w:val="79E1128D"/>
    <w:rsid w:val="79E820BE"/>
    <w:rsid w:val="79FC52E4"/>
    <w:rsid w:val="79FE105C"/>
    <w:rsid w:val="7A0E684F"/>
    <w:rsid w:val="7A106FE1"/>
    <w:rsid w:val="7A1563A6"/>
    <w:rsid w:val="7A187C44"/>
    <w:rsid w:val="7A356A48"/>
    <w:rsid w:val="7A3A404A"/>
    <w:rsid w:val="7A460C55"/>
    <w:rsid w:val="7A4F1ABA"/>
    <w:rsid w:val="7A543F21"/>
    <w:rsid w:val="7A5F0054"/>
    <w:rsid w:val="7A7E0956"/>
    <w:rsid w:val="7A862644"/>
    <w:rsid w:val="7A894083"/>
    <w:rsid w:val="7A9002A1"/>
    <w:rsid w:val="7AAC2154"/>
    <w:rsid w:val="7AB4796D"/>
    <w:rsid w:val="7ABD2CC5"/>
    <w:rsid w:val="7AC758F2"/>
    <w:rsid w:val="7AD70296"/>
    <w:rsid w:val="7AE844D4"/>
    <w:rsid w:val="7AF12F4C"/>
    <w:rsid w:val="7B0421EA"/>
    <w:rsid w:val="7B2629EE"/>
    <w:rsid w:val="7B2A7C2F"/>
    <w:rsid w:val="7B4128F5"/>
    <w:rsid w:val="7B4506A2"/>
    <w:rsid w:val="7B4952E1"/>
    <w:rsid w:val="7B4B7015"/>
    <w:rsid w:val="7B672C31"/>
    <w:rsid w:val="7B681A01"/>
    <w:rsid w:val="7B6E5D6D"/>
    <w:rsid w:val="7B750594"/>
    <w:rsid w:val="7B844E22"/>
    <w:rsid w:val="7B86410F"/>
    <w:rsid w:val="7BBA37C5"/>
    <w:rsid w:val="7BC4767F"/>
    <w:rsid w:val="7BD3539E"/>
    <w:rsid w:val="7BD665F9"/>
    <w:rsid w:val="7C1C080B"/>
    <w:rsid w:val="7C29201E"/>
    <w:rsid w:val="7C29438A"/>
    <w:rsid w:val="7C336710"/>
    <w:rsid w:val="7C47478B"/>
    <w:rsid w:val="7C656386"/>
    <w:rsid w:val="7C683105"/>
    <w:rsid w:val="7C885990"/>
    <w:rsid w:val="7C9A13EB"/>
    <w:rsid w:val="7C9F189D"/>
    <w:rsid w:val="7CB137EB"/>
    <w:rsid w:val="7CB42860"/>
    <w:rsid w:val="7CB71996"/>
    <w:rsid w:val="7CBB319E"/>
    <w:rsid w:val="7CBE5F5C"/>
    <w:rsid w:val="7CC23AF1"/>
    <w:rsid w:val="7CC87CD0"/>
    <w:rsid w:val="7CD267D0"/>
    <w:rsid w:val="7CE63D38"/>
    <w:rsid w:val="7CEC5AE4"/>
    <w:rsid w:val="7CF90201"/>
    <w:rsid w:val="7CFD1A9F"/>
    <w:rsid w:val="7D021F92"/>
    <w:rsid w:val="7D0B3EF6"/>
    <w:rsid w:val="7D110672"/>
    <w:rsid w:val="7D327DB0"/>
    <w:rsid w:val="7D3B2049"/>
    <w:rsid w:val="7D436A60"/>
    <w:rsid w:val="7D535007"/>
    <w:rsid w:val="7D605B8A"/>
    <w:rsid w:val="7D7A4E9D"/>
    <w:rsid w:val="7D7D6162"/>
    <w:rsid w:val="7D810472"/>
    <w:rsid w:val="7D891584"/>
    <w:rsid w:val="7D8F499F"/>
    <w:rsid w:val="7D9B726B"/>
    <w:rsid w:val="7DC51E91"/>
    <w:rsid w:val="7DC73E5B"/>
    <w:rsid w:val="7DD2619A"/>
    <w:rsid w:val="7DD53EEC"/>
    <w:rsid w:val="7DDC0ABF"/>
    <w:rsid w:val="7DDE7F6E"/>
    <w:rsid w:val="7DF74740"/>
    <w:rsid w:val="7E0B4B18"/>
    <w:rsid w:val="7E2133B7"/>
    <w:rsid w:val="7E235C52"/>
    <w:rsid w:val="7E364B5D"/>
    <w:rsid w:val="7E413C0D"/>
    <w:rsid w:val="7E6404E2"/>
    <w:rsid w:val="7E6E2E4D"/>
    <w:rsid w:val="7E7471DD"/>
    <w:rsid w:val="7E8B75A5"/>
    <w:rsid w:val="7E8F4979"/>
    <w:rsid w:val="7E9F0934"/>
    <w:rsid w:val="7E9F6B8E"/>
    <w:rsid w:val="7EBE6F11"/>
    <w:rsid w:val="7EC40A46"/>
    <w:rsid w:val="7ED17A85"/>
    <w:rsid w:val="7EDB7BBE"/>
    <w:rsid w:val="7EE30DF1"/>
    <w:rsid w:val="7EFB3DBC"/>
    <w:rsid w:val="7EFE1AFE"/>
    <w:rsid w:val="7F056578"/>
    <w:rsid w:val="7F076C05"/>
    <w:rsid w:val="7F0C421B"/>
    <w:rsid w:val="7F1768BC"/>
    <w:rsid w:val="7F210F90"/>
    <w:rsid w:val="7F313C82"/>
    <w:rsid w:val="7F337911"/>
    <w:rsid w:val="7F3547A1"/>
    <w:rsid w:val="7F3B065C"/>
    <w:rsid w:val="7F4A08A0"/>
    <w:rsid w:val="7F5259A6"/>
    <w:rsid w:val="7F69341C"/>
    <w:rsid w:val="7F7E30AB"/>
    <w:rsid w:val="7F7F692F"/>
    <w:rsid w:val="7F833D8D"/>
    <w:rsid w:val="7F835206"/>
    <w:rsid w:val="7F961332"/>
    <w:rsid w:val="7FA9499F"/>
    <w:rsid w:val="7FAD3455"/>
    <w:rsid w:val="7FBD5515"/>
    <w:rsid w:val="7FC841C1"/>
    <w:rsid w:val="7FF134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2"/>
    <w:qFormat/>
    <w:uiPriority w:val="0"/>
    <w:pPr>
      <w:keepNext/>
      <w:keepLines/>
      <w:autoSpaceDE w:val="0"/>
      <w:autoSpaceDN w:val="0"/>
      <w:adjustRightInd w:val="0"/>
      <w:spacing w:line="360" w:lineRule="auto"/>
      <w:ind w:firstLine="3453" w:firstLineChars="1150"/>
      <w:jc w:val="left"/>
      <w:outlineLvl w:val="2"/>
    </w:pPr>
    <w:rPr>
      <w:rFonts w:ascii="宋体" w:hAnsi="宋体"/>
      <w:b/>
      <w:kern w:val="0"/>
      <w:sz w:val="30"/>
      <w:szCs w:val="30"/>
      <w:shd w:val="clear" w:color="auto" w:fill="FFFFFF"/>
    </w:rPr>
  </w:style>
  <w:style w:type="paragraph" w:styleId="6">
    <w:name w:val="heading 4"/>
    <w:basedOn w:val="1"/>
    <w:next w:val="1"/>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toc 7"/>
    <w:basedOn w:val="1"/>
    <w:next w:val="1"/>
    <w:qFormat/>
    <w:uiPriority w:val="39"/>
    <w:pPr>
      <w:ind w:left="2520" w:leftChars="1200"/>
    </w:pPr>
  </w:style>
  <w:style w:type="paragraph" w:styleId="9">
    <w:name w:val="Document Map"/>
    <w:basedOn w:val="1"/>
    <w:link w:val="53"/>
    <w:qFormat/>
    <w:uiPriority w:val="0"/>
    <w:rPr>
      <w:rFonts w:ascii="宋体"/>
      <w:sz w:val="18"/>
      <w:szCs w:val="18"/>
    </w:rPr>
  </w:style>
  <w:style w:type="paragraph" w:styleId="10">
    <w:name w:val="annotation text"/>
    <w:basedOn w:val="1"/>
    <w:link w:val="54"/>
    <w:qFormat/>
    <w:uiPriority w:val="99"/>
    <w:pPr>
      <w:jc w:val="left"/>
    </w:pPr>
  </w:style>
  <w:style w:type="paragraph" w:styleId="11">
    <w:name w:val="Body Text"/>
    <w:basedOn w:val="1"/>
    <w:next w:val="6"/>
    <w:link w:val="55"/>
    <w:qFormat/>
    <w:uiPriority w:val="0"/>
    <w:pPr>
      <w:tabs>
        <w:tab w:val="left" w:pos="567"/>
      </w:tabs>
      <w:spacing w:before="120" w:line="22" w:lineRule="atLeast"/>
    </w:pPr>
    <w:rPr>
      <w:rFonts w:ascii="宋体" w:hAnsi="宋体"/>
      <w:sz w:val="24"/>
    </w:rPr>
  </w:style>
  <w:style w:type="paragraph" w:styleId="12">
    <w:name w:val="Body Text Indent"/>
    <w:basedOn w:val="1"/>
    <w:qFormat/>
    <w:uiPriority w:val="0"/>
    <w:pPr>
      <w:spacing w:line="360" w:lineRule="auto"/>
      <w:ind w:firstLine="570"/>
    </w:pPr>
    <w:rPr>
      <w:sz w:val="24"/>
    </w:rPr>
  </w:style>
  <w:style w:type="paragraph" w:styleId="13">
    <w:name w:val="toc 5"/>
    <w:basedOn w:val="1"/>
    <w:next w:val="1"/>
    <w:qFormat/>
    <w:uiPriority w:val="39"/>
    <w:pPr>
      <w:ind w:left="1680" w:leftChars="800"/>
    </w:pPr>
  </w:style>
  <w:style w:type="paragraph" w:styleId="14">
    <w:name w:val="toc 3"/>
    <w:basedOn w:val="1"/>
    <w:next w:val="1"/>
    <w:qFormat/>
    <w:uiPriority w:val="39"/>
    <w:pPr>
      <w:tabs>
        <w:tab w:val="left" w:pos="1260"/>
        <w:tab w:val="right" w:leader="dot" w:pos="8630"/>
      </w:tabs>
      <w:ind w:left="840" w:leftChars="400"/>
    </w:pPr>
  </w:style>
  <w:style w:type="paragraph" w:styleId="15">
    <w:name w:val="Plain Text"/>
    <w:basedOn w:val="1"/>
    <w:next w:val="11"/>
    <w:link w:val="56"/>
    <w:qFormat/>
    <w:uiPriority w:val="0"/>
    <w:rPr>
      <w:rFonts w:ascii="宋体" w:hAnsi="Courier New"/>
      <w:szCs w:val="20"/>
    </w:rPr>
  </w:style>
  <w:style w:type="paragraph" w:styleId="16">
    <w:name w:val="toc 8"/>
    <w:basedOn w:val="1"/>
    <w:next w:val="1"/>
    <w:qFormat/>
    <w:uiPriority w:val="39"/>
    <w:pPr>
      <w:ind w:left="2940" w:leftChars="1400"/>
    </w:pPr>
  </w:style>
  <w:style w:type="paragraph" w:styleId="17">
    <w:name w:val="Date"/>
    <w:basedOn w:val="1"/>
    <w:next w:val="1"/>
    <w:link w:val="57"/>
    <w:qFormat/>
    <w:uiPriority w:val="0"/>
    <w:pPr>
      <w:ind w:left="100" w:leftChars="2500"/>
    </w:pPr>
    <w:rPr>
      <w:rFonts w:ascii="仿宋_GB2312" w:hAnsi="宋体" w:eastAsia="仿宋_GB2312"/>
      <w:color w:val="000000"/>
      <w:sz w:val="24"/>
    </w:rPr>
  </w:style>
  <w:style w:type="paragraph" w:styleId="18">
    <w:name w:val="Body Text Indent 2"/>
    <w:basedOn w:val="1"/>
    <w:qFormat/>
    <w:uiPriority w:val="0"/>
    <w:pPr>
      <w:ind w:firstLine="480" w:firstLineChars="200"/>
    </w:pPr>
    <w:rPr>
      <w:rFonts w:ascii="仿宋_GB2312" w:eastAsia="仿宋_GB2312"/>
      <w:sz w:val="24"/>
    </w:rPr>
  </w:style>
  <w:style w:type="paragraph" w:styleId="19">
    <w:name w:val="Balloon Text"/>
    <w:basedOn w:val="1"/>
    <w:link w:val="58"/>
    <w:qFormat/>
    <w:uiPriority w:val="0"/>
    <w:rPr>
      <w:sz w:val="18"/>
      <w:szCs w:val="18"/>
    </w:rPr>
  </w:style>
  <w:style w:type="paragraph" w:styleId="20">
    <w:name w:val="footer"/>
    <w:basedOn w:val="1"/>
    <w:link w:val="5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1">
    <w:name w:val="header"/>
    <w:basedOn w:val="1"/>
    <w:link w:val="60"/>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style>
  <w:style w:type="paragraph" w:styleId="23">
    <w:name w:val="toc 4"/>
    <w:basedOn w:val="1"/>
    <w:next w:val="1"/>
    <w:qFormat/>
    <w:uiPriority w:val="39"/>
    <w:pPr>
      <w:ind w:left="1260" w:leftChars="600"/>
    </w:pPr>
  </w:style>
  <w:style w:type="paragraph" w:styleId="24">
    <w:name w:val="toc 6"/>
    <w:basedOn w:val="1"/>
    <w:next w:val="1"/>
    <w:qFormat/>
    <w:uiPriority w:val="39"/>
    <w:pPr>
      <w:ind w:left="2100" w:leftChars="1000"/>
    </w:pPr>
  </w:style>
  <w:style w:type="paragraph" w:styleId="25">
    <w:name w:val="Body Text Indent 3"/>
    <w:basedOn w:val="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6">
    <w:name w:val="toc 2"/>
    <w:basedOn w:val="1"/>
    <w:next w:val="1"/>
    <w:qFormat/>
    <w:uiPriority w:val="39"/>
    <w:pPr>
      <w:ind w:left="420" w:leftChars="200"/>
    </w:pPr>
  </w:style>
  <w:style w:type="paragraph" w:styleId="27">
    <w:name w:val="toc 9"/>
    <w:basedOn w:val="1"/>
    <w:next w:val="1"/>
    <w:qFormat/>
    <w:uiPriority w:val="39"/>
    <w:pPr>
      <w:ind w:left="3360" w:leftChars="1600"/>
    </w:pPr>
  </w:style>
  <w:style w:type="paragraph" w:styleId="28">
    <w:name w:val="Body Text 2"/>
    <w:basedOn w:val="1"/>
    <w:qFormat/>
    <w:uiPriority w:val="0"/>
    <w:pPr>
      <w:spacing w:after="120" w:line="480" w:lineRule="auto"/>
    </w:pPr>
  </w:style>
  <w:style w:type="paragraph" w:styleId="2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0">
    <w:name w:val="index 1"/>
    <w:basedOn w:val="1"/>
    <w:next w:val="1"/>
    <w:semiHidden/>
    <w:qFormat/>
    <w:uiPriority w:val="0"/>
    <w:rPr>
      <w:szCs w:val="20"/>
    </w:rPr>
  </w:style>
  <w:style w:type="paragraph" w:styleId="31">
    <w:name w:val="Title"/>
    <w:basedOn w:val="1"/>
    <w:next w:val="1"/>
    <w:link w:val="61"/>
    <w:qFormat/>
    <w:uiPriority w:val="0"/>
    <w:pPr>
      <w:spacing w:before="240" w:after="60"/>
      <w:jc w:val="center"/>
      <w:outlineLvl w:val="0"/>
    </w:pPr>
    <w:rPr>
      <w:rFonts w:ascii="Cambria" w:hAnsi="Cambria"/>
      <w:b/>
      <w:bCs/>
      <w:sz w:val="32"/>
      <w:szCs w:val="32"/>
    </w:rPr>
  </w:style>
  <w:style w:type="paragraph" w:styleId="32">
    <w:name w:val="annotation subject"/>
    <w:basedOn w:val="10"/>
    <w:next w:val="10"/>
    <w:link w:val="62"/>
    <w:qFormat/>
    <w:uiPriority w:val="0"/>
    <w:rPr>
      <w:b/>
      <w:bCs/>
    </w:rPr>
  </w:style>
  <w:style w:type="paragraph" w:styleId="33">
    <w:name w:val="Body Text First Indent 2"/>
    <w:basedOn w:val="12"/>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22"/>
    <w:rPr>
      <w:b/>
      <w:bCs/>
    </w:rPr>
  </w:style>
  <w:style w:type="character" w:styleId="38">
    <w:name w:val="page number"/>
    <w:qFormat/>
    <w:uiPriority w:val="0"/>
  </w:style>
  <w:style w:type="character" w:styleId="39">
    <w:name w:val="FollowedHyperlink"/>
    <w:qFormat/>
    <w:uiPriority w:val="0"/>
    <w:rPr>
      <w:color w:val="000000"/>
      <w:u w:val="none"/>
    </w:rPr>
  </w:style>
  <w:style w:type="character" w:styleId="40">
    <w:name w:val="Emphasis"/>
    <w:qFormat/>
    <w:uiPriority w:val="0"/>
  </w:style>
  <w:style w:type="character" w:styleId="41">
    <w:name w:val="HTML Definition"/>
    <w:qFormat/>
    <w:uiPriority w:val="0"/>
    <w:rPr>
      <w:i/>
      <w:iCs/>
    </w:rPr>
  </w:style>
  <w:style w:type="character" w:styleId="42">
    <w:name w:val="HTML Acronym"/>
    <w:qFormat/>
    <w:uiPriority w:val="0"/>
  </w:style>
  <w:style w:type="character" w:styleId="43">
    <w:name w:val="HTML Variable"/>
    <w:qFormat/>
    <w:uiPriority w:val="0"/>
  </w:style>
  <w:style w:type="character" w:styleId="44">
    <w:name w:val="Hyperlink"/>
    <w:qFormat/>
    <w:uiPriority w:val="99"/>
    <w:rPr>
      <w:color w:val="000000"/>
      <w:u w:val="none"/>
    </w:rPr>
  </w:style>
  <w:style w:type="character" w:styleId="45">
    <w:name w:val="HTML Code"/>
    <w:qFormat/>
    <w:uiPriority w:val="0"/>
    <w:rPr>
      <w:rFonts w:hint="default" w:ascii="Consolas" w:hAnsi="Consolas" w:eastAsia="Consolas" w:cs="Consolas"/>
      <w:color w:val="C7254E"/>
      <w:sz w:val="21"/>
      <w:szCs w:val="21"/>
      <w:shd w:val="clear" w:color="auto" w:fill="F9F2F4"/>
    </w:rPr>
  </w:style>
  <w:style w:type="character" w:styleId="46">
    <w:name w:val="annotation reference"/>
    <w:qFormat/>
    <w:uiPriority w:val="99"/>
    <w:rPr>
      <w:sz w:val="21"/>
      <w:szCs w:val="21"/>
    </w:rPr>
  </w:style>
  <w:style w:type="character" w:styleId="47">
    <w:name w:val="HTML Cite"/>
    <w:qFormat/>
    <w:uiPriority w:val="0"/>
  </w:style>
  <w:style w:type="character" w:styleId="48">
    <w:name w:val="HTML Keyboard"/>
    <w:qFormat/>
    <w:uiPriority w:val="0"/>
    <w:rPr>
      <w:rFonts w:hint="default" w:ascii="Consolas" w:hAnsi="Consolas" w:eastAsia="Consolas" w:cs="Consolas"/>
      <w:color w:val="FFFFFF"/>
      <w:sz w:val="21"/>
      <w:szCs w:val="21"/>
      <w:shd w:val="clear" w:color="auto" w:fill="333333"/>
    </w:rPr>
  </w:style>
  <w:style w:type="character" w:styleId="49">
    <w:name w:val="HTML Sample"/>
    <w:qFormat/>
    <w:uiPriority w:val="0"/>
    <w:rPr>
      <w:rFonts w:ascii="Consolas" w:hAnsi="Consolas" w:eastAsia="Consolas" w:cs="Consolas"/>
      <w:sz w:val="21"/>
      <w:szCs w:val="21"/>
    </w:rPr>
  </w:style>
  <w:style w:type="character" w:customStyle="1" w:styleId="50">
    <w:name w:val="标题 1 字符"/>
    <w:link w:val="2"/>
    <w:qFormat/>
    <w:uiPriority w:val="0"/>
    <w:rPr>
      <w:rFonts w:ascii="宋体"/>
      <w:b/>
      <w:kern w:val="44"/>
      <w:sz w:val="32"/>
    </w:rPr>
  </w:style>
  <w:style w:type="character" w:customStyle="1" w:styleId="51">
    <w:name w:val="标题 2 字符1"/>
    <w:link w:val="3"/>
    <w:qFormat/>
    <w:uiPriority w:val="0"/>
    <w:rPr>
      <w:rFonts w:ascii="Arial" w:hAnsi="Arial" w:eastAsia="黑体"/>
      <w:b/>
      <w:sz w:val="30"/>
    </w:rPr>
  </w:style>
  <w:style w:type="character" w:customStyle="1" w:styleId="52">
    <w:name w:val="标题 3 字符1"/>
    <w:link w:val="5"/>
    <w:qFormat/>
    <w:uiPriority w:val="0"/>
    <w:rPr>
      <w:rFonts w:ascii="宋体" w:hAnsi="宋体"/>
      <w:b/>
      <w:sz w:val="30"/>
      <w:szCs w:val="30"/>
    </w:rPr>
  </w:style>
  <w:style w:type="character" w:customStyle="1" w:styleId="53">
    <w:name w:val="文档结构图 字符"/>
    <w:link w:val="9"/>
    <w:qFormat/>
    <w:uiPriority w:val="0"/>
    <w:rPr>
      <w:rFonts w:ascii="宋体"/>
      <w:kern w:val="2"/>
      <w:sz w:val="18"/>
      <w:szCs w:val="18"/>
    </w:rPr>
  </w:style>
  <w:style w:type="character" w:customStyle="1" w:styleId="54">
    <w:name w:val="批注文字 字符"/>
    <w:link w:val="10"/>
    <w:qFormat/>
    <w:uiPriority w:val="99"/>
    <w:rPr>
      <w:kern w:val="2"/>
      <w:sz w:val="21"/>
      <w:szCs w:val="24"/>
    </w:rPr>
  </w:style>
  <w:style w:type="character" w:customStyle="1" w:styleId="55">
    <w:name w:val="正文文本 字符1"/>
    <w:link w:val="11"/>
    <w:qFormat/>
    <w:uiPriority w:val="0"/>
    <w:rPr>
      <w:rFonts w:ascii="宋体" w:hAnsi="宋体"/>
      <w:kern w:val="2"/>
      <w:sz w:val="24"/>
      <w:szCs w:val="24"/>
    </w:rPr>
  </w:style>
  <w:style w:type="character" w:customStyle="1" w:styleId="56">
    <w:name w:val="纯文本 字符1"/>
    <w:link w:val="15"/>
    <w:qFormat/>
    <w:uiPriority w:val="0"/>
    <w:rPr>
      <w:rFonts w:ascii="宋体" w:hAnsi="Courier New"/>
      <w:kern w:val="2"/>
      <w:sz w:val="21"/>
    </w:rPr>
  </w:style>
  <w:style w:type="character" w:customStyle="1" w:styleId="57">
    <w:name w:val="日期 字符"/>
    <w:link w:val="17"/>
    <w:qFormat/>
    <w:uiPriority w:val="0"/>
    <w:rPr>
      <w:rFonts w:ascii="仿宋_GB2312" w:hAnsi="宋体" w:eastAsia="仿宋_GB2312"/>
      <w:color w:val="000000"/>
      <w:kern w:val="2"/>
      <w:sz w:val="24"/>
      <w:szCs w:val="24"/>
    </w:rPr>
  </w:style>
  <w:style w:type="character" w:customStyle="1" w:styleId="58">
    <w:name w:val="批注框文本 字符"/>
    <w:link w:val="19"/>
    <w:qFormat/>
    <w:uiPriority w:val="0"/>
    <w:rPr>
      <w:kern w:val="2"/>
      <w:sz w:val="18"/>
      <w:szCs w:val="18"/>
    </w:rPr>
  </w:style>
  <w:style w:type="character" w:customStyle="1" w:styleId="59">
    <w:name w:val="页脚 字符"/>
    <w:link w:val="20"/>
    <w:qFormat/>
    <w:uiPriority w:val="99"/>
    <w:rPr>
      <w:rFonts w:ascii="宋体"/>
      <w:sz w:val="18"/>
    </w:rPr>
  </w:style>
  <w:style w:type="character" w:customStyle="1" w:styleId="60">
    <w:name w:val="页眉 字符"/>
    <w:link w:val="21"/>
    <w:qFormat/>
    <w:uiPriority w:val="0"/>
    <w:rPr>
      <w:kern w:val="2"/>
      <w:sz w:val="18"/>
      <w:szCs w:val="18"/>
    </w:rPr>
  </w:style>
  <w:style w:type="character" w:customStyle="1" w:styleId="61">
    <w:name w:val="标题 字符"/>
    <w:link w:val="31"/>
    <w:qFormat/>
    <w:uiPriority w:val="0"/>
    <w:rPr>
      <w:rFonts w:ascii="Cambria" w:hAnsi="Cambria" w:cs="Times New Roman"/>
      <w:b/>
      <w:bCs/>
      <w:kern w:val="2"/>
      <w:sz w:val="32"/>
      <w:szCs w:val="32"/>
    </w:rPr>
  </w:style>
  <w:style w:type="character" w:customStyle="1" w:styleId="62">
    <w:name w:val="批注主题 字符"/>
    <w:link w:val="32"/>
    <w:qFormat/>
    <w:uiPriority w:val="0"/>
    <w:rPr>
      <w:b/>
      <w:bCs/>
      <w:kern w:val="2"/>
      <w:sz w:val="21"/>
      <w:szCs w:val="24"/>
    </w:rPr>
  </w:style>
  <w:style w:type="character" w:customStyle="1" w:styleId="63">
    <w:name w:val="批注文字 Char1"/>
    <w:semiHidden/>
    <w:qFormat/>
    <w:uiPriority w:val="99"/>
    <w:rPr>
      <w:kern w:val="2"/>
      <w:sz w:val="21"/>
      <w:szCs w:val="24"/>
    </w:rPr>
  </w:style>
  <w:style w:type="character" w:customStyle="1" w:styleId="64">
    <w:name w:val="正文文本 字符"/>
    <w:qFormat/>
    <w:uiPriority w:val="0"/>
    <w:rPr>
      <w:rFonts w:ascii="宋体" w:hAnsi="宋体"/>
      <w:kern w:val="2"/>
      <w:sz w:val="24"/>
      <w:szCs w:val="24"/>
    </w:rPr>
  </w:style>
  <w:style w:type="character" w:customStyle="1" w:styleId="65">
    <w:name w:val="标题 2 字符"/>
    <w:qFormat/>
    <w:uiPriority w:val="0"/>
    <w:rPr>
      <w:rFonts w:ascii="Arial" w:hAnsi="Arial" w:eastAsia="黑体"/>
      <w:b/>
      <w:sz w:val="30"/>
    </w:rPr>
  </w:style>
  <w:style w:type="character" w:customStyle="1" w:styleId="66">
    <w:name w:val="正文缩进 Char1"/>
    <w:link w:val="67"/>
    <w:qFormat/>
    <w:uiPriority w:val="0"/>
    <w:rPr>
      <w:rFonts w:ascii="宋体"/>
      <w:sz w:val="24"/>
    </w:rPr>
  </w:style>
  <w:style w:type="paragraph" w:customStyle="1" w:styleId="67">
    <w:name w:val="正文缩进1"/>
    <w:basedOn w:val="1"/>
    <w:link w:val="66"/>
    <w:qFormat/>
    <w:uiPriority w:val="0"/>
    <w:pPr>
      <w:autoSpaceDE w:val="0"/>
      <w:autoSpaceDN w:val="0"/>
      <w:adjustRightInd w:val="0"/>
      <w:ind w:firstLine="420"/>
      <w:jc w:val="left"/>
    </w:pPr>
    <w:rPr>
      <w:rFonts w:ascii="宋体"/>
      <w:kern w:val="0"/>
      <w:sz w:val="24"/>
      <w:szCs w:val="20"/>
    </w:rPr>
  </w:style>
  <w:style w:type="character" w:customStyle="1" w:styleId="68">
    <w:name w:val="批注主题 Char1"/>
    <w:semiHidden/>
    <w:qFormat/>
    <w:uiPriority w:val="99"/>
    <w:rPr>
      <w:b/>
      <w:bCs/>
      <w:kern w:val="2"/>
      <w:sz w:val="21"/>
      <w:szCs w:val="24"/>
    </w:rPr>
  </w:style>
  <w:style w:type="character" w:customStyle="1" w:styleId="69">
    <w:name w:val="纯文本 Char1"/>
    <w:link w:val="70"/>
    <w:qFormat/>
    <w:uiPriority w:val="0"/>
    <w:rPr>
      <w:rFonts w:ascii="宋体" w:hAnsi="Courier New"/>
    </w:rPr>
  </w:style>
  <w:style w:type="paragraph" w:customStyle="1" w:styleId="70">
    <w:name w:val="纯文本1"/>
    <w:basedOn w:val="1"/>
    <w:link w:val="69"/>
    <w:qFormat/>
    <w:uiPriority w:val="0"/>
    <w:rPr>
      <w:rFonts w:ascii="宋体" w:hAnsi="Courier New"/>
      <w:kern w:val="0"/>
      <w:sz w:val="20"/>
      <w:szCs w:val="20"/>
    </w:rPr>
  </w:style>
  <w:style w:type="character" w:customStyle="1" w:styleId="71">
    <w:name w:val="标题 3 字符"/>
    <w:qFormat/>
    <w:uiPriority w:val="0"/>
    <w:rPr>
      <w:rFonts w:ascii="宋体"/>
      <w:b/>
      <w:sz w:val="24"/>
      <w:u w:val="single"/>
    </w:rPr>
  </w:style>
  <w:style w:type="character" w:customStyle="1" w:styleId="72">
    <w:name w:val="批注框文本 Char1"/>
    <w:semiHidden/>
    <w:qFormat/>
    <w:uiPriority w:val="99"/>
    <w:rPr>
      <w:kern w:val="2"/>
      <w:sz w:val="18"/>
      <w:szCs w:val="18"/>
    </w:rPr>
  </w:style>
  <w:style w:type="character" w:customStyle="1" w:styleId="73">
    <w:name w:val="纯文本 字符"/>
    <w:qFormat/>
    <w:uiPriority w:val="0"/>
    <w:rPr>
      <w:rFonts w:ascii="宋体" w:hAnsi="Courier New"/>
      <w:kern w:val="2"/>
      <w:sz w:val="21"/>
    </w:rPr>
  </w:style>
  <w:style w:type="character" w:customStyle="1" w:styleId="74">
    <w:name w:val="页眉 Char1"/>
    <w:semiHidden/>
    <w:qFormat/>
    <w:uiPriority w:val="99"/>
    <w:rPr>
      <w:kern w:val="2"/>
      <w:sz w:val="18"/>
      <w:szCs w:val="18"/>
    </w:rPr>
  </w:style>
  <w:style w:type="paragraph" w:customStyle="1" w:styleId="75">
    <w:name w:val="图"/>
    <w:basedOn w:val="1"/>
    <w:next w:val="1"/>
    <w:qFormat/>
    <w:uiPriority w:val="0"/>
    <w:pPr>
      <w:numPr>
        <w:ilvl w:val="0"/>
        <w:numId w:val="1"/>
      </w:numPr>
      <w:tabs>
        <w:tab w:val="left" w:pos="1755"/>
        <w:tab w:val="left" w:pos="3134"/>
      </w:tabs>
      <w:adjustRightInd w:val="0"/>
      <w:spacing w:before="60" w:after="60" w:line="360" w:lineRule="atLeast"/>
      <w:jc w:val="center"/>
      <w:textAlignment w:val="baseline"/>
    </w:pPr>
    <w:rPr>
      <w:rFonts w:eastAsia="黑体"/>
      <w:b/>
      <w:kern w:val="0"/>
      <w:sz w:val="24"/>
      <w:szCs w:val="20"/>
    </w:rPr>
  </w:style>
  <w:style w:type="paragraph" w:customStyle="1" w:styleId="76">
    <w:name w:val="索引 11"/>
    <w:basedOn w:val="1"/>
    <w:next w:val="1"/>
    <w:qFormat/>
    <w:uiPriority w:val="0"/>
    <w:pPr>
      <w:spacing w:line="360" w:lineRule="auto"/>
    </w:pPr>
    <w:rPr>
      <w:rFonts w:ascii="仿宋_GB2312" w:eastAsia="仿宋_GB2312"/>
      <w:sz w:val="24"/>
      <w:szCs w:val="20"/>
    </w:rPr>
  </w:style>
  <w:style w:type="paragraph" w:customStyle="1" w:styleId="77">
    <w:name w:val="_Style 75"/>
    <w:basedOn w:val="2"/>
    <w:next w:val="1"/>
    <w:qFormat/>
    <w:uiPriority w:val="39"/>
    <w:pPr>
      <w:widowControl/>
      <w:autoSpaceDE/>
      <w:autoSpaceDN/>
      <w:adjustRightInd/>
      <w:spacing w:after="0" w:line="259" w:lineRule="auto"/>
      <w:jc w:val="left"/>
      <w:outlineLvl w:val="9"/>
    </w:pPr>
    <w:rPr>
      <w:rFonts w:ascii="等线 Light" w:hAnsi="等线 Light" w:eastAsia="等线 Light" w:cs="Times New Roman"/>
      <w:b w:val="0"/>
      <w:color w:val="2F5496"/>
      <w:kern w:val="0"/>
      <w:szCs w:val="32"/>
    </w:rPr>
  </w:style>
  <w:style w:type="paragraph" w:customStyle="1" w:styleId="78">
    <w:name w:val="title1"/>
    <w:basedOn w:val="1"/>
    <w:qFormat/>
    <w:uiPriority w:val="0"/>
    <w:pPr>
      <w:widowControl/>
      <w:jc w:val="left"/>
    </w:pPr>
    <w:rPr>
      <w:rFonts w:ascii="宋体" w:hAnsi="宋体" w:cs="宋体"/>
      <w:kern w:val="0"/>
      <w:sz w:val="24"/>
    </w:rPr>
  </w:style>
  <w:style w:type="paragraph" w:customStyle="1" w:styleId="79">
    <w:name w:val="Char"/>
    <w:basedOn w:val="1"/>
    <w:qFormat/>
    <w:uiPriority w:val="0"/>
    <w:pPr>
      <w:tabs>
        <w:tab w:val="left" w:pos="360"/>
      </w:tabs>
    </w:pPr>
    <w:rPr>
      <w:sz w:val="24"/>
    </w:rPr>
  </w:style>
  <w:style w:type="paragraph" w:styleId="80">
    <w:name w:val="List Paragraph"/>
    <w:basedOn w:val="1"/>
    <w:qFormat/>
    <w:uiPriority w:val="34"/>
    <w:pPr>
      <w:widowControl/>
      <w:ind w:firstLine="420" w:firstLineChars="200"/>
      <w:jc w:val="left"/>
    </w:pPr>
    <w:rPr>
      <w:kern w:val="0"/>
      <w:sz w:val="24"/>
    </w:rPr>
  </w:style>
  <w:style w:type="character" w:customStyle="1" w:styleId="81">
    <w:name w:val="next"/>
    <w:qFormat/>
    <w:uiPriority w:val="0"/>
    <w:rPr>
      <w:rFonts w:ascii="微软雅黑" w:hAnsi="微软雅黑" w:eastAsia="微软雅黑" w:cs="微软雅黑"/>
      <w:sz w:val="21"/>
      <w:szCs w:val="21"/>
    </w:rPr>
  </w:style>
  <w:style w:type="character" w:customStyle="1" w:styleId="82">
    <w:name w:val="next1"/>
    <w:qFormat/>
    <w:uiPriority w:val="0"/>
    <w:rPr>
      <w:color w:val="888888"/>
    </w:rPr>
  </w:style>
  <w:style w:type="character" w:customStyle="1" w:styleId="83">
    <w:name w:val="prev"/>
    <w:qFormat/>
    <w:uiPriority w:val="0"/>
    <w:rPr>
      <w:rFonts w:hint="eastAsia" w:ascii="微软雅黑" w:hAnsi="微软雅黑" w:eastAsia="微软雅黑" w:cs="微软雅黑"/>
      <w:sz w:val="21"/>
      <w:szCs w:val="21"/>
    </w:rPr>
  </w:style>
  <w:style w:type="character" w:customStyle="1" w:styleId="84">
    <w:name w:val="prev1"/>
    <w:qFormat/>
    <w:uiPriority w:val="0"/>
    <w:rPr>
      <w:color w:val="888888"/>
    </w:rPr>
  </w:style>
  <w:style w:type="character" w:customStyle="1" w:styleId="85">
    <w:name w:val="cfdate"/>
    <w:qFormat/>
    <w:uiPriority w:val="0"/>
    <w:rPr>
      <w:color w:val="333333"/>
      <w:sz w:val="18"/>
      <w:szCs w:val="18"/>
    </w:rPr>
  </w:style>
  <w:style w:type="character" w:customStyle="1" w:styleId="86">
    <w:name w:val="qxdate"/>
    <w:qFormat/>
    <w:uiPriority w:val="0"/>
    <w:rPr>
      <w:color w:val="333333"/>
      <w:sz w:val="18"/>
      <w:szCs w:val="18"/>
    </w:rPr>
  </w:style>
  <w:style w:type="character" w:customStyle="1" w:styleId="87">
    <w:name w:val="gjfg"/>
    <w:qFormat/>
    <w:uiPriority w:val="0"/>
  </w:style>
  <w:style w:type="character" w:customStyle="1" w:styleId="88">
    <w:name w:val="redfilefwwh"/>
    <w:qFormat/>
    <w:uiPriority w:val="0"/>
    <w:rPr>
      <w:color w:val="BA2636"/>
      <w:sz w:val="18"/>
      <w:szCs w:val="18"/>
    </w:rPr>
  </w:style>
  <w:style w:type="character" w:customStyle="1" w:styleId="89">
    <w:name w:val="displayarti"/>
    <w:qFormat/>
    <w:uiPriority w:val="0"/>
    <w:rPr>
      <w:color w:val="FFFFFF"/>
      <w:shd w:val="clear" w:color="auto" w:fill="A00000"/>
    </w:rPr>
  </w:style>
  <w:style w:type="character" w:customStyle="1" w:styleId="90">
    <w:name w:val="redfilenumber"/>
    <w:qFormat/>
    <w:uiPriority w:val="0"/>
    <w:rPr>
      <w:color w:val="BA2636"/>
      <w:sz w:val="18"/>
      <w:szCs w:val="18"/>
    </w:rPr>
  </w:style>
  <w:style w:type="character" w:customStyle="1" w:styleId="91">
    <w:name w:val="prev2"/>
    <w:qFormat/>
    <w:uiPriority w:val="0"/>
    <w:rPr>
      <w:rFonts w:hint="eastAsia" w:ascii="微软雅黑" w:hAnsi="微软雅黑" w:eastAsia="微软雅黑" w:cs="微软雅黑"/>
      <w:sz w:val="21"/>
      <w:szCs w:val="21"/>
    </w:rPr>
  </w:style>
  <w:style w:type="character" w:customStyle="1" w:styleId="92">
    <w:name w:val="prev3"/>
    <w:qFormat/>
    <w:uiPriority w:val="0"/>
    <w:rPr>
      <w:color w:val="888888"/>
    </w:rPr>
  </w:style>
  <w:style w:type="character" w:customStyle="1" w:styleId="93">
    <w:name w:val="next2"/>
    <w:qFormat/>
    <w:uiPriority w:val="0"/>
    <w:rPr>
      <w:color w:val="888888"/>
    </w:rPr>
  </w:style>
  <w:style w:type="character" w:customStyle="1" w:styleId="94">
    <w:name w:val="nth-of-type(8)"/>
    <w:qFormat/>
    <w:uiPriority w:val="0"/>
  </w:style>
  <w:style w:type="character" w:customStyle="1" w:styleId="95">
    <w:name w:val="lineshow"/>
    <w:qFormat/>
    <w:uiPriority w:val="0"/>
  </w:style>
  <w:style w:type="character" w:customStyle="1" w:styleId="96">
    <w:name w:val="lineshow1"/>
    <w:qFormat/>
    <w:uiPriority w:val="0"/>
  </w:style>
  <w:style w:type="character" w:customStyle="1" w:styleId="97">
    <w:name w:val="layui-laypage-curr"/>
    <w:qFormat/>
    <w:uiPriority w:val="0"/>
  </w:style>
  <w:style w:type="character" w:customStyle="1" w:styleId="98">
    <w:name w:val="nth-of-type(1)"/>
    <w:qFormat/>
    <w:uiPriority w:val="0"/>
  </w:style>
  <w:style w:type="character" w:customStyle="1" w:styleId="99">
    <w:name w:val="nth-of-type(1)1"/>
    <w:qFormat/>
    <w:uiPriority w:val="0"/>
  </w:style>
  <w:style w:type="character" w:customStyle="1" w:styleId="100">
    <w:name w:val="nth-of-type(1)2"/>
    <w:qFormat/>
    <w:uiPriority w:val="0"/>
  </w:style>
  <w:style w:type="character" w:customStyle="1" w:styleId="101">
    <w:name w:val="nth-of-type(1)3"/>
    <w:qFormat/>
    <w:uiPriority w:val="0"/>
  </w:style>
  <w:style w:type="character" w:customStyle="1" w:styleId="102">
    <w:name w:val="nth-of-type(1)4"/>
    <w:qFormat/>
    <w:uiPriority w:val="0"/>
  </w:style>
  <w:style w:type="character" w:customStyle="1" w:styleId="103">
    <w:name w:val="nth-of-type(1)5"/>
    <w:qFormat/>
    <w:uiPriority w:val="0"/>
  </w:style>
  <w:style w:type="character" w:customStyle="1" w:styleId="104">
    <w:name w:val="nth-of-type(1)6"/>
    <w:qFormat/>
    <w:uiPriority w:val="0"/>
  </w:style>
  <w:style w:type="character" w:customStyle="1" w:styleId="105">
    <w:name w:val="nth-of-type(1)7"/>
    <w:qFormat/>
    <w:uiPriority w:val="0"/>
    <w:rPr>
      <w:sz w:val="21"/>
      <w:szCs w:val="21"/>
    </w:rPr>
  </w:style>
  <w:style w:type="character" w:customStyle="1" w:styleId="106">
    <w:name w:val="nth-of-type(1)8"/>
    <w:qFormat/>
    <w:uiPriority w:val="0"/>
  </w:style>
  <w:style w:type="character" w:customStyle="1" w:styleId="107">
    <w:name w:val="nth-of-type(1)9"/>
    <w:qFormat/>
    <w:uiPriority w:val="0"/>
  </w:style>
  <w:style w:type="character" w:customStyle="1" w:styleId="108">
    <w:name w:val="nth-of-type(1)10"/>
    <w:qFormat/>
    <w:uiPriority w:val="0"/>
    <w:rPr>
      <w:rFonts w:ascii="SourceHanSansCN-Regular" w:hAnsi="SourceHanSansCN-Regular" w:eastAsia="SourceHanSansCN-Regular" w:cs="SourceHanSansCN-Regular"/>
      <w:color w:val="FB560A"/>
      <w:sz w:val="21"/>
      <w:szCs w:val="21"/>
    </w:rPr>
  </w:style>
  <w:style w:type="character" w:customStyle="1" w:styleId="109">
    <w:name w:val="nth-of-type(1)11"/>
    <w:qFormat/>
    <w:uiPriority w:val="0"/>
  </w:style>
  <w:style w:type="character" w:customStyle="1" w:styleId="110">
    <w:name w:val="nth-of-type(1)12"/>
    <w:qFormat/>
    <w:uiPriority w:val="0"/>
  </w:style>
  <w:style w:type="character" w:customStyle="1" w:styleId="111">
    <w:name w:val="nth-of-type(1)13"/>
    <w:qFormat/>
    <w:uiPriority w:val="0"/>
  </w:style>
  <w:style w:type="character" w:customStyle="1" w:styleId="112">
    <w:name w:val="nth-of-type(1)14"/>
    <w:qFormat/>
    <w:uiPriority w:val="0"/>
  </w:style>
  <w:style w:type="character" w:customStyle="1" w:styleId="113">
    <w:name w:val="nth-of-type(1)15"/>
    <w:qFormat/>
    <w:uiPriority w:val="0"/>
  </w:style>
  <w:style w:type="character" w:customStyle="1" w:styleId="114">
    <w:name w:val="nth-of-type(1)16"/>
    <w:qFormat/>
    <w:uiPriority w:val="0"/>
  </w:style>
  <w:style w:type="character" w:customStyle="1" w:styleId="115">
    <w:name w:val="nth-of-type(1)17"/>
    <w:qFormat/>
    <w:uiPriority w:val="0"/>
  </w:style>
  <w:style w:type="character" w:customStyle="1" w:styleId="116">
    <w:name w:val="nth-of-type(1)18"/>
    <w:qFormat/>
    <w:uiPriority w:val="0"/>
  </w:style>
  <w:style w:type="character" w:customStyle="1" w:styleId="117">
    <w:name w:val="nth-of-type(5)"/>
    <w:qFormat/>
    <w:uiPriority w:val="0"/>
  </w:style>
  <w:style w:type="character" w:customStyle="1" w:styleId="118">
    <w:name w:val="nth-of-type(5)1"/>
    <w:qFormat/>
    <w:uiPriority w:val="0"/>
    <w:rPr>
      <w:sz w:val="21"/>
      <w:szCs w:val="21"/>
    </w:rPr>
  </w:style>
  <w:style w:type="character" w:customStyle="1" w:styleId="119">
    <w:name w:val="nth-of-type(5)2"/>
    <w:qFormat/>
    <w:uiPriority w:val="0"/>
  </w:style>
  <w:style w:type="character" w:customStyle="1" w:styleId="120">
    <w:name w:val="nth-of-type(5)3"/>
    <w:qFormat/>
    <w:uiPriority w:val="0"/>
  </w:style>
  <w:style w:type="character" w:customStyle="1" w:styleId="121">
    <w:name w:val="nth-of-type(5)4"/>
    <w:qFormat/>
    <w:uiPriority w:val="0"/>
  </w:style>
  <w:style w:type="character" w:customStyle="1" w:styleId="122">
    <w:name w:val="nth-of-type(5)5"/>
    <w:qFormat/>
    <w:uiPriority w:val="0"/>
  </w:style>
  <w:style w:type="character" w:customStyle="1" w:styleId="123">
    <w:name w:val="nth-of-type(5)6"/>
    <w:qFormat/>
    <w:uiPriority w:val="0"/>
  </w:style>
  <w:style w:type="character" w:customStyle="1" w:styleId="124">
    <w:name w:val="nth-of-type(2)"/>
    <w:qFormat/>
    <w:uiPriority w:val="0"/>
  </w:style>
  <w:style w:type="character" w:customStyle="1" w:styleId="125">
    <w:name w:val="nth-of-type(2)1"/>
    <w:qFormat/>
    <w:uiPriority w:val="0"/>
  </w:style>
  <w:style w:type="character" w:customStyle="1" w:styleId="126">
    <w:name w:val="nth-of-type(2)2"/>
    <w:qFormat/>
    <w:uiPriority w:val="0"/>
  </w:style>
  <w:style w:type="character" w:customStyle="1" w:styleId="127">
    <w:name w:val="nth-of-type(2)3"/>
    <w:qFormat/>
    <w:uiPriority w:val="0"/>
  </w:style>
  <w:style w:type="character" w:customStyle="1" w:styleId="128">
    <w:name w:val="nth-of-type(2)4"/>
    <w:qFormat/>
    <w:uiPriority w:val="0"/>
  </w:style>
  <w:style w:type="character" w:customStyle="1" w:styleId="129">
    <w:name w:val="nth-of-type(2)5"/>
    <w:qFormat/>
    <w:uiPriority w:val="0"/>
    <w:rPr>
      <w:sz w:val="21"/>
      <w:szCs w:val="21"/>
    </w:rPr>
  </w:style>
  <w:style w:type="character" w:customStyle="1" w:styleId="130">
    <w:name w:val="nth-of-type(2)6"/>
    <w:qFormat/>
    <w:uiPriority w:val="0"/>
  </w:style>
  <w:style w:type="character" w:customStyle="1" w:styleId="131">
    <w:name w:val="nth-of-type(2)7"/>
    <w:qFormat/>
    <w:uiPriority w:val="0"/>
  </w:style>
  <w:style w:type="character" w:customStyle="1" w:styleId="132">
    <w:name w:val="nth-of-type(2)8"/>
    <w:qFormat/>
    <w:uiPriority w:val="0"/>
  </w:style>
  <w:style w:type="character" w:customStyle="1" w:styleId="133">
    <w:name w:val="nth-of-type(2)9"/>
    <w:qFormat/>
    <w:uiPriority w:val="0"/>
  </w:style>
  <w:style w:type="character" w:customStyle="1" w:styleId="134">
    <w:name w:val="nth-of-type(2)10"/>
    <w:qFormat/>
    <w:uiPriority w:val="0"/>
  </w:style>
  <w:style w:type="character" w:customStyle="1" w:styleId="135">
    <w:name w:val="nth-of-type(2)11"/>
    <w:qFormat/>
    <w:uiPriority w:val="0"/>
  </w:style>
  <w:style w:type="character" w:customStyle="1" w:styleId="136">
    <w:name w:val="nth-of-type(2)12"/>
    <w:qFormat/>
    <w:uiPriority w:val="0"/>
  </w:style>
  <w:style w:type="character" w:customStyle="1" w:styleId="137">
    <w:name w:val="nth-of-type(2)13"/>
    <w:qFormat/>
    <w:uiPriority w:val="0"/>
  </w:style>
  <w:style w:type="character" w:customStyle="1" w:styleId="138">
    <w:name w:val="nth-of-type(2)14"/>
    <w:qFormat/>
    <w:uiPriority w:val="0"/>
  </w:style>
  <w:style w:type="character" w:customStyle="1" w:styleId="139">
    <w:name w:val="nth-of-type(3)"/>
    <w:qFormat/>
    <w:uiPriority w:val="0"/>
  </w:style>
  <w:style w:type="character" w:customStyle="1" w:styleId="140">
    <w:name w:val="nth-of-type(3)1"/>
    <w:qFormat/>
    <w:uiPriority w:val="0"/>
    <w:rPr>
      <w:sz w:val="21"/>
      <w:szCs w:val="21"/>
    </w:rPr>
  </w:style>
  <w:style w:type="character" w:customStyle="1" w:styleId="141">
    <w:name w:val="nth-of-type(3)2"/>
    <w:qFormat/>
    <w:uiPriority w:val="0"/>
  </w:style>
  <w:style w:type="character" w:customStyle="1" w:styleId="142">
    <w:name w:val="nth-of-type(3)3"/>
    <w:qFormat/>
    <w:uiPriority w:val="0"/>
  </w:style>
  <w:style w:type="character" w:customStyle="1" w:styleId="143">
    <w:name w:val="nth-of-type(3)4"/>
    <w:qFormat/>
    <w:uiPriority w:val="0"/>
  </w:style>
  <w:style w:type="character" w:customStyle="1" w:styleId="144">
    <w:name w:val="nth-of-type(3)5"/>
    <w:qFormat/>
    <w:uiPriority w:val="0"/>
  </w:style>
  <w:style w:type="character" w:customStyle="1" w:styleId="145">
    <w:name w:val="nth-of-type(3)6"/>
    <w:qFormat/>
    <w:uiPriority w:val="0"/>
  </w:style>
  <w:style w:type="character" w:customStyle="1" w:styleId="146">
    <w:name w:val="nth-of-type(3)7"/>
    <w:qFormat/>
    <w:uiPriority w:val="0"/>
  </w:style>
  <w:style w:type="character" w:customStyle="1" w:styleId="147">
    <w:name w:val="nth-of-type(4)"/>
    <w:qFormat/>
    <w:uiPriority w:val="0"/>
  </w:style>
  <w:style w:type="character" w:customStyle="1" w:styleId="148">
    <w:name w:val="nth-of-type(4)1"/>
    <w:qFormat/>
    <w:uiPriority w:val="0"/>
    <w:rPr>
      <w:sz w:val="21"/>
      <w:szCs w:val="21"/>
    </w:rPr>
  </w:style>
  <w:style w:type="character" w:customStyle="1" w:styleId="149">
    <w:name w:val="nth-of-type(4)2"/>
    <w:qFormat/>
    <w:uiPriority w:val="0"/>
  </w:style>
  <w:style w:type="character" w:customStyle="1" w:styleId="150">
    <w:name w:val="nth-of-type(4)3"/>
    <w:qFormat/>
    <w:uiPriority w:val="0"/>
  </w:style>
  <w:style w:type="character" w:customStyle="1" w:styleId="151">
    <w:name w:val="nth-of-type(4)4"/>
    <w:qFormat/>
    <w:uiPriority w:val="0"/>
  </w:style>
  <w:style w:type="character" w:customStyle="1" w:styleId="152">
    <w:name w:val="nth-of-type(4)5"/>
    <w:qFormat/>
    <w:uiPriority w:val="0"/>
  </w:style>
  <w:style w:type="character" w:customStyle="1" w:styleId="153">
    <w:name w:val="nth-of-type(4)6"/>
    <w:qFormat/>
    <w:uiPriority w:val="0"/>
  </w:style>
  <w:style w:type="character" w:customStyle="1" w:styleId="154">
    <w:name w:val="nth-of-type(4)7"/>
    <w:qFormat/>
    <w:uiPriority w:val="0"/>
  </w:style>
  <w:style w:type="character" w:customStyle="1" w:styleId="155">
    <w:name w:val="nth-of-type(4)8"/>
    <w:qFormat/>
    <w:uiPriority w:val="0"/>
  </w:style>
  <w:style w:type="character" w:customStyle="1" w:styleId="156">
    <w:name w:val="nth-of-type(6)"/>
    <w:qFormat/>
    <w:uiPriority w:val="0"/>
  </w:style>
  <w:style w:type="character" w:customStyle="1" w:styleId="157">
    <w:name w:val="nth-of-type(6)1"/>
    <w:qFormat/>
    <w:uiPriority w:val="0"/>
  </w:style>
  <w:style w:type="character" w:customStyle="1" w:styleId="158">
    <w:name w:val="nth-of-type(6)2"/>
    <w:qFormat/>
    <w:uiPriority w:val="0"/>
  </w:style>
  <w:style w:type="character" w:customStyle="1" w:styleId="159">
    <w:name w:val="nth-of-type(6)3"/>
    <w:qFormat/>
    <w:uiPriority w:val="0"/>
  </w:style>
  <w:style w:type="character" w:customStyle="1" w:styleId="160">
    <w:name w:val="nth-of-type(6)4"/>
    <w:qFormat/>
    <w:uiPriority w:val="0"/>
  </w:style>
  <w:style w:type="character" w:customStyle="1" w:styleId="161">
    <w:name w:val="nth-of-type(6)5"/>
    <w:qFormat/>
    <w:uiPriority w:val="0"/>
    <w:rPr>
      <w:color w:val="0082DF"/>
    </w:rPr>
  </w:style>
  <w:style w:type="character" w:customStyle="1" w:styleId="162">
    <w:name w:val="nth-of-type(7)"/>
    <w:qFormat/>
    <w:uiPriority w:val="0"/>
  </w:style>
  <w:style w:type="character" w:customStyle="1" w:styleId="163">
    <w:name w:val="nth-of-type(7)1"/>
    <w:qFormat/>
    <w:uiPriority w:val="0"/>
  </w:style>
  <w:style w:type="character" w:customStyle="1" w:styleId="164">
    <w:name w:val="nth-of-type(7)2"/>
    <w:qFormat/>
    <w:uiPriority w:val="0"/>
  </w:style>
  <w:style w:type="character" w:customStyle="1" w:styleId="165">
    <w:name w:val="nth-of-type(9)"/>
    <w:qFormat/>
    <w:uiPriority w:val="0"/>
  </w:style>
  <w:style w:type="character" w:customStyle="1" w:styleId="166">
    <w:name w:val="nth-of-type(10)"/>
    <w:qFormat/>
    <w:uiPriority w:val="0"/>
  </w:style>
  <w:style w:type="character" w:customStyle="1" w:styleId="167">
    <w:name w:val="hover25"/>
    <w:qFormat/>
    <w:uiPriority w:val="0"/>
  </w:style>
  <w:style w:type="character" w:customStyle="1" w:styleId="168">
    <w:name w:val="hover26"/>
    <w:qFormat/>
    <w:uiPriority w:val="0"/>
    <w:rPr>
      <w:color w:val="167AE0"/>
    </w:rPr>
  </w:style>
  <w:style w:type="character" w:customStyle="1" w:styleId="169">
    <w:name w:val="nth-child(3)"/>
    <w:qFormat/>
    <w:uiPriority w:val="0"/>
  </w:style>
  <w:style w:type="character" w:customStyle="1" w:styleId="170">
    <w:name w:val="titleshow"/>
    <w:qFormat/>
    <w:uiPriority w:val="0"/>
    <w:rPr>
      <w:color w:val="3E464C"/>
    </w:rPr>
  </w:style>
  <w:style w:type="character" w:customStyle="1" w:styleId="171">
    <w:name w:val="nth-child(1)"/>
    <w:qFormat/>
    <w:uiPriority w:val="0"/>
  </w:style>
  <w:style w:type="character" w:customStyle="1" w:styleId="172">
    <w:name w:val="nth-child(2)"/>
    <w:qFormat/>
    <w:uiPriority w:val="0"/>
  </w:style>
  <w:style w:type="character" w:customStyle="1" w:styleId="173">
    <w:name w:val="last-child1"/>
    <w:qFormat/>
    <w:uiPriority w:val="0"/>
    <w:rPr>
      <w:color w:val="FFFFFF"/>
    </w:rPr>
  </w:style>
  <w:style w:type="character" w:customStyle="1" w:styleId="174">
    <w:name w:val="last-child2"/>
    <w:qFormat/>
    <w:uiPriority w:val="0"/>
  </w:style>
  <w:style w:type="character" w:customStyle="1" w:styleId="175">
    <w:name w:val="last-child3"/>
    <w:qFormat/>
    <w:uiPriority w:val="0"/>
  </w:style>
  <w:style w:type="character" w:customStyle="1" w:styleId="176">
    <w:name w:val="first-child"/>
    <w:qFormat/>
    <w:uiPriority w:val="0"/>
  </w:style>
  <w:style w:type="character" w:customStyle="1" w:styleId="177">
    <w:name w:val="first-child1"/>
    <w:qFormat/>
    <w:uiPriority w:val="0"/>
  </w:style>
  <w:style w:type="character" w:customStyle="1" w:styleId="178">
    <w:name w:val="first-child2"/>
    <w:qFormat/>
    <w:uiPriority w:val="0"/>
  </w:style>
  <w:style w:type="character" w:customStyle="1" w:styleId="179">
    <w:name w:val="first-child3"/>
    <w:qFormat/>
    <w:uiPriority w:val="0"/>
  </w:style>
  <w:style w:type="character" w:customStyle="1" w:styleId="180">
    <w:name w:val="before2"/>
    <w:qFormat/>
    <w:uiPriority w:val="0"/>
    <w:rPr>
      <w:shd w:val="clear" w:color="auto" w:fill="C20E0C"/>
    </w:rPr>
  </w:style>
  <w:style w:type="character" w:customStyle="1" w:styleId="181">
    <w:name w:val="layui-this4"/>
    <w:qFormat/>
    <w:uiPriority w:val="0"/>
    <w:rPr>
      <w:bdr w:val="single" w:color="EEEEEE" w:sz="6" w:space="0"/>
      <w:shd w:val="clear" w:color="auto" w:fill="FFFFFF"/>
    </w:rPr>
  </w:style>
  <w:style w:type="character" w:customStyle="1" w:styleId="182">
    <w:name w:val="titles"/>
    <w:qFormat/>
    <w:uiPriority w:val="0"/>
    <w:rPr>
      <w:b/>
      <w:bCs/>
      <w:color w:val="FFFFFF"/>
      <w:sz w:val="30"/>
      <w:szCs w:val="30"/>
    </w:rPr>
  </w:style>
  <w:style w:type="character" w:customStyle="1" w:styleId="183">
    <w:name w:val="yjs"/>
    <w:qFormat/>
    <w:uiPriority w:val="0"/>
    <w:rPr>
      <w:color w:val="14A900"/>
    </w:rPr>
  </w:style>
  <w:style w:type="character" w:customStyle="1" w:styleId="184">
    <w:name w:val="yjs1"/>
    <w:qFormat/>
    <w:uiPriority w:val="0"/>
    <w:rPr>
      <w:color w:val="14A900"/>
    </w:rPr>
  </w:style>
  <w:style w:type="character" w:customStyle="1" w:styleId="185">
    <w:name w:val="time"/>
    <w:qFormat/>
    <w:uiPriority w:val="0"/>
  </w:style>
  <w:style w:type="character" w:customStyle="1" w:styleId="186">
    <w:name w:val="jxz"/>
    <w:qFormat/>
    <w:uiPriority w:val="0"/>
    <w:rPr>
      <w:color w:val="FF5400"/>
    </w:rPr>
  </w:style>
  <w:style w:type="character" w:customStyle="1" w:styleId="187">
    <w:name w:val="jxz1"/>
    <w:qFormat/>
    <w:uiPriority w:val="0"/>
    <w:rPr>
      <w:color w:val="FF5400"/>
    </w:rPr>
  </w:style>
  <w:style w:type="paragraph" w:customStyle="1" w:styleId="188">
    <w:name w:val="Table Text"/>
    <w:basedOn w:val="1"/>
    <w:semiHidden/>
    <w:qFormat/>
    <w:uiPriority w:val="0"/>
    <w:rPr>
      <w:rFonts w:ascii="宋体" w:hAnsi="宋体" w:eastAsia="宋体" w:cs="宋体"/>
      <w:sz w:val="24"/>
      <w:szCs w:val="24"/>
      <w:lang w:val="en-US" w:eastAsia="en-US" w:bidi="ar-SA"/>
    </w:rPr>
  </w:style>
  <w:style w:type="table" w:customStyle="1" w:styleId="189">
    <w:name w:val="Table Normal"/>
    <w:unhideWhenUsed/>
    <w:qFormat/>
    <w:uiPriority w:val="0"/>
    <w:tblPr>
      <w:tblCellMar>
        <w:top w:w="0" w:type="dxa"/>
        <w:left w:w="0" w:type="dxa"/>
        <w:bottom w:w="0" w:type="dxa"/>
        <w:right w:w="0" w:type="dxa"/>
      </w:tblCellMar>
    </w:tblPr>
  </w:style>
  <w:style w:type="character" w:customStyle="1" w:styleId="190">
    <w:name w:val="def"/>
    <w:basedOn w:val="36"/>
    <w:qFormat/>
    <w:uiPriority w:val="0"/>
  </w:style>
  <w:style w:type="paragraph" w:styleId="191">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92">
    <w:name w:val="列出段落2"/>
    <w:basedOn w:val="1"/>
    <w:qFormat/>
    <w:uiPriority w:val="34"/>
    <w:pPr>
      <w:ind w:firstLine="420" w:firstLineChars="200"/>
    </w:pPr>
  </w:style>
  <w:style w:type="paragraph" w:customStyle="1" w:styleId="193">
    <w:name w:val="段"/>
    <w:basedOn w:val="1"/>
    <w:qFormat/>
    <w:uiPriority w:val="0"/>
    <w:pPr>
      <w:autoSpaceDE w:val="0"/>
      <w:autoSpaceDN w:val="0"/>
      <w:ind w:firstLine="200" w:firstLineChars="200"/>
    </w:pPr>
    <w:rPr>
      <w:rFonts w:ascii="宋体"/>
    </w:rPr>
  </w:style>
  <w:style w:type="character" w:customStyle="1" w:styleId="194">
    <w:name w:val="NormalCharacter"/>
    <w:qFormat/>
    <w:uiPriority w:val="0"/>
    <w:rPr>
      <w:rFonts w:ascii="Times New Roman" w:hAnsi="Times New Roman" w:eastAsia="宋体"/>
    </w:rPr>
  </w:style>
  <w:style w:type="character" w:customStyle="1" w:styleId="195">
    <w:name w:val="15"/>
    <w:basedOn w:val="36"/>
    <w:qFormat/>
    <w:uiPriority w:val="0"/>
    <w:rPr>
      <w:rFonts w:hint="default" w:ascii="Times New Roman" w:hAnsi="Times New Roman" w:cs="Times New Roman"/>
    </w:rPr>
  </w:style>
  <w:style w:type="paragraph" w:customStyle="1" w:styleId="196">
    <w:name w:val="null3"/>
    <w:qFormat/>
    <w:uiPriority w:val="0"/>
    <w:rPr>
      <w:rFonts w:hint="eastAsia" w:ascii="Calibri" w:hAnsi="Calibri" w:eastAsia="宋体" w:cs="Times New Roman"/>
      <w:lang w:val="en-US" w:eastAsia="zh-Hans"/>
    </w:rPr>
  </w:style>
  <w:style w:type="character" w:customStyle="1" w:styleId="197">
    <w:name w:val="font21"/>
    <w:basedOn w:val="36"/>
    <w:qFormat/>
    <w:uiPriority w:val="0"/>
    <w:rPr>
      <w:rFonts w:hint="eastAsia" w:ascii="微软雅黑" w:hAnsi="微软雅黑" w:eastAsia="微软雅黑" w:cs="微软雅黑"/>
      <w:color w:val="000000"/>
      <w:sz w:val="42"/>
      <w:szCs w:val="42"/>
      <w:u w:val="none"/>
    </w:rPr>
  </w:style>
  <w:style w:type="character" w:customStyle="1" w:styleId="198">
    <w:name w:val="font31"/>
    <w:basedOn w:val="36"/>
    <w:qFormat/>
    <w:uiPriority w:val="0"/>
    <w:rPr>
      <w:rFonts w:hint="eastAsia" w:ascii="微软雅黑" w:hAnsi="微软雅黑" w:eastAsia="微软雅黑" w:cs="微软雅黑"/>
      <w:color w:val="000000"/>
      <w:sz w:val="24"/>
      <w:szCs w:val="24"/>
      <w:u w:val="none"/>
    </w:rPr>
  </w:style>
  <w:style w:type="paragraph" w:customStyle="1" w:styleId="199">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14:ligatures w14:val="standardContextual"/>
    </w:rPr>
  </w:style>
  <w:style w:type="paragraph" w:customStyle="1" w:styleId="200">
    <w:name w:val="正文内容"/>
    <w:basedOn w:val="1"/>
    <w:qFormat/>
    <w:uiPriority w:val="0"/>
    <w:pPr>
      <w:spacing w:line="360" w:lineRule="auto"/>
      <w:ind w:firstLine="420"/>
    </w:pPr>
    <w:rPr>
      <w:rFonts w:ascii="Times New Roman" w:hAnsi="Times New Roman" w:eastAsia="宋体" w:cs="Times New Roman"/>
      <w:sz w:val="24"/>
      <w:szCs w:val="24"/>
    </w:rPr>
  </w:style>
  <w:style w:type="paragraph" w:customStyle="1" w:styleId="201">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Unicode MS" w:cs="Arial Unicode MS"/>
      <w:color w:val="000000"/>
      <w:kern w:val="2"/>
      <w:sz w:val="21"/>
      <w:szCs w:val="21"/>
      <w:u w:color="000000"/>
      <w:lang w:val="en-US" w:eastAsia="zh-CN" w:bidi="ar-SA"/>
      <w14:ligatures w14:val="standardContextual"/>
    </w:rPr>
  </w:style>
  <w:style w:type="paragraph" w:customStyle="1" w:styleId="202">
    <w:name w:val="NormalIndent"/>
    <w:basedOn w:val="1"/>
    <w:qFormat/>
    <w:uiPriority w:val="0"/>
    <w:pPr>
      <w:widowControl w:val="0"/>
      <w:ind w:firstLine="420" w:firstLineChars="200"/>
      <w:jc w:val="both"/>
      <w:textAlignment w:val="baseline"/>
    </w:pPr>
    <w:rPr>
      <w:kern w:val="2"/>
      <w:sz w:val="21"/>
      <w:szCs w:val="24"/>
    </w:rPr>
  </w:style>
  <w:style w:type="paragraph" w:customStyle="1" w:styleId="203">
    <w:name w:val="目录"/>
    <w:basedOn w:val="1"/>
    <w:qFormat/>
    <w:uiPriority w:val="0"/>
    <w:pPr>
      <w:jc w:val="center"/>
    </w:pPr>
    <w:rPr>
      <w:rFonts w:ascii="宋体"/>
      <w:b/>
      <w:sz w:val="36"/>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238</Pages>
  <Words>1752</Words>
  <Characters>2658</Characters>
  <Lines>298</Lines>
  <Paragraphs>84</Paragraphs>
  <TotalTime>26</TotalTime>
  <ScaleCrop>false</ScaleCrop>
  <LinksUpToDate>false</LinksUpToDate>
  <CharactersWithSpaces>2729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2024-07-05T07:51:00Z</dcterms:created>
  <dc:creator>USER-</dc:creator>
  <cp:lastModifiedBy>乐乐</cp:lastModifiedBy>
  <cp:lastPrinted>2026-01-12T06:56:00Z</cp:lastPrinted>
  <dcterms:modified xsi:type="dcterms:W3CDTF">2026-08-22T10:28:13Z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E36D04DB72B245999BC89A92831215B6_13</vt:lpwstr>
  </property>
  <property fmtid="{D5CDD505-2E9C-101B-9397-08002B2CF9AE}" pid="4" name="KSOTemplateDocerSaveRecord">
    <vt:lpwstr>eyJoZGlkIjoiNmJhODJlNDRmZTc2ZWYzMmQ0MzhhZTU0MDkyMDcyOWUiLCJ1c2VySWQiOiIyODI4NjAyODQifQ==</vt:lpwstr>
  </property>
</Properties>
</file>