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版本号：中赞招字(2026)第008号.1B120260826001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2026年王益区宣传思想文化标语牌采购项目(二次)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中赞招字(2026)第008号.1B1</w:t>
      </w:r>
      <w:r>
        <w:br/>
      </w:r>
      <w:r>
        <w:br/>
      </w:r>
      <w:r>
        <w:br/>
      </w:r>
    </w:p>
    <w:p>
      <w:pPr>
        <w:pStyle w:val="null3"/>
        <w:jc w:val="center"/>
        <w:outlineLvl w:val="2"/>
      </w:pPr>
      <w:r>
        <w:rPr>
          <w:rFonts w:ascii="仿宋_GB2312" w:hAnsi="仿宋_GB2312" w:cs="仿宋_GB2312" w:eastAsia="仿宋_GB2312"/>
          <w:sz w:val="28"/>
          <w:b/>
        </w:rPr>
        <w:t>中共铜川市王益区委员会宣传部</w:t>
      </w:r>
    </w:p>
    <w:p>
      <w:pPr>
        <w:pStyle w:val="null3"/>
        <w:jc w:val="center"/>
        <w:outlineLvl w:val="2"/>
      </w:pPr>
      <w:r>
        <w:rPr>
          <w:rFonts w:ascii="仿宋_GB2312" w:hAnsi="仿宋_GB2312" w:cs="仿宋_GB2312" w:eastAsia="仿宋_GB2312"/>
          <w:sz w:val="28"/>
          <w:b/>
        </w:rPr>
        <w:t>中赞国际项目管理有限公司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中赞国际项目管理有限公司</w:t>
      </w:r>
      <w:r>
        <w:rPr>
          <w:rFonts w:ascii="仿宋_GB2312" w:hAnsi="仿宋_GB2312" w:cs="仿宋_GB2312" w:eastAsia="仿宋_GB2312"/>
        </w:rPr>
        <w:t>（以下简称“代理机构”）受</w:t>
      </w:r>
      <w:r>
        <w:rPr>
          <w:rFonts w:ascii="仿宋_GB2312" w:hAnsi="仿宋_GB2312" w:cs="仿宋_GB2312" w:eastAsia="仿宋_GB2312"/>
        </w:rPr>
        <w:t>中共铜川市王益区委员会宣传部</w:t>
      </w:r>
      <w:r>
        <w:rPr>
          <w:rFonts w:ascii="仿宋_GB2312" w:hAnsi="仿宋_GB2312" w:cs="仿宋_GB2312" w:eastAsia="仿宋_GB2312"/>
        </w:rPr>
        <w:t>委托，拟对</w:t>
      </w:r>
      <w:r>
        <w:rPr>
          <w:rFonts w:ascii="仿宋_GB2312" w:hAnsi="仿宋_GB2312" w:cs="仿宋_GB2312" w:eastAsia="仿宋_GB2312"/>
        </w:rPr>
        <w:t>2026年王益区宣传思想文化标语牌采购项目(二次)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中赞招字(2026)第008号.1B1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2026年王益区宣传思想文化标语牌采购项目(二次)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王益区宣传思想文化标语牌采购项目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采购包1（2026年王益区宣传思想文化标语牌采购项目）：属于专门面向小微企业采购。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1、营业执照等证明文件：提供有效存续的企业营业执照（副本）事业单位法人证书/专业服务机构执业许可证/民办非企业单位登记证书（以上四种形式的资料提供任意一种即可），自然人提供身份证。</w:t>
      </w:r>
    </w:p>
    <w:p>
      <w:pPr>
        <w:pStyle w:val="null3"/>
      </w:pPr>
      <w:r>
        <w:rPr>
          <w:rFonts w:ascii="仿宋_GB2312" w:hAnsi="仿宋_GB2312" w:cs="仿宋_GB2312" w:eastAsia="仿宋_GB2312"/>
        </w:rPr>
        <w:t>2、法定代表人身份证明或法定代表人授权委托书：法定代表人直接参加投标的，须出具法定代表人身份证明及身份证扫描件；法定代表人授权代表参加投标的，须出具法定代表人授权书及授权代表身份证扫描件。</w:t>
      </w:r>
    </w:p>
    <w:p>
      <w:pPr>
        <w:pStyle w:val="null3"/>
      </w:pPr>
      <w:r>
        <w:rPr>
          <w:rFonts w:ascii="仿宋_GB2312" w:hAnsi="仿宋_GB2312" w:cs="仿宋_GB2312" w:eastAsia="仿宋_GB2312"/>
        </w:rPr>
        <w:t>3、具有良好的商业信誉：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4、社保缴纳证明：提供2026年1月至响应文件截止时间前至少1个月的社会保障资金缴存单据或社保机构开具的社会保险参保缴费情况证明，依法不需要缴纳社会保障资金的单位应提供相关证明材料。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2026年1月至响应文件截止时间前至少1个月的纳税证明或完税证明（增值税、营业税、企业所得税至少提供一种），纳税证明或完税证明上应有代收机构或税务机关的公章或业务专用章，依法免税的供应商提供相关证明文件。</w:t>
      </w:r>
    </w:p>
    <w:p>
      <w:pPr>
        <w:pStyle w:val="null3"/>
      </w:pPr>
      <w:r>
        <w:rPr>
          <w:rFonts w:ascii="仿宋_GB2312" w:hAnsi="仿宋_GB2312" w:cs="仿宋_GB2312" w:eastAsia="仿宋_GB2312"/>
        </w:rPr>
        <w:t>6、履约能力：提供具有履行本合同所必需的设备和专业技术能力的承诺。</w:t>
      </w:r>
    </w:p>
    <w:p>
      <w:pPr>
        <w:pStyle w:val="null3"/>
      </w:pPr>
      <w:r>
        <w:rPr>
          <w:rFonts w:ascii="仿宋_GB2312" w:hAnsi="仿宋_GB2312" w:cs="仿宋_GB2312" w:eastAsia="仿宋_GB2312"/>
        </w:rPr>
        <w:t>7、无重大违法记录：提供参加政府采购活动前三年内，在经营活动中没有重大违法记录的承诺。</w:t>
      </w:r>
    </w:p>
    <w:p>
      <w:pPr>
        <w:pStyle w:val="null3"/>
      </w:pPr>
      <w:r>
        <w:rPr>
          <w:rFonts w:ascii="仿宋_GB2312" w:hAnsi="仿宋_GB2312" w:cs="仿宋_GB2312" w:eastAsia="仿宋_GB2312"/>
        </w:rPr>
        <w:t>8、非联合体投标：本项目不接受联合体投标，提供非联合体投标承诺。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中共铜川市王益区委员会宣传部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铜川市王益区红旗街9号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中共铜川市王益区委员会宣传部经办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13759604095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中赞国际项目管理有限公司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陕西省铜川市印台区幸福佳苑3号楼5层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赵思宇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13152295000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采购包1：865,060.00元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代理服务费收费标准：参照国家计委计价格[2002 ]1980号及发改办价格[2003]857号通知规定收取，由成交供应商在领取成交通知书前向采购代理机构交纳采购服务费。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中共铜川市王益区委员会宣传部</w:t>
      </w:r>
      <w:r>
        <w:rPr>
          <w:rFonts w:ascii="仿宋_GB2312" w:hAnsi="仿宋_GB2312" w:cs="仿宋_GB2312" w:eastAsia="仿宋_GB2312"/>
        </w:rPr>
        <w:t>和</w:t>
      </w:r>
      <w:r>
        <w:rPr>
          <w:rFonts w:ascii="仿宋_GB2312" w:hAnsi="仿宋_GB2312" w:cs="仿宋_GB2312" w:eastAsia="仿宋_GB2312"/>
        </w:rPr>
        <w:t>中赞国际项目管理有限公司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中共铜川市王益区委员会宣传部</w:t>
      </w:r>
      <w:r>
        <w:rPr>
          <w:rFonts w:ascii="仿宋_GB2312" w:hAnsi="仿宋_GB2312" w:cs="仿宋_GB2312" w:eastAsia="仿宋_GB2312"/>
        </w:rPr>
        <w:t>负责解释。除上述磋商文件内容，其他内容由</w:t>
      </w:r>
      <w:r>
        <w:rPr>
          <w:rFonts w:ascii="仿宋_GB2312" w:hAnsi="仿宋_GB2312" w:cs="仿宋_GB2312" w:eastAsia="仿宋_GB2312"/>
        </w:rPr>
        <w:t>中赞国际项目管理有限公司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中共铜川市王益区委员会宣传部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中赞国际项目管理有限公司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联系人：赵思宇</w:t>
      </w:r>
    </w:p>
    <w:p>
      <w:pPr>
        <w:pStyle w:val="null3"/>
      </w:pPr>
      <w:r>
        <w:rPr>
          <w:rFonts w:ascii="仿宋_GB2312" w:hAnsi="仿宋_GB2312" w:cs="仿宋_GB2312" w:eastAsia="仿宋_GB2312"/>
        </w:rPr>
        <w:t>联系电话：13152295000</w:t>
      </w:r>
    </w:p>
    <w:p>
      <w:pPr>
        <w:pStyle w:val="null3"/>
      </w:pPr>
      <w:r>
        <w:rPr>
          <w:rFonts w:ascii="仿宋_GB2312" w:hAnsi="仿宋_GB2312" w:cs="仿宋_GB2312" w:eastAsia="仿宋_GB2312"/>
        </w:rPr>
        <w:t>地址：陕西省铜川市印台区幸福佳苑3号楼5层</w:t>
      </w:r>
    </w:p>
    <w:p>
      <w:pPr>
        <w:pStyle w:val="null3"/>
      </w:pPr>
      <w:r>
        <w:rPr>
          <w:rFonts w:ascii="仿宋_GB2312" w:hAnsi="仿宋_GB2312" w:cs="仿宋_GB2312" w:eastAsia="仿宋_GB2312"/>
        </w:rPr>
        <w:t>邮编：727007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王益区宣传思想文化标语牌采购项目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865,060.00</w:t>
      </w:r>
    </w:p>
    <w:p>
      <w:pPr>
        <w:pStyle w:val="null3"/>
      </w:pPr>
      <w:r>
        <w:rPr>
          <w:rFonts w:ascii="仿宋_GB2312" w:hAnsi="仿宋_GB2312" w:cs="仿宋_GB2312" w:eastAsia="仿宋_GB2312"/>
        </w:rPr>
        <w:t>采购包最高限价（元）: 865,060.00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2026年王益区宣传思想文化标语牌采购项目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865,060.00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标的名称：2026年王益区宣传思想文化标语牌采购项目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1、项目名称：2026年王益区宣传思想文化标语牌采购项目</w:t>
            </w:r>
          </w:p>
          <w:p>
            <w:pPr>
              <w:pStyle w:val="null3"/>
            </w:pPr>
            <w:r>
              <w:rPr>
                <w:rFonts w:ascii="仿宋_GB2312" w:hAnsi="仿宋_GB2312" w:cs="仿宋_GB2312" w:eastAsia="仿宋_GB2312"/>
              </w:rPr>
              <w:t>2、服务地点：采购人指定地点</w:t>
            </w:r>
          </w:p>
          <w:p>
            <w:pPr>
              <w:pStyle w:val="null3"/>
            </w:pPr>
            <w:r>
              <w:rPr>
                <w:rFonts w:ascii="仿宋_GB2312" w:hAnsi="仿宋_GB2312" w:cs="仿宋_GB2312" w:eastAsia="仿宋_GB2312"/>
              </w:rPr>
              <w:t>3、服务期限：40日历天</w:t>
            </w:r>
          </w:p>
          <w:p>
            <w:pPr>
              <w:pStyle w:val="null3"/>
            </w:pPr>
            <w:r>
              <w:rPr>
                <w:rFonts w:ascii="仿宋_GB2312" w:hAnsi="仿宋_GB2312" w:cs="仿宋_GB2312" w:eastAsia="仿宋_GB2312"/>
              </w:rPr>
              <w:t>4、宣传思想文化标语牌具体位置及要求：</w:t>
            </w:r>
          </w:p>
          <w:p>
            <w:pPr>
              <w:pStyle w:val="null3"/>
            </w:pPr>
            <w:r>
              <w:rPr>
                <w:rFonts w:ascii="仿宋_GB2312" w:hAnsi="仿宋_GB2312" w:cs="仿宋_GB2312" w:eastAsia="仿宋_GB2312"/>
              </w:rPr>
              <w:t>（1）画面一：规格：40200mm*3100mm；数量：2个；材质：户外高清550黑白布。</w:t>
            </w:r>
          </w:p>
          <w:p>
            <w:pPr>
              <w:pStyle w:val="null3"/>
            </w:pPr>
            <w:r>
              <w:rPr>
                <w:rFonts w:ascii="仿宋_GB2312" w:hAnsi="仿宋_GB2312" w:cs="仿宋_GB2312" w:eastAsia="仿宋_GB2312"/>
              </w:rPr>
              <w:t>（2）画面二：规格：32000mm*2200mm；数量：2个；材质：户外高清550黑白布。</w:t>
            </w:r>
          </w:p>
          <w:p>
            <w:pPr>
              <w:pStyle w:val="null3"/>
            </w:pPr>
            <w:r>
              <w:rPr>
                <w:rFonts w:ascii="仿宋_GB2312" w:hAnsi="仿宋_GB2312" w:cs="仿宋_GB2312" w:eastAsia="仿宋_GB2312"/>
              </w:rPr>
              <w:t>（3）画面三：规格：25300mm*2600mm；数量：2个；材质：户外高清550黑白布。</w:t>
            </w:r>
          </w:p>
          <w:p>
            <w:pPr>
              <w:pStyle w:val="null3"/>
            </w:pPr>
            <w:r>
              <w:rPr>
                <w:rFonts w:ascii="仿宋_GB2312" w:hAnsi="仿宋_GB2312" w:cs="仿宋_GB2312" w:eastAsia="仿宋_GB2312"/>
              </w:rPr>
              <w:t>（4）画面四：规格：18300mm*1150mm；数量：2个；材质：户外高清550黑白布。</w:t>
            </w:r>
          </w:p>
          <w:p>
            <w:pPr>
              <w:pStyle w:val="null3"/>
            </w:pPr>
            <w:r>
              <w:rPr>
                <w:rFonts w:ascii="仿宋_GB2312" w:hAnsi="仿宋_GB2312" w:cs="仿宋_GB2312" w:eastAsia="仿宋_GB2312"/>
              </w:rPr>
              <w:t>（5）画面五：规格：15400mm*6200mm；数量：1个；材质：户外高清550黑白布。</w:t>
            </w:r>
          </w:p>
          <w:p>
            <w:pPr>
              <w:pStyle w:val="null3"/>
            </w:pPr>
            <w:r>
              <w:rPr>
                <w:rFonts w:ascii="仿宋_GB2312" w:hAnsi="仿宋_GB2312" w:cs="仿宋_GB2312" w:eastAsia="仿宋_GB2312"/>
              </w:rPr>
              <w:t>（6）画面六：规格：18100mm*2150mm；数量：1个；材质：户外高清550黑白布。</w:t>
            </w:r>
          </w:p>
          <w:p>
            <w:pPr>
              <w:pStyle w:val="null3"/>
            </w:pPr>
            <w:r>
              <w:rPr>
                <w:rFonts w:ascii="仿宋_GB2312" w:hAnsi="仿宋_GB2312" w:cs="仿宋_GB2312" w:eastAsia="仿宋_GB2312"/>
              </w:rPr>
              <w:t>（7）画面七：规格：16100mm*2100mm；数量：1个；材质：户外高清550黑白布。</w:t>
            </w:r>
          </w:p>
          <w:p>
            <w:pPr>
              <w:pStyle w:val="null3"/>
            </w:pPr>
            <w:r>
              <w:rPr>
                <w:rFonts w:ascii="仿宋_GB2312" w:hAnsi="仿宋_GB2312" w:cs="仿宋_GB2312" w:eastAsia="仿宋_GB2312"/>
              </w:rPr>
              <w:t>（8）铁艺字一：规格：1900mm*1650mm*100mm；数量：16个；材质：主材铝板，方管主骨架，造型激光切割，剪板折弯，表面三遍底漆，三遍原子灰，三遍汽车面漆、防锈防紫外线处理。</w:t>
            </w:r>
          </w:p>
          <w:p>
            <w:pPr>
              <w:pStyle w:val="null3"/>
            </w:pPr>
            <w:r>
              <w:rPr>
                <w:rFonts w:ascii="仿宋_GB2312" w:hAnsi="仿宋_GB2312" w:cs="仿宋_GB2312" w:eastAsia="仿宋_GB2312"/>
              </w:rPr>
              <w:t>（9）铁艺字二：规格：4500mm*2400mm*100mm；数量：8个；材质：主材铝板，方管主骨架，造型激光切割，剪板折弯，表面三遍底漆，三遍原子灰，三遍汽车面漆、防锈防紫外线处理。</w:t>
            </w:r>
          </w:p>
          <w:p>
            <w:pPr>
              <w:pStyle w:val="null3"/>
            </w:pPr>
            <w:r>
              <w:rPr>
                <w:rFonts w:ascii="仿宋_GB2312" w:hAnsi="仿宋_GB2312" w:cs="仿宋_GB2312" w:eastAsia="仿宋_GB2312"/>
              </w:rPr>
              <w:t>（10）铁艺宣传牌一：规格：11500mm*5000mm*500mm；数量：1套；材质：主材镀锌板，方管主骨架，造型激光切割，剪板折弯，表面三遍底漆，三遍原子灰，三遍汽车面漆、防锈防紫外线处理。</w:t>
            </w:r>
          </w:p>
          <w:p>
            <w:pPr>
              <w:pStyle w:val="null3"/>
            </w:pPr>
            <w:r>
              <w:rPr>
                <w:rFonts w:ascii="仿宋_GB2312" w:hAnsi="仿宋_GB2312" w:cs="仿宋_GB2312" w:eastAsia="仿宋_GB2312"/>
              </w:rPr>
              <w:t>（11）铁艺宣传牌二：规格：6500mm*3000mm*600mm；数量：1套；材质：主材镀锌板，方管主骨架，造型激光切割，剪板折弯，表面三遍底漆，三遍原子灰，三遍汽车面漆、防锈防紫外线处理。</w:t>
            </w:r>
          </w:p>
          <w:p>
            <w:pPr>
              <w:pStyle w:val="null3"/>
            </w:pPr>
            <w:r>
              <w:rPr>
                <w:rFonts w:ascii="仿宋_GB2312" w:hAnsi="仿宋_GB2312" w:cs="仿宋_GB2312" w:eastAsia="仿宋_GB2312"/>
              </w:rPr>
              <w:t>（12）景观字：规格：98000mm*1800mm*700mm；数量：2套；材质：主材镀锌板，方管主骨架，造型激光切割，剪板折弯，表面三遍底漆，三遍原子灰，三遍汽车面漆、防锈防紫外线处理。</w:t>
            </w:r>
          </w:p>
          <w:p>
            <w:pPr>
              <w:pStyle w:val="null3"/>
            </w:pPr>
            <w:r>
              <w:rPr>
                <w:rFonts w:ascii="仿宋_GB2312" w:hAnsi="仿宋_GB2312" w:cs="仿宋_GB2312" w:eastAsia="仿宋_GB2312"/>
              </w:rPr>
              <w:t>（13）精神堡垒：规格：12000mm*2900mm*600mm；数量：2套；材质：主材镀锌板，方管主骨架，造型激光切割，剪板折弯，表面三遍底漆，三遍原子灰，三遍汽车面漆、防锈防紫外线处理。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进度款，项目服务完成，达到付款条件起5个工作日内，支付合同总金额的30.0%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进度款，验收完成，达到付款条件起5个工作日内，支付合同总金额的20.0%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会计师事务所或审计机构审计的财务审计报告（包括审计报告、资产负债表、利润表、现金流量表、附注等全部内容，成立时间至提交响应文件截止时间不足一年的可提供成立后任意时段的资产负债表）和财务情况说明书，或磋商前半年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提供有效存续的企业营业执照（副本）事业单位法人证书/专业服务机构执业许可证/民办非企业单位登记证书（以上四种形式的资料提供任意一种即可），自然人提供身份证。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法定代表人直接参加投标的，须出具法定代表人身份证明及身份证扫描件；法定代表人授权代表参加投标的，须出具法定代表人授权书及授权代表身份证扫描件。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提供2026年1月至响应文件截止时间前至少1个月的社会保障资金缴存单据或社保机构开具的社会保险参保缴费情况证明，依法不需要缴纳社会保障资金的单位应提供相关证明材料。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响应文件截止时间前至少1个月的纳税证明或完税证明（增值税、营业税、企业所得税至少提供一种），纳税证明或完税证明上应有代收机构或税务机关的公章或业务专用章，依法免税的供应商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供应商必须按照磋商文件的规定和要求在响应文件中指定的页面落款处加盖公章，其余页面逐页盖公章，否则将作为无效响应文件处理。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响应文件响应内容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供应商承诺书.docx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对本项目需求的理解，根据投标人对本项目的了解和认识，方案需包含：（1）项目背景分析；（2）项目总体规划思路；（3）项目需求理解分析。 二、评审要求 每提供一项内容计3分，满分9分；每缺少一项内容扣3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本项目实施情况）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广告安装及施工方案</w:t>
            </w:r>
          </w:p>
        </w:tc>
        <w:tc>
          <w:tcPr>
            <w:tcW w:type="dxa" w:w="2492"/>
          </w:tcPr>
          <w:p>
            <w:pPr>
              <w:pStyle w:val="null3"/>
            </w:pPr>
            <w:r>
              <w:rPr>
                <w:rFonts w:ascii="仿宋_GB2312" w:hAnsi="仿宋_GB2312" w:cs="仿宋_GB2312" w:eastAsia="仿宋_GB2312"/>
              </w:rPr>
              <w:t>一、评审内容 投标人针对本项目技术要求提出的各项服务内容提供整体服务方案，方案包括：（1）主要施工方案和方法；（2）确保工期的技术组织措施；（3）确保工程质量的技术措施；（4）确保安全施工的技术组织措施；（5）确保文明施工的技术组织措施及环境保护措施（6）针对本项目验收方案。 二、评审要求 每提供一项内容计5分，满分30分；每缺少一项内容扣5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本项目实施情况）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 投标人针对本项目提供的服务团队及管理方案，方案包含：（1）人员职责明确、分工清晰；（2）岗位职责制度及考核办法；（3）人员管理、工作时间安排 二、评审要求 每提供一项内容计2分，满分6分；每缺少一项内容扣2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本项目实施情况）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应急处理服务</w:t>
            </w:r>
          </w:p>
        </w:tc>
        <w:tc>
          <w:tcPr>
            <w:tcW w:type="dxa" w:w="2492"/>
          </w:tcPr>
          <w:p>
            <w:pPr>
              <w:pStyle w:val="null3"/>
            </w:pPr>
            <w:r>
              <w:rPr>
                <w:rFonts w:ascii="仿宋_GB2312" w:hAnsi="仿宋_GB2312" w:cs="仿宋_GB2312" w:eastAsia="仿宋_GB2312"/>
              </w:rPr>
              <w:t>一、评审内容 针对本项目制定完善的应急处理服务，包括：（1）应急处置；（2）响应时间：保证紧急情况下能够快速进行处理。 二、评审要求 每提供一项内容计2.5分，满分5分；每缺少一项内容扣2.5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本项目实施情况）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提供的服务承诺，包括：（1）对服务期限内服务质量、人员到位情况及配合程度等做出的实质性承诺；（2）针对本项目实施及协调过程中的响应时效承诺，并承诺积极按照采购人提出的要求或协商后的意见改进工作；（3）售后服务机构健全，提供售后服务承诺。 二、评审要求 每提供一项内容计5分，满分15分；每缺少一项内容扣5分，扣完为止。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提供自2023年1月1日至今类似项目业绩（需提供合同或中标通知书，以合同签订日期或中标通知书日期为准），每提供一个得2分，最高得6分，未提供不得分。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每提供一条合理化建议得3分，最高得9分，未提供不得分。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服务期限响应</w:t>
            </w:r>
          </w:p>
        </w:tc>
        <w:tc>
          <w:tcPr>
            <w:tcW w:type="dxa" w:w="2492"/>
          </w:tcPr>
          <w:p>
            <w:pPr>
              <w:pStyle w:val="null3"/>
            </w:pPr>
            <w:r>
              <w:rPr>
                <w:rFonts w:ascii="仿宋_GB2312" w:hAnsi="仿宋_GB2312" w:cs="仿宋_GB2312" w:eastAsia="仿宋_GB2312"/>
              </w:rPr>
              <w:t>完全响应磋商文件要求的得10分，未响应不得分。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满足采购文件要求且最终报价最低的报价为评标基准价，其价格分为满分。 报价得分=（评标基准价 / 最终报价报价） ×价格权值×100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