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版本号：KY2026-3-05520260513001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地铁摆渡车服务(四次)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KY2026-3-055</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地铁摆渡车服务(四次)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KY2026-3-055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地铁摆渡车服务(四次)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西北妇女儿童医院地铁摆渡车服务，简要技术要求、用途：详见磋商文件。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7、法定代表人授权书：法定代表人授权书及被授权人身份证。（法定代表人直接磋商只须提交其身份证明书）</w:t>
      </w:r>
    </w:p>
    <w:p>
      <w:pPr>
        <w:pStyle w:val="null3"/>
      </w:pPr>
      <w:r>
        <w:rPr>
          <w:rFonts w:ascii="仿宋_GB2312" w:hAnsi="仿宋_GB2312" w:cs="仿宋_GB2312" w:eastAsia="仿宋_GB2312"/>
        </w:rPr>
        <w:t>8、资质：供应商须具备有效期内的《道路运输经营许可证》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029-89550667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029-81206622/81206633-841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预算金额向采购代理机构交纳成交服务费，交费金额参照国家计委颁布的《招标代理服务收费管理暂行办法》（计价格[2002]1980号）及发改办价格[2003]857号文件的规定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联系人：徐闫靖双、王琦、戈迪</w:t>
      </w:r>
    </w:p>
    <w:p>
      <w:pPr>
        <w:pStyle w:val="null3"/>
      </w:pPr>
      <w:r>
        <w:rPr>
          <w:rFonts w:ascii="仿宋_GB2312" w:hAnsi="仿宋_GB2312" w:cs="仿宋_GB2312" w:eastAsia="仿宋_GB2312"/>
        </w:rPr>
        <w:t>联系电话：029-81206622/81206633-841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西北妇女儿童医院地铁摆渡车服务，简要技术要求、用途：详见磋商文件。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西北妇女儿童医院地铁摆渡车服务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标的名称：西北妇女儿童医院地铁摆渡车服务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一、服务内容：</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两辆车每日往返地铁站8号线缪家寨站和西北妇女儿童医院曲江院区门诊楼前，每日运行时长12小时，7:00-19:00。根据运行实际情况可在早、晚高峰时段7:00-8:00、17:30-18:30动态增加车辆。根据中标单价、车辆数和运行时间据实结算。</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两辆车工作日期间往返地铁5号线黄渠头站和西北妇女儿童医院曲江院区门诊楼前，运行时间为7:00-8:00、17:30-18:30。</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color w:val="000000"/>
              </w:rPr>
              <w:t>二、车辆及站牌要求：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车辆提供上下车没有台阶的纯电动中巴车型，具体型号根据实际情况和采购人要求随时更换。</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车辆使用年限≤3年。</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车辆保险齐全，在行驶途中所发生的交通事故，造成人身伤亡和财产损失的，成交供应商承担全部责任。（机动车第三者责任保险不低于</w:t>
            </w:r>
            <w:r>
              <w:rPr>
                <w:rFonts w:ascii="仿宋_GB2312" w:hAnsi="仿宋_GB2312" w:cs="仿宋_GB2312" w:eastAsia="仿宋_GB2312"/>
                <w:sz w:val="21"/>
                <w:color w:val="000000"/>
              </w:rPr>
              <w:t>100万元）。</w:t>
            </w:r>
          </w:p>
          <w:p>
            <w:pPr>
              <w:pStyle w:val="null3"/>
              <w:jc w:val="both"/>
            </w:pPr>
            <w:r>
              <w:rPr>
                <w:rFonts w:ascii="仿宋_GB2312" w:hAnsi="仿宋_GB2312" w:cs="仿宋_GB2312" w:eastAsia="仿宋_GB2312"/>
                <w:sz w:val="21"/>
                <w:color w:val="000000"/>
              </w:rPr>
              <w:t>4.整车设计根据采购人需求统一定制</w:t>
            </w:r>
            <w:r>
              <w:rPr>
                <w:rFonts w:ascii="仿宋_GB2312" w:hAnsi="仿宋_GB2312" w:cs="仿宋_GB2312" w:eastAsia="仿宋_GB2312"/>
                <w:sz w:val="21"/>
                <w:color w:val="000000"/>
              </w:rPr>
              <w:t>车身标识。</w:t>
            </w:r>
          </w:p>
          <w:p>
            <w:pPr>
              <w:pStyle w:val="null3"/>
              <w:jc w:val="both"/>
            </w:pPr>
            <w:r>
              <w:rPr>
                <w:rFonts w:ascii="仿宋_GB2312" w:hAnsi="仿宋_GB2312" w:cs="仿宋_GB2312" w:eastAsia="仿宋_GB2312"/>
                <w:sz w:val="21"/>
                <w:color w:val="000000"/>
              </w:rPr>
              <w:t>5.所提供车辆统一颜色、统一车型。</w:t>
            </w:r>
          </w:p>
          <w:p>
            <w:pPr>
              <w:pStyle w:val="null3"/>
              <w:jc w:val="both"/>
            </w:pPr>
            <w:r>
              <w:rPr>
                <w:rFonts w:ascii="仿宋_GB2312" w:hAnsi="仿宋_GB2312" w:cs="仿宋_GB2312" w:eastAsia="仿宋_GB2312"/>
                <w:sz w:val="21"/>
                <w:color w:val="000000"/>
              </w:rPr>
              <w:t>6.车内配备可播放视频的电子显示屏。</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车内需配置无死角监控（≥3个）、1个行车记录仪，视频储存天数≧7天</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8.</w:t>
            </w:r>
            <w:r>
              <w:rPr>
                <w:rFonts w:ascii="仿宋_GB2312" w:hAnsi="仿宋_GB2312" w:cs="仿宋_GB2312" w:eastAsia="仿宋_GB2312"/>
                <w:sz w:val="21"/>
                <w:color w:val="000000"/>
              </w:rPr>
              <w:t>负责在5号线</w:t>
            </w:r>
            <w:r>
              <w:rPr>
                <w:rFonts w:ascii="仿宋_GB2312" w:hAnsi="仿宋_GB2312" w:cs="仿宋_GB2312" w:eastAsia="仿宋_GB2312"/>
                <w:sz w:val="21"/>
                <w:color w:val="000000"/>
              </w:rPr>
              <w:t>黄渠头站乘车点根据采购人需求安装摆渡车站牌。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三、驾驶员要求：</w:t>
            </w:r>
          </w:p>
          <w:p>
            <w:pPr>
              <w:pStyle w:val="null3"/>
            </w:pPr>
            <w:r>
              <w:rPr>
                <w:rFonts w:ascii="仿宋_GB2312" w:hAnsi="仿宋_GB2312" w:cs="仿宋_GB2312" w:eastAsia="仿宋_GB2312"/>
                <w:sz w:val="21"/>
              </w:rPr>
              <w:t>1.持有相对应的准驾驾驶证。</w:t>
            </w:r>
          </w:p>
          <w:p>
            <w:pPr>
              <w:pStyle w:val="null3"/>
            </w:pPr>
            <w:r>
              <w:rPr>
                <w:rFonts w:ascii="仿宋_GB2312" w:hAnsi="仿宋_GB2312" w:cs="仿宋_GB2312" w:eastAsia="仿宋_GB2312"/>
                <w:sz w:val="21"/>
              </w:rPr>
              <w:t>2.驾驶员必须身体健康，应有良好的精神面貌，无犯罪记录、无吸毒记录、无重大疾病，无赌博、嗜酒、吸烟等嗜好。</w:t>
            </w:r>
          </w:p>
          <w:p>
            <w:pPr>
              <w:pStyle w:val="null3"/>
            </w:pPr>
            <w:r>
              <w:rPr>
                <w:rFonts w:ascii="仿宋_GB2312" w:hAnsi="仿宋_GB2312" w:cs="仿宋_GB2312" w:eastAsia="仿宋_GB2312"/>
                <w:sz w:val="21"/>
              </w:rPr>
              <w:t>3.驾驶员年龄≤55周岁，相对应的准驾驾驶证驾龄≥5年。</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1"/>
              </w:rPr>
              <w:t>4.驾驶员隶属关系应为投标人正式签约职工（须承诺在中标后为所提供驾驶员缴纳社会保险）。</w:t>
            </w:r>
          </w:p>
          <w:p>
            <w:pPr>
              <w:pStyle w:val="null3"/>
            </w:pPr>
            <w:r>
              <w:rPr>
                <w:rFonts w:ascii="仿宋_GB2312" w:hAnsi="仿宋_GB2312" w:cs="仿宋_GB2312" w:eastAsia="仿宋_GB2312"/>
                <w:sz w:val="21"/>
              </w:rPr>
              <w:t>5.所配备驾驶员在本项目运营期间，连续驾驶时间不得超过4小时。</w:t>
            </w:r>
          </w:p>
          <w:p>
            <w:pPr>
              <w:pStyle w:val="null3"/>
            </w:pPr>
            <w:r>
              <w:rPr>
                <w:rFonts w:ascii="仿宋_GB2312" w:hAnsi="仿宋_GB2312" w:cs="仿宋_GB2312" w:eastAsia="仿宋_GB2312"/>
                <w:sz w:val="21"/>
              </w:rPr>
              <w:t>6.驾驶员被投诉的，根据投诉情况，甲方可要求乙方更换驾驶员，更换的驾驶员应符合上述条件。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color w:val="000000"/>
              </w:rPr>
              <w:t>四、应急措施</w:t>
            </w:r>
          </w:p>
          <w:p>
            <w:pPr>
              <w:pStyle w:val="null3"/>
              <w:jc w:val="both"/>
            </w:pPr>
            <w:r>
              <w:rPr>
                <w:rFonts w:ascii="仿宋_GB2312" w:hAnsi="仿宋_GB2312" w:cs="仿宋_GB2312" w:eastAsia="仿宋_GB2312"/>
                <w:sz w:val="21"/>
                <w:color w:val="000000"/>
              </w:rPr>
              <w:t>1.车辆服务过程中出现抛锚、事故等原因而无法行驶时，成交供应商必须在0.5小时内提供同款车辆前往服务地点。</w:t>
            </w:r>
          </w:p>
          <w:p>
            <w:pPr>
              <w:pStyle w:val="null3"/>
            </w:pPr>
            <w:r>
              <w:rPr>
                <w:rFonts w:ascii="仿宋_GB2312" w:hAnsi="仿宋_GB2312" w:cs="仿宋_GB2312" w:eastAsia="仿宋_GB2312"/>
                <w:sz w:val="21"/>
                <w:color w:val="000000"/>
              </w:rPr>
              <w:t>2.如临时变更出行计划的，双方协商解决。</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color w:val="000000"/>
              </w:rPr>
              <w:t>五、最高单价限价</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1.地铁8号线摆渡车：单价限价1200元/辆/12小时，早、晚高峰时段动态增加的车辆单价限价450元/辆/2小时。</w:t>
            </w:r>
          </w:p>
          <w:p>
            <w:pPr>
              <w:pStyle w:val="null3"/>
            </w:pPr>
            <w:r>
              <w:rPr>
                <w:rFonts w:ascii="仿宋_GB2312" w:hAnsi="仿宋_GB2312" w:cs="仿宋_GB2312" w:eastAsia="仿宋_GB2312"/>
                <w:sz w:val="21"/>
                <w:color w:val="000000"/>
              </w:rPr>
              <w:t>2.地铁5号线摆渡车：单价限价450元/辆/2小时。</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六、支付方式</w:t>
            </w:r>
          </w:p>
          <w:p>
            <w:pPr>
              <w:pStyle w:val="null3"/>
            </w:pPr>
            <w:r>
              <w:rPr>
                <w:rFonts w:ascii="仿宋_GB2312" w:hAnsi="仿宋_GB2312" w:cs="仿宋_GB2312" w:eastAsia="仿宋_GB2312"/>
                <w:sz w:val="21"/>
              </w:rPr>
              <w:t>因电子化格式有限，供应商还需对以下支付方式进行响应：银行转账，据实结算。每季度根据成交单价和实际运营天数结算一次，结算总金额不超过预算总金额。付款前成交供应商须提供符合税法规定的等额发票。（本条内容为实质性要求，供应商未响应按无效文件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计划服务期三年，合同一年一签。期限满前30日内，经采购人考核，成交供应商服务项目达到服务标准和要求，并经双方协商一致后可续签下年合同；考核不合格或采购人认为成交供应商服务项目不及服务要求的，采购人有权随时终止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第一季度服务结束并验收合格，根据中标单价、车辆数和运行时间据实结算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第二季度服务结束并验收合格，根据中标单价、车辆数和运行时间据实结算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第三季度服务结束并验收合格，根据中标单价、车辆数和运行时间据实结算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第四季度服务结束并验收合格，根据中标单价、车辆数和运行时间据实结算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采购人所在地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1、需要落实的政府采购政策：（1）《政府采购促进中小企业发展管理办法》的通知--财库〔2020〕46号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（7）《关于运用政府采购政策支持乡村产业振兴的通知》（财库〔2021〕19 号） （8）《关于进一步加大政府采购支持中小企业力度的通知》（财库〔2022〕19号） （9）《陕西省财政厅关于进一步落实政府采购支持中小企业相关政策的通知》（陕财办采〔2023〕3号） （10）《国务院办公厅关于在政府采购中实施本国产品标准及相关政策的通知》（国办发〔2025〕34号） （11）《关于推动解决政府采购异常低价问题的通知》（财库〔2026〕2号）（12）若享受以上政策优惠的企业，提供相应声明函或品目范围内产品有效认证证书。如有最新颁布的政府采购政策，按最新的文件执行。（13）本项目为非专门面向中、小、微型企业采购项目。 2、保证金的退还：自中标通知书发出之日起5个工作日内退还未中标人的投标保证金,自采购合同签订之日起5个工作日内退还中标人的投标保证金。 3、因电子化格式有限，供应商还需对以下支付方式进行响应：银行转账，据实结算。每季度根据成交单价和实际运营天数结算一次，结算总金额不超过预算总金额。付款前成交供应商须提供符合税法规定的等额发票。（本条内容为实质性要求，供应商未响应按无效文件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供应商须具备有效期内的《道路运输经营许可证》</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分项报价表.docx 服务内容及服务邀请应答表 商务应答表 标的清单 报价表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服务内容及服务邀请应答表 商务应答表 其他说明.docx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限价</w:t>
            </w:r>
          </w:p>
        </w:tc>
        <w:tc>
          <w:tcPr>
            <w:tcW w:type="dxa" w:w="3322"/>
          </w:tcPr>
          <w:p>
            <w:pPr>
              <w:pStyle w:val="null3"/>
            </w:pPr>
            <w:r>
              <w:rPr>
                <w:rFonts w:ascii="仿宋_GB2312" w:hAnsi="仿宋_GB2312" w:cs="仿宋_GB2312" w:eastAsia="仿宋_GB2312"/>
              </w:rPr>
              <w:t>报价未超过最高限价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不存在政府采购货物和服务招标投标管理办法（财政部第87号令）第三十七条规定的串通投标的情形</w:t>
            </w:r>
          </w:p>
        </w:tc>
        <w:tc>
          <w:tcPr>
            <w:tcW w:type="dxa" w:w="3322"/>
          </w:tcPr>
          <w:p>
            <w:pPr>
              <w:pStyle w:val="null3"/>
            </w:pPr>
            <w:r>
              <w:rPr>
                <w:rFonts w:ascii="仿宋_GB2312" w:hAnsi="仿宋_GB2312" w:cs="仿宋_GB2312" w:eastAsia="仿宋_GB2312"/>
              </w:rPr>
              <w:t>1.不同供应商的响应文件由同一单位或者个人编制； 2.不同供应商委托同一单位或者个人办理投标事宜； 3.不同供应商的响应文件载明的项目管理成员或者联系人员为同一人； 4.不同供应商的响应文件异常一致或者投标报价呈规律性差异； 5.不同供应商的响应文件相互混装； 6.不同供应商的磋商保证金从同一单位或者个人的账户转出。</w:t>
            </w:r>
          </w:p>
        </w:tc>
        <w:tc>
          <w:tcPr>
            <w:tcW w:type="dxa" w:w="1661"/>
          </w:tcPr>
          <w:p>
            <w:pPr>
              <w:pStyle w:val="null3"/>
            </w:pPr>
            <w:r>
              <w:rPr>
                <w:rFonts w:ascii="仿宋_GB2312" w:hAnsi="仿宋_GB2312" w:cs="仿宋_GB2312" w:eastAsia="仿宋_GB2312"/>
              </w:rPr>
              <w:t>分项报价表.docx 标的清单 报价表 响应函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具体可行的服务方案，包括但不限于①实施方案；②安全保障方案；③服务质量保证方案及承诺；④高峰时段运行方案；⑤安全保障承诺。满分20分。每有一项缺项扣4分，每有一项内容中有1项缺陷，扣1分，扣完为止。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具体可行的管理制度，包括但不限于①针对驾驶人员具有详细的安全教育制度；②行车礼仪培训制度；③针对驾驶人员的管理制度；④供应商承诺认真执行“三检”（出车前、行驶中、收车后）制度，做好车辆例行保养工作定期进行车辆检测，遵守交通法规，确保安全运行，驾驶人员确保人员上下车及车内安全。满分20分。每有一项缺项扣5分，每有一项内容中有1项缺陷，扣1分，扣完为止。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详细评审---管理制度.docx</w:t>
            </w:r>
          </w:p>
        </w:tc>
      </w:tr>
      <w:tr>
        <w:tc>
          <w:tcPr>
            <w:tcW w:type="dxa" w:w="831"/>
            <w:vMerge/>
          </w:tcPr>
          <w:p/>
        </w:tc>
        <w:tc>
          <w:tcPr>
            <w:tcW w:type="dxa" w:w="1661"/>
          </w:tcPr>
          <w:p>
            <w:pPr>
              <w:pStyle w:val="null3"/>
            </w:pPr>
            <w:r>
              <w:rPr>
                <w:rFonts w:ascii="仿宋_GB2312" w:hAnsi="仿宋_GB2312" w:cs="仿宋_GB2312" w:eastAsia="仿宋_GB2312"/>
              </w:rPr>
              <w:t>投入车辆情况</w:t>
            </w:r>
          </w:p>
        </w:tc>
        <w:tc>
          <w:tcPr>
            <w:tcW w:type="dxa" w:w="2492"/>
          </w:tcPr>
          <w:p>
            <w:pPr>
              <w:pStyle w:val="null3"/>
            </w:pPr>
            <w:r>
              <w:rPr>
                <w:rFonts w:ascii="仿宋_GB2312" w:hAnsi="仿宋_GB2312" w:cs="仿宋_GB2312" w:eastAsia="仿宋_GB2312"/>
              </w:rPr>
              <w:t>针对本项目投入车辆情况资料，包括但不限于①供应商响应的车辆可使用数量、车辆型号、使用年限、车况、年审、车辆运行手续、车内监控、定位系统配置、备用车辆情况等；②供应商提供车辆配套设施，包括防火设施（配备灭火器及警示性标志牌），清洁、消毒及常规的安全检查措施，医用急救设施等；③供应商响应的车辆保险及交强险、机动车第三者责任保险(100万以上)等保险缴纳情况情，提供证明资料；④拟投入车辆为供应商自有车辆，提供证明资料。满分16分。每有一项缺项扣4分，每有一项内容中有1项缺陷，扣1分，扣完为止。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详细评审---投入车辆情况.docx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提供具体可行的应急方案，包括但不限于①详细应急保障及应急处理团队；②针对突发事件（包括但不限于堵车、抛锚、交通事故、中暑、突发公共卫生事件等），具有完善的处理方案及详细的应对措施；③针对恶劣天气应急方案及处置办法。满分15分。每有一项缺项扣5分，每有一项内容中有1项缺陷，扣1分，扣完为止。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详细评审---应急方案.docx</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针对本项目提供具体可行的团队配置方案，包括但不限于①详细团队人员配置及人员的执业资格等相关证书（包括但不限于管理人员、驾驶人员、安全管理人员及与项目实施相关人员）；②人员架构及管理人员、驾驶人员、安全管理人员及与项目实施相关人员的工作职责。满分6分。每有一项缺项扣3分，每有一项内容中有1项缺陷，扣1分，扣完为止。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详细评审---团队配置.docx</w:t>
            </w:r>
          </w:p>
        </w:tc>
      </w:tr>
      <w:tr>
        <w:tc>
          <w:tcPr>
            <w:tcW w:type="dxa" w:w="831"/>
            <w:vMerge/>
          </w:tcPr>
          <w:p/>
        </w:tc>
        <w:tc>
          <w:tcPr>
            <w:tcW w:type="dxa" w:w="1661"/>
          </w:tcPr>
          <w:p>
            <w:pPr>
              <w:pStyle w:val="null3"/>
            </w:pPr>
            <w:r>
              <w:rPr>
                <w:rFonts w:ascii="仿宋_GB2312" w:hAnsi="仿宋_GB2312" w:cs="仿宋_GB2312" w:eastAsia="仿宋_GB2312"/>
              </w:rPr>
              <w:t>驾驶员情况</w:t>
            </w:r>
          </w:p>
        </w:tc>
        <w:tc>
          <w:tcPr>
            <w:tcW w:type="dxa" w:w="2492"/>
          </w:tcPr>
          <w:p>
            <w:pPr>
              <w:pStyle w:val="null3"/>
            </w:pPr>
            <w:r>
              <w:rPr>
                <w:rFonts w:ascii="仿宋_GB2312" w:hAnsi="仿宋_GB2312" w:cs="仿宋_GB2312" w:eastAsia="仿宋_GB2312"/>
              </w:rPr>
              <w:t>本项目拟派驾驶员（不少于5名）驾驶经验丰富，身体健康，无传染性疾病等可能危及行车安全的疾病病史，提供证明资料（医疗机构出具的健康证明等），得3分，不提供或提供不全不得分。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详细评审---驾驶员情况.docx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提供供应商自2023年1月1日至今(以合同签订日期为准)同类项目业绩合同，每份计1分，满分5分。注：需提供项目完整合同扫描件，加盖公章。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 注：1、磋商报价为三种单价之和，以三种单价之和作为价格分依据，最终结算以分项报价作为据实的结算依据； 2、对于本国产品给予20%的价格扣除，用扣除后的价格参与评审。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详见附件：详细评审---服务方案.docx</w:t>
      </w:r>
    </w:p>
    <w:p>
      <w:pPr>
        <w:pStyle w:val="null3"/>
        <w:ind w:firstLine="960"/>
      </w:pPr>
      <w:r>
        <w:rPr>
          <w:rFonts w:ascii="仿宋_GB2312" w:hAnsi="仿宋_GB2312" w:cs="仿宋_GB2312" w:eastAsia="仿宋_GB2312"/>
        </w:rPr>
        <w:t>详见附件：详细评审---管理制度.docx</w:t>
      </w:r>
    </w:p>
    <w:p>
      <w:pPr>
        <w:pStyle w:val="null3"/>
        <w:ind w:firstLine="960"/>
      </w:pPr>
      <w:r>
        <w:rPr>
          <w:rFonts w:ascii="仿宋_GB2312" w:hAnsi="仿宋_GB2312" w:cs="仿宋_GB2312" w:eastAsia="仿宋_GB2312"/>
        </w:rPr>
        <w:t>详见附件：详细评审---投入车辆情况.docx</w:t>
      </w:r>
    </w:p>
    <w:p>
      <w:pPr>
        <w:pStyle w:val="null3"/>
        <w:ind w:firstLine="960"/>
      </w:pPr>
      <w:r>
        <w:rPr>
          <w:rFonts w:ascii="仿宋_GB2312" w:hAnsi="仿宋_GB2312" w:cs="仿宋_GB2312" w:eastAsia="仿宋_GB2312"/>
        </w:rPr>
        <w:t>详见附件：详细评审---应急方案.docx</w:t>
      </w:r>
    </w:p>
    <w:p>
      <w:pPr>
        <w:pStyle w:val="null3"/>
        <w:ind w:firstLine="960"/>
      </w:pPr>
      <w:r>
        <w:rPr>
          <w:rFonts w:ascii="仿宋_GB2312" w:hAnsi="仿宋_GB2312" w:cs="仿宋_GB2312" w:eastAsia="仿宋_GB2312"/>
        </w:rPr>
        <w:t>详见附件：详细评审---团队配置.docx</w:t>
      </w:r>
    </w:p>
    <w:p>
      <w:pPr>
        <w:pStyle w:val="null3"/>
        <w:ind w:firstLine="960"/>
      </w:pPr>
      <w:r>
        <w:rPr>
          <w:rFonts w:ascii="仿宋_GB2312" w:hAnsi="仿宋_GB2312" w:cs="仿宋_GB2312" w:eastAsia="仿宋_GB2312"/>
        </w:rPr>
        <w:t>详见附件：详细评审---驾驶员情况.docx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