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B5D9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CA6241C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37B9E3A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共   页，第   页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"/>
        <w:gridCol w:w="3592"/>
        <w:gridCol w:w="2307"/>
        <w:gridCol w:w="2171"/>
      </w:tblGrid>
      <w:tr w14:paraId="7B157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4" w:hRule="atLeast"/>
          <w:jc w:val="center"/>
        </w:trPr>
        <w:tc>
          <w:tcPr>
            <w:tcW w:w="264" w:type="pct"/>
            <w:noWrap w:val="0"/>
            <w:vAlign w:val="center"/>
          </w:tcPr>
          <w:p w14:paraId="0464F739">
            <w:pPr>
              <w:pStyle w:val="3"/>
              <w:spacing w:line="460" w:lineRule="exact"/>
              <w:jc w:val="center"/>
              <w:rPr>
                <w:rFonts w:hint="eastAsia" w:hAnsi="宋体"/>
                <w:spacing w:val="-20"/>
                <w:sz w:val="24"/>
                <w:szCs w:val="24"/>
              </w:rPr>
            </w:pPr>
            <w:r>
              <w:rPr>
                <w:rFonts w:hint="eastAsia" w:hAnsi="宋体"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2108" w:type="pct"/>
            <w:noWrap w:val="0"/>
            <w:vAlign w:val="center"/>
          </w:tcPr>
          <w:p w14:paraId="74EEF78E">
            <w:pPr>
              <w:pStyle w:val="3"/>
              <w:spacing w:line="460" w:lineRule="exact"/>
              <w:jc w:val="center"/>
              <w:rPr>
                <w:rFonts w:hint="eastAsia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hAnsi="宋体" w:eastAsia="宋体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1354" w:type="pct"/>
            <w:noWrap w:val="0"/>
            <w:vAlign w:val="center"/>
          </w:tcPr>
          <w:p w14:paraId="324AF351">
            <w:pPr>
              <w:pStyle w:val="3"/>
              <w:spacing w:line="46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单价</w:t>
            </w:r>
            <w:r>
              <w:rPr>
                <w:rFonts w:hint="eastAsia" w:hAnsi="宋体" w:eastAsia="宋体"/>
                <w:sz w:val="24"/>
                <w:szCs w:val="24"/>
                <w:lang w:val="en-US" w:eastAsia="zh-CN"/>
              </w:rPr>
              <w:t>报价</w:t>
            </w:r>
            <w:r>
              <w:rPr>
                <w:rFonts w:hint="eastAsia" w:hAnsi="宋体"/>
                <w:sz w:val="24"/>
                <w:szCs w:val="24"/>
              </w:rPr>
              <w:t>(元)</w:t>
            </w:r>
          </w:p>
        </w:tc>
        <w:tc>
          <w:tcPr>
            <w:tcW w:w="1272" w:type="pct"/>
            <w:noWrap w:val="0"/>
            <w:vAlign w:val="center"/>
          </w:tcPr>
          <w:p w14:paraId="06CF4041">
            <w:pPr>
              <w:pStyle w:val="3"/>
              <w:spacing w:line="460" w:lineRule="exact"/>
              <w:jc w:val="center"/>
              <w:rPr>
                <w:rFonts w:hint="eastAsia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hAnsi="宋体" w:eastAsia="宋体"/>
                <w:sz w:val="24"/>
                <w:szCs w:val="24"/>
                <w:lang w:val="en-US" w:eastAsia="zh-CN"/>
              </w:rPr>
              <w:t>单价限价（元）</w:t>
            </w:r>
          </w:p>
        </w:tc>
      </w:tr>
      <w:tr w14:paraId="11664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2" w:hRule="atLeast"/>
          <w:jc w:val="center"/>
        </w:trPr>
        <w:tc>
          <w:tcPr>
            <w:tcW w:w="264" w:type="pct"/>
            <w:noWrap w:val="0"/>
            <w:vAlign w:val="center"/>
          </w:tcPr>
          <w:p w14:paraId="7F23476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108" w:type="pct"/>
            <w:noWrap w:val="0"/>
            <w:vAlign w:val="center"/>
          </w:tcPr>
          <w:p w14:paraId="0509AFB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地铁8号线摆渡车</w:t>
            </w:r>
          </w:p>
        </w:tc>
        <w:tc>
          <w:tcPr>
            <w:tcW w:w="1354" w:type="pct"/>
            <w:noWrap w:val="0"/>
            <w:vAlign w:val="center"/>
          </w:tcPr>
          <w:p w14:paraId="67C681C6">
            <w:pPr>
              <w:pStyle w:val="3"/>
              <w:ind w:firstLine="684" w:firstLineChars="300"/>
              <w:jc w:val="righ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元/辆/12小时</w:t>
            </w:r>
          </w:p>
        </w:tc>
        <w:tc>
          <w:tcPr>
            <w:tcW w:w="1272" w:type="pct"/>
            <w:noWrap w:val="0"/>
            <w:vAlign w:val="center"/>
          </w:tcPr>
          <w:p w14:paraId="47A5F007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1200元/辆/12小时</w:t>
            </w:r>
          </w:p>
        </w:tc>
      </w:tr>
      <w:tr w14:paraId="62856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4" w:type="pct"/>
            <w:noWrap w:val="0"/>
            <w:vAlign w:val="center"/>
          </w:tcPr>
          <w:p w14:paraId="4D715A24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</w:t>
            </w:r>
          </w:p>
        </w:tc>
        <w:tc>
          <w:tcPr>
            <w:tcW w:w="2108" w:type="pct"/>
            <w:noWrap w:val="0"/>
            <w:vAlign w:val="center"/>
          </w:tcPr>
          <w:p w14:paraId="6C402D2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地铁8号线</w:t>
            </w:r>
          </w:p>
          <w:p w14:paraId="6499500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早、晚高峰时段动态增加的摆渡车辆</w:t>
            </w:r>
          </w:p>
        </w:tc>
        <w:tc>
          <w:tcPr>
            <w:tcW w:w="1354" w:type="pct"/>
            <w:noWrap w:val="0"/>
            <w:vAlign w:val="center"/>
          </w:tcPr>
          <w:p w14:paraId="11DF0B2C">
            <w:pPr>
              <w:pStyle w:val="3"/>
              <w:ind w:firstLine="684" w:firstLineChars="300"/>
              <w:jc w:val="righ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元/辆/2小时</w:t>
            </w:r>
          </w:p>
        </w:tc>
        <w:tc>
          <w:tcPr>
            <w:tcW w:w="1272" w:type="pct"/>
            <w:noWrap w:val="0"/>
            <w:vAlign w:val="center"/>
          </w:tcPr>
          <w:p w14:paraId="7D3AC8A8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450元/辆/2小时</w:t>
            </w:r>
          </w:p>
        </w:tc>
      </w:tr>
      <w:tr w14:paraId="4311C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atLeast"/>
          <w:jc w:val="center"/>
        </w:trPr>
        <w:tc>
          <w:tcPr>
            <w:tcW w:w="264" w:type="pct"/>
            <w:noWrap w:val="0"/>
            <w:vAlign w:val="center"/>
          </w:tcPr>
          <w:p w14:paraId="7F09BEEA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3</w:t>
            </w:r>
          </w:p>
        </w:tc>
        <w:tc>
          <w:tcPr>
            <w:tcW w:w="2108" w:type="pct"/>
            <w:noWrap w:val="0"/>
            <w:vAlign w:val="center"/>
          </w:tcPr>
          <w:p w14:paraId="7E1849F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地铁5号线摆渡车</w:t>
            </w:r>
          </w:p>
        </w:tc>
        <w:tc>
          <w:tcPr>
            <w:tcW w:w="1354" w:type="pct"/>
            <w:noWrap w:val="0"/>
            <w:vAlign w:val="center"/>
          </w:tcPr>
          <w:p w14:paraId="1878F0E6">
            <w:pPr>
              <w:pStyle w:val="3"/>
              <w:ind w:firstLine="684" w:firstLineChars="300"/>
              <w:jc w:val="righ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元/辆/2小时</w:t>
            </w:r>
          </w:p>
        </w:tc>
        <w:tc>
          <w:tcPr>
            <w:tcW w:w="1272" w:type="pct"/>
            <w:noWrap w:val="0"/>
            <w:vAlign w:val="center"/>
          </w:tcPr>
          <w:p w14:paraId="5BBCD340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450元/辆/2小时</w:t>
            </w:r>
          </w:p>
        </w:tc>
      </w:tr>
      <w:tr w14:paraId="7982D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5211F49D">
            <w:pPr>
              <w:pStyle w:val="3"/>
              <w:jc w:val="left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 w:eastAsia="宋体"/>
                <w:sz w:val="24"/>
                <w:lang w:val="en-US" w:eastAsia="zh-CN"/>
              </w:rPr>
              <w:t>单价合计</w:t>
            </w:r>
            <w:r>
              <w:rPr>
                <w:rFonts w:hint="eastAsia" w:hAnsi="宋体"/>
                <w:sz w:val="24"/>
              </w:rPr>
              <w:t>报价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（人民币大写）：  </w:t>
            </w:r>
            <w:r>
              <w:rPr>
                <w:rFonts w:hint="eastAsia" w:hAnsi="宋体"/>
                <w:spacing w:val="-6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元）</w:t>
            </w:r>
          </w:p>
        </w:tc>
      </w:tr>
      <w:tr w14:paraId="54481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E05FB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备注：表内报价内容以元为单位，最多保留小数点后两位。</w:t>
            </w:r>
          </w:p>
        </w:tc>
      </w:tr>
    </w:tbl>
    <w:p w14:paraId="7C7CBBCF"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hAnsi="宋体"/>
          <w:sz w:val="24"/>
          <w:szCs w:val="24"/>
          <w:lang w:val="en-US" w:eastAsia="zh-CN"/>
        </w:rPr>
        <w:t>注：</w:t>
      </w:r>
      <w:bookmarkStart w:id="0" w:name="_GoBack"/>
      <w:bookmarkEnd w:id="0"/>
      <w:r>
        <w:rPr>
          <w:rFonts w:hint="eastAsia" w:ascii="宋体" w:hAnsi="宋体"/>
          <w:sz w:val="24"/>
        </w:rPr>
        <w:t>1.本表中的“</w:t>
      </w:r>
      <w:r>
        <w:rPr>
          <w:rFonts w:hint="eastAsia" w:ascii="宋体" w:hAnsi="宋体" w:eastAsia="宋体"/>
          <w:sz w:val="24"/>
          <w:lang w:val="en-US" w:eastAsia="zh-CN"/>
        </w:rPr>
        <w:t>单价合计</w:t>
      </w:r>
      <w:r>
        <w:rPr>
          <w:rFonts w:hint="eastAsia" w:ascii="宋体" w:hAnsi="宋体"/>
          <w:sz w:val="24"/>
        </w:rPr>
        <w:t>报价”与“响应报价表”中的</w:t>
      </w:r>
      <w:r>
        <w:rPr>
          <w:rFonts w:hint="eastAsia" w:ascii="宋体" w:hAnsi="宋体" w:cs="Courier New"/>
          <w:spacing w:val="-6"/>
          <w:sz w:val="24"/>
        </w:rPr>
        <w:t>“</w:t>
      </w:r>
      <w:r>
        <w:rPr>
          <w:rFonts w:hint="eastAsia" w:ascii="宋体" w:hAnsi="宋体"/>
          <w:sz w:val="24"/>
        </w:rPr>
        <w:t>磋商报价</w:t>
      </w:r>
      <w:r>
        <w:rPr>
          <w:rFonts w:hint="eastAsia" w:ascii="宋体" w:hAnsi="宋体" w:cs="Courier New"/>
          <w:spacing w:val="-6"/>
          <w:sz w:val="24"/>
        </w:rPr>
        <w:t>”</w:t>
      </w:r>
      <w:r>
        <w:rPr>
          <w:rFonts w:hint="eastAsia" w:ascii="宋体" w:hAnsi="宋体"/>
          <w:sz w:val="24"/>
        </w:rPr>
        <w:t>一致。各子项分别报价。</w:t>
      </w:r>
    </w:p>
    <w:p w14:paraId="4D104FF2">
      <w:pPr>
        <w:spacing w:line="500" w:lineRule="exact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供应商对响应</w:t>
      </w:r>
      <w:r>
        <w:rPr>
          <w:rFonts w:hint="eastAsia" w:ascii="宋体" w:hAnsi="宋体" w:eastAsia="宋体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只允许有一个报价，不接受超过磋商文件中规定的预算金额的报价、可变动性报价、赠送及“零”报价，否则视为无效响应</w:t>
      </w:r>
      <w:r>
        <w:rPr>
          <w:rFonts w:hint="eastAsia" w:ascii="宋体" w:hAnsi="宋体" w:eastAsia="宋体" w:cs="Times New Roman"/>
          <w:sz w:val="24"/>
          <w:lang w:val="en-US" w:eastAsia="zh-CN"/>
        </w:rPr>
        <w:t>。</w:t>
      </w:r>
    </w:p>
    <w:p w14:paraId="6262FC3E">
      <w:pPr>
        <w:spacing w:line="500" w:lineRule="exact"/>
        <w:ind w:left="-283" w:leftChars="-135"/>
        <w:rPr>
          <w:rFonts w:ascii="宋体" w:hAnsi="宋体" w:eastAsia="宋体" w:cs="Times New Roman"/>
          <w:sz w:val="24"/>
        </w:rPr>
      </w:pPr>
    </w:p>
    <w:p w14:paraId="6EB1CB41">
      <w:pPr>
        <w:pStyle w:val="3"/>
        <w:rPr>
          <w:rFonts w:hint="default" w:hAnsi="宋体" w:eastAsia="宋体"/>
          <w:sz w:val="24"/>
          <w:szCs w:val="24"/>
          <w:lang w:val="en-US" w:eastAsia="zh-CN"/>
        </w:rPr>
      </w:pPr>
    </w:p>
    <w:p w14:paraId="70ECC95F">
      <w:pPr>
        <w:pStyle w:val="3"/>
        <w:rPr>
          <w:rFonts w:hint="eastAsia" w:hAnsi="宋体"/>
          <w:sz w:val="24"/>
          <w:szCs w:val="24"/>
          <w:highlight w:val="yellow"/>
        </w:rPr>
      </w:pPr>
    </w:p>
    <w:p w14:paraId="3517715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520F850">
      <w:pPr>
        <w:rPr>
          <w:rFonts w:hint="eastAsia" w:ascii="宋体" w:hAnsi="宋体"/>
          <w:sz w:val="24"/>
        </w:rPr>
      </w:pPr>
    </w:p>
    <w:p w14:paraId="08A088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3854AEC"/>
    <w:rsid w:val="0B9D61FB"/>
    <w:rsid w:val="0F317386"/>
    <w:rsid w:val="24BE186C"/>
    <w:rsid w:val="4134176D"/>
    <w:rsid w:val="5FD0361E"/>
    <w:rsid w:val="6DDA2238"/>
    <w:rsid w:val="6DF33E9F"/>
    <w:rsid w:val="7ED4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280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2026-03-26T02:04:11Z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