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9F349">
      <w:pPr>
        <w:jc w:val="center"/>
        <w:rPr>
          <w:b/>
        </w:rPr>
      </w:pPr>
      <w:r>
        <w:rPr>
          <w:rFonts w:hint="eastAsia" w:ascii="宋体" w:hAnsi="宋体"/>
          <w:b/>
          <w:sz w:val="32"/>
          <w:szCs w:val="32"/>
        </w:rPr>
        <w:t>合同范本（仅供参考）</w:t>
      </w:r>
    </w:p>
    <w:p w14:paraId="734F5810">
      <w:pPr>
        <w:spacing w:line="360" w:lineRule="auto"/>
        <w:ind w:firstLine="482" w:firstLineChars="200"/>
        <w:rPr>
          <w:rFonts w:ascii="宋体" w:hAnsi="宋体"/>
          <w:b/>
          <w:color w:val="FF0000"/>
          <w:sz w:val="24"/>
        </w:rPr>
      </w:pPr>
    </w:p>
    <w:p w14:paraId="2AADCF3B">
      <w:pPr>
        <w:jc w:val="center"/>
        <w:rPr>
          <w:rFonts w:hint="eastAsia" w:ascii="仿宋" w:hAnsi="仿宋" w:eastAsia="仿宋" w:cs="仿宋"/>
          <w:b/>
          <w:sz w:val="44"/>
          <w:szCs w:val="44"/>
        </w:rPr>
      </w:pPr>
      <w:r>
        <w:rPr>
          <w:rFonts w:hint="eastAsia" w:ascii="仿宋" w:hAnsi="仿宋" w:eastAsia="仿宋" w:cs="仿宋"/>
          <w:b/>
          <w:sz w:val="44"/>
          <w:szCs w:val="44"/>
        </w:rPr>
        <w:t>西北妇女儿童医院地铁</w:t>
      </w:r>
    </w:p>
    <w:p w14:paraId="2C602A64">
      <w:pPr>
        <w:jc w:val="center"/>
        <w:rPr>
          <w:rFonts w:hint="eastAsia" w:ascii="仿宋" w:hAnsi="仿宋" w:eastAsia="仿宋" w:cs="仿宋"/>
          <w:b/>
          <w:sz w:val="44"/>
          <w:szCs w:val="44"/>
        </w:rPr>
      </w:pPr>
      <w:r>
        <w:rPr>
          <w:rFonts w:hint="eastAsia" w:ascii="仿宋" w:hAnsi="仿宋" w:eastAsia="仿宋" w:cs="仿宋"/>
          <w:b/>
          <w:sz w:val="44"/>
          <w:szCs w:val="44"/>
        </w:rPr>
        <w:t>摆渡车服务合同</w:t>
      </w:r>
    </w:p>
    <w:p w14:paraId="7B4217EB">
      <w:pPr>
        <w:jc w:val="center"/>
        <w:rPr>
          <w:rFonts w:ascii="宋体" w:hAnsi="宋体" w:cs="宋体"/>
          <w:sz w:val="28"/>
          <w:szCs w:val="28"/>
        </w:rPr>
      </w:pPr>
    </w:p>
    <w:p w14:paraId="637C0CB1">
      <w:pPr>
        <w:jc w:val="center"/>
        <w:rPr>
          <w:rFonts w:ascii="宋体" w:hAnsi="宋体" w:cs="宋体"/>
          <w:sz w:val="28"/>
          <w:szCs w:val="28"/>
        </w:rPr>
      </w:pPr>
    </w:p>
    <w:p w14:paraId="369DF490">
      <w:pPr>
        <w:jc w:val="center"/>
        <w:rPr>
          <w:rFonts w:ascii="宋体" w:hAnsi="宋体" w:cs="宋体"/>
          <w:sz w:val="28"/>
          <w:szCs w:val="28"/>
        </w:rPr>
      </w:pPr>
    </w:p>
    <w:p w14:paraId="1D66AC71">
      <w:pPr>
        <w:jc w:val="center"/>
        <w:rPr>
          <w:rFonts w:ascii="宋体" w:hAnsi="宋体" w:cs="宋体"/>
          <w:sz w:val="28"/>
          <w:szCs w:val="28"/>
        </w:rPr>
      </w:pPr>
    </w:p>
    <w:p w14:paraId="701E6947">
      <w:pPr>
        <w:pStyle w:val="3"/>
      </w:pPr>
    </w:p>
    <w:p w14:paraId="3AB49100">
      <w:pPr>
        <w:jc w:val="center"/>
        <w:rPr>
          <w:rFonts w:ascii="宋体" w:hAnsi="宋体" w:cs="宋体"/>
          <w:sz w:val="28"/>
          <w:szCs w:val="28"/>
        </w:rPr>
      </w:pPr>
    </w:p>
    <w:p w14:paraId="6ACC7FDE">
      <w:pPr>
        <w:jc w:val="center"/>
        <w:rPr>
          <w:rFonts w:hint="eastAsia" w:ascii="宋体" w:hAnsi="宋体" w:cs="宋体"/>
          <w:sz w:val="28"/>
          <w:szCs w:val="28"/>
        </w:rPr>
      </w:pPr>
    </w:p>
    <w:p w14:paraId="1F80DF05">
      <w:pPr>
        <w:jc w:val="center"/>
        <w:rPr>
          <w:rFonts w:hint="eastAsia" w:ascii="宋体" w:hAnsi="宋体" w:cs="宋体"/>
          <w:sz w:val="28"/>
          <w:szCs w:val="28"/>
        </w:rPr>
      </w:pPr>
    </w:p>
    <w:p w14:paraId="05563BD8">
      <w:pPr>
        <w:jc w:val="center"/>
        <w:rPr>
          <w:rFonts w:hint="eastAsia" w:ascii="仿宋" w:hAnsi="仿宋" w:eastAsia="仿宋" w:cs="仿宋"/>
          <w:sz w:val="28"/>
          <w:szCs w:val="28"/>
        </w:rPr>
      </w:pPr>
    </w:p>
    <w:p w14:paraId="3B8D13DB">
      <w:pPr>
        <w:ind w:firstLine="1960" w:firstLineChars="700"/>
        <w:jc w:val="both"/>
        <w:rPr>
          <w:rFonts w:hint="eastAsia" w:ascii="仿宋" w:hAnsi="仿宋" w:eastAsia="仿宋" w:cs="仿宋"/>
          <w:sz w:val="28"/>
          <w:szCs w:val="28"/>
        </w:rPr>
      </w:pPr>
      <w:r>
        <w:rPr>
          <w:rFonts w:hint="eastAsia" w:ascii="仿宋" w:hAnsi="仿宋" w:eastAsia="仿宋" w:cs="仿宋"/>
          <w:sz w:val="28"/>
          <w:szCs w:val="28"/>
        </w:rPr>
        <w:t>甲  方：西北妇女儿童医院</w:t>
      </w:r>
    </w:p>
    <w:p w14:paraId="5D137275">
      <w:pPr>
        <w:ind w:firstLine="1960" w:firstLineChars="700"/>
        <w:jc w:val="both"/>
        <w:rPr>
          <w:rFonts w:hint="eastAsia" w:ascii="仿宋" w:hAnsi="仿宋" w:eastAsia="仿宋" w:cs="仿宋"/>
          <w:sz w:val="28"/>
          <w:szCs w:val="28"/>
          <w:lang w:eastAsia="zh-CN"/>
        </w:rPr>
      </w:pPr>
      <w:r>
        <w:rPr>
          <w:rFonts w:hint="eastAsia" w:ascii="仿宋" w:hAnsi="仿宋" w:eastAsia="仿宋" w:cs="仿宋"/>
          <w:sz w:val="28"/>
          <w:szCs w:val="28"/>
        </w:rPr>
        <w:t>乙  方：</w:t>
      </w:r>
    </w:p>
    <w:p w14:paraId="22EB17E3">
      <w:pPr>
        <w:ind w:firstLine="2240" w:firstLineChars="800"/>
        <w:jc w:val="both"/>
        <w:rPr>
          <w:rFonts w:hint="eastAsia" w:ascii="宋体" w:hAnsi="宋体" w:cs="宋体"/>
          <w:sz w:val="28"/>
          <w:szCs w:val="28"/>
        </w:rPr>
      </w:pPr>
    </w:p>
    <w:p w14:paraId="20DBAF1E">
      <w:pPr>
        <w:spacing w:line="360" w:lineRule="auto"/>
        <w:rPr>
          <w:rFonts w:asciiTheme="majorEastAsia" w:hAnsiTheme="majorEastAsia" w:eastAsiaTheme="majorEastAsia"/>
          <w:b/>
          <w:sz w:val="48"/>
          <w:szCs w:val="48"/>
        </w:rPr>
      </w:pPr>
    </w:p>
    <w:p w14:paraId="52210FA8">
      <w:pPr>
        <w:spacing w:line="360" w:lineRule="auto"/>
        <w:rPr>
          <w:rFonts w:asciiTheme="majorEastAsia" w:hAnsiTheme="majorEastAsia" w:eastAsiaTheme="majorEastAsia"/>
          <w:b/>
          <w:sz w:val="48"/>
          <w:szCs w:val="48"/>
        </w:rPr>
      </w:pPr>
    </w:p>
    <w:p w14:paraId="6D992F76">
      <w:pPr>
        <w:pStyle w:val="3"/>
        <w:rPr>
          <w:rFonts w:asciiTheme="majorEastAsia" w:hAnsiTheme="majorEastAsia" w:eastAsiaTheme="majorEastAsia"/>
          <w:b/>
          <w:sz w:val="48"/>
          <w:szCs w:val="48"/>
        </w:rPr>
      </w:pPr>
    </w:p>
    <w:p w14:paraId="204F0F43"/>
    <w:p w14:paraId="3156F27D">
      <w:pPr>
        <w:spacing w:line="360" w:lineRule="auto"/>
        <w:jc w:val="both"/>
        <w:rPr>
          <w:rFonts w:hint="eastAsia" w:ascii="仿宋" w:hAnsi="仿宋" w:eastAsia="仿宋" w:cs="宋体"/>
          <w:b/>
          <w:bCs w:val="0"/>
          <w:color w:val="auto"/>
          <w:sz w:val="32"/>
          <w:szCs w:val="32"/>
          <w:u w:val="none"/>
          <w:lang w:eastAsia="zh-CN"/>
        </w:rPr>
      </w:pPr>
    </w:p>
    <w:p w14:paraId="7D38523E">
      <w:pPr>
        <w:spacing w:line="360" w:lineRule="auto"/>
        <w:jc w:val="center"/>
        <w:rPr>
          <w:rFonts w:hint="eastAsia" w:ascii="仿宋" w:hAnsi="仿宋" w:eastAsia="仿宋" w:cs="宋体"/>
          <w:b/>
          <w:bCs w:val="0"/>
          <w:color w:val="auto"/>
          <w:sz w:val="32"/>
          <w:szCs w:val="32"/>
          <w:u w:val="none"/>
          <w:lang w:eastAsia="zh-CN"/>
        </w:rPr>
        <w:sectPr>
          <w:pgSz w:w="11906" w:h="16838"/>
          <w:pgMar w:top="1440" w:right="1800" w:bottom="1440" w:left="1800" w:header="851" w:footer="992" w:gutter="0"/>
          <w:cols w:space="425" w:num="1"/>
          <w:docGrid w:type="lines" w:linePitch="312" w:charSpace="0"/>
        </w:sectPr>
      </w:pPr>
    </w:p>
    <w:p w14:paraId="766A6EAD">
      <w:pPr>
        <w:spacing w:line="360" w:lineRule="auto"/>
        <w:jc w:val="center"/>
        <w:rPr>
          <w:rFonts w:hint="eastAsia" w:ascii="仿宋" w:hAnsi="仿宋" w:eastAsia="仿宋" w:cs="宋体"/>
          <w:b/>
          <w:bCs w:val="0"/>
          <w:color w:val="auto"/>
          <w:sz w:val="32"/>
          <w:szCs w:val="32"/>
        </w:rPr>
      </w:pPr>
      <w:r>
        <w:rPr>
          <w:rFonts w:hint="eastAsia" w:ascii="仿宋" w:hAnsi="仿宋" w:eastAsia="仿宋" w:cs="宋体"/>
          <w:b/>
          <w:bCs w:val="0"/>
          <w:color w:val="auto"/>
          <w:sz w:val="32"/>
          <w:szCs w:val="32"/>
          <w:u w:val="none"/>
          <w:lang w:eastAsia="zh-CN"/>
        </w:rPr>
        <w:t>摆渡车服务</w:t>
      </w:r>
      <w:r>
        <w:rPr>
          <w:rFonts w:hint="eastAsia" w:ascii="仿宋" w:hAnsi="仿宋" w:eastAsia="仿宋" w:cs="宋体"/>
          <w:b/>
          <w:bCs w:val="0"/>
          <w:color w:val="auto"/>
          <w:sz w:val="32"/>
          <w:szCs w:val="32"/>
          <w:lang w:val="en-US" w:eastAsia="zh-CN"/>
        </w:rPr>
        <w:t>项目</w:t>
      </w:r>
      <w:r>
        <w:rPr>
          <w:rFonts w:hint="eastAsia" w:ascii="仿宋" w:hAnsi="仿宋" w:eastAsia="仿宋" w:cs="宋体"/>
          <w:b/>
          <w:bCs w:val="0"/>
          <w:color w:val="auto"/>
          <w:sz w:val="32"/>
          <w:szCs w:val="32"/>
        </w:rPr>
        <w:t>合同</w:t>
      </w:r>
    </w:p>
    <w:p w14:paraId="624B048C">
      <w:pPr>
        <w:pStyle w:val="4"/>
        <w:rPr>
          <w:rFonts w:hint="eastAsia"/>
        </w:rPr>
      </w:pPr>
    </w:p>
    <w:p w14:paraId="2804755A">
      <w:pPr>
        <w:spacing w:line="360" w:lineRule="auto"/>
        <w:ind w:left="0" w:leftChars="0" w:firstLine="480" w:firstLineChars="200"/>
        <w:jc w:val="left"/>
        <w:rPr>
          <w:rFonts w:ascii="仿宋" w:hAnsi="仿宋" w:eastAsia="仿宋"/>
          <w:bCs/>
          <w:sz w:val="24"/>
        </w:rPr>
      </w:pPr>
      <w:r>
        <w:rPr>
          <w:rFonts w:hint="eastAsia" w:ascii="仿宋" w:hAnsi="仿宋" w:eastAsia="仿宋"/>
          <w:bCs/>
          <w:sz w:val="24"/>
        </w:rPr>
        <w:t>西北妇女儿童医院（以下简称甲方）经</w:t>
      </w:r>
      <w:r>
        <w:rPr>
          <w:rFonts w:hint="eastAsia" w:ascii="仿宋" w:hAnsi="仿宋" w:eastAsia="仿宋"/>
          <w:bCs/>
          <w:sz w:val="24"/>
          <w:lang w:val="en-US" w:eastAsia="zh-CN"/>
        </w:rPr>
        <w:t>政府</w:t>
      </w:r>
      <w:r>
        <w:rPr>
          <w:rFonts w:hint="eastAsia" w:ascii="仿宋" w:hAnsi="仿宋" w:eastAsia="仿宋"/>
          <w:bCs/>
          <w:sz w:val="24"/>
        </w:rPr>
        <w:t>采购，选</w:t>
      </w:r>
      <w:r>
        <w:rPr>
          <w:rFonts w:hint="eastAsia" w:ascii="仿宋" w:hAnsi="仿宋" w:eastAsia="仿宋" w:cs="仿宋_GB2312"/>
          <w:color w:val="auto"/>
          <w:sz w:val="24"/>
          <w:lang w:val="en-US" w:eastAsia="zh-CN"/>
        </w:rPr>
        <w:t>定</w:t>
      </w:r>
      <w:r>
        <w:rPr>
          <w:rFonts w:hint="eastAsia" w:ascii="仿宋" w:hAnsi="仿宋" w:eastAsia="仿宋" w:cs="仿宋_GB2312"/>
          <w:color w:val="auto"/>
          <w:sz w:val="24"/>
          <w:u w:val="single"/>
          <w:lang w:val="en-US" w:eastAsia="zh-CN"/>
        </w:rPr>
        <w:t xml:space="preserve">          </w:t>
      </w:r>
      <w:r>
        <w:rPr>
          <w:rFonts w:hint="eastAsia" w:ascii="仿宋" w:hAnsi="仿宋" w:eastAsia="仿宋" w:cs="仿宋_GB2312"/>
          <w:color w:val="auto"/>
          <w:sz w:val="24"/>
          <w:lang w:val="en-US" w:eastAsia="zh-CN"/>
        </w:rPr>
        <w:t>（以下简称乙方）为地铁摆渡车服务项目成交单位。依据《中华</w:t>
      </w:r>
      <w:r>
        <w:rPr>
          <w:rFonts w:hint="eastAsia" w:ascii="仿宋" w:hAnsi="仿宋" w:eastAsia="仿宋"/>
          <w:bCs/>
          <w:sz w:val="24"/>
        </w:rPr>
        <w:t>人民共和国民法典》，经甲、乙双方协商，按下述条款和条件签署本合同。</w:t>
      </w:r>
    </w:p>
    <w:p w14:paraId="20F95F99">
      <w:pPr>
        <w:pStyle w:val="12"/>
        <w:widowControl/>
        <w:numPr>
          <w:ilvl w:val="0"/>
          <w:numId w:val="1"/>
        </w:numPr>
        <w:spacing w:line="360" w:lineRule="auto"/>
        <w:ind w:left="345" w:leftChars="0" w:firstLineChars="0"/>
        <w:jc w:val="left"/>
        <w:rPr>
          <w:rFonts w:ascii="仿宋" w:hAnsi="仿宋" w:eastAsia="仿宋" w:cs="仿宋_GB2312"/>
          <w:b/>
          <w:bCs/>
          <w:sz w:val="24"/>
        </w:rPr>
      </w:pPr>
      <w:r>
        <w:rPr>
          <w:rFonts w:hint="eastAsia" w:ascii="仿宋" w:hAnsi="仿宋" w:eastAsia="仿宋" w:cs="宋体"/>
          <w:b/>
          <w:color w:val="000000"/>
          <w:sz w:val="24"/>
          <w:lang w:val="en-US" w:eastAsia="zh-CN"/>
        </w:rPr>
        <w:t>合同标的及金额</w:t>
      </w:r>
    </w:p>
    <w:p w14:paraId="33898330">
      <w:pPr>
        <w:pStyle w:val="12"/>
        <w:keepNext w:val="0"/>
        <w:keepLines w:val="0"/>
        <w:pageBreakBefore w:val="0"/>
        <w:widowControl/>
        <w:numPr>
          <w:ilvl w:val="0"/>
          <w:numId w:val="0"/>
        </w:numPr>
        <w:kinsoku/>
        <w:wordWrap/>
        <w:overflowPunct/>
        <w:topLinePunct w:val="0"/>
        <w:autoSpaceDE/>
        <w:autoSpaceDN/>
        <w:bidi w:val="0"/>
        <w:adjustRightInd/>
        <w:snapToGrid/>
        <w:spacing w:after="157" w:afterLines="50" w:line="360" w:lineRule="auto"/>
        <w:ind w:left="-255" w:leftChars="0" w:firstLine="480" w:firstLineChars="200"/>
        <w:jc w:val="left"/>
        <w:textAlignment w:val="auto"/>
        <w:rPr>
          <w:rFonts w:hint="eastAsia" w:ascii="仿宋" w:hAnsi="仿宋" w:eastAsia="仿宋" w:cs="Times New Roman"/>
          <w:bCs/>
          <w:kern w:val="2"/>
          <w:sz w:val="24"/>
          <w:szCs w:val="24"/>
          <w:u w:val="none"/>
          <w:lang w:val="en-US" w:eastAsia="zh-CN" w:bidi="ar-SA"/>
        </w:rPr>
      </w:pPr>
      <w:r>
        <w:rPr>
          <w:rFonts w:hint="eastAsia" w:ascii="仿宋" w:hAnsi="仿宋" w:eastAsia="仿宋" w:cs="宋体"/>
          <w:b w:val="0"/>
          <w:bCs/>
          <w:color w:val="000000"/>
          <w:sz w:val="24"/>
          <w:lang w:val="en-US" w:eastAsia="zh-CN"/>
        </w:rPr>
        <w:t>本合同标的为</w:t>
      </w:r>
      <w:r>
        <w:rPr>
          <w:rFonts w:hint="eastAsia" w:ascii="仿宋" w:hAnsi="仿宋" w:eastAsia="仿宋" w:cs="宋体"/>
          <w:b/>
          <w:color w:val="000000"/>
          <w:sz w:val="24"/>
          <w:lang w:val="en-US" w:eastAsia="zh-CN"/>
        </w:rPr>
        <w:t>：</w:t>
      </w:r>
      <w:r>
        <w:rPr>
          <w:rFonts w:hint="eastAsia" w:ascii="仿宋" w:hAnsi="仿宋" w:eastAsia="仿宋" w:cs="Times New Roman"/>
          <w:bCs/>
          <w:kern w:val="2"/>
          <w:sz w:val="24"/>
          <w:szCs w:val="24"/>
          <w:lang w:val="en-US" w:eastAsia="zh-CN" w:bidi="ar-SA"/>
        </w:rPr>
        <w:t>乙方向甲方提供地铁</w:t>
      </w:r>
      <w:r>
        <w:rPr>
          <w:rFonts w:hint="eastAsia" w:ascii="仿宋" w:hAnsi="仿宋" w:eastAsia="仿宋" w:cs="Times New Roman"/>
          <w:bCs/>
          <w:kern w:val="2"/>
          <w:sz w:val="24"/>
          <w:szCs w:val="24"/>
          <w:u w:val="single"/>
          <w:lang w:val="en-US" w:eastAsia="zh-CN" w:bidi="ar-SA"/>
        </w:rPr>
        <w:t>摆渡车服务</w:t>
      </w:r>
      <w:r>
        <w:rPr>
          <w:rFonts w:hint="eastAsia" w:ascii="仿宋" w:hAnsi="仿宋" w:eastAsia="仿宋" w:cs="Times New Roman"/>
          <w:bCs/>
          <w:kern w:val="2"/>
          <w:sz w:val="24"/>
          <w:szCs w:val="24"/>
          <w:u w:val="none"/>
          <w:lang w:val="en-US" w:eastAsia="zh-CN" w:bidi="ar-SA"/>
        </w:rPr>
        <w:t>，合同金额如下：</w:t>
      </w:r>
    </w:p>
    <w:tbl>
      <w:tblPr>
        <w:tblStyle w:val="8"/>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4840"/>
        <w:gridCol w:w="2753"/>
      </w:tblGrid>
      <w:tr w14:paraId="02EE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90" w:type="dxa"/>
            <w:vAlign w:val="center"/>
          </w:tcPr>
          <w:p w14:paraId="178CCC44">
            <w:pPr>
              <w:pStyle w:val="12"/>
              <w:widowControl/>
              <w:spacing w:line="360" w:lineRule="auto"/>
              <w:ind w:left="0" w:firstLine="0" w:firstLineChars="0"/>
              <w:jc w:val="both"/>
              <w:rPr>
                <w:rFonts w:ascii="仿宋" w:hAnsi="仿宋" w:eastAsia="仿宋"/>
                <w:bCs/>
                <w:color w:val="auto"/>
                <w:sz w:val="24"/>
              </w:rPr>
            </w:pPr>
            <w:r>
              <w:rPr>
                <w:rFonts w:hint="eastAsia" w:ascii="仿宋" w:hAnsi="仿宋" w:eastAsia="仿宋"/>
                <w:bCs/>
                <w:color w:val="auto"/>
                <w:sz w:val="24"/>
              </w:rPr>
              <w:t>序号</w:t>
            </w:r>
          </w:p>
        </w:tc>
        <w:tc>
          <w:tcPr>
            <w:tcW w:w="5029" w:type="dxa"/>
            <w:vAlign w:val="center"/>
          </w:tcPr>
          <w:p w14:paraId="6A431827">
            <w:pPr>
              <w:pStyle w:val="12"/>
              <w:widowControl/>
              <w:spacing w:line="360" w:lineRule="auto"/>
              <w:ind w:left="0" w:firstLine="0" w:firstLineChars="0"/>
              <w:jc w:val="center"/>
              <w:rPr>
                <w:rFonts w:hint="eastAsia" w:ascii="仿宋" w:hAnsi="仿宋" w:eastAsia="仿宋"/>
                <w:bCs/>
                <w:color w:val="auto"/>
                <w:sz w:val="24"/>
                <w:lang w:eastAsia="zh-CN"/>
              </w:rPr>
            </w:pPr>
            <w:r>
              <w:rPr>
                <w:rFonts w:hint="eastAsia" w:ascii="仿宋" w:hAnsi="仿宋" w:eastAsia="仿宋"/>
                <w:bCs/>
                <w:color w:val="auto"/>
                <w:sz w:val="24"/>
                <w:lang w:val="en-US" w:eastAsia="zh-CN"/>
              </w:rPr>
              <w:t>名称</w:t>
            </w:r>
          </w:p>
        </w:tc>
        <w:tc>
          <w:tcPr>
            <w:tcW w:w="2830" w:type="dxa"/>
            <w:vAlign w:val="center"/>
          </w:tcPr>
          <w:p w14:paraId="3A6525CC">
            <w:pPr>
              <w:pStyle w:val="12"/>
              <w:widowControl/>
              <w:spacing w:line="360" w:lineRule="auto"/>
              <w:ind w:left="0" w:firstLine="0" w:firstLineChars="0"/>
              <w:jc w:val="center"/>
              <w:rPr>
                <w:rFonts w:ascii="仿宋" w:hAnsi="仿宋" w:eastAsia="仿宋"/>
                <w:bCs/>
                <w:color w:val="auto"/>
                <w:sz w:val="24"/>
              </w:rPr>
            </w:pPr>
            <w:r>
              <w:rPr>
                <w:rFonts w:hint="eastAsia" w:ascii="仿宋" w:hAnsi="仿宋" w:eastAsia="仿宋"/>
                <w:bCs/>
                <w:color w:val="auto"/>
                <w:sz w:val="24"/>
                <w:lang w:val="en-US" w:eastAsia="zh-CN"/>
              </w:rPr>
              <w:t>单价</w:t>
            </w:r>
          </w:p>
        </w:tc>
      </w:tr>
      <w:tr w14:paraId="5D8A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90" w:type="dxa"/>
            <w:vAlign w:val="center"/>
          </w:tcPr>
          <w:p w14:paraId="739EFF34">
            <w:pPr>
              <w:pStyle w:val="12"/>
              <w:widowControl/>
              <w:spacing w:line="360" w:lineRule="auto"/>
              <w:ind w:left="0" w:firstLine="0" w:firstLineChars="0"/>
              <w:jc w:val="both"/>
              <w:rPr>
                <w:rFonts w:hint="default" w:ascii="仿宋" w:hAnsi="仿宋" w:eastAsia="仿宋"/>
                <w:bCs/>
                <w:color w:val="auto"/>
                <w:sz w:val="24"/>
                <w:lang w:val="en-US" w:eastAsia="zh-CN"/>
              </w:rPr>
            </w:pPr>
            <w:r>
              <w:rPr>
                <w:rFonts w:hint="eastAsia" w:ascii="仿宋" w:hAnsi="仿宋" w:eastAsia="仿宋"/>
                <w:bCs/>
                <w:color w:val="auto"/>
                <w:sz w:val="24"/>
              </w:rPr>
              <w:t>1</w:t>
            </w:r>
          </w:p>
        </w:tc>
        <w:tc>
          <w:tcPr>
            <w:tcW w:w="5029" w:type="dxa"/>
            <w:shd w:val="clear" w:color="auto" w:fill="auto"/>
            <w:vAlign w:val="center"/>
          </w:tcPr>
          <w:p w14:paraId="145645C9">
            <w:pPr>
              <w:jc w:val="center"/>
              <w:rPr>
                <w:rFonts w:hint="default" w:ascii="宋体" w:hAnsi="宋体" w:eastAsia="Arial" w:cs="Arial"/>
                <w:snapToGrid w:val="0"/>
                <w:color w:val="000000"/>
                <w:sz w:val="24"/>
                <w:szCs w:val="21"/>
                <w:lang w:val="en-US" w:eastAsia="en-US" w:bidi="ar-SA"/>
              </w:rPr>
            </w:pPr>
            <w:r>
              <w:rPr>
                <w:rFonts w:hint="eastAsia" w:ascii="宋体" w:hAnsi="宋体"/>
                <w:sz w:val="24"/>
              </w:rPr>
              <w:t>地铁8号线摆渡车</w:t>
            </w:r>
          </w:p>
        </w:tc>
        <w:tc>
          <w:tcPr>
            <w:tcW w:w="2830" w:type="dxa"/>
            <w:shd w:val="clear" w:color="auto" w:fill="auto"/>
            <w:vAlign w:val="center"/>
          </w:tcPr>
          <w:p w14:paraId="0776A4D0">
            <w:pPr>
              <w:pStyle w:val="4"/>
              <w:ind w:firstLine="684" w:firstLineChars="300"/>
              <w:rPr>
                <w:rFonts w:hint="default" w:ascii="宋体" w:hAnsi="宋体" w:eastAsia="Arial" w:cs="Courier New"/>
                <w:snapToGrid w:val="0"/>
                <w:color w:val="000000"/>
                <w:sz w:val="24"/>
                <w:szCs w:val="24"/>
                <w:lang w:val="en-US" w:eastAsia="en-US" w:bidi="ar-SA"/>
              </w:rPr>
            </w:pPr>
            <w:r>
              <w:rPr>
                <w:rFonts w:hint="eastAsia" w:hAnsi="宋体"/>
                <w:spacing w:val="-6"/>
                <w:sz w:val="24"/>
                <w:szCs w:val="24"/>
              </w:rPr>
              <w:t>元/辆/12小时</w:t>
            </w:r>
          </w:p>
        </w:tc>
      </w:tr>
      <w:tr w14:paraId="0CED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90" w:type="dxa"/>
            <w:vAlign w:val="center"/>
          </w:tcPr>
          <w:p w14:paraId="77E085ED">
            <w:pPr>
              <w:pStyle w:val="12"/>
              <w:widowControl/>
              <w:spacing w:line="360" w:lineRule="auto"/>
              <w:ind w:firstLine="0" w:firstLineChars="0"/>
              <w:jc w:val="center"/>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w:t>
            </w:r>
          </w:p>
        </w:tc>
        <w:tc>
          <w:tcPr>
            <w:tcW w:w="5029" w:type="dxa"/>
            <w:shd w:val="clear" w:color="auto" w:fill="auto"/>
            <w:vAlign w:val="center"/>
          </w:tcPr>
          <w:p w14:paraId="69C18230">
            <w:pPr>
              <w:jc w:val="center"/>
              <w:rPr>
                <w:rFonts w:hint="eastAsia" w:ascii="宋体" w:hAnsi="宋体"/>
                <w:sz w:val="24"/>
              </w:rPr>
            </w:pPr>
            <w:r>
              <w:rPr>
                <w:rFonts w:hint="eastAsia" w:ascii="宋体" w:hAnsi="宋体"/>
                <w:sz w:val="24"/>
              </w:rPr>
              <w:t>地铁8号线</w:t>
            </w:r>
          </w:p>
          <w:p w14:paraId="28941E6D">
            <w:pPr>
              <w:jc w:val="center"/>
              <w:rPr>
                <w:rFonts w:hint="eastAsia" w:ascii="宋体" w:hAnsi="宋体" w:eastAsia="Arial" w:cs="Arial"/>
                <w:snapToGrid w:val="0"/>
                <w:color w:val="000000"/>
                <w:sz w:val="24"/>
                <w:szCs w:val="21"/>
                <w:lang w:val="en-US" w:eastAsia="zh-CN" w:bidi="ar-SA"/>
              </w:rPr>
            </w:pPr>
            <w:r>
              <w:rPr>
                <w:rFonts w:hint="eastAsia" w:ascii="宋体" w:hAnsi="宋体"/>
                <w:sz w:val="24"/>
              </w:rPr>
              <w:t>早、晚高峰时段动态增加的摆渡车辆</w:t>
            </w:r>
          </w:p>
        </w:tc>
        <w:tc>
          <w:tcPr>
            <w:tcW w:w="2830" w:type="dxa"/>
            <w:shd w:val="clear" w:color="auto" w:fill="auto"/>
            <w:vAlign w:val="center"/>
          </w:tcPr>
          <w:p w14:paraId="0561E9E6">
            <w:pPr>
              <w:pStyle w:val="4"/>
              <w:ind w:firstLine="684" w:firstLineChars="300"/>
              <w:rPr>
                <w:rFonts w:hint="default" w:ascii="宋体" w:hAnsi="宋体" w:eastAsia="Arial" w:cs="Courier New"/>
                <w:snapToGrid w:val="0"/>
                <w:color w:val="000000"/>
                <w:sz w:val="24"/>
                <w:szCs w:val="24"/>
                <w:lang w:val="en-US" w:eastAsia="zh-CN" w:bidi="ar-SA"/>
              </w:rPr>
            </w:pPr>
            <w:r>
              <w:rPr>
                <w:rFonts w:hint="eastAsia" w:hAnsi="宋体"/>
                <w:spacing w:val="-6"/>
                <w:sz w:val="24"/>
                <w:szCs w:val="24"/>
              </w:rPr>
              <w:t>元/辆/2小时</w:t>
            </w:r>
          </w:p>
        </w:tc>
      </w:tr>
      <w:tr w14:paraId="3A95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90" w:type="dxa"/>
            <w:vAlign w:val="center"/>
          </w:tcPr>
          <w:p w14:paraId="68DD6DFF">
            <w:pPr>
              <w:pStyle w:val="12"/>
              <w:widowControl/>
              <w:spacing w:line="360" w:lineRule="auto"/>
              <w:ind w:firstLine="0" w:firstLineChars="0"/>
              <w:jc w:val="center"/>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3</w:t>
            </w:r>
          </w:p>
        </w:tc>
        <w:tc>
          <w:tcPr>
            <w:tcW w:w="5029" w:type="dxa"/>
            <w:shd w:val="clear" w:color="auto" w:fill="auto"/>
            <w:vAlign w:val="center"/>
          </w:tcPr>
          <w:p w14:paraId="09724114">
            <w:pPr>
              <w:jc w:val="center"/>
              <w:rPr>
                <w:rFonts w:hint="eastAsia" w:ascii="宋体" w:hAnsi="宋体" w:eastAsia="Arial" w:cs="Arial"/>
                <w:snapToGrid w:val="0"/>
                <w:color w:val="000000"/>
                <w:sz w:val="24"/>
                <w:szCs w:val="21"/>
                <w:lang w:val="en-US" w:eastAsia="zh-CN" w:bidi="ar-SA"/>
              </w:rPr>
            </w:pPr>
            <w:r>
              <w:rPr>
                <w:rFonts w:hint="eastAsia" w:ascii="宋体" w:hAnsi="宋体"/>
                <w:sz w:val="24"/>
              </w:rPr>
              <w:t>地铁5号线摆渡车</w:t>
            </w:r>
          </w:p>
        </w:tc>
        <w:tc>
          <w:tcPr>
            <w:tcW w:w="2830" w:type="dxa"/>
            <w:shd w:val="clear" w:color="auto" w:fill="auto"/>
            <w:vAlign w:val="center"/>
          </w:tcPr>
          <w:p w14:paraId="00D726F8">
            <w:pPr>
              <w:pStyle w:val="4"/>
              <w:ind w:firstLine="684" w:firstLineChars="300"/>
              <w:rPr>
                <w:rFonts w:hint="default" w:ascii="宋体" w:hAnsi="宋体" w:eastAsia="Arial" w:cs="Courier New"/>
                <w:snapToGrid w:val="0"/>
                <w:color w:val="000000"/>
                <w:sz w:val="24"/>
                <w:szCs w:val="24"/>
                <w:lang w:val="en-US" w:eastAsia="zh-CN" w:bidi="ar-SA"/>
              </w:rPr>
            </w:pPr>
            <w:r>
              <w:rPr>
                <w:rFonts w:hint="eastAsia" w:hAnsi="宋体"/>
                <w:spacing w:val="-6"/>
                <w:sz w:val="24"/>
                <w:szCs w:val="24"/>
              </w:rPr>
              <w:t>元/辆/2小时</w:t>
            </w:r>
          </w:p>
        </w:tc>
      </w:tr>
      <w:tr w14:paraId="7B8E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8649" w:type="dxa"/>
            <w:gridSpan w:val="3"/>
            <w:vAlign w:val="center"/>
          </w:tcPr>
          <w:p w14:paraId="361A5EDA">
            <w:pPr>
              <w:pStyle w:val="12"/>
              <w:widowControl/>
              <w:spacing w:line="360" w:lineRule="auto"/>
              <w:ind w:left="0" w:firstLine="0" w:firstLineChars="0"/>
              <w:jc w:val="left"/>
              <w:rPr>
                <w:rFonts w:hint="eastAsia" w:ascii="仿宋" w:hAnsi="仿宋" w:eastAsia="仿宋"/>
                <w:b/>
                <w:bCs w:val="0"/>
                <w:color w:val="auto"/>
                <w:sz w:val="24"/>
                <w:highlight w:val="none"/>
                <w:lang w:val="en-US" w:eastAsia="zh-CN"/>
              </w:rPr>
            </w:pPr>
            <w:r>
              <w:rPr>
                <w:rFonts w:hint="eastAsia" w:ascii="仿宋" w:hAnsi="仿宋" w:eastAsia="仿宋" w:cs="Times New Roman"/>
                <w:bCs/>
                <w:kern w:val="2"/>
                <w:sz w:val="24"/>
                <w:szCs w:val="24"/>
                <w:highlight w:val="none"/>
                <w:u w:val="none"/>
                <w:vertAlign w:val="baseline"/>
                <w:lang w:val="en-US" w:eastAsia="zh-CN" w:bidi="ar-SA"/>
              </w:rPr>
              <w:t>合同总金额</w:t>
            </w:r>
            <w:r>
              <w:rPr>
                <w:rFonts w:hint="eastAsia" w:ascii="仿宋" w:hAnsi="仿宋" w:eastAsia="仿宋" w:cs="Times New Roman"/>
                <w:b/>
                <w:bCs w:val="0"/>
                <w:kern w:val="2"/>
                <w:sz w:val="24"/>
                <w:szCs w:val="24"/>
                <w:highlight w:val="none"/>
                <w:u w:val="none"/>
                <w:vertAlign w:val="baseline"/>
                <w:lang w:val="en-US" w:eastAsia="zh-CN" w:bidi="ar-SA"/>
              </w:rPr>
              <w:t>：</w:t>
            </w:r>
            <w:r>
              <w:rPr>
                <w:rFonts w:hint="eastAsia" w:ascii="仿宋" w:hAnsi="仿宋" w:eastAsia="仿宋" w:cs="Times New Roman"/>
                <w:b w:val="0"/>
                <w:bCs/>
                <w:kern w:val="2"/>
                <w:sz w:val="24"/>
                <w:szCs w:val="24"/>
                <w:highlight w:val="none"/>
                <w:u w:val="none"/>
                <w:vertAlign w:val="baseline"/>
                <w:lang w:val="en-US" w:eastAsia="zh-CN" w:bidi="ar-SA"/>
              </w:rPr>
              <w:t>¥1500000</w:t>
            </w:r>
            <w:r>
              <w:rPr>
                <w:rFonts w:hint="eastAsia" w:ascii="仿宋" w:hAnsi="仿宋" w:eastAsia="仿宋" w:cs="Times New Roman"/>
                <w:bCs/>
                <w:kern w:val="2"/>
                <w:sz w:val="24"/>
                <w:szCs w:val="24"/>
                <w:highlight w:val="none"/>
                <w:u w:val="none"/>
                <w:vertAlign w:val="baseline"/>
                <w:lang w:val="en-US" w:eastAsia="zh-CN" w:bidi="ar-SA"/>
              </w:rPr>
              <w:t>，大写：壹佰伍拾万元整。合同金额包含完成本项目全部内容所需的费用，如车辆保险费、维修费、税费等。最终费用按成交单价、实际运营天数、车辆数量以及考核情况据实结算。</w:t>
            </w:r>
          </w:p>
        </w:tc>
      </w:tr>
    </w:tbl>
    <w:p w14:paraId="621B7D37">
      <w:pPr>
        <w:pStyle w:val="12"/>
        <w:keepNext w:val="0"/>
        <w:keepLines w:val="0"/>
        <w:pageBreakBefore w:val="0"/>
        <w:widowControl/>
        <w:numPr>
          <w:ilvl w:val="0"/>
          <w:numId w:val="1"/>
        </w:numPr>
        <w:kinsoku/>
        <w:wordWrap/>
        <w:overflowPunct/>
        <w:topLinePunct w:val="0"/>
        <w:autoSpaceDE/>
        <w:autoSpaceDN/>
        <w:bidi w:val="0"/>
        <w:adjustRightInd/>
        <w:snapToGrid/>
        <w:spacing w:before="157" w:beforeLines="50" w:line="360" w:lineRule="auto"/>
        <w:ind w:left="346" w:leftChars="0" w:hanging="601" w:firstLineChars="0"/>
        <w:jc w:val="left"/>
        <w:textAlignment w:val="auto"/>
        <w:rPr>
          <w:rFonts w:hint="eastAsia" w:ascii="仿宋" w:hAnsi="仿宋" w:eastAsia="仿宋" w:cs="仿宋_GB2312"/>
          <w:color w:val="auto"/>
          <w:sz w:val="24"/>
          <w:highlight w:val="none"/>
          <w:lang w:val="en-US" w:eastAsia="zh-CN"/>
        </w:rPr>
      </w:pPr>
      <w:r>
        <w:rPr>
          <w:rFonts w:hint="eastAsia" w:ascii="仿宋" w:hAnsi="仿宋" w:eastAsia="仿宋" w:cs="宋体"/>
          <w:b/>
          <w:color w:val="000000"/>
          <w:sz w:val="24"/>
          <w:highlight w:val="none"/>
          <w:lang w:val="en-US" w:eastAsia="zh-CN"/>
        </w:rPr>
        <w:t xml:space="preserve">服务内容及要求  </w:t>
      </w:r>
    </w:p>
    <w:p w14:paraId="08C75678">
      <w:pPr>
        <w:pStyle w:val="12"/>
        <w:keepNext w:val="0"/>
        <w:keepLines w:val="0"/>
        <w:pageBreakBefore w:val="0"/>
        <w:widowControl/>
        <w:numPr>
          <w:ilvl w:val="0"/>
          <w:numId w:val="0"/>
        </w:numPr>
        <w:kinsoku/>
        <w:wordWrap/>
        <w:overflowPunct/>
        <w:topLinePunct w:val="0"/>
        <w:autoSpaceDE/>
        <w:autoSpaceDN/>
        <w:bidi w:val="0"/>
        <w:adjustRightInd/>
        <w:snapToGrid/>
        <w:spacing w:line="360" w:lineRule="auto"/>
        <w:ind w:firstLine="241" w:firstLineChars="100"/>
        <w:jc w:val="left"/>
        <w:textAlignment w:val="auto"/>
        <w:rPr>
          <w:rFonts w:hint="eastAsia" w:ascii="仿宋" w:hAnsi="仿宋" w:eastAsia="仿宋" w:cs="仿宋_GB2312"/>
          <w:b/>
          <w:bCs/>
          <w:sz w:val="24"/>
          <w:highlight w:val="none"/>
          <w:lang w:eastAsia="zh-CN"/>
        </w:rPr>
      </w:pPr>
      <w:r>
        <w:rPr>
          <w:rFonts w:hint="eastAsia" w:ascii="仿宋" w:hAnsi="仿宋" w:eastAsia="仿宋" w:cs="仿宋_GB2312"/>
          <w:b/>
          <w:bCs/>
          <w:sz w:val="24"/>
          <w:highlight w:val="none"/>
          <w:lang w:val="en-US" w:eastAsia="zh-CN"/>
        </w:rPr>
        <w:t>（一）服务内容</w:t>
      </w:r>
      <w:r>
        <w:rPr>
          <w:rFonts w:hint="eastAsia" w:ascii="仿宋" w:hAnsi="仿宋" w:eastAsia="仿宋" w:cs="仿宋_GB2312"/>
          <w:b/>
          <w:bCs/>
          <w:sz w:val="24"/>
          <w:highlight w:val="none"/>
          <w:lang w:eastAsia="zh-CN"/>
        </w:rPr>
        <w:t>：</w:t>
      </w:r>
    </w:p>
    <w:p w14:paraId="0189617E">
      <w:pPr>
        <w:pStyle w:val="12"/>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1.两辆车每日往返地铁站8号线缪家寨站和西北妇女儿童医院曲江院区门诊楼前，每日运行时长12小时，7:00-19:00。根据运行实际情况可在早、晚高峰时段7:00-8:00、17:30-18:30动态增加车辆。根据</w:t>
      </w:r>
      <w:r>
        <w:rPr>
          <w:rFonts w:hint="eastAsia" w:ascii="仿宋" w:hAnsi="仿宋" w:eastAsia="仿宋" w:cs="仿宋_GB2312"/>
          <w:b w:val="0"/>
          <w:bCs w:val="0"/>
          <w:sz w:val="24"/>
          <w:highlight w:val="none"/>
          <w:lang w:val="en-US" w:eastAsia="zh-CN"/>
        </w:rPr>
        <w:t>成交</w:t>
      </w:r>
      <w:r>
        <w:rPr>
          <w:rFonts w:hint="eastAsia" w:ascii="仿宋" w:hAnsi="仿宋" w:eastAsia="仿宋" w:cs="仿宋_GB2312"/>
          <w:b w:val="0"/>
          <w:bCs w:val="0"/>
          <w:sz w:val="24"/>
          <w:highlight w:val="none"/>
          <w:lang w:eastAsia="zh-CN"/>
        </w:rPr>
        <w:t>单价、车辆数和运行时间据实结算。</w:t>
      </w:r>
    </w:p>
    <w:p w14:paraId="760BC8D9">
      <w:pPr>
        <w:pStyle w:val="12"/>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default" w:ascii="仿宋" w:hAnsi="仿宋" w:eastAsia="仿宋" w:cs="仿宋_GB2312"/>
          <w:b w:val="0"/>
          <w:bCs w:val="0"/>
          <w:sz w:val="24"/>
          <w:highlight w:val="none"/>
          <w:lang w:val="en-US"/>
        </w:rPr>
      </w:pPr>
      <w:r>
        <w:rPr>
          <w:rFonts w:hint="eastAsia" w:ascii="仿宋" w:hAnsi="仿宋" w:eastAsia="仿宋" w:cs="仿宋_GB2312"/>
          <w:b w:val="0"/>
          <w:bCs w:val="0"/>
          <w:sz w:val="24"/>
          <w:highlight w:val="none"/>
          <w:lang w:eastAsia="zh-CN"/>
        </w:rPr>
        <w:t>2.两辆车工作日期间往返地铁5号线黄渠头站和西北妇女儿童医院曲江院区门诊楼前，运行时间为7:00-8:00、17:30-18:30。</w:t>
      </w:r>
    </w:p>
    <w:p w14:paraId="19D4D302">
      <w:pPr>
        <w:spacing w:line="360" w:lineRule="auto"/>
        <w:ind w:firstLine="482" w:firstLineChars="200"/>
        <w:rPr>
          <w:rFonts w:hint="eastAsia" w:ascii="仿宋" w:hAnsi="仿宋" w:eastAsia="仿宋" w:cs="仿宋_GB2312"/>
          <w:b/>
          <w:bCs/>
          <w:sz w:val="24"/>
          <w:highlight w:val="none"/>
          <w:lang w:eastAsia="zh-CN"/>
        </w:rPr>
      </w:pPr>
      <w:r>
        <w:rPr>
          <w:rFonts w:hint="eastAsia" w:ascii="仿宋" w:hAnsi="仿宋" w:eastAsia="仿宋" w:cs="仿宋_GB2312"/>
          <w:b/>
          <w:bCs/>
          <w:sz w:val="24"/>
          <w:highlight w:val="none"/>
          <w:lang w:eastAsia="zh-CN"/>
        </w:rPr>
        <w:t>（</w:t>
      </w:r>
      <w:r>
        <w:rPr>
          <w:rFonts w:hint="eastAsia" w:ascii="仿宋" w:hAnsi="仿宋" w:eastAsia="仿宋" w:cs="仿宋_GB2312"/>
          <w:b/>
          <w:bCs/>
          <w:sz w:val="24"/>
          <w:highlight w:val="none"/>
          <w:lang w:val="en-US" w:eastAsia="zh-CN"/>
        </w:rPr>
        <w:t>二</w:t>
      </w:r>
      <w:r>
        <w:rPr>
          <w:rFonts w:hint="eastAsia" w:ascii="仿宋" w:hAnsi="仿宋" w:eastAsia="仿宋" w:cs="仿宋_GB2312"/>
          <w:b/>
          <w:bCs/>
          <w:sz w:val="24"/>
          <w:highlight w:val="none"/>
          <w:lang w:eastAsia="zh-CN"/>
        </w:rPr>
        <w:t>）车辆及站牌要求：</w:t>
      </w:r>
    </w:p>
    <w:p w14:paraId="3A399428">
      <w:pPr>
        <w:spacing w:line="360" w:lineRule="auto"/>
        <w:ind w:firstLine="480" w:firstLineChars="200"/>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1.车辆提供上下车没有台阶的纯电动中巴车型，具体型号根据实际情况和</w:t>
      </w:r>
      <w:r>
        <w:rPr>
          <w:rFonts w:hint="eastAsia" w:ascii="仿宋" w:hAnsi="仿宋" w:eastAsia="仿宋" w:cs="仿宋_GB2312"/>
          <w:b w:val="0"/>
          <w:bCs w:val="0"/>
          <w:sz w:val="24"/>
          <w:highlight w:val="none"/>
          <w:lang w:val="en-US" w:eastAsia="zh-CN"/>
        </w:rPr>
        <w:t>甲方</w:t>
      </w:r>
      <w:r>
        <w:rPr>
          <w:rFonts w:hint="eastAsia" w:ascii="仿宋" w:hAnsi="仿宋" w:eastAsia="仿宋" w:cs="仿宋_GB2312"/>
          <w:b w:val="0"/>
          <w:bCs w:val="0"/>
          <w:sz w:val="24"/>
          <w:highlight w:val="none"/>
          <w:lang w:eastAsia="zh-CN"/>
        </w:rPr>
        <w:t>要求随时更换。</w:t>
      </w:r>
    </w:p>
    <w:p w14:paraId="3CC7A974">
      <w:pPr>
        <w:spacing w:line="360" w:lineRule="auto"/>
        <w:ind w:firstLine="480" w:firstLineChars="200"/>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2.车辆使用年限不超过3年。</w:t>
      </w:r>
    </w:p>
    <w:p w14:paraId="286D17E7">
      <w:pPr>
        <w:spacing w:line="360" w:lineRule="auto"/>
        <w:ind w:firstLine="480" w:firstLineChars="200"/>
        <w:rPr>
          <w:rFonts w:hint="default" w:ascii="仿宋" w:hAnsi="仿宋" w:eastAsia="仿宋" w:cs="仿宋_GB2312"/>
          <w:b w:val="0"/>
          <w:bCs w:val="0"/>
          <w:sz w:val="24"/>
          <w:highlight w:val="none"/>
          <w:lang w:val="en-US" w:eastAsia="zh-CN"/>
        </w:rPr>
      </w:pPr>
      <w:r>
        <w:rPr>
          <w:rFonts w:hint="eastAsia" w:ascii="仿宋" w:hAnsi="仿宋" w:eastAsia="仿宋" w:cs="仿宋_GB2312"/>
          <w:b w:val="0"/>
          <w:bCs w:val="0"/>
          <w:sz w:val="24"/>
          <w:highlight w:val="none"/>
          <w:lang w:eastAsia="zh-CN"/>
        </w:rPr>
        <w:t>3.车辆保险齐全，在行驶途中所发生的交通事故，造成人身伤亡和财产损失的，乙方承担全部责任。（人员险不低于100万元）。</w:t>
      </w:r>
    </w:p>
    <w:p w14:paraId="6FB7F674">
      <w:pPr>
        <w:spacing w:line="360" w:lineRule="auto"/>
        <w:ind w:firstLine="480" w:firstLineChars="200"/>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4.整车设计根据</w:t>
      </w:r>
      <w:r>
        <w:rPr>
          <w:rFonts w:hint="eastAsia" w:ascii="仿宋" w:hAnsi="仿宋" w:eastAsia="仿宋" w:cs="仿宋_GB2312"/>
          <w:b w:val="0"/>
          <w:bCs w:val="0"/>
          <w:sz w:val="24"/>
          <w:highlight w:val="none"/>
          <w:lang w:val="en-US" w:eastAsia="zh-CN"/>
        </w:rPr>
        <w:t>甲方</w:t>
      </w:r>
      <w:r>
        <w:rPr>
          <w:rFonts w:hint="eastAsia" w:ascii="仿宋" w:hAnsi="仿宋" w:eastAsia="仿宋" w:cs="仿宋_GB2312"/>
          <w:b w:val="0"/>
          <w:bCs w:val="0"/>
          <w:sz w:val="24"/>
          <w:highlight w:val="none"/>
          <w:lang w:eastAsia="zh-CN"/>
        </w:rPr>
        <w:t>需求统一定制车身标识。</w:t>
      </w:r>
    </w:p>
    <w:p w14:paraId="22D9EE83">
      <w:pPr>
        <w:spacing w:line="360" w:lineRule="auto"/>
        <w:ind w:firstLine="480" w:firstLineChars="200"/>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5.所提供车辆统一颜色、统一车型。</w:t>
      </w:r>
    </w:p>
    <w:p w14:paraId="14E02F9F">
      <w:pPr>
        <w:spacing w:line="360" w:lineRule="auto"/>
        <w:ind w:firstLine="480" w:firstLineChars="200"/>
        <w:rPr>
          <w:rFonts w:hint="eastAsia" w:ascii="仿宋" w:hAnsi="仿宋" w:eastAsia="仿宋" w:cs="仿宋_GB2312"/>
          <w:b w:val="0"/>
          <w:bCs w:val="0"/>
          <w:sz w:val="24"/>
          <w:highlight w:val="none"/>
          <w:lang w:eastAsia="zh-CN"/>
        </w:rPr>
      </w:pPr>
      <w:r>
        <w:rPr>
          <w:rFonts w:hint="eastAsia" w:ascii="仿宋" w:hAnsi="仿宋" w:eastAsia="仿宋" w:cs="仿宋_GB2312"/>
          <w:b w:val="0"/>
          <w:bCs w:val="0"/>
          <w:sz w:val="24"/>
          <w:highlight w:val="none"/>
          <w:lang w:eastAsia="zh-CN"/>
        </w:rPr>
        <w:t>6.车内配备可播放视频的电子显示屏。</w:t>
      </w:r>
    </w:p>
    <w:p w14:paraId="1321E516">
      <w:pPr>
        <w:spacing w:line="360" w:lineRule="auto"/>
        <w:ind w:firstLine="480" w:firstLineChars="200"/>
        <w:rPr>
          <w:rFonts w:hint="default" w:ascii="仿宋" w:hAnsi="仿宋" w:eastAsia="仿宋" w:cs="仿宋_GB2312"/>
          <w:b w:val="0"/>
          <w:bCs w:val="0"/>
          <w:sz w:val="24"/>
          <w:highlight w:val="none"/>
          <w:lang w:val="en-US" w:eastAsia="zh-CN"/>
        </w:rPr>
      </w:pPr>
      <w:r>
        <w:rPr>
          <w:rFonts w:hint="eastAsia" w:ascii="仿宋" w:hAnsi="仿宋" w:eastAsia="仿宋" w:cs="仿宋_GB2312"/>
          <w:b w:val="0"/>
          <w:bCs w:val="0"/>
          <w:sz w:val="24"/>
          <w:highlight w:val="none"/>
          <w:lang w:eastAsia="zh-CN"/>
        </w:rPr>
        <w:t>7.车内需配置无死角监控（≥3个）、</w:t>
      </w:r>
      <w:r>
        <w:rPr>
          <w:rFonts w:hint="eastAsia" w:ascii="仿宋" w:hAnsi="仿宋" w:eastAsia="仿宋" w:cs="仿宋_GB2312"/>
          <w:b w:val="0"/>
          <w:bCs w:val="0"/>
          <w:sz w:val="24"/>
          <w:highlight w:val="none"/>
          <w:lang w:val="en-US" w:eastAsia="zh-CN"/>
        </w:rPr>
        <w:t>1</w:t>
      </w:r>
      <w:r>
        <w:rPr>
          <w:rFonts w:hint="eastAsia" w:ascii="仿宋" w:hAnsi="仿宋" w:eastAsia="仿宋" w:cs="仿宋_GB2312"/>
          <w:b w:val="0"/>
          <w:bCs w:val="0"/>
          <w:sz w:val="24"/>
          <w:highlight w:val="none"/>
          <w:lang w:eastAsia="zh-CN"/>
        </w:rPr>
        <w:t>个行车记录仪，视频储存天数≧7天</w:t>
      </w:r>
      <w:r>
        <w:rPr>
          <w:rFonts w:hint="eastAsia" w:ascii="仿宋" w:hAnsi="仿宋" w:eastAsia="仿宋" w:cs="仿宋_GB2312"/>
          <w:b w:val="0"/>
          <w:bCs w:val="0"/>
          <w:sz w:val="24"/>
          <w:highlight w:val="none"/>
          <w:lang w:val="en-US" w:eastAsia="zh-CN"/>
        </w:rPr>
        <w:t>.</w:t>
      </w:r>
    </w:p>
    <w:p w14:paraId="4FB6C0A5">
      <w:pPr>
        <w:spacing w:line="360" w:lineRule="auto"/>
        <w:ind w:firstLine="480" w:firstLineChars="200"/>
        <w:rPr>
          <w:rFonts w:hint="default" w:ascii="仿宋" w:hAnsi="仿宋" w:eastAsia="仿宋" w:cs="Times New Roman"/>
          <w:color w:val="auto"/>
          <w:sz w:val="24"/>
          <w:highlight w:val="none"/>
          <w:lang w:val="en-US" w:eastAsia="zh-CN"/>
        </w:rPr>
      </w:pPr>
      <w:r>
        <w:rPr>
          <w:rFonts w:hint="eastAsia" w:ascii="仿宋" w:hAnsi="仿宋" w:eastAsia="仿宋" w:cs="仿宋_GB2312"/>
          <w:b w:val="0"/>
          <w:bCs w:val="0"/>
          <w:sz w:val="24"/>
          <w:highlight w:val="none"/>
          <w:lang w:eastAsia="zh-CN"/>
        </w:rPr>
        <w:t>8.负责在5号线黄渠头站乘车点安装摆渡车站牌。</w:t>
      </w:r>
    </w:p>
    <w:p w14:paraId="280D47A0">
      <w:pPr>
        <w:pStyle w:val="12"/>
        <w:keepNext w:val="0"/>
        <w:keepLines w:val="0"/>
        <w:pageBreakBefore w:val="0"/>
        <w:widowControl/>
        <w:numPr>
          <w:ilvl w:val="0"/>
          <w:numId w:val="0"/>
        </w:numPr>
        <w:kinsoku/>
        <w:wordWrap/>
        <w:overflowPunct/>
        <w:topLinePunct w:val="0"/>
        <w:autoSpaceDE/>
        <w:autoSpaceDN/>
        <w:bidi w:val="0"/>
        <w:adjustRightInd/>
        <w:snapToGrid/>
        <w:spacing w:line="360" w:lineRule="auto"/>
        <w:ind w:firstLine="241" w:firstLineChars="100"/>
        <w:jc w:val="left"/>
        <w:textAlignment w:val="auto"/>
        <w:rPr>
          <w:rFonts w:hint="eastAsia" w:ascii="仿宋" w:hAnsi="仿宋" w:eastAsia="仿宋" w:cs="仿宋_GB2312"/>
          <w:b/>
          <w:bCs/>
          <w:sz w:val="24"/>
          <w:highlight w:val="none"/>
          <w:lang w:val="en-US" w:eastAsia="zh-CN"/>
        </w:rPr>
      </w:pPr>
      <w:r>
        <w:rPr>
          <w:rFonts w:hint="eastAsia" w:ascii="仿宋" w:hAnsi="仿宋" w:eastAsia="仿宋" w:cs="仿宋_GB2312"/>
          <w:b/>
          <w:bCs/>
          <w:sz w:val="24"/>
          <w:highlight w:val="none"/>
          <w:lang w:eastAsia="zh-CN"/>
        </w:rPr>
        <w:t>（</w:t>
      </w:r>
      <w:r>
        <w:rPr>
          <w:rFonts w:hint="eastAsia" w:ascii="仿宋" w:hAnsi="仿宋" w:eastAsia="仿宋" w:cs="仿宋_GB2312"/>
          <w:b/>
          <w:bCs/>
          <w:sz w:val="24"/>
          <w:highlight w:val="none"/>
          <w:lang w:val="en-US" w:eastAsia="zh-CN"/>
        </w:rPr>
        <w:t>三</w:t>
      </w:r>
      <w:r>
        <w:rPr>
          <w:rFonts w:hint="eastAsia" w:ascii="仿宋" w:hAnsi="仿宋" w:eastAsia="仿宋" w:cs="仿宋_GB2312"/>
          <w:b/>
          <w:bCs/>
          <w:sz w:val="24"/>
          <w:highlight w:val="none"/>
          <w:lang w:eastAsia="zh-CN"/>
        </w:rPr>
        <w:t>）</w:t>
      </w:r>
      <w:r>
        <w:rPr>
          <w:rFonts w:hint="eastAsia" w:ascii="仿宋" w:hAnsi="仿宋" w:eastAsia="仿宋" w:cs="仿宋_GB2312"/>
          <w:b/>
          <w:bCs/>
          <w:sz w:val="24"/>
          <w:highlight w:val="none"/>
          <w:lang w:val="en-US" w:eastAsia="zh-CN"/>
        </w:rPr>
        <w:t>驾驶员要求</w:t>
      </w:r>
    </w:p>
    <w:p w14:paraId="15D8279C">
      <w:p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1.持有相对应的准驾驾驶证。</w:t>
      </w:r>
    </w:p>
    <w:p w14:paraId="1BED68E7">
      <w:p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2.驾驶员必须身体健康，应有良好的精神面貌，无犯罪记录、无吸毒记录、无重大疾病，无赌博、嗜酒、吸烟等嗜好。</w:t>
      </w:r>
    </w:p>
    <w:p w14:paraId="76CAD954">
      <w:p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3.驾驶员年龄应在55周岁以内，相对应的准驾驾驶证驾龄不低于5年。</w:t>
      </w:r>
    </w:p>
    <w:p w14:paraId="72768EBA">
      <w:p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☆4.驾驶员隶属关系应为投标公司正式签约职工（须承诺在中标后为所提供驾驶员缴纳社会保险）。</w:t>
      </w:r>
    </w:p>
    <w:p w14:paraId="2B07C30E">
      <w:pPr>
        <w:numPr>
          <w:ilvl w:val="0"/>
          <w:numId w:val="2"/>
        </w:num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所配备驾驶员连续驾驶≤4小时。</w:t>
      </w:r>
    </w:p>
    <w:p w14:paraId="79DE96A3">
      <w:pPr>
        <w:numPr>
          <w:ilvl w:val="0"/>
          <w:numId w:val="2"/>
        </w:num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驾驶员被投诉的，根据投诉情况，甲方可要求乙方更换驾驶员，更换的驾驶员应符合上述条件。</w:t>
      </w:r>
    </w:p>
    <w:p w14:paraId="5C584346">
      <w:pPr>
        <w:pStyle w:val="12"/>
        <w:numPr>
          <w:ilvl w:val="0"/>
          <w:numId w:val="0"/>
        </w:numPr>
        <w:kinsoku/>
        <w:autoSpaceDE/>
        <w:autoSpaceDN/>
        <w:adjustRightInd/>
        <w:snapToGrid/>
        <w:spacing w:line="360" w:lineRule="auto"/>
        <w:ind w:firstLine="241" w:firstLineChars="100"/>
        <w:textAlignment w:val="auto"/>
        <w:rPr>
          <w:rFonts w:hint="eastAsia" w:ascii="仿宋" w:hAnsi="仿宋" w:eastAsia="仿宋" w:cs="仿宋_GB2312"/>
          <w:b/>
          <w:bCs/>
          <w:color w:val="000000"/>
          <w:sz w:val="24"/>
          <w:highlight w:val="none"/>
          <w:lang w:val="en-US" w:eastAsia="zh-CN"/>
        </w:rPr>
      </w:pPr>
      <w:r>
        <w:rPr>
          <w:rFonts w:hint="eastAsia" w:ascii="仿宋" w:hAnsi="仿宋" w:eastAsia="仿宋" w:cs="仿宋_GB2312"/>
          <w:b/>
          <w:bCs/>
          <w:color w:val="000000"/>
          <w:sz w:val="24"/>
          <w:highlight w:val="none"/>
          <w:lang w:val="en-US" w:eastAsia="zh-CN"/>
        </w:rPr>
        <w:t>（四）应急措施</w:t>
      </w:r>
    </w:p>
    <w:p w14:paraId="26FD325B">
      <w:pPr>
        <w:pStyle w:val="12"/>
        <w:numPr>
          <w:ilvl w:val="0"/>
          <w:numId w:val="0"/>
        </w:numPr>
        <w:kinsoku/>
        <w:autoSpaceDE/>
        <w:autoSpaceDN/>
        <w:adjustRightInd/>
        <w:snapToGrid/>
        <w:spacing w:line="360" w:lineRule="auto"/>
        <w:ind w:firstLine="240" w:firstLineChars="100"/>
        <w:textAlignment w:val="auto"/>
        <w:rPr>
          <w:rFonts w:hint="eastAsia" w:ascii="仿宋" w:hAnsi="仿宋" w:eastAsia="仿宋" w:cs="仿宋_GB2312"/>
          <w:b w:val="0"/>
          <w:bCs w:val="0"/>
          <w:color w:val="000000"/>
          <w:sz w:val="24"/>
          <w:highlight w:val="none"/>
          <w:lang w:val="en-US" w:eastAsia="zh-CN"/>
        </w:rPr>
      </w:pPr>
      <w:r>
        <w:rPr>
          <w:rFonts w:hint="eastAsia" w:ascii="仿宋" w:hAnsi="仿宋" w:eastAsia="仿宋" w:cs="仿宋_GB2312"/>
          <w:b w:val="0"/>
          <w:bCs w:val="0"/>
          <w:color w:val="000000"/>
          <w:sz w:val="24"/>
          <w:highlight w:val="none"/>
          <w:lang w:val="en-US" w:eastAsia="zh-CN"/>
        </w:rPr>
        <w:t>1.车辆服务过程中出现抛锚、事故等原因而无法行驶时，必须于0.5小时内提供同款车辆前往服务地点。</w:t>
      </w:r>
    </w:p>
    <w:p w14:paraId="589E1A75">
      <w:pPr>
        <w:pStyle w:val="12"/>
        <w:numPr>
          <w:ilvl w:val="0"/>
          <w:numId w:val="0"/>
        </w:numPr>
        <w:kinsoku/>
        <w:autoSpaceDE/>
        <w:autoSpaceDN/>
        <w:adjustRightInd/>
        <w:snapToGrid/>
        <w:spacing w:line="360" w:lineRule="auto"/>
        <w:ind w:firstLine="240" w:firstLineChars="100"/>
        <w:textAlignment w:val="auto"/>
        <w:rPr>
          <w:rFonts w:hint="eastAsia" w:ascii="仿宋" w:hAnsi="仿宋" w:eastAsia="仿宋" w:cs="仿宋_GB2312"/>
          <w:b/>
          <w:bCs/>
          <w:highlight w:val="none"/>
          <w:lang w:val="en-US" w:eastAsia="zh-CN"/>
        </w:rPr>
      </w:pPr>
      <w:r>
        <w:rPr>
          <w:rFonts w:hint="eastAsia" w:ascii="仿宋" w:hAnsi="仿宋" w:eastAsia="仿宋" w:cs="仿宋_GB2312"/>
          <w:b w:val="0"/>
          <w:bCs w:val="0"/>
          <w:color w:val="000000"/>
          <w:sz w:val="24"/>
          <w:highlight w:val="none"/>
          <w:lang w:val="en-US" w:eastAsia="zh-CN"/>
        </w:rPr>
        <w:t>2.如临时变更出行计划的，双方协商解决。</w:t>
      </w:r>
    </w:p>
    <w:p w14:paraId="6D28CCB9">
      <w:pPr>
        <w:pStyle w:val="12"/>
        <w:keepNext w:val="0"/>
        <w:keepLines w:val="0"/>
        <w:pageBreakBefore w:val="0"/>
        <w:widowControl/>
        <w:numPr>
          <w:ilvl w:val="0"/>
          <w:numId w:val="0"/>
        </w:numPr>
        <w:kinsoku/>
        <w:wordWrap/>
        <w:overflowPunct/>
        <w:topLinePunct w:val="0"/>
        <w:autoSpaceDE/>
        <w:autoSpaceDN/>
        <w:bidi w:val="0"/>
        <w:adjustRightInd/>
        <w:snapToGrid/>
        <w:spacing w:line="360" w:lineRule="auto"/>
        <w:ind w:firstLine="241" w:firstLineChars="100"/>
        <w:jc w:val="left"/>
        <w:textAlignment w:val="auto"/>
        <w:rPr>
          <w:rFonts w:hint="eastAsia" w:ascii="仿宋" w:hAnsi="仿宋" w:eastAsia="仿宋" w:cs="仿宋_GB2312"/>
          <w:b/>
          <w:bCs/>
          <w:sz w:val="24"/>
          <w:highlight w:val="none"/>
          <w:lang w:val="en-US" w:eastAsia="zh-CN"/>
        </w:rPr>
      </w:pPr>
      <w:r>
        <w:rPr>
          <w:rFonts w:hint="eastAsia" w:ascii="仿宋" w:hAnsi="仿宋" w:eastAsia="仿宋" w:cs="仿宋_GB2312"/>
          <w:b/>
          <w:bCs/>
          <w:sz w:val="24"/>
          <w:highlight w:val="none"/>
          <w:lang w:val="en-US" w:eastAsia="zh-CN"/>
        </w:rPr>
        <w:t>（五）考核要求</w:t>
      </w:r>
    </w:p>
    <w:p w14:paraId="7B029394">
      <w:pPr>
        <w:spacing w:line="360" w:lineRule="auto"/>
        <w:ind w:firstLine="480" w:firstLineChars="200"/>
        <w:rPr>
          <w:rFonts w:hint="eastAsia" w:ascii="仿宋" w:hAnsi="仿宋" w:eastAsia="仿宋" w:cs="仿宋_GB2312"/>
          <w:b/>
          <w:bCs/>
          <w:sz w:val="24"/>
          <w:highlight w:val="none"/>
          <w:lang w:val="en-US" w:eastAsia="zh-CN"/>
        </w:rPr>
      </w:pPr>
      <w:r>
        <w:rPr>
          <w:rFonts w:hint="eastAsia" w:ascii="仿宋" w:hAnsi="仿宋" w:eastAsia="仿宋" w:cs="Times New Roman"/>
          <w:color w:val="auto"/>
          <w:sz w:val="24"/>
          <w:highlight w:val="none"/>
          <w:lang w:val="en-US" w:eastAsia="zh-CN"/>
        </w:rPr>
        <w:t>甲方根据乙方的服务情况和实际运行情况可随时终止合同。</w:t>
      </w:r>
    </w:p>
    <w:p w14:paraId="73C826B8">
      <w:pPr>
        <w:spacing w:line="360" w:lineRule="auto"/>
        <w:ind w:right="210" w:rightChars="100" w:firstLine="241" w:firstLineChars="100"/>
        <w:rPr>
          <w:rFonts w:hint="eastAsia" w:ascii="仿宋" w:hAnsi="仿宋" w:eastAsia="仿宋" w:cs="仿宋_GB2312"/>
          <w:b/>
          <w:bCs/>
          <w:sz w:val="24"/>
          <w:highlight w:val="none"/>
          <w:lang w:val="en-US" w:eastAsia="zh-CN"/>
        </w:rPr>
      </w:pPr>
      <w:r>
        <w:rPr>
          <w:rFonts w:hint="eastAsia" w:ascii="仿宋" w:hAnsi="仿宋" w:eastAsia="仿宋" w:cs="仿宋_GB2312"/>
          <w:b/>
          <w:bCs/>
          <w:sz w:val="24"/>
          <w:highlight w:val="none"/>
        </w:rPr>
        <w:t>（</w:t>
      </w:r>
      <w:r>
        <w:rPr>
          <w:rFonts w:hint="eastAsia" w:ascii="仿宋" w:hAnsi="仿宋" w:eastAsia="仿宋" w:cs="仿宋_GB2312"/>
          <w:b/>
          <w:bCs/>
          <w:sz w:val="24"/>
          <w:highlight w:val="none"/>
          <w:lang w:val="en-US" w:eastAsia="zh-CN"/>
        </w:rPr>
        <w:t>五</w:t>
      </w:r>
      <w:r>
        <w:rPr>
          <w:rFonts w:hint="eastAsia" w:ascii="仿宋" w:hAnsi="仿宋" w:eastAsia="仿宋" w:cs="仿宋_GB2312"/>
          <w:b/>
          <w:bCs/>
          <w:sz w:val="24"/>
          <w:highlight w:val="none"/>
        </w:rPr>
        <w:t>）</w:t>
      </w:r>
      <w:r>
        <w:rPr>
          <w:rFonts w:hint="eastAsia" w:ascii="仿宋" w:hAnsi="仿宋" w:eastAsia="仿宋" w:cs="仿宋_GB2312"/>
          <w:b/>
          <w:bCs/>
          <w:sz w:val="24"/>
          <w:highlight w:val="none"/>
          <w:lang w:val="en-US" w:eastAsia="zh-CN"/>
        </w:rPr>
        <w:t>商务条款要求：</w:t>
      </w:r>
    </w:p>
    <w:p w14:paraId="13D2751D">
      <w:pPr>
        <w:spacing w:line="360" w:lineRule="auto"/>
        <w:ind w:firstLine="480" w:firstLineChars="200"/>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1.实施时间和地点：按甲方指定的时间和地点组织实施。</w:t>
      </w:r>
    </w:p>
    <w:p w14:paraId="58569D01">
      <w:pPr>
        <w:spacing w:line="360" w:lineRule="auto"/>
        <w:ind w:firstLine="480" w:firstLineChars="200"/>
        <w:rPr>
          <w:rFonts w:hint="default"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2.服务期：计划服务期三年。合同一年一签，期限满前30日内，经甲方考核，乙方服务项目达到服务标准和要求，并经双方协商一致后可续签下年合同；考核不合格或甲方认为乙方服务项目不及服务要求的，甲方有权随时终止合同。</w:t>
      </w:r>
    </w:p>
    <w:p w14:paraId="70024A7F">
      <w:pPr>
        <w:spacing w:line="360" w:lineRule="auto"/>
        <w:ind w:right="210" w:rightChars="100"/>
        <w:rPr>
          <w:rFonts w:ascii="仿宋" w:hAnsi="仿宋" w:eastAsia="仿宋" w:cs="宋体"/>
          <w:b/>
          <w:color w:val="000000"/>
          <w:sz w:val="24"/>
        </w:rPr>
      </w:pPr>
      <w:r>
        <w:rPr>
          <w:rFonts w:hint="eastAsia" w:ascii="仿宋" w:hAnsi="仿宋" w:eastAsia="仿宋" w:cs="宋体"/>
          <w:b/>
          <w:color w:val="000000"/>
          <w:sz w:val="24"/>
          <w:lang w:val="en-US" w:eastAsia="zh-CN"/>
        </w:rPr>
        <w:t>三</w:t>
      </w:r>
      <w:r>
        <w:rPr>
          <w:rFonts w:hint="eastAsia" w:ascii="仿宋" w:hAnsi="仿宋" w:eastAsia="仿宋" w:cs="宋体"/>
          <w:b/>
          <w:color w:val="000000"/>
          <w:sz w:val="24"/>
        </w:rPr>
        <w:t>、</w:t>
      </w:r>
      <w:r>
        <w:rPr>
          <w:rFonts w:hint="eastAsia" w:ascii="仿宋" w:hAnsi="仿宋" w:eastAsia="仿宋" w:cs="宋体"/>
          <w:b/>
          <w:color w:val="000000"/>
          <w:sz w:val="24"/>
          <w:lang w:val="en-US" w:eastAsia="zh-CN"/>
        </w:rPr>
        <w:t>服务费用、结算</w:t>
      </w:r>
      <w:r>
        <w:rPr>
          <w:rFonts w:hint="eastAsia" w:ascii="仿宋" w:hAnsi="仿宋" w:eastAsia="仿宋" w:cs="宋体"/>
          <w:b/>
          <w:color w:val="000000"/>
          <w:sz w:val="24"/>
        </w:rPr>
        <w:t>方式</w:t>
      </w:r>
      <w:r>
        <w:rPr>
          <w:rFonts w:hint="eastAsia" w:ascii="仿宋" w:hAnsi="仿宋" w:eastAsia="仿宋" w:cs="宋体"/>
          <w:b/>
          <w:color w:val="000000"/>
          <w:sz w:val="24"/>
          <w:lang w:eastAsia="zh-CN"/>
        </w:rPr>
        <w:t>：</w:t>
      </w:r>
    </w:p>
    <w:p w14:paraId="6CD71C83">
      <w:pPr>
        <w:adjustRightInd w:val="0"/>
        <w:snapToGrid w:val="0"/>
        <w:spacing w:line="360" w:lineRule="auto"/>
        <w:ind w:firstLine="240" w:firstLineChars="100"/>
        <w:rPr>
          <w:rFonts w:hint="eastAsia" w:ascii="仿宋" w:hAnsi="仿宋" w:eastAsia="仿宋" w:cs="宋体"/>
          <w:color w:val="000000"/>
          <w:sz w:val="24"/>
          <w:highlight w:val="none"/>
          <w:lang w:val="en-US" w:eastAsia="zh-CN"/>
        </w:rPr>
      </w:pPr>
      <w:r>
        <w:rPr>
          <w:rFonts w:hint="eastAsia" w:ascii="仿宋" w:hAnsi="仿宋" w:eastAsia="仿宋" w:cs="宋体"/>
          <w:color w:val="000000"/>
          <w:sz w:val="24"/>
        </w:rPr>
        <w:t>（一）</w:t>
      </w:r>
      <w:r>
        <w:rPr>
          <w:rFonts w:hint="eastAsia" w:ascii="仿宋" w:hAnsi="仿宋" w:eastAsia="仿宋" w:cs="宋体"/>
          <w:color w:val="000000"/>
          <w:sz w:val="24"/>
          <w:lang w:val="en-US" w:eastAsia="zh-CN"/>
        </w:rPr>
        <w:t>结算方式：银行转账。</w:t>
      </w:r>
    </w:p>
    <w:p w14:paraId="329E8C89">
      <w:pPr>
        <w:adjustRightInd w:val="0"/>
        <w:snapToGrid w:val="0"/>
        <w:spacing w:line="360" w:lineRule="auto"/>
        <w:ind w:firstLine="240" w:firstLineChars="100"/>
        <w:rPr>
          <w:rFonts w:ascii="仿宋" w:hAnsi="仿宋" w:eastAsia="仿宋" w:cs="宋体"/>
          <w:sz w:val="24"/>
          <w:highlight w:val="yellow"/>
        </w:rPr>
      </w:pPr>
      <w:r>
        <w:rPr>
          <w:rFonts w:hint="eastAsia" w:ascii="仿宋" w:hAnsi="仿宋" w:eastAsia="仿宋" w:cs="宋体"/>
          <w:color w:val="000000"/>
          <w:sz w:val="24"/>
          <w:highlight w:val="none"/>
        </w:rPr>
        <w:t>（</w:t>
      </w:r>
      <w:r>
        <w:rPr>
          <w:rFonts w:hint="eastAsia" w:ascii="仿宋" w:hAnsi="仿宋" w:eastAsia="仿宋" w:cs="宋体"/>
          <w:color w:val="000000"/>
          <w:sz w:val="24"/>
          <w:highlight w:val="none"/>
          <w:lang w:val="en-US" w:eastAsia="zh-CN"/>
        </w:rPr>
        <w:t>二</w:t>
      </w:r>
      <w:r>
        <w:rPr>
          <w:rFonts w:hint="eastAsia" w:ascii="仿宋" w:hAnsi="仿宋" w:eastAsia="仿宋" w:cs="宋体"/>
          <w:color w:val="000000"/>
          <w:sz w:val="24"/>
          <w:highlight w:val="none"/>
        </w:rPr>
        <w:t>）</w:t>
      </w:r>
      <w:r>
        <w:rPr>
          <w:rFonts w:hint="eastAsia" w:ascii="仿宋" w:hAnsi="仿宋" w:eastAsia="仿宋" w:cs="宋体"/>
          <w:color w:val="000000"/>
          <w:sz w:val="24"/>
          <w:highlight w:val="none"/>
          <w:lang w:val="en-US" w:eastAsia="zh-CN"/>
        </w:rPr>
        <w:t>付款方式：</w:t>
      </w:r>
      <w:r>
        <w:rPr>
          <w:rFonts w:hint="eastAsia" w:ascii="宋体" w:hAnsi="宋体" w:eastAsia="宋体" w:cs="宋体"/>
          <w:color w:val="auto"/>
          <w:position w:val="15"/>
          <w:sz w:val="24"/>
          <w:szCs w:val="24"/>
          <w:lang w:val="en-US" w:eastAsia="zh-CN"/>
        </w:rPr>
        <w:t>银行转账，据实结算。每季度根据成交单价和实际运营天数结算一次，结算总金额不超过预算总金额。付款前乙方须提供符合税法规定的等额发票。</w:t>
      </w:r>
    </w:p>
    <w:p w14:paraId="1C188596">
      <w:pPr>
        <w:spacing w:line="360" w:lineRule="auto"/>
        <w:ind w:right="210" w:rightChars="100"/>
        <w:rPr>
          <w:rFonts w:hint="eastAsia" w:ascii="仿宋" w:hAnsi="仿宋" w:eastAsia="仿宋" w:cs="宋体"/>
          <w:color w:val="000000"/>
          <w:sz w:val="24"/>
        </w:rPr>
      </w:pPr>
      <w:r>
        <w:rPr>
          <w:rFonts w:hint="eastAsia" w:ascii="仿宋" w:hAnsi="仿宋" w:eastAsia="仿宋" w:cs="宋体"/>
          <w:b/>
          <w:color w:val="000000"/>
          <w:sz w:val="24"/>
          <w:lang w:val="en-US" w:eastAsia="zh-CN"/>
        </w:rPr>
        <w:t>四</w:t>
      </w:r>
      <w:r>
        <w:rPr>
          <w:rFonts w:hint="eastAsia" w:ascii="仿宋" w:hAnsi="仿宋" w:eastAsia="仿宋" w:cs="宋体"/>
          <w:b/>
          <w:color w:val="000000"/>
          <w:sz w:val="24"/>
        </w:rPr>
        <w:t>、甲方的权利和义务</w:t>
      </w:r>
    </w:p>
    <w:p w14:paraId="5C64A698">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一</w:t>
      </w:r>
      <w:r>
        <w:rPr>
          <w:rFonts w:hint="eastAsia" w:ascii="仿宋" w:hAnsi="仿宋" w:eastAsia="仿宋" w:cs="宋体"/>
          <w:color w:val="000000"/>
          <w:sz w:val="24"/>
          <w:lang w:eastAsia="zh-CN"/>
        </w:rPr>
        <w:t>）甲方按照双方约定的付款方式，支付合同期限内所有租车费用给乙方。</w:t>
      </w:r>
    </w:p>
    <w:p w14:paraId="7418CD16">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二</w:t>
      </w:r>
      <w:r>
        <w:rPr>
          <w:rFonts w:hint="eastAsia" w:ascii="仿宋" w:hAnsi="仿宋" w:eastAsia="仿宋" w:cs="宋体"/>
          <w:color w:val="000000"/>
          <w:sz w:val="24"/>
          <w:lang w:eastAsia="zh-CN"/>
        </w:rPr>
        <w:t>）甲方应指定适当位置提供给车辆临时停放。</w:t>
      </w:r>
    </w:p>
    <w:p w14:paraId="417B834E">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三</w:t>
      </w: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甲方</w:t>
      </w:r>
      <w:r>
        <w:rPr>
          <w:rFonts w:hint="eastAsia" w:ascii="仿宋" w:hAnsi="仿宋" w:eastAsia="仿宋" w:cs="宋体"/>
          <w:color w:val="000000"/>
          <w:sz w:val="24"/>
          <w:lang w:eastAsia="zh-CN"/>
        </w:rPr>
        <w:t>任何时候不能要求乙方从事违反《道路交通安全法》及国家相关法律法规的行为。</w:t>
      </w:r>
    </w:p>
    <w:p w14:paraId="4CCABF09">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四</w:t>
      </w:r>
      <w:r>
        <w:rPr>
          <w:rFonts w:hint="eastAsia" w:ascii="仿宋" w:hAnsi="仿宋" w:eastAsia="仿宋" w:cs="宋体"/>
          <w:color w:val="000000"/>
          <w:sz w:val="24"/>
          <w:lang w:eastAsia="zh-CN"/>
        </w:rPr>
        <w:t>）甲方因特殊原因更改或增加接送时间段或班次，需提前一个工作日书面或电话知会乙方，取得乙方同意并协商好相关费用之后，方能调动车辆，乙方协助操作。</w:t>
      </w:r>
    </w:p>
    <w:p w14:paraId="46D8ABCF">
      <w:pPr>
        <w:adjustRightInd w:val="0"/>
        <w:snapToGrid w:val="0"/>
        <w:spacing w:line="360" w:lineRule="auto"/>
        <w:ind w:firstLine="240" w:firstLineChars="100"/>
        <w:rPr>
          <w:rFonts w:hint="eastAsia" w:ascii="仿宋" w:hAnsi="仿宋" w:eastAsia="仿宋" w:cs="宋体"/>
          <w:color w:val="000000"/>
          <w:sz w:val="24"/>
        </w:rPr>
      </w:pPr>
      <w:r>
        <w:rPr>
          <w:rFonts w:hint="eastAsia" w:ascii="仿宋" w:hAnsi="仿宋" w:eastAsia="仿宋" w:cs="宋体"/>
          <w:color w:val="000000"/>
          <w:sz w:val="24"/>
        </w:rPr>
        <w:t>（</w:t>
      </w:r>
      <w:r>
        <w:rPr>
          <w:rFonts w:hint="eastAsia" w:ascii="仿宋" w:hAnsi="仿宋" w:eastAsia="仿宋" w:cs="宋体"/>
          <w:color w:val="000000"/>
          <w:sz w:val="24"/>
          <w:lang w:val="en-US" w:eastAsia="zh-CN"/>
        </w:rPr>
        <w:t>五</w:t>
      </w:r>
      <w:r>
        <w:rPr>
          <w:rFonts w:hint="eastAsia" w:ascii="仿宋" w:hAnsi="仿宋" w:eastAsia="仿宋" w:cs="宋体"/>
          <w:color w:val="000000"/>
          <w:sz w:val="24"/>
        </w:rPr>
        <w:t>）甲方有权了解乙方为甲方服务的管理情况，有权提出加强管理，提高质量的意见和建议。</w:t>
      </w:r>
    </w:p>
    <w:p w14:paraId="26DD65CD">
      <w:pPr>
        <w:widowControl/>
        <w:spacing w:line="360" w:lineRule="auto"/>
        <w:jc w:val="left"/>
        <w:rPr>
          <w:rFonts w:ascii="仿宋" w:hAnsi="仿宋" w:eastAsia="仿宋" w:cs="宋体"/>
          <w:b/>
          <w:color w:val="000000"/>
          <w:sz w:val="24"/>
        </w:rPr>
      </w:pPr>
      <w:r>
        <w:rPr>
          <w:rFonts w:hint="eastAsia" w:ascii="仿宋" w:hAnsi="仿宋" w:eastAsia="仿宋" w:cs="宋体"/>
          <w:b/>
          <w:color w:val="000000"/>
          <w:sz w:val="24"/>
          <w:lang w:val="en-US" w:eastAsia="zh-CN"/>
        </w:rPr>
        <w:t>五</w:t>
      </w:r>
      <w:r>
        <w:rPr>
          <w:rFonts w:hint="eastAsia" w:ascii="仿宋" w:hAnsi="仿宋" w:eastAsia="仿宋" w:cs="宋体"/>
          <w:b/>
          <w:color w:val="000000"/>
          <w:sz w:val="24"/>
        </w:rPr>
        <w:t>、乙方的权利和义务</w:t>
      </w:r>
    </w:p>
    <w:p w14:paraId="147F208E">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rPr>
        <w:t>（一）乙方应按本合同约定为甲方提供优质服务</w:t>
      </w:r>
      <w:r>
        <w:rPr>
          <w:rFonts w:hint="eastAsia" w:ascii="仿宋" w:hAnsi="仿宋" w:eastAsia="仿宋" w:cs="宋体"/>
          <w:color w:val="000000"/>
          <w:sz w:val="24"/>
          <w:lang w:eastAsia="zh-CN"/>
        </w:rPr>
        <w:t>。</w:t>
      </w:r>
    </w:p>
    <w:p w14:paraId="743A9DB3">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二</w:t>
      </w:r>
      <w:r>
        <w:rPr>
          <w:rFonts w:hint="eastAsia" w:ascii="仿宋" w:hAnsi="仿宋" w:eastAsia="仿宋" w:cs="宋体"/>
          <w:color w:val="000000"/>
          <w:sz w:val="24"/>
          <w:lang w:eastAsia="zh-CN"/>
        </w:rPr>
        <w:t>）保证本服务运行方式的合法性和合理性，相关政策方面由乙方承担解释责任。</w:t>
      </w:r>
    </w:p>
    <w:p w14:paraId="78A1077F">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三</w:t>
      </w:r>
      <w:r>
        <w:rPr>
          <w:rFonts w:hint="eastAsia" w:ascii="仿宋" w:hAnsi="仿宋" w:eastAsia="仿宋" w:cs="宋体"/>
          <w:color w:val="000000"/>
          <w:sz w:val="24"/>
          <w:lang w:eastAsia="zh-CN"/>
        </w:rPr>
        <w:t>）保证为车辆配备具有驾驶执照和良好驾驶经验的司机，司机应当为乙方员工，乙方对其司机履行本合同产生的一切后果承担责任。</w:t>
      </w:r>
    </w:p>
    <w:p w14:paraId="7AAB3F3A">
      <w:pPr>
        <w:adjustRightInd w:val="0"/>
        <w:snapToGrid w:val="0"/>
        <w:spacing w:line="360" w:lineRule="auto"/>
        <w:ind w:firstLine="240" w:firstLineChars="100"/>
        <w:rPr>
          <w:rFonts w:hint="default" w:ascii="仿宋" w:hAnsi="仿宋" w:eastAsia="仿宋" w:cs="宋体"/>
          <w:color w:val="000000"/>
          <w:sz w:val="24"/>
          <w:lang w:val="en-US"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四</w:t>
      </w: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乙方所提供的车辆证照齐全，非挂靠、转租车辆，不使用报废、改装、拼装、未年检、保险过期的车辆。车辆无重大事故、性能良好，且定期保养。</w:t>
      </w:r>
    </w:p>
    <w:p w14:paraId="20A543CD">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五</w:t>
      </w:r>
      <w:r>
        <w:rPr>
          <w:rFonts w:hint="eastAsia" w:ascii="仿宋" w:hAnsi="仿宋" w:eastAsia="仿宋" w:cs="宋体"/>
          <w:color w:val="000000"/>
          <w:sz w:val="24"/>
          <w:lang w:eastAsia="zh-CN"/>
        </w:rPr>
        <w:t>）保证车辆证件齐全，车况良好，适于营运。同时，根据双方确定的运行方案，保证车辆的安全准点，如无特殊原因，摆渡车不得迟到、早退。</w:t>
      </w:r>
    </w:p>
    <w:p w14:paraId="1AC21BAB">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六</w:t>
      </w:r>
      <w:r>
        <w:rPr>
          <w:rFonts w:hint="eastAsia" w:ascii="仿宋" w:hAnsi="仿宋" w:eastAsia="仿宋" w:cs="宋体"/>
          <w:color w:val="000000"/>
          <w:sz w:val="24"/>
          <w:lang w:eastAsia="zh-CN"/>
        </w:rPr>
        <w:t>）乙方负责车辆的年审、轮胎、维修、燃料、税金、运管费、管理费、保险及司机的薪金、保险、福利等费用，甲方不承担除车辆租赁费用以外任何费用。</w:t>
      </w:r>
    </w:p>
    <w:p w14:paraId="3E674DE2">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七</w:t>
      </w:r>
      <w:r>
        <w:rPr>
          <w:rFonts w:hint="eastAsia" w:ascii="仿宋" w:hAnsi="仿宋" w:eastAsia="仿宋" w:cs="宋体"/>
          <w:color w:val="000000"/>
          <w:sz w:val="24"/>
          <w:lang w:eastAsia="zh-CN"/>
        </w:rPr>
        <w:t>）乙方应保证文明、安全运行、保持车辆的干净整洁。参与运行的司机应着装整洁规范，运行期间应耐心、态度和蔼，礼貌待客。</w:t>
      </w:r>
    </w:p>
    <w:p w14:paraId="38923BEA">
      <w:pPr>
        <w:adjustRightInd w:val="0"/>
        <w:snapToGrid w:val="0"/>
        <w:spacing w:line="360" w:lineRule="auto"/>
        <w:ind w:firstLine="240" w:firstLineChars="100"/>
        <w:rPr>
          <w:rFonts w:hint="default" w:ascii="仿宋" w:hAnsi="仿宋" w:eastAsia="仿宋" w:cs="宋体"/>
          <w:color w:val="000000"/>
          <w:sz w:val="24"/>
          <w:lang w:val="en-US"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八</w:t>
      </w:r>
      <w:r>
        <w:rPr>
          <w:rFonts w:hint="eastAsia" w:ascii="仿宋" w:hAnsi="仿宋" w:eastAsia="仿宋" w:cs="宋体"/>
          <w:color w:val="000000"/>
          <w:sz w:val="24"/>
          <w:lang w:eastAsia="zh-CN"/>
        </w:rPr>
        <w:t>）在合同履行过程中，乙方负责车辆行驶安全及相关责任，包括乘车安全。如有在车辆行驶中发生意外或事故发生造成乘客人身伤害、财产损失、车辆事故等，乙方应承担全部赔偿及人员安置等责任。</w:t>
      </w:r>
      <w:r>
        <w:rPr>
          <w:rFonts w:hint="eastAsia" w:ascii="仿宋" w:hAnsi="仿宋" w:eastAsia="仿宋" w:cs="宋体"/>
          <w:color w:val="000000"/>
          <w:sz w:val="24"/>
          <w:lang w:val="en-US" w:eastAsia="zh-CN"/>
        </w:rPr>
        <w:t>甲方已先行赔付的，甲方有权将相关款项从未支付服务费中直接扣除，不足部分将由乙方向甲方补足。</w:t>
      </w:r>
    </w:p>
    <w:p w14:paraId="53CABCB3">
      <w:pPr>
        <w:adjustRightInd w:val="0"/>
        <w:snapToGrid w:val="0"/>
        <w:spacing w:line="360" w:lineRule="auto"/>
        <w:ind w:firstLine="240" w:firstLineChars="100"/>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九</w:t>
      </w:r>
      <w:r>
        <w:rPr>
          <w:rFonts w:hint="eastAsia" w:ascii="仿宋" w:hAnsi="仿宋" w:eastAsia="仿宋" w:cs="宋体"/>
          <w:color w:val="000000"/>
          <w:sz w:val="24"/>
          <w:lang w:eastAsia="zh-CN"/>
        </w:rPr>
        <w:t>）乙方车辆在运行期间如发生故障或事故，需</w:t>
      </w:r>
      <w:r>
        <w:rPr>
          <w:rFonts w:hint="eastAsia" w:ascii="仿宋" w:hAnsi="仿宋" w:eastAsia="仿宋" w:cs="宋体"/>
          <w:color w:val="000000"/>
          <w:sz w:val="24"/>
          <w:lang w:val="en-US" w:eastAsia="zh-CN"/>
        </w:rPr>
        <w:t>及时</w:t>
      </w:r>
      <w:r>
        <w:rPr>
          <w:rFonts w:hint="eastAsia" w:ascii="仿宋" w:hAnsi="仿宋" w:eastAsia="仿宋" w:cs="宋体"/>
          <w:color w:val="000000"/>
          <w:sz w:val="24"/>
          <w:lang w:eastAsia="zh-CN"/>
        </w:rPr>
        <w:t>调动</w:t>
      </w:r>
      <w:r>
        <w:rPr>
          <w:rFonts w:hint="eastAsia" w:ascii="仿宋" w:hAnsi="仿宋" w:eastAsia="仿宋" w:cs="Times New Roman"/>
          <w:color w:val="auto"/>
          <w:sz w:val="24"/>
          <w:lang w:val="en-US" w:eastAsia="zh-CN"/>
        </w:rPr>
        <w:t>相同或者高于服务车辆配置的车辆</w:t>
      </w:r>
      <w:r>
        <w:rPr>
          <w:rFonts w:hint="eastAsia" w:ascii="仿宋" w:hAnsi="仿宋" w:eastAsia="仿宋" w:cs="宋体"/>
          <w:color w:val="000000"/>
          <w:sz w:val="24"/>
          <w:lang w:eastAsia="zh-CN"/>
        </w:rPr>
        <w:t>，以确保</w:t>
      </w:r>
      <w:r>
        <w:rPr>
          <w:rFonts w:hint="eastAsia" w:ascii="仿宋" w:hAnsi="仿宋" w:eastAsia="仿宋" w:cs="宋体"/>
          <w:color w:val="000000"/>
          <w:sz w:val="24"/>
          <w:lang w:val="en-US" w:eastAsia="zh-CN"/>
        </w:rPr>
        <w:t>摆渡车服务正常进行</w:t>
      </w:r>
      <w:r>
        <w:rPr>
          <w:rFonts w:hint="eastAsia" w:ascii="仿宋" w:hAnsi="仿宋" w:eastAsia="仿宋" w:cs="宋体"/>
          <w:color w:val="000000"/>
          <w:sz w:val="24"/>
          <w:lang w:eastAsia="zh-CN"/>
        </w:rPr>
        <w:t>。</w:t>
      </w:r>
    </w:p>
    <w:p w14:paraId="490F01E7">
      <w:pPr>
        <w:spacing w:line="360" w:lineRule="auto"/>
        <w:rPr>
          <w:rFonts w:ascii="仿宋" w:hAnsi="仿宋" w:eastAsia="仿宋"/>
          <w:b/>
          <w:sz w:val="24"/>
        </w:rPr>
      </w:pPr>
      <w:r>
        <w:rPr>
          <w:rFonts w:hint="eastAsia" w:ascii="仿宋" w:hAnsi="仿宋" w:eastAsia="仿宋"/>
          <w:b/>
          <w:sz w:val="24"/>
          <w:lang w:val="en-US" w:eastAsia="zh-CN"/>
        </w:rPr>
        <w:t>六</w:t>
      </w:r>
      <w:r>
        <w:rPr>
          <w:rFonts w:hint="eastAsia" w:ascii="仿宋" w:hAnsi="仿宋" w:eastAsia="仿宋"/>
          <w:b/>
          <w:sz w:val="24"/>
        </w:rPr>
        <w:t>、违约责任</w:t>
      </w:r>
    </w:p>
    <w:p w14:paraId="0DA3768D">
      <w:pPr>
        <w:adjustRightInd w:val="0"/>
        <w:snapToGrid w:val="0"/>
        <w:spacing w:line="360" w:lineRule="auto"/>
        <w:ind w:firstLine="240" w:firstLineChars="100"/>
        <w:rPr>
          <w:rFonts w:hint="eastAsia" w:ascii="仿宋" w:hAnsi="仿宋" w:eastAsia="仿宋" w:cs="宋体"/>
          <w:color w:val="000000"/>
          <w:sz w:val="24"/>
        </w:rPr>
      </w:pPr>
      <w:r>
        <w:rPr>
          <w:rFonts w:hint="eastAsia" w:ascii="仿宋" w:hAnsi="仿宋" w:eastAsia="仿宋" w:cs="宋体"/>
          <w:color w:val="000000"/>
          <w:sz w:val="24"/>
        </w:rPr>
        <w:t>（一）按《中华人民共和国民法典》中的相关条款执行。</w:t>
      </w:r>
    </w:p>
    <w:p w14:paraId="0E29CEAF">
      <w:pPr>
        <w:adjustRightInd w:val="0"/>
        <w:snapToGrid w:val="0"/>
        <w:spacing w:line="360" w:lineRule="auto"/>
        <w:ind w:firstLine="240" w:firstLineChars="100"/>
        <w:rPr>
          <w:rFonts w:hint="eastAsia" w:ascii="仿宋" w:hAnsi="仿宋" w:eastAsia="仿宋" w:cs="宋体"/>
          <w:color w:val="000000"/>
          <w:sz w:val="24"/>
        </w:rPr>
      </w:pPr>
      <w:r>
        <w:rPr>
          <w:rFonts w:hint="eastAsia" w:ascii="仿宋" w:hAnsi="仿宋" w:eastAsia="仿宋" w:cs="宋体"/>
          <w:color w:val="000000"/>
          <w:sz w:val="24"/>
        </w:rPr>
        <w:t>（二）</w:t>
      </w:r>
      <w:r>
        <w:rPr>
          <w:rFonts w:hint="eastAsia" w:ascii="仿宋" w:hAnsi="仿宋" w:eastAsia="仿宋" w:cs="宋体"/>
          <w:color w:val="000000"/>
          <w:sz w:val="24"/>
          <w:lang w:val="en-US" w:eastAsia="zh-CN"/>
        </w:rPr>
        <w:t>乙方</w:t>
      </w:r>
      <w:r>
        <w:rPr>
          <w:rFonts w:hint="eastAsia" w:ascii="仿宋" w:hAnsi="仿宋" w:eastAsia="仿宋" w:cs="宋体"/>
          <w:color w:val="000000"/>
          <w:sz w:val="24"/>
        </w:rPr>
        <w:t>未按合同要求提供服务，甲方须书面通知乙方，并</w:t>
      </w:r>
      <w:r>
        <w:rPr>
          <w:rFonts w:hint="eastAsia" w:ascii="仿宋" w:hAnsi="仿宋" w:eastAsia="仿宋" w:cs="宋体"/>
          <w:color w:val="000000"/>
          <w:sz w:val="24"/>
          <w:lang w:val="en-US" w:eastAsia="zh-CN"/>
        </w:rPr>
        <w:t>立即</w:t>
      </w:r>
      <w:r>
        <w:rPr>
          <w:rFonts w:hint="eastAsia" w:ascii="仿宋" w:hAnsi="仿宋" w:eastAsia="仿宋" w:cs="宋体"/>
          <w:color w:val="000000"/>
          <w:sz w:val="24"/>
        </w:rPr>
        <w:t>改正，逾期仍然未能改正的，甲方并有权终止合同且不支付相关租车费用。</w:t>
      </w:r>
    </w:p>
    <w:p w14:paraId="3DA6BF5F">
      <w:pPr>
        <w:adjustRightInd w:val="0"/>
        <w:snapToGrid w:val="0"/>
        <w:spacing w:line="360" w:lineRule="auto"/>
        <w:ind w:firstLine="240" w:firstLineChars="100"/>
        <w:rPr>
          <w:rFonts w:hint="eastAsia" w:ascii="仿宋" w:hAnsi="仿宋" w:eastAsia="仿宋" w:cs="宋体"/>
          <w:color w:val="000000"/>
          <w:sz w:val="24"/>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三</w:t>
      </w: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每日运行时长不足甲方要求时限的，甲方有权扣除相应时长的</w:t>
      </w:r>
      <w:r>
        <w:rPr>
          <w:rFonts w:hint="eastAsia" w:ascii="仿宋" w:hAnsi="仿宋" w:eastAsia="仿宋" w:cs="宋体"/>
          <w:color w:val="000000"/>
          <w:sz w:val="24"/>
        </w:rPr>
        <w:t>租车费用</w:t>
      </w:r>
      <w:r>
        <w:rPr>
          <w:rFonts w:hint="eastAsia" w:ascii="仿宋" w:hAnsi="仿宋" w:eastAsia="仿宋" w:cs="宋体"/>
          <w:color w:val="000000"/>
          <w:sz w:val="24"/>
          <w:lang w:val="en-US" w:eastAsia="zh-CN"/>
        </w:rPr>
        <w:t>，并扣除服务费200元；</w:t>
      </w:r>
      <w:r>
        <w:rPr>
          <w:rFonts w:hint="eastAsia" w:ascii="仿宋" w:hAnsi="仿宋" w:eastAsia="仿宋" w:cs="宋体"/>
          <w:color w:val="000000"/>
          <w:sz w:val="24"/>
        </w:rPr>
        <w:t>若没有合理的原因逾期超过1天不出车，甲方有权终止合同且不支付相关租车费用。</w:t>
      </w:r>
    </w:p>
    <w:p w14:paraId="115A4281">
      <w:pPr>
        <w:adjustRightInd w:val="0"/>
        <w:snapToGrid w:val="0"/>
        <w:spacing w:line="360" w:lineRule="auto"/>
        <w:ind w:firstLine="240" w:firstLineChars="100"/>
        <w:rPr>
          <w:rFonts w:hint="default" w:ascii="仿宋" w:hAnsi="仿宋" w:eastAsia="仿宋" w:cs="宋体"/>
          <w:color w:val="000000"/>
          <w:sz w:val="24"/>
          <w:lang w:val="en-US"/>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四</w:t>
      </w:r>
      <w:r>
        <w:rPr>
          <w:rFonts w:hint="eastAsia" w:ascii="仿宋" w:hAnsi="仿宋" w:eastAsia="仿宋" w:cs="宋体"/>
          <w:color w:val="000000"/>
          <w:sz w:val="24"/>
          <w:lang w:eastAsia="zh-CN"/>
        </w:rPr>
        <w:t>）如</w:t>
      </w:r>
      <w:r>
        <w:rPr>
          <w:rFonts w:hint="eastAsia" w:ascii="仿宋" w:hAnsi="仿宋" w:eastAsia="仿宋" w:cs="宋体"/>
          <w:color w:val="000000"/>
          <w:sz w:val="24"/>
          <w:lang w:val="en-US" w:eastAsia="zh-CN"/>
        </w:rPr>
        <w:t>遇</w:t>
      </w:r>
      <w:r>
        <w:rPr>
          <w:rFonts w:hint="eastAsia" w:ascii="仿宋" w:hAnsi="仿宋" w:eastAsia="仿宋" w:cs="宋体"/>
          <w:color w:val="000000"/>
          <w:sz w:val="24"/>
          <w:lang w:eastAsia="zh-CN"/>
        </w:rPr>
        <w:t>乘客投诉，经调查属实</w:t>
      </w:r>
      <w:r>
        <w:rPr>
          <w:rFonts w:hint="eastAsia" w:ascii="仿宋" w:hAnsi="仿宋" w:eastAsia="仿宋" w:cs="宋体"/>
          <w:color w:val="000000"/>
          <w:sz w:val="24"/>
          <w:lang w:val="en-US" w:eastAsia="zh-CN"/>
        </w:rPr>
        <w:t>确为司机问题引发的，</w:t>
      </w:r>
      <w:r>
        <w:rPr>
          <w:rFonts w:hint="eastAsia" w:ascii="仿宋" w:hAnsi="仿宋" w:eastAsia="仿宋" w:cs="宋体"/>
          <w:color w:val="000000"/>
          <w:sz w:val="24"/>
          <w:lang w:eastAsia="zh-CN"/>
        </w:rPr>
        <w:t>每发生一次，扣除本月租车费用人民币</w:t>
      </w:r>
      <w:r>
        <w:rPr>
          <w:rFonts w:hint="eastAsia" w:ascii="仿宋" w:hAnsi="仿宋" w:eastAsia="仿宋" w:cs="宋体"/>
          <w:color w:val="000000"/>
          <w:sz w:val="24"/>
          <w:lang w:val="en-US" w:eastAsia="zh-CN"/>
        </w:rPr>
        <w:t>3</w:t>
      </w:r>
      <w:r>
        <w:rPr>
          <w:rFonts w:hint="eastAsia" w:ascii="仿宋" w:hAnsi="仿宋" w:eastAsia="仿宋" w:cs="宋体"/>
          <w:color w:val="000000"/>
          <w:sz w:val="24"/>
          <w:u w:val="none"/>
          <w:lang w:val="en-US" w:eastAsia="zh-CN"/>
        </w:rPr>
        <w:t>00</w:t>
      </w:r>
      <w:r>
        <w:rPr>
          <w:rFonts w:hint="eastAsia" w:ascii="仿宋" w:hAnsi="仿宋" w:eastAsia="仿宋" w:cs="宋体"/>
          <w:color w:val="000000"/>
          <w:sz w:val="24"/>
          <w:lang w:eastAsia="zh-CN"/>
        </w:rPr>
        <w:t>元整。</w:t>
      </w:r>
      <w:r>
        <w:rPr>
          <w:rFonts w:hint="eastAsia" w:ascii="仿宋" w:hAnsi="仿宋" w:eastAsia="仿宋" w:cs="宋体"/>
          <w:color w:val="000000"/>
          <w:sz w:val="24"/>
          <w:lang w:val="en-US" w:eastAsia="zh-CN"/>
        </w:rPr>
        <w:t>因</w:t>
      </w:r>
      <w:r>
        <w:rPr>
          <w:rFonts w:hint="eastAsia" w:ascii="仿宋" w:hAnsi="仿宋" w:eastAsia="仿宋" w:cs="宋体"/>
          <w:color w:val="000000"/>
          <w:sz w:val="24"/>
          <w:lang w:eastAsia="zh-CN"/>
        </w:rPr>
        <w:t>司机</w:t>
      </w:r>
      <w:r>
        <w:rPr>
          <w:rFonts w:hint="eastAsia" w:ascii="仿宋" w:hAnsi="仿宋" w:eastAsia="仿宋" w:cs="宋体"/>
          <w:color w:val="000000"/>
          <w:sz w:val="24"/>
          <w:lang w:val="en-US" w:eastAsia="zh-CN"/>
        </w:rPr>
        <w:t>问题</w:t>
      </w:r>
      <w:r>
        <w:rPr>
          <w:rFonts w:hint="eastAsia" w:ascii="仿宋" w:hAnsi="仿宋" w:eastAsia="仿宋" w:cs="宋体"/>
          <w:color w:val="000000"/>
          <w:sz w:val="24"/>
          <w:lang w:eastAsia="zh-CN"/>
        </w:rPr>
        <w:t>，造成</w:t>
      </w:r>
      <w:r>
        <w:rPr>
          <w:rFonts w:hint="eastAsia" w:ascii="仿宋" w:hAnsi="仿宋" w:eastAsia="仿宋" w:cs="宋体"/>
          <w:color w:val="000000"/>
          <w:sz w:val="24"/>
          <w:lang w:val="en-US" w:eastAsia="zh-CN"/>
        </w:rPr>
        <w:t>或参与</w:t>
      </w:r>
      <w:r>
        <w:rPr>
          <w:rFonts w:hint="eastAsia" w:ascii="仿宋" w:hAnsi="仿宋" w:eastAsia="仿宋" w:cs="宋体"/>
          <w:color w:val="000000"/>
          <w:sz w:val="24"/>
          <w:lang w:eastAsia="zh-CN"/>
        </w:rPr>
        <w:t>吵架打架等，由乙方处理，</w:t>
      </w:r>
      <w:r>
        <w:rPr>
          <w:rFonts w:hint="eastAsia" w:ascii="仿宋" w:hAnsi="仿宋" w:eastAsia="仿宋" w:cs="宋体"/>
          <w:color w:val="000000"/>
          <w:sz w:val="24"/>
          <w:lang w:val="en-US" w:eastAsia="zh-CN"/>
        </w:rPr>
        <w:t>造成的一切后果由乙方承担。</w:t>
      </w:r>
    </w:p>
    <w:p w14:paraId="2DE562E1">
      <w:pPr>
        <w:adjustRightInd w:val="0"/>
        <w:snapToGrid w:val="0"/>
        <w:spacing w:line="360" w:lineRule="auto"/>
        <w:ind w:firstLine="240" w:firstLineChars="100"/>
        <w:rPr>
          <w:rFonts w:hint="eastAsia" w:ascii="仿宋" w:hAnsi="仿宋" w:eastAsia="仿宋" w:cs="宋体"/>
          <w:color w:val="000000"/>
          <w:sz w:val="24"/>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五</w:t>
      </w:r>
      <w:r>
        <w:rPr>
          <w:rFonts w:hint="eastAsia" w:ascii="仿宋" w:hAnsi="仿宋" w:eastAsia="仿宋" w:cs="宋体"/>
          <w:color w:val="000000"/>
          <w:sz w:val="24"/>
          <w:lang w:eastAsia="zh-CN"/>
        </w:rPr>
        <w:t>）</w:t>
      </w:r>
      <w:r>
        <w:rPr>
          <w:rFonts w:hint="eastAsia" w:ascii="仿宋" w:hAnsi="仿宋" w:eastAsia="仿宋" w:cs="宋体"/>
          <w:color w:val="000000"/>
          <w:sz w:val="24"/>
        </w:rPr>
        <w:t>乙方严重违反合同约定或者因乙方原因导致合同终止/解除，乙方应当承担合同约定</w:t>
      </w:r>
      <w:r>
        <w:rPr>
          <w:rFonts w:hint="eastAsia" w:ascii="仿宋" w:hAnsi="仿宋" w:eastAsia="仿宋" w:cs="宋体"/>
          <w:color w:val="000000"/>
          <w:sz w:val="24"/>
          <w:lang w:val="en-US" w:eastAsia="zh-CN"/>
        </w:rPr>
        <w:t>一</w:t>
      </w:r>
      <w:r>
        <w:rPr>
          <w:rFonts w:hint="eastAsia" w:ascii="仿宋" w:hAnsi="仿宋" w:eastAsia="仿宋" w:cs="宋体"/>
          <w:color w:val="000000"/>
          <w:sz w:val="24"/>
        </w:rPr>
        <w:t>个月的总租赁费用的总金额的违约金，违约金不足以赔偿甲方损失的，乙方应当承担赔偿责任。</w:t>
      </w:r>
    </w:p>
    <w:p w14:paraId="676DF07B">
      <w:pPr>
        <w:spacing w:line="360" w:lineRule="auto"/>
        <w:rPr>
          <w:rFonts w:ascii="仿宋" w:hAnsi="仿宋" w:eastAsia="仿宋"/>
          <w:sz w:val="24"/>
        </w:rPr>
      </w:pPr>
      <w:r>
        <w:rPr>
          <w:rFonts w:hint="eastAsia" w:ascii="仿宋" w:hAnsi="仿宋" w:eastAsia="仿宋" w:cs="宋体"/>
          <w:b/>
          <w:color w:val="000000"/>
          <w:sz w:val="24"/>
          <w:lang w:val="en-US" w:eastAsia="zh-CN"/>
        </w:rPr>
        <w:t>七</w:t>
      </w:r>
      <w:r>
        <w:rPr>
          <w:rFonts w:hint="eastAsia" w:ascii="仿宋" w:hAnsi="仿宋" w:eastAsia="仿宋" w:cs="宋体"/>
          <w:b/>
          <w:color w:val="000000"/>
          <w:sz w:val="24"/>
        </w:rPr>
        <w:t>、不可抗力情况下的免责约定</w:t>
      </w:r>
    </w:p>
    <w:p w14:paraId="7C17333D">
      <w:pPr>
        <w:spacing w:line="360" w:lineRule="auto"/>
        <w:ind w:firstLine="480" w:firstLineChars="200"/>
        <w:rPr>
          <w:rFonts w:ascii="仿宋" w:hAnsi="仿宋" w:eastAsia="仿宋"/>
          <w:sz w:val="24"/>
        </w:rPr>
      </w:pPr>
      <w:r>
        <w:rPr>
          <w:rFonts w:hint="eastAsia" w:ascii="仿宋" w:hAnsi="仿宋" w:eastAsia="仿宋" w:cs="宋体"/>
          <w:color w:val="000000"/>
          <w:kern w:val="0"/>
          <w:sz w:val="24"/>
        </w:rPr>
        <w:t>双方约定不可抗力情况指：双方不可预见、不可避免、不可克服的客观情况，但不包括双方的违约或疏忽。包括但不限于：战争、洪水、台风、地震</w:t>
      </w:r>
      <w:r>
        <w:rPr>
          <w:rFonts w:hint="eastAsia" w:ascii="仿宋" w:hAnsi="仿宋" w:eastAsia="仿宋" w:cs="宋体"/>
          <w:color w:val="000000"/>
          <w:kern w:val="0"/>
          <w:sz w:val="24"/>
          <w:lang w:eastAsia="zh-CN"/>
        </w:rPr>
        <w:t>、疫情</w:t>
      </w:r>
      <w:r>
        <w:rPr>
          <w:rFonts w:hint="eastAsia" w:ascii="仿宋" w:hAnsi="仿宋" w:eastAsia="仿宋" w:cs="宋体"/>
          <w:color w:val="000000"/>
          <w:kern w:val="0"/>
          <w:sz w:val="24"/>
        </w:rPr>
        <w:t>等。</w:t>
      </w:r>
    </w:p>
    <w:p w14:paraId="6DE2FD9A">
      <w:pPr>
        <w:widowControl/>
        <w:spacing w:line="360" w:lineRule="auto"/>
        <w:jc w:val="left"/>
        <w:rPr>
          <w:rFonts w:ascii="仿宋" w:hAnsi="仿宋" w:eastAsia="仿宋" w:cs="宋体"/>
          <w:b/>
          <w:color w:val="000000"/>
          <w:sz w:val="24"/>
        </w:rPr>
      </w:pPr>
      <w:r>
        <w:rPr>
          <w:rFonts w:hint="eastAsia" w:ascii="仿宋" w:hAnsi="仿宋" w:eastAsia="仿宋" w:cs="宋体"/>
          <w:b/>
          <w:color w:val="000000"/>
          <w:sz w:val="24"/>
          <w:lang w:val="en-US" w:eastAsia="zh-CN"/>
        </w:rPr>
        <w:t>八</w:t>
      </w:r>
      <w:r>
        <w:rPr>
          <w:rFonts w:hint="eastAsia" w:ascii="仿宋" w:hAnsi="仿宋" w:eastAsia="仿宋" w:cs="宋体"/>
          <w:b/>
          <w:color w:val="000000"/>
          <w:sz w:val="24"/>
        </w:rPr>
        <w:t>、争议解决</w:t>
      </w:r>
    </w:p>
    <w:p w14:paraId="21A48613">
      <w:pPr>
        <w:spacing w:line="360" w:lineRule="auto"/>
        <w:ind w:firstLine="480" w:firstLineChars="200"/>
        <w:rPr>
          <w:rFonts w:ascii="仿宋" w:hAnsi="仿宋" w:eastAsia="仿宋"/>
          <w:sz w:val="24"/>
        </w:rPr>
      </w:pPr>
      <w:r>
        <w:rPr>
          <w:rFonts w:hint="eastAsia" w:ascii="仿宋" w:hAnsi="仿宋" w:eastAsia="仿宋" w:cs="宋体"/>
          <w:color w:val="000000"/>
          <w:kern w:val="0"/>
          <w:sz w:val="24"/>
        </w:rPr>
        <w:t>合同执行中发生争议的，</w:t>
      </w:r>
      <w:r>
        <w:rPr>
          <w:rFonts w:hint="eastAsia" w:ascii="仿宋" w:hAnsi="仿宋" w:eastAsia="仿宋" w:cs="宋体"/>
          <w:color w:val="000000"/>
          <w:kern w:val="0"/>
          <w:sz w:val="24"/>
          <w:lang w:val="en-US" w:eastAsia="zh-CN"/>
        </w:rPr>
        <w:t>甲乙</w:t>
      </w:r>
      <w:r>
        <w:rPr>
          <w:rFonts w:hint="eastAsia" w:ascii="仿宋" w:hAnsi="仿宋" w:eastAsia="仿宋" w:cs="宋体"/>
          <w:color w:val="000000"/>
          <w:kern w:val="0"/>
          <w:sz w:val="24"/>
        </w:rPr>
        <w:t>双方应协商解决。协商不成，任何一方可向甲方所在地有管辖权的</w:t>
      </w:r>
      <w:r>
        <w:rPr>
          <w:rFonts w:hint="eastAsia" w:ascii="仿宋" w:hAnsi="仿宋" w:eastAsia="仿宋" w:cs="宋体"/>
          <w:color w:val="000000"/>
          <w:kern w:val="0"/>
          <w:sz w:val="24"/>
          <w:lang w:val="en-US" w:eastAsia="zh-CN"/>
        </w:rPr>
        <w:t>人民</w:t>
      </w:r>
      <w:r>
        <w:rPr>
          <w:rFonts w:hint="eastAsia" w:ascii="仿宋" w:hAnsi="仿宋" w:eastAsia="仿宋" w:cs="宋体"/>
          <w:color w:val="000000"/>
          <w:kern w:val="0"/>
          <w:sz w:val="24"/>
        </w:rPr>
        <w:t xml:space="preserve">法院起诉。 </w:t>
      </w:r>
    </w:p>
    <w:p w14:paraId="38395792">
      <w:pPr>
        <w:spacing w:line="360" w:lineRule="auto"/>
        <w:jc w:val="left"/>
        <w:rPr>
          <w:rFonts w:ascii="仿宋" w:hAnsi="仿宋" w:eastAsia="仿宋" w:cs="宋体"/>
          <w:b/>
          <w:sz w:val="24"/>
        </w:rPr>
      </w:pPr>
      <w:r>
        <w:rPr>
          <w:rFonts w:hint="eastAsia" w:ascii="仿宋" w:hAnsi="仿宋" w:eastAsia="仿宋" w:cs="宋体"/>
          <w:b/>
          <w:color w:val="000000"/>
          <w:sz w:val="24"/>
          <w:lang w:val="en-US" w:eastAsia="zh-CN"/>
        </w:rPr>
        <w:t>九</w:t>
      </w:r>
      <w:r>
        <w:rPr>
          <w:rFonts w:hint="eastAsia" w:ascii="仿宋" w:hAnsi="仿宋" w:eastAsia="仿宋" w:cs="宋体"/>
          <w:b/>
          <w:color w:val="000000"/>
          <w:sz w:val="24"/>
        </w:rPr>
        <w:t>、</w:t>
      </w:r>
      <w:r>
        <w:rPr>
          <w:rFonts w:hint="eastAsia" w:ascii="仿宋" w:hAnsi="仿宋" w:eastAsia="仿宋" w:cs="宋体"/>
          <w:b/>
          <w:sz w:val="24"/>
        </w:rPr>
        <w:t>其他事项</w:t>
      </w:r>
    </w:p>
    <w:p w14:paraId="30F10596">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宋体"/>
          <w:color w:val="000000"/>
          <w:sz w:val="24"/>
        </w:rPr>
      </w:pPr>
      <w:r>
        <w:rPr>
          <w:rFonts w:hint="eastAsia" w:ascii="仿宋" w:hAnsi="仿宋" w:eastAsia="仿宋" w:cs="宋体"/>
          <w:color w:val="000000"/>
          <w:sz w:val="24"/>
        </w:rPr>
        <w:t>（一）招标文件、投标文件也是合同的组成部分，具有同等法律效力，合同中未约定的以招标文件、投标文件为准。</w:t>
      </w:r>
    </w:p>
    <w:p w14:paraId="36C92646">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宋体"/>
          <w:color w:val="000000"/>
          <w:sz w:val="24"/>
        </w:rPr>
      </w:pPr>
      <w:r>
        <w:rPr>
          <w:rFonts w:hint="eastAsia" w:ascii="仿宋" w:hAnsi="仿宋" w:eastAsia="仿宋" w:cs="宋体"/>
          <w:color w:val="000000"/>
          <w:sz w:val="24"/>
        </w:rPr>
        <w:t>（二）乙方不得将本合同全部或部分权利、义务转让给第三方。</w:t>
      </w:r>
    </w:p>
    <w:p w14:paraId="08309827">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宋体"/>
          <w:color w:val="000000"/>
          <w:sz w:val="24"/>
          <w:lang w:eastAsia="zh-CN"/>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三</w:t>
      </w:r>
      <w:r>
        <w:rPr>
          <w:rFonts w:hint="eastAsia" w:ascii="仿宋" w:hAnsi="仿宋" w:eastAsia="仿宋" w:cs="宋体"/>
          <w:color w:val="000000"/>
          <w:sz w:val="24"/>
          <w:lang w:eastAsia="zh-CN"/>
        </w:rPr>
        <w:t>）如由于政府和交通部门明文禁止使用车辆接送顾客或因不可抗因素造成本合同不能履行时，取得有关证明并及时通知对方之后，双方友好终止本合同，互不追究责任。</w:t>
      </w:r>
    </w:p>
    <w:p w14:paraId="5DB8E82C">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宋体"/>
          <w:color w:val="000000"/>
          <w:sz w:val="24"/>
        </w:rPr>
      </w:pPr>
      <w:r>
        <w:rPr>
          <w:rFonts w:hint="eastAsia" w:ascii="仿宋" w:hAnsi="仿宋" w:eastAsia="仿宋" w:cs="宋体"/>
          <w:color w:val="000000"/>
          <w:sz w:val="24"/>
          <w:lang w:eastAsia="zh-CN"/>
        </w:rPr>
        <w:t>（</w:t>
      </w:r>
      <w:r>
        <w:rPr>
          <w:rFonts w:hint="eastAsia" w:ascii="仿宋" w:hAnsi="仿宋" w:eastAsia="仿宋" w:cs="宋体"/>
          <w:color w:val="000000"/>
          <w:sz w:val="24"/>
          <w:lang w:val="en-US" w:eastAsia="zh-CN"/>
        </w:rPr>
        <w:t>四</w:t>
      </w:r>
      <w:r>
        <w:rPr>
          <w:rFonts w:hint="eastAsia" w:ascii="仿宋" w:hAnsi="仿宋" w:eastAsia="仿宋" w:cs="宋体"/>
          <w:color w:val="000000"/>
          <w:sz w:val="24"/>
          <w:lang w:eastAsia="zh-CN"/>
        </w:rPr>
        <w:t>）</w:t>
      </w:r>
      <w:r>
        <w:rPr>
          <w:rFonts w:hint="eastAsia" w:ascii="仿宋" w:hAnsi="仿宋" w:eastAsia="仿宋" w:cs="宋体"/>
          <w:color w:val="000000"/>
          <w:sz w:val="24"/>
        </w:rPr>
        <w:t>本合同一式</w:t>
      </w:r>
      <w:r>
        <w:rPr>
          <w:rFonts w:hint="eastAsia" w:ascii="仿宋" w:hAnsi="仿宋" w:eastAsia="仿宋" w:cs="宋体"/>
          <w:color w:val="000000"/>
          <w:sz w:val="24"/>
          <w:lang w:val="en-US" w:eastAsia="zh-CN"/>
        </w:rPr>
        <w:t>陆</w:t>
      </w:r>
      <w:r>
        <w:rPr>
          <w:rFonts w:hint="eastAsia" w:ascii="仿宋" w:hAnsi="仿宋" w:eastAsia="仿宋" w:cs="宋体"/>
          <w:color w:val="000000"/>
          <w:sz w:val="24"/>
        </w:rPr>
        <w:t>份，甲方叁份，乙方</w:t>
      </w:r>
      <w:r>
        <w:rPr>
          <w:rFonts w:hint="eastAsia" w:ascii="仿宋" w:hAnsi="仿宋" w:eastAsia="仿宋" w:cs="宋体"/>
          <w:color w:val="000000"/>
          <w:sz w:val="24"/>
          <w:lang w:val="en-US" w:eastAsia="zh-CN"/>
        </w:rPr>
        <w:t>叁</w:t>
      </w:r>
      <w:r>
        <w:rPr>
          <w:rFonts w:hint="eastAsia" w:ascii="仿宋" w:hAnsi="仿宋" w:eastAsia="仿宋" w:cs="宋体"/>
          <w:color w:val="000000"/>
          <w:sz w:val="24"/>
        </w:rPr>
        <w:t>份。</w:t>
      </w:r>
      <w:r>
        <w:rPr>
          <w:rFonts w:hint="eastAsia" w:ascii="仿宋" w:hAnsi="仿宋" w:eastAsia="仿宋" w:cs="宋体"/>
          <w:color w:val="000000"/>
          <w:sz w:val="24"/>
          <w:lang w:val="en-US" w:eastAsia="zh-CN"/>
        </w:rPr>
        <w:t>经</w:t>
      </w:r>
      <w:r>
        <w:rPr>
          <w:rFonts w:hint="eastAsia" w:ascii="仿宋" w:hAnsi="仿宋" w:eastAsia="仿宋" w:cs="宋体"/>
          <w:color w:val="000000"/>
          <w:sz w:val="24"/>
        </w:rPr>
        <w:t>甲乙双方法定代表人签字或盖章，并加盖公章后生效。</w:t>
      </w:r>
    </w:p>
    <w:p w14:paraId="73B7D51E">
      <w:pPr>
        <w:pStyle w:val="4"/>
        <w:tabs>
          <w:tab w:val="left" w:pos="1117"/>
        </w:tabs>
        <w:rPr>
          <w:rFonts w:hint="eastAsia" w:ascii="仿宋" w:hAnsi="仿宋" w:eastAsia="仿宋" w:cs="宋体"/>
          <w:color w:val="000000"/>
          <w:sz w:val="24"/>
          <w:lang w:eastAsia="zh-CN"/>
        </w:rPr>
      </w:pPr>
    </w:p>
    <w:tbl>
      <w:tblPr>
        <w:tblStyle w:val="7"/>
        <w:tblpPr w:leftFromText="180" w:rightFromText="180" w:vertAnchor="text" w:horzAnchor="page" w:tblpX="1825" w:tblpY="90"/>
        <w:tblOverlap w:val="never"/>
        <w:tblW w:w="8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410A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jc w:val="center"/>
        </w:trPr>
        <w:tc>
          <w:tcPr>
            <w:tcW w:w="4440" w:type="dxa"/>
            <w:tcBorders>
              <w:top w:val="single" w:color="auto" w:sz="4" w:space="0"/>
              <w:left w:val="single" w:color="auto" w:sz="4" w:space="0"/>
              <w:right w:val="single" w:color="auto" w:sz="4" w:space="0"/>
            </w:tcBorders>
            <w:noWrap w:val="0"/>
            <w:vAlign w:val="center"/>
          </w:tcPr>
          <w:p w14:paraId="5EEF371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甲  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盖章</w:t>
            </w:r>
            <w:r>
              <w:rPr>
                <w:rFonts w:hint="eastAsia" w:ascii="仿宋" w:hAnsi="仿宋" w:eastAsia="仿宋" w:cs="仿宋"/>
                <w:sz w:val="24"/>
                <w:szCs w:val="24"/>
                <w:lang w:eastAsia="zh-CN"/>
              </w:rPr>
              <w:t>）：</w:t>
            </w:r>
            <w:r>
              <w:rPr>
                <w:rFonts w:hint="eastAsia" w:ascii="仿宋" w:hAnsi="仿宋" w:eastAsia="仿宋" w:cs="仿宋"/>
                <w:sz w:val="24"/>
                <w:szCs w:val="24"/>
              </w:rPr>
              <w:t>西北妇女儿童医院</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43B15B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乙  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盖章</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p>
        </w:tc>
      </w:tr>
      <w:tr w14:paraId="6948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E15429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法定代表人</w:t>
            </w:r>
            <w:r>
              <w:rPr>
                <w:rFonts w:hint="eastAsia" w:ascii="仿宋" w:hAnsi="仿宋" w:eastAsia="仿宋" w:cs="仿宋"/>
                <w:sz w:val="24"/>
                <w:szCs w:val="24"/>
              </w:rPr>
              <w:t>：</w:t>
            </w:r>
          </w:p>
          <w:p w14:paraId="77CA499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（签字</w:t>
            </w:r>
            <w:r>
              <w:rPr>
                <w:rFonts w:hint="eastAsia" w:ascii="仿宋" w:hAnsi="仿宋" w:eastAsia="仿宋" w:cs="仿宋"/>
                <w:sz w:val="24"/>
                <w:szCs w:val="24"/>
                <w:lang w:val="en-US" w:eastAsia="zh-CN"/>
              </w:rPr>
              <w:t>或盖章</w:t>
            </w:r>
            <w:r>
              <w:rPr>
                <w:rFonts w:hint="eastAsia" w:ascii="仿宋" w:hAnsi="仿宋" w:eastAsia="仿宋" w:cs="仿宋"/>
                <w:sz w:val="24"/>
                <w:szCs w:val="24"/>
              </w:rPr>
              <w:t>）</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6FFE08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5C4A051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（签字</w:t>
            </w:r>
            <w:r>
              <w:rPr>
                <w:rFonts w:hint="eastAsia" w:ascii="仿宋" w:hAnsi="仿宋" w:eastAsia="仿宋" w:cs="仿宋"/>
                <w:sz w:val="24"/>
                <w:szCs w:val="24"/>
                <w:lang w:val="en-US" w:eastAsia="zh-CN"/>
              </w:rPr>
              <w:t>或盖章</w:t>
            </w:r>
            <w:r>
              <w:rPr>
                <w:rFonts w:hint="eastAsia" w:ascii="仿宋" w:hAnsi="仿宋" w:eastAsia="仿宋" w:cs="仿宋"/>
                <w:sz w:val="24"/>
                <w:szCs w:val="24"/>
              </w:rPr>
              <w:t>）</w:t>
            </w:r>
          </w:p>
        </w:tc>
      </w:tr>
      <w:tr w14:paraId="3179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D89AB1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9D1E79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地址：</w:t>
            </w:r>
            <w:r>
              <w:rPr>
                <w:rFonts w:hint="eastAsia" w:ascii="仿宋" w:hAnsi="仿宋" w:eastAsia="仿宋" w:cs="仿宋"/>
                <w:sz w:val="24"/>
                <w:szCs w:val="24"/>
                <w:lang w:val="en-US" w:eastAsia="zh-CN"/>
              </w:rPr>
              <w:t xml:space="preserve"> </w:t>
            </w:r>
          </w:p>
        </w:tc>
      </w:tr>
      <w:tr w14:paraId="0E23A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440" w:type="dxa"/>
            <w:tcBorders>
              <w:top w:val="single" w:color="auto" w:sz="4" w:space="0"/>
              <w:left w:val="single" w:color="auto" w:sz="4" w:space="0"/>
              <w:right w:val="single" w:color="auto" w:sz="4" w:space="0"/>
            </w:tcBorders>
            <w:noWrap w:val="0"/>
            <w:vAlign w:val="center"/>
          </w:tcPr>
          <w:p w14:paraId="0788408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 w:hAnsi="仿宋" w:eastAsia="仿宋" w:cs="仿宋"/>
                <w:sz w:val="24"/>
                <w:szCs w:val="24"/>
                <w:lang w:val="en-US"/>
              </w:rPr>
            </w:pPr>
            <w:r>
              <w:rPr>
                <w:rFonts w:hint="eastAsia" w:ascii="仿宋" w:hAnsi="仿宋" w:eastAsia="仿宋" w:cs="仿宋"/>
                <w:sz w:val="24"/>
                <w:szCs w:val="24"/>
                <w:lang w:val="en-US" w:eastAsia="zh-CN"/>
              </w:rPr>
              <w:t>联系人：</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EF06AC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 w:hAnsi="仿宋" w:eastAsia="仿宋" w:cs="仿宋"/>
                <w:sz w:val="24"/>
                <w:szCs w:val="24"/>
                <w:lang w:val="en-US"/>
              </w:rPr>
            </w:pPr>
            <w:r>
              <w:rPr>
                <w:rFonts w:hint="eastAsia" w:ascii="仿宋" w:hAnsi="仿宋" w:eastAsia="仿宋" w:cs="仿宋"/>
                <w:sz w:val="24"/>
                <w:szCs w:val="24"/>
                <w:lang w:val="en-US" w:eastAsia="zh-CN"/>
              </w:rPr>
              <w:t xml:space="preserve">联系人： </w:t>
            </w:r>
          </w:p>
        </w:tc>
      </w:tr>
      <w:tr w14:paraId="2987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03E026A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180603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电话：</w:t>
            </w:r>
            <w:r>
              <w:rPr>
                <w:rFonts w:hint="eastAsia" w:ascii="仿宋" w:hAnsi="仿宋" w:eastAsia="仿宋" w:cs="仿宋"/>
                <w:sz w:val="24"/>
                <w:szCs w:val="24"/>
                <w:lang w:val="en-US" w:eastAsia="zh-CN"/>
              </w:rPr>
              <w:t xml:space="preserve"> </w:t>
            </w:r>
          </w:p>
        </w:tc>
      </w:tr>
      <w:tr w14:paraId="0765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75EEE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开户银行：</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984071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开户银行：</w:t>
            </w:r>
          </w:p>
        </w:tc>
      </w:tr>
      <w:tr w14:paraId="7578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0F96338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lang w:eastAsia="zh-CN"/>
              </w:rPr>
              <w:t>：</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1B785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lang w:eastAsia="zh-CN"/>
              </w:rPr>
              <w:t>：</w:t>
            </w:r>
          </w:p>
        </w:tc>
      </w:tr>
      <w:tr w14:paraId="176A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16B99A0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纳税人识别号</w:t>
            </w:r>
            <w:r>
              <w:rPr>
                <w:rFonts w:hint="eastAsia" w:ascii="仿宋" w:hAnsi="仿宋" w:eastAsia="仿宋" w:cs="仿宋"/>
                <w:sz w:val="24"/>
                <w:szCs w:val="24"/>
                <w:lang w:eastAsia="zh-CN"/>
              </w:rPr>
              <w:t>：</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8182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rPr>
              <w:t>纳税人识别号</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p>
        </w:tc>
      </w:tr>
      <w:tr w14:paraId="737C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881" w:type="dxa"/>
            <w:gridSpan w:val="2"/>
            <w:tcBorders>
              <w:top w:val="single" w:color="auto" w:sz="4" w:space="0"/>
              <w:left w:val="single" w:color="auto" w:sz="4" w:space="0"/>
              <w:bottom w:val="single" w:color="auto" w:sz="4" w:space="0"/>
              <w:right w:val="single" w:color="auto" w:sz="4" w:space="0"/>
            </w:tcBorders>
            <w:noWrap w:val="0"/>
            <w:vAlign w:val="center"/>
          </w:tcPr>
          <w:p w14:paraId="026371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签订日期：   年   月   日</w:t>
            </w:r>
          </w:p>
        </w:tc>
      </w:tr>
      <w:tr w14:paraId="1DAB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881" w:type="dxa"/>
            <w:gridSpan w:val="2"/>
            <w:tcBorders>
              <w:top w:val="single" w:color="auto" w:sz="4" w:space="0"/>
              <w:left w:val="single" w:color="auto" w:sz="4" w:space="0"/>
              <w:bottom w:val="single" w:color="auto" w:sz="4" w:space="0"/>
              <w:right w:val="single" w:color="auto" w:sz="4" w:space="0"/>
            </w:tcBorders>
            <w:noWrap w:val="0"/>
            <w:vAlign w:val="center"/>
          </w:tcPr>
          <w:p w14:paraId="67D15A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签订地点：西安市</w:t>
            </w:r>
          </w:p>
        </w:tc>
      </w:tr>
    </w:tbl>
    <w:p w14:paraId="5279082C">
      <w:pPr>
        <w:snapToGrid w:val="0"/>
        <w:spacing w:line="15" w:lineRule="auto"/>
        <w:rPr>
          <w:rFonts w:hint="eastAsia"/>
        </w:rPr>
      </w:pPr>
    </w:p>
    <w:p w14:paraId="3CA912A7">
      <w:pPr>
        <w:pStyle w:val="3"/>
        <w:ind w:left="2100" w:hanging="1050"/>
        <w:rPr>
          <w:lang w:eastAsia="zh-CN"/>
        </w:rPr>
      </w:pPr>
    </w:p>
    <w:p w14:paraId="611B9578">
      <w:pPr>
        <w:rPr>
          <w:rFonts w:eastAsiaTheme="minorEastAsia"/>
          <w:lang w:eastAsia="zh-CN"/>
        </w:rPr>
      </w:pPr>
    </w:p>
    <w:p w14:paraId="6762E777">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FAFB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FAC3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10FAC3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BDD0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3ABDD0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2DB1D"/>
    <w:multiLevelType w:val="multilevel"/>
    <w:tmpl w:val="44B2DB1D"/>
    <w:lvl w:ilvl="0" w:tentative="0">
      <w:start w:val="1"/>
      <w:numFmt w:val="japaneseCounting"/>
      <w:suff w:val="nothing"/>
      <w:lvlText w:val="%1、"/>
      <w:lvlJc w:val="left"/>
      <w:pPr>
        <w:ind w:left="345" w:hanging="600"/>
      </w:pPr>
      <w:rPr>
        <w:rFonts w:hint="eastAsia"/>
      </w:rPr>
    </w:lvl>
    <w:lvl w:ilvl="1" w:tentative="0">
      <w:start w:val="1"/>
      <w:numFmt w:val="lowerLetter"/>
      <w:lvlText w:val="%2)"/>
      <w:lvlJc w:val="left"/>
      <w:pPr>
        <w:tabs>
          <w:tab w:val="left" w:pos="-840"/>
        </w:tabs>
        <w:ind w:left="585" w:hanging="420"/>
      </w:pPr>
      <w:rPr>
        <w:rFonts w:hint="eastAsia"/>
      </w:rPr>
    </w:lvl>
    <w:lvl w:ilvl="2" w:tentative="0">
      <w:start w:val="1"/>
      <w:numFmt w:val="lowerRoman"/>
      <w:lvlText w:val="%3."/>
      <w:lvlJc w:val="right"/>
      <w:pPr>
        <w:tabs>
          <w:tab w:val="left" w:pos="-840"/>
        </w:tabs>
        <w:ind w:left="1005" w:hanging="420"/>
      </w:pPr>
      <w:rPr>
        <w:rFonts w:hint="eastAsia"/>
      </w:rPr>
    </w:lvl>
    <w:lvl w:ilvl="3" w:tentative="0">
      <w:start w:val="1"/>
      <w:numFmt w:val="decimal"/>
      <w:lvlText w:val="%4."/>
      <w:lvlJc w:val="left"/>
      <w:pPr>
        <w:tabs>
          <w:tab w:val="left" w:pos="-840"/>
        </w:tabs>
        <w:ind w:left="1425" w:hanging="420"/>
      </w:pPr>
      <w:rPr>
        <w:rFonts w:hint="eastAsia"/>
      </w:rPr>
    </w:lvl>
    <w:lvl w:ilvl="4" w:tentative="0">
      <w:start w:val="1"/>
      <w:numFmt w:val="lowerLetter"/>
      <w:lvlText w:val="%5)"/>
      <w:lvlJc w:val="left"/>
      <w:pPr>
        <w:tabs>
          <w:tab w:val="left" w:pos="-840"/>
        </w:tabs>
        <w:ind w:left="1845" w:hanging="420"/>
      </w:pPr>
      <w:rPr>
        <w:rFonts w:hint="eastAsia"/>
      </w:rPr>
    </w:lvl>
    <w:lvl w:ilvl="5" w:tentative="0">
      <w:start w:val="1"/>
      <w:numFmt w:val="lowerRoman"/>
      <w:lvlText w:val="%6."/>
      <w:lvlJc w:val="right"/>
      <w:pPr>
        <w:tabs>
          <w:tab w:val="left" w:pos="-840"/>
        </w:tabs>
        <w:ind w:left="2265" w:hanging="420"/>
      </w:pPr>
      <w:rPr>
        <w:rFonts w:hint="eastAsia"/>
      </w:rPr>
    </w:lvl>
    <w:lvl w:ilvl="6" w:tentative="0">
      <w:start w:val="1"/>
      <w:numFmt w:val="decimal"/>
      <w:lvlText w:val="%7."/>
      <w:lvlJc w:val="left"/>
      <w:pPr>
        <w:tabs>
          <w:tab w:val="left" w:pos="-840"/>
        </w:tabs>
        <w:ind w:left="2685" w:hanging="420"/>
      </w:pPr>
      <w:rPr>
        <w:rFonts w:hint="eastAsia"/>
      </w:rPr>
    </w:lvl>
    <w:lvl w:ilvl="7" w:tentative="0">
      <w:start w:val="1"/>
      <w:numFmt w:val="lowerLetter"/>
      <w:lvlText w:val="%8)"/>
      <w:lvlJc w:val="left"/>
      <w:pPr>
        <w:tabs>
          <w:tab w:val="left" w:pos="-840"/>
        </w:tabs>
        <w:ind w:left="3105" w:hanging="420"/>
      </w:pPr>
      <w:rPr>
        <w:rFonts w:hint="eastAsia"/>
      </w:rPr>
    </w:lvl>
    <w:lvl w:ilvl="8" w:tentative="0">
      <w:start w:val="1"/>
      <w:numFmt w:val="lowerRoman"/>
      <w:lvlText w:val="%9."/>
      <w:lvlJc w:val="right"/>
      <w:pPr>
        <w:tabs>
          <w:tab w:val="left" w:pos="-840"/>
        </w:tabs>
        <w:ind w:left="3525" w:hanging="420"/>
      </w:pPr>
      <w:rPr>
        <w:rFonts w:hint="eastAsia"/>
      </w:rPr>
    </w:lvl>
  </w:abstractNum>
  <w:abstractNum w:abstractNumId="1">
    <w:nsid w:val="7491CC1E"/>
    <w:multiLevelType w:val="singleLevel"/>
    <w:tmpl w:val="7491CC1E"/>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1A0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rPr>
  </w:style>
  <w:style w:type="paragraph" w:styleId="5">
    <w:name w:val="footer"/>
    <w:basedOn w:val="1"/>
    <w:next w:val="1"/>
    <w:link w:val="11"/>
    <w:qFormat/>
    <w:uiPriority w:val="0"/>
    <w:pPr>
      <w:tabs>
        <w:tab w:val="center" w:pos="4153"/>
        <w:tab w:val="right" w:pos="8306"/>
      </w:tabs>
      <w:snapToGrid w:val="0"/>
      <w:spacing w:line="240" w:lineRule="auto"/>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0"/>
    <w:rPr>
      <w:rFonts w:ascii="Times New Roman" w:hAnsi="Times New Roman" w:eastAsia="宋体" w:cs="Times New Roman"/>
      <w:kern w:val="2"/>
      <w:sz w:val="18"/>
      <w:szCs w:val="18"/>
    </w:rPr>
  </w:style>
  <w:style w:type="character" w:customStyle="1" w:styleId="11">
    <w:name w:val="页脚 Char"/>
    <w:basedOn w:val="9"/>
    <w:link w:val="5"/>
    <w:qFormat/>
    <w:uiPriority w:val="0"/>
    <w:rPr>
      <w:rFonts w:ascii="Times New Roman" w:hAnsi="Times New Roman" w:eastAsia="宋体" w:cs="Times New Roman"/>
      <w:kern w:val="2"/>
      <w:sz w:val="18"/>
      <w:szCs w:val="18"/>
    </w:rPr>
  </w:style>
  <w:style w:type="paragraph" w:styleId="12">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2026-03-26T02:01:54Z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