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版本号：JXRC-26061620260622001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曲江校区10号学生公寓东侧卫生间及盥洗间维修改造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JXRC-260616</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曲江校区10号学生公寓东侧卫生间及盥洗间维修改造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曲江校区10号学生公寓东侧卫生间及盥洗间维修改造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本项目为曲江校区10号学生公寓东侧卫生间及盥洗间维修改造项目，包括盥洗间、小便间和蹲便间的装修、改造，每层3间，9层共27间。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采购包1（曲江校区10号学生公寓东侧卫生间及盥洗间维修改造项目）：属于专门面向中小企业采购。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3、财务状况证明：法人提供会计师事务所出具的完整的2024年度或2025年度审计报告（成立时间至提交投标文件截止时间不足一年的可提供成立后任意时段的资产负债表)，或开标前6个月内（2025年12月1日后）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4、纳税证明：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供应商应提供相关文件证明；并进行电子签章。</w:t>
      </w:r>
    </w:p>
    <w:p>
      <w:pPr>
        <w:pStyle w:val="null3"/>
      </w:pPr>
      <w:r>
        <w:rPr>
          <w:rFonts w:ascii="仿宋_GB2312" w:hAnsi="仿宋_GB2312" w:cs="仿宋_GB2312" w:eastAsia="仿宋_GB2312"/>
        </w:rPr>
        <w:t>5、社保缴纳证明：提供自2025年12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6、无重大违法记录：参加本次政府采购活动前三年内，在经营活动中没有重大违法记录，提供《无重大违法记录声明》。</w:t>
      </w:r>
    </w:p>
    <w:p>
      <w:pPr>
        <w:pStyle w:val="null3"/>
      </w:pPr>
      <w:r>
        <w:rPr>
          <w:rFonts w:ascii="仿宋_GB2312" w:hAnsi="仿宋_GB2312" w:cs="仿宋_GB2312" w:eastAsia="仿宋_GB2312"/>
        </w:rPr>
        <w:t>7、履约能力证明：提供《具有履行合同所必需的设备和专业技术能力的承诺书》。</w:t>
      </w:r>
    </w:p>
    <w:p>
      <w:pPr>
        <w:pStyle w:val="null3"/>
      </w:pPr>
      <w:r>
        <w:rPr>
          <w:rFonts w:ascii="仿宋_GB2312" w:hAnsi="仿宋_GB2312" w:cs="仿宋_GB2312" w:eastAsia="仿宋_GB2312"/>
        </w:rPr>
        <w:t>8、供应商资质：具备建设行政主管部门颁发的建筑装修装饰工程专业承包二级及以上资质，并具有有效的安全生产许可证；并进行电子签章。</w:t>
      </w:r>
    </w:p>
    <w:p>
      <w:pPr>
        <w:pStyle w:val="null3"/>
      </w:pPr>
      <w:r>
        <w:rPr>
          <w:rFonts w:ascii="仿宋_GB2312" w:hAnsi="仿宋_GB2312" w:cs="仿宋_GB2312" w:eastAsia="仿宋_GB2312"/>
        </w:rPr>
        <w:t>9、拟派项目经理资格：具有建筑工程专业二级及以上注册建造师执业资格及有效的安全生产考核合格证书（建安B证）且在本单位注册，无不良信用记录，未在其他工程项目担任项目经理或施工项目负责人；并进行电子签章。</w:t>
      </w:r>
    </w:p>
    <w:p>
      <w:pPr>
        <w:pStyle w:val="null3"/>
      </w:pPr>
      <w:r>
        <w:rPr>
          <w:rFonts w:ascii="仿宋_GB2312" w:hAnsi="仿宋_GB2312" w:cs="仿宋_GB2312" w:eastAsia="仿宋_GB2312"/>
        </w:rPr>
        <w:t>10、供应商与拟派项目经理登记备案情况：提供供应商与拟派项目经理在“全国建筑市场监管公共服务平台（https://jzsc.mohurd.gov.cn/home）”登记备案，投标资格有效，且无不良记录。</w:t>
      </w:r>
    </w:p>
    <w:p>
      <w:pPr>
        <w:pStyle w:val="null3"/>
      </w:pPr>
      <w:r>
        <w:rPr>
          <w:rFonts w:ascii="仿宋_GB2312" w:hAnsi="仿宋_GB2312" w:cs="仿宋_GB2312" w:eastAsia="仿宋_GB2312"/>
        </w:rPr>
        <w:t>11、信用承诺：提供未被“信用中国”网站（www.creditchina.gov.cn）列入失信被执行人或重大税收违法失信主体名单；未被财政部门在中国政府采购网（www.ccgp.gov.cn）政府采购严重违法失信行为记录名单中禁止参加政府采购活动的承诺。（在项目所在地各级建设诚信信息平台被列为投标受限制的行为人或被列入严重违法失信企业名单，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开户银行：民生银行西安分行营业部（转账时须附言：260616投标保证金）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代理服务费收费标准：代理服务费参照原中华人民共和国国家计划委员会计价格[2002]1980号文下浮15%计算收取，具体收费额以采购代理机构出具的发票为准。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踏勘时间：2026-07-02 09:30:00</w:t>
            </w:r>
          </w:p>
          <w:p>
            <w:pPr>
              <w:pStyle w:val="null3"/>
              <w:ind w:firstLine="975"/>
            </w:pPr>
            <w:r>
              <w:rPr>
                <w:rFonts w:ascii="仿宋_GB2312" w:hAnsi="仿宋_GB2312" w:cs="仿宋_GB2312" w:eastAsia="仿宋_GB2312"/>
              </w:rPr>
              <w:t>踏勘地点：西安理工大学曲江校区西区东门口（西安市新开门北路）集合签到</w:t>
            </w:r>
          </w:p>
          <w:p>
            <w:pPr>
              <w:pStyle w:val="null3"/>
              <w:ind w:firstLine="975"/>
            </w:pPr>
            <w:r>
              <w:rPr>
                <w:rFonts w:ascii="仿宋_GB2312" w:hAnsi="仿宋_GB2312" w:cs="仿宋_GB2312" w:eastAsia="仿宋_GB2312"/>
              </w:rPr>
              <w:t>联系人：葛老师</w:t>
            </w:r>
          </w:p>
          <w:p>
            <w:pPr>
              <w:pStyle w:val="null3"/>
              <w:ind w:firstLine="975"/>
            </w:pPr>
            <w:r>
              <w:rPr>
                <w:rFonts w:ascii="仿宋_GB2312" w:hAnsi="仿宋_GB2312" w:cs="仿宋_GB2312" w:eastAsia="仿宋_GB2312"/>
              </w:rPr>
              <w:t>联系电话号码：029-82312752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联系人：曲慧、陈利娜、田颖琦</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1,008,304.81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曲江校区10号学生公寓东侧卫生间及盥洗间维修改造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标的名称：曲江校区10号学生公寓东侧卫生间及盥洗间维修改造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标人应按招标文件中施工图纸、技术要求和工程量清单的要求编制投标文件，并在投标文件中注明主要材料选用品牌、规格型号等。如投标人在投标文件中未按要求注明材料、设备品牌，则招标人有权按最有利于招标人的方式推荐材料、设备品牌，主要推荐品牌如下：</w:t>
            </w:r>
          </w:p>
          <w:p>
            <w:pPr>
              <w:pStyle w:val="null3"/>
              <w:ind w:firstLine="480"/>
              <w:jc w:val="both"/>
            </w:pPr>
            <w:r>
              <w:rPr>
                <w:rFonts w:ascii="仿宋_GB2312" w:hAnsi="仿宋_GB2312" w:cs="仿宋_GB2312" w:eastAsia="仿宋_GB2312"/>
                <w:sz w:val="24"/>
              </w:rPr>
              <w:t>乳胶漆：立邦、三棵树、多乐士等同档次级别品牌。</w:t>
            </w:r>
          </w:p>
          <w:p>
            <w:pPr>
              <w:pStyle w:val="null3"/>
              <w:ind w:firstLine="480"/>
              <w:jc w:val="both"/>
            </w:pPr>
            <w:r>
              <w:rPr>
                <w:rFonts w:ascii="仿宋_GB2312" w:hAnsi="仿宋_GB2312" w:cs="仿宋_GB2312" w:eastAsia="仿宋_GB2312"/>
                <w:sz w:val="24"/>
              </w:rPr>
              <w:t>灯具：欧普、佛山、雷士、三雄极光等同档次级别品牌。</w:t>
            </w:r>
          </w:p>
          <w:p>
            <w:pPr>
              <w:pStyle w:val="null3"/>
              <w:ind w:firstLine="480"/>
              <w:jc w:val="both"/>
            </w:pPr>
            <w:r>
              <w:rPr>
                <w:rFonts w:ascii="仿宋_GB2312" w:hAnsi="仿宋_GB2312" w:cs="仿宋_GB2312" w:eastAsia="仿宋_GB2312"/>
                <w:sz w:val="24"/>
              </w:rPr>
              <w:t>瓷砖：东鹏、萨米特、箭牌等同档次级别品牌。</w:t>
            </w:r>
          </w:p>
          <w:p>
            <w:pPr>
              <w:pStyle w:val="null3"/>
              <w:ind w:firstLine="480"/>
              <w:jc w:val="both"/>
            </w:pPr>
            <w:r>
              <w:rPr>
                <w:rFonts w:ascii="仿宋_GB2312" w:hAnsi="仿宋_GB2312" w:cs="仿宋_GB2312" w:eastAsia="仿宋_GB2312"/>
                <w:sz w:val="24"/>
              </w:rPr>
              <w:t>电线：上上、正泰、津成等同档次级别品牌。</w:t>
            </w:r>
          </w:p>
          <w:p>
            <w:pPr>
              <w:pStyle w:val="null3"/>
              <w:ind w:firstLine="480"/>
              <w:jc w:val="both"/>
            </w:pPr>
            <w:r>
              <w:rPr>
                <w:rFonts w:ascii="仿宋_GB2312" w:hAnsi="仿宋_GB2312" w:cs="仿宋_GB2312" w:eastAsia="仿宋_GB2312"/>
                <w:sz w:val="24"/>
              </w:rPr>
              <w:t>卫浴洁具：惠达、箭牌、恒洁、安华等同档次级别品牌。</w:t>
            </w:r>
          </w:p>
          <w:p>
            <w:pPr>
              <w:pStyle w:val="null3"/>
              <w:ind w:firstLine="480"/>
              <w:jc w:val="both"/>
            </w:pPr>
            <w:r>
              <w:rPr>
                <w:rFonts w:ascii="仿宋_GB2312" w:hAnsi="仿宋_GB2312" w:cs="仿宋_GB2312" w:eastAsia="仿宋_GB2312"/>
                <w:sz w:val="24"/>
                <w:color w:val="212121"/>
              </w:rPr>
              <w:t>给排水管道：日丰、联塑、中财、金德等同档次级别品牌。</w:t>
            </w:r>
          </w:p>
          <w:p>
            <w:pPr>
              <w:pStyle w:val="null3"/>
              <w:ind w:firstLine="480"/>
              <w:jc w:val="both"/>
            </w:pPr>
            <w:r>
              <w:rPr>
                <w:rFonts w:ascii="仿宋_GB2312" w:hAnsi="仿宋_GB2312" w:cs="仿宋_GB2312" w:eastAsia="仿宋_GB2312"/>
                <w:sz w:val="24"/>
              </w:rPr>
              <w:t>开关插座：欧普、正泰、三雄极光等同档次级别品牌。</w:t>
            </w:r>
          </w:p>
          <w:p>
            <w:pPr>
              <w:pStyle w:val="null3"/>
              <w:ind w:firstLine="480"/>
              <w:jc w:val="both"/>
            </w:pPr>
            <w:r>
              <w:rPr>
                <w:rFonts w:ascii="仿宋_GB2312" w:hAnsi="仿宋_GB2312" w:cs="仿宋_GB2312" w:eastAsia="仿宋_GB2312"/>
                <w:sz w:val="24"/>
              </w:rPr>
              <w:t>要求所有建筑材料采用环保型材料，阻燃、无毒、无害、无放射性。施工时，需提供主要施工材料来源渠道合法的证明文件（包括但不限于销售协议、代理协议、原厂授权等）。因施工不善或材料使用不当发生工程事故及人员伤害的，责任和由此而发生的各种费用由施工单位全部承担。</w:t>
            </w:r>
          </w:p>
          <w:p>
            <w:pPr>
              <w:pStyle w:val="null3"/>
              <w:ind w:firstLine="480"/>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工程施工应按国家现行标准和相应的行业技术规范执行，这些标准和技术规范应为合同签订日为止最新公布发行的标准和技术规范。包括但不限于《建筑工程施工质量验收统一标准》</w:t>
            </w:r>
            <w:r>
              <w:rPr>
                <w:rFonts w:ascii="仿宋_GB2312" w:hAnsi="仿宋_GB2312" w:cs="仿宋_GB2312" w:eastAsia="仿宋_GB2312"/>
                <w:sz w:val="24"/>
              </w:rPr>
              <w:t>GB 50300-2013</w:t>
            </w:r>
            <w:r>
              <w:rPr>
                <w:rFonts w:ascii="仿宋_GB2312" w:hAnsi="仿宋_GB2312" w:cs="仿宋_GB2312" w:eastAsia="仿宋_GB2312"/>
                <w:sz w:val="24"/>
              </w:rPr>
              <w:t>。工程质量须符合国家施工验收规范要求，达到合格标准。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施工单位的食宿由施工方自行解决，应遵守国家和建设单位的各项规定，及时至建设单位保卫处办理入校相关手续，施工期间的所有安全问题及由此而发生的各种费用由施工单位全部负责和承担。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项目踏勘现场时，请仔细研究设计图纸、工程量清单及现场情况，如有异议请及时提出，如无异议表示确认招标资料，中标后不予变更签证；如因建设单位要求确需变更签证的，需严格按照建设单位变更签证管理办法相关程序办理申批手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施工产生的电费和水费由建设单位安装电表和水表计量，水费</w:t>
            </w:r>
            <w:r>
              <w:rPr>
                <w:rFonts w:ascii="仿宋_GB2312" w:hAnsi="仿宋_GB2312" w:cs="仿宋_GB2312" w:eastAsia="仿宋_GB2312"/>
                <w:sz w:val="24"/>
              </w:rPr>
              <w:t>5.80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吨，电费</w:t>
            </w:r>
            <w:r>
              <w:rPr>
                <w:rFonts w:ascii="仿宋_GB2312" w:hAnsi="仿宋_GB2312" w:cs="仿宋_GB2312" w:eastAsia="仿宋_GB2312"/>
                <w:sz w:val="24"/>
              </w:rPr>
              <w:t>0.80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施工单位必须按照建设单位要求，严格按照工期要求保质保量完成工程；若延误工期，每日按照合同总额的千分之五处罚（若因天气等不可抗力因素导致延误，需作书面说明）。</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 xml:space="preserve">7. </w:t>
            </w:r>
            <w:r>
              <w:rPr>
                <w:rFonts w:ascii="仿宋_GB2312" w:hAnsi="仿宋_GB2312" w:cs="仿宋_GB2312" w:eastAsia="仿宋_GB2312"/>
                <w:sz w:val="24"/>
              </w:rPr>
              <w:t>中标单位须向造价编制单位交纳造价咨询费，详情</w:t>
            </w:r>
            <w:r>
              <w:rPr>
                <w:rFonts w:ascii="仿宋_GB2312" w:hAnsi="仿宋_GB2312" w:cs="仿宋_GB2312" w:eastAsia="仿宋_GB2312"/>
                <w:sz w:val="24"/>
              </w:rPr>
              <w:t>⻅</w:t>
            </w:r>
            <w:r>
              <w:rPr>
                <w:rFonts w:ascii="仿宋_GB2312" w:hAnsi="仿宋_GB2312" w:cs="仿宋_GB2312" w:eastAsia="仿宋_GB2312"/>
                <w:sz w:val="24"/>
              </w:rPr>
              <w:t>此磋商</w:t>
            </w:r>
            <w:r>
              <w:rPr>
                <w:rFonts w:ascii="仿宋_GB2312" w:hAnsi="仿宋_GB2312" w:cs="仿宋_GB2312" w:eastAsia="仿宋_GB2312"/>
                <w:sz w:val="24"/>
              </w:rPr>
              <w:t>⽂</w:t>
            </w:r>
            <w:r>
              <w:rPr>
                <w:rFonts w:ascii="仿宋_GB2312" w:hAnsi="仿宋_GB2312" w:cs="仿宋_GB2312" w:eastAsia="仿宋_GB2312"/>
                <w:sz w:val="24"/>
              </w:rPr>
              <w:t>件中的合同部分。中标单位在规定的时间内未签署合同或不遵守招标要求，采购</w:t>
            </w:r>
            <w:r>
              <w:rPr>
                <w:rFonts w:ascii="仿宋_GB2312" w:hAnsi="仿宋_GB2312" w:cs="仿宋_GB2312" w:eastAsia="仿宋_GB2312"/>
                <w:sz w:val="24"/>
              </w:rPr>
              <w:t>⼈</w:t>
            </w:r>
            <w:r>
              <w:rPr>
                <w:rFonts w:ascii="仿宋_GB2312" w:hAnsi="仿宋_GB2312" w:cs="仿宋_GB2312" w:eastAsia="仿宋_GB2312"/>
                <w:sz w:val="24"/>
              </w:rPr>
              <w:t>有权取消其中标资格，并将中标资格授予“评审结果成交后选</w:t>
            </w:r>
            <w:r>
              <w:rPr>
                <w:rFonts w:ascii="仿宋_GB2312" w:hAnsi="仿宋_GB2312" w:cs="仿宋_GB2312" w:eastAsia="仿宋_GB2312"/>
                <w:sz w:val="24"/>
              </w:rPr>
              <w:t>⼈</w:t>
            </w:r>
            <w:r>
              <w:rPr>
                <w:rFonts w:ascii="仿宋_GB2312" w:hAnsi="仿宋_GB2312" w:cs="仿宋_GB2312" w:eastAsia="仿宋_GB2312"/>
                <w:sz w:val="24"/>
              </w:rPr>
              <w:t>顺序”中排名第</w:t>
            </w:r>
            <w:r>
              <w:rPr>
                <w:rFonts w:ascii="仿宋_GB2312" w:hAnsi="仿宋_GB2312" w:cs="仿宋_GB2312" w:eastAsia="仿宋_GB2312"/>
                <w:sz w:val="24"/>
              </w:rPr>
              <w:t>2</w:t>
            </w:r>
            <w:r>
              <w:rPr>
                <w:rFonts w:ascii="仿宋_GB2312" w:hAnsi="仿宋_GB2312" w:cs="仿宋_GB2312" w:eastAsia="仿宋_GB2312"/>
                <w:sz w:val="24"/>
              </w:rPr>
              <w:t>的投标</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施工前，中标单位应向建设单位后勤处维修管理科提交项目人员安排、进度计划表、安全措施、材料采购计划等（与投标文件一致），如有变动，应做书面说明并经建设单位认可。</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施工过程中，施工单位必须严格按照招标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中标单位须严格落实安全协议书相关条款和提交的安全措施，如设置施工安全标志、施工人员佩戴安全防护用品、定期组织安全教育培训等。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施工前要在门口张贴施工告示，明确工期、负责人及联系方式等，工程材料应集中堆放；施工时严格采取措施控制好扬尘、噪音；施工中产生的建筑垃圾应装袋后及时清理。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在施工期间，中标供应商必须注意楼内人员安全，加强安全措施，并对施工人员进行安全教育。施工人员必须持证上岗。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1.工期：40日历天 2.工程质量保修期：两年，如承诺延长的按承诺期限。 3.工程款支付：合同签订、施工方进场后，支付合同价款的40%预付款，工程完工并经学校现场管理人员初验合格后，支付至合同价款的80%；工程竣工验收合格、结算经甲方审定并完成资料归档后，支付剩余全部工程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企业关联关系声明函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企业关联关系声明函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度或2025年度审计报告（成立时间至提交投标文件截止时间不足一年的可提供成立后任意时段的资产负债表)，或开标前6个月内（2025年12月1日后）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供应商基本信息</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12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具备建设行政主管部门颁发的建筑装修装饰工程专业承包二级及以上资质，并具有有效的安全生产许可证；并进行电子签章。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具有建筑工程专业二级及以上注册建造师执业资格及有效的安全生产考核合格证书（建安B证）且在本单位注册，无不良信用记录，未在其他工程项目担任项目经理或施工项目负责人；并进行电子签章。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供应商与拟派项目经理登记备案情况</w:t>
            </w:r>
          </w:p>
        </w:tc>
        <w:tc>
          <w:tcPr>
            <w:tcW w:type="dxa" w:w="3322"/>
          </w:tcPr>
          <w:p>
            <w:pPr>
              <w:pStyle w:val="null3"/>
            </w:pPr>
            <w:r>
              <w:rPr>
                <w:rFonts w:ascii="仿宋_GB2312" w:hAnsi="仿宋_GB2312" w:cs="仿宋_GB2312" w:eastAsia="仿宋_GB2312"/>
              </w:rPr>
              <w:t>提供供应商与拟派项目经理在“全国建筑市场监管公共服务平台（https://jzsc.mohurd.gov.cn/home）”登记备案，投标资格有效，且无不良记录。</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在项目所在地各级建设诚信信息平台被列为投标受限制的行为人或被列入严重违法失信企业名单，不得参加投标。）</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已标价工程量清单 技术响应偏离表 中小企业声明函 供应商业绩 企业关联关系声明函 响应文件封面 其他材料 残疾人福利性单位声明函 供应商基本信息 参加政府采购承诺书 响应函 供应商资格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参加政府采购承诺书</w:t>
            </w:r>
          </w:p>
        </w:tc>
        <w:tc>
          <w:tcPr>
            <w:tcW w:type="dxa" w:w="3322"/>
          </w:tcPr>
          <w:p>
            <w:pPr>
              <w:pStyle w:val="null3"/>
            </w:pPr>
            <w:r>
              <w:rPr>
                <w:rFonts w:ascii="仿宋_GB2312" w:hAnsi="仿宋_GB2312" w:cs="仿宋_GB2312" w:eastAsia="仿宋_GB2312"/>
              </w:rPr>
              <w:t>供应商须提供参加政府采购活动承诺书</w:t>
            </w:r>
          </w:p>
        </w:tc>
        <w:tc>
          <w:tcPr>
            <w:tcW w:type="dxa" w:w="1661"/>
          </w:tcPr>
          <w:p>
            <w:pPr>
              <w:pStyle w:val="null3"/>
            </w:pPr>
            <w:r>
              <w:rPr>
                <w:rFonts w:ascii="仿宋_GB2312" w:hAnsi="仿宋_GB2312" w:cs="仿宋_GB2312" w:eastAsia="仿宋_GB2312"/>
              </w:rPr>
              <w:t>参加政府采购承诺书</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①施工部署：每完全满足一项评审标准得1分，内容有缺陷扣0.5分，缺项或未提供得0分，满分3分； ②进度计划：每完全满足一项评审标准得1分，内容有缺陷扣0.5分，缺项或未提供得0分，满分3分； ③技术难点、应对措施：每完全满足一项评审标准得1分，内容有缺陷扣0.5分，缺项或未提供得0分，满分3分； ④施工流程图或工艺流程：每完全满足一项评审标准得1分，内容有缺陷扣0.5分，缺项或未提供得0分，满分3分。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①质量目标：每完全满足一项评审标准得1分，内容有缺陷扣0.5分，缺项或未提供得0分，满分3分； ②质量管理体系：每完全满足一项评审标准得2分，内容有缺陷扣1分，缺项或未提供得0分，满分6分； ③质量管理措施：每完全满足一项评审标准得1分，内容有缺陷扣0.5分，缺项或未提供得0分，满分3分。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①安全目标及文明施工措施：每完全满足一项评审标准得1分，内容有缺陷扣0.5分，缺项或未提供得0分，满分3分； ②安全体系健全度：每完全满足一项评审标准得1分，内容有缺陷扣0.5分，缺项或未提供得0分，满分3分； ③应急预案可行性：每完全满足一项评审标准得1分，内容有缺陷扣0.5分，缺项或未提供得0分，满分3分。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①工期计划：每完全满足一项评审标准得1分，内容有缺陷扣0.5分，缺项或未提供得0分，满分3分； ②关键节点工期分析：每完全满足一项评审标准得1分，内容有缺陷扣0.5分，缺项或未提供得0分，满分3分； ③延误工期补救措施：每完全满足一项评审标准得1分，内容有缺陷扣0.5分，缺项或未提供得0分，满分3分。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①施工机械配备：每完全满足一项评审标准得1分，内容有缺陷扣0.5分，缺项或未提供得0分，满分3分； ②材料投入计划：每完全满足一项评审标准得1分，内容有缺陷扣0.5分，缺项或未提供得0分，满分3分； 材料环保性：提供主要材料（乳胶漆）的检测报告，符合国家现行标准得2分，未提供或不合格不得分。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2.项目经理（2分）：具备同类项目经验（附合同中项目经理署名页）得1分，具备高级工程师职称得1分（需提供职称证书）。 3.项目人员配备（5分）：需配备技术负责人、专职安全员（需C证）、质检员（需质量员证书）等岗位，需提供岗位证书、劳动合同。每配备一人得1分，最高得5分。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保修期内服务措施（1分）：提供保修服务工作方案、回访计划及质量保修措施、保修团队人员名单、联系方式得1分，未提供得0分。 2. 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1⽇⾄今类似项⽬业绩，每提供⼀项有效业绩得2分，满分10分。注:业绩需提供中标通知书或官⽹中标公⽰截图或竣⼯验收证明或⼯程款发票中⾄少⼀项及合同（合同需含项⽬⾦额、⼯期、质量标准、签署时间等关键页）的复印件或扫描件加盖供应商公章，时间以合同签订时间为准。企业业绩与项⽬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详见附件：参加政府采购承诺书</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