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版本号：SXLX-FW-2026-062.1B120260825001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2026年西安市艾滋病综合宣传服务(二次)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SXLX-FW-2026-062.1B1</w:t>
      </w:r>
      <w:r>
        <w:br/>
      </w:r>
      <w:r>
        <w:br/>
      </w:r>
      <w:r>
        <w:br/>
      </w:r>
    </w:p>
    <w:p>
      <w:pPr>
        <w:pStyle w:val="null3"/>
        <w:jc w:val="center"/>
        <w:outlineLvl w:val="2"/>
      </w:pPr>
      <w:r>
        <w:rPr>
          <w:rFonts w:ascii="仿宋_GB2312" w:hAnsi="仿宋_GB2312" w:cs="仿宋_GB2312" w:eastAsia="仿宋_GB2312"/>
          <w:sz w:val="28"/>
          <w:b/>
        </w:rPr>
        <w:t>西安市疾病预防控制中心</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2026年西安市艾滋病综合宣传服务(二次)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SXLX-FW-2026-062.1B1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2026年西安市艾滋病综合宣传服务(二次)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主要为做好我市2026年艾滋病、性病、丙肝、猴痘多病共防宣传工作，整合全媒体资源，选择最优化的组合开展各类形式新颖、人群覆盖面大的宣传，中心拟采购艾滋病综合宣传服务，包含活动策划、各类媒体资源购买、活动执行与推广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采购包1（2026年西安市艾滋病综合宣传服务）：属于专门面向中小企业采购。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6、前三年无重大违法记录声明：参加政府采购活动前3年内在经营活动中没有重大违法记录的书面声明；</w:t>
      </w:r>
    </w:p>
    <w:p>
      <w:pPr>
        <w:pStyle w:val="null3"/>
      </w:pPr>
      <w:r>
        <w:rPr>
          <w:rFonts w:ascii="仿宋_GB2312" w:hAnsi="仿宋_GB2312" w:cs="仿宋_GB2312" w:eastAsia="仿宋_GB2312"/>
        </w:rPr>
        <w:t>7、履行合同所必需的设备和专业技术能力：具备履行合同所必需的设备和专业技术能力的承诺；</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9、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余云春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17792707393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费管理暂行办法》的通知（计价格【2002】1980号）和《国家发展改革委办公厅关于招标代理服务收费有关问题的通知》（发改办价格【2003】857号）规定收取。 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服务期满后，由乙方向甲方递交验收通知书，经甲方确认后，组织乙方进行系统验收。 验收合格后，填写政府采购项目验收单作为对本次服务的最终认可。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为做好我市2026年艾滋病、性病、丙肝、猴痘多病共防宣传工作，整合全媒体资源，选择最优化的组合开展各类形式新颖、人群覆盖面大的宣传，中心拟采购艾滋病综合宣传服务，包含活动策划、各类媒体资源购买、活动执行与推广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2026年西安市艾滋病综合宣传服务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标的名称：2026年西安市艾滋病综合宣传服务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00"/>
              <w:jc w:val="both"/>
            </w:pPr>
            <w:r>
              <w:rPr>
                <w:rFonts w:ascii="仿宋_GB2312" w:hAnsi="仿宋_GB2312" w:cs="仿宋_GB2312" w:eastAsia="仿宋_GB2312"/>
                <w:sz w:val="21"/>
              </w:rPr>
              <w:t>本次采购内容主要为做好我市2026年艾滋病、性病、丙肝、猴痘多病共防宣传工作，整合全媒体资源，选择最优化的组合开展各类形式新颖、人群覆盖面大的宣传，中心拟采购艾滋病综合宣传服务，包含活动策划、各类媒体资源购买、活动执行与推广等。</w:t>
            </w:r>
          </w:p>
          <w:p>
            <w:pPr>
              <w:pStyle w:val="null3"/>
              <w:jc w:val="both"/>
            </w:pPr>
            <w:r>
              <w:rPr>
                <w:rFonts w:ascii="仿宋_GB2312" w:hAnsi="仿宋_GB2312" w:cs="仿宋_GB2312" w:eastAsia="仿宋_GB2312"/>
                <w:sz w:val="21"/>
                <w:b/>
              </w:rPr>
              <w:t>二、宣传要求</w:t>
            </w:r>
          </w:p>
          <w:p>
            <w:pPr>
              <w:pStyle w:val="null3"/>
              <w:ind w:firstLine="402"/>
              <w:jc w:val="both"/>
            </w:pPr>
            <w:r>
              <w:rPr>
                <w:rFonts w:ascii="仿宋_GB2312" w:hAnsi="仿宋_GB2312" w:cs="仿宋_GB2312" w:eastAsia="仿宋_GB2312"/>
                <w:sz w:val="21"/>
                <w:b/>
              </w:rPr>
              <w:t>1、执行时间：</w:t>
            </w:r>
            <w:r>
              <w:rPr>
                <w:rFonts w:ascii="仿宋_GB2312" w:hAnsi="仿宋_GB2312" w:cs="仿宋_GB2312" w:eastAsia="仿宋_GB2312"/>
                <w:sz w:val="21"/>
              </w:rPr>
              <w:t>2026年9月—12月上旬</w:t>
            </w:r>
          </w:p>
          <w:p>
            <w:pPr>
              <w:pStyle w:val="null3"/>
              <w:ind w:firstLine="402"/>
              <w:jc w:val="both"/>
            </w:pPr>
            <w:r>
              <w:rPr>
                <w:rFonts w:ascii="仿宋_GB2312" w:hAnsi="仿宋_GB2312" w:cs="仿宋_GB2312" w:eastAsia="仿宋_GB2312"/>
                <w:sz w:val="21"/>
                <w:b/>
              </w:rPr>
              <w:t>2、整体要求：</w:t>
            </w:r>
            <w:r>
              <w:rPr>
                <w:rFonts w:ascii="仿宋_GB2312" w:hAnsi="仿宋_GB2312" w:cs="仿宋_GB2312" w:eastAsia="仿宋_GB2312"/>
                <w:sz w:val="21"/>
              </w:rPr>
              <w:t>整合媒体资源，选择最优化的组合，确保活动类型多样、形式新颖、人群覆盖面大，且每月均有覆盖，重点在11月15日-12月15日期间投放媒体资源。</w:t>
            </w:r>
          </w:p>
          <w:p>
            <w:pPr>
              <w:pStyle w:val="null3"/>
              <w:ind w:firstLine="402"/>
              <w:jc w:val="both"/>
            </w:pPr>
            <w:r>
              <w:rPr>
                <w:rFonts w:ascii="仿宋_GB2312" w:hAnsi="仿宋_GB2312" w:cs="仿宋_GB2312" w:eastAsia="仿宋_GB2312"/>
                <w:sz w:val="21"/>
                <w:b/>
              </w:rPr>
              <w:t>3、</w:t>
            </w:r>
            <w:r>
              <w:rPr>
                <w:rFonts w:ascii="仿宋_GB2312" w:hAnsi="仿宋_GB2312" w:cs="仿宋_GB2312" w:eastAsia="仿宋_GB2312"/>
                <w:sz w:val="21"/>
              </w:rPr>
              <w:t>媒体形式应网络与线下相结合，且贴合艾滋病宣传主题与目标人群，公共场所媒体形式不少于4种，网络媒体形式不少于2种。乙方需提供不同组合方案至少3种，且明确各类媒体的预计发布点位、频次、时长，以供甲方参考，最终媒体选择权在甲方。</w:t>
            </w:r>
          </w:p>
          <w:p>
            <w:pPr>
              <w:pStyle w:val="null3"/>
              <w:ind w:firstLine="402"/>
              <w:jc w:val="both"/>
            </w:pPr>
            <w:r>
              <w:rPr>
                <w:rFonts w:ascii="仿宋_GB2312" w:hAnsi="仿宋_GB2312" w:cs="仿宋_GB2312" w:eastAsia="仿宋_GB2312"/>
                <w:sz w:val="21"/>
                <w:b/>
              </w:rPr>
              <w:t>4、必须包含项目</w:t>
            </w:r>
          </w:p>
          <w:p>
            <w:pPr>
              <w:pStyle w:val="null3"/>
              <w:ind w:firstLine="400"/>
              <w:jc w:val="both"/>
            </w:pPr>
            <w:r>
              <w:rPr>
                <w:rFonts w:ascii="仿宋_GB2312" w:hAnsi="仿宋_GB2312" w:cs="仿宋_GB2312" w:eastAsia="仿宋_GB2312"/>
                <w:sz w:val="21"/>
              </w:rPr>
              <w:t>（1）在5家影院（主城区奥斯卡、万达等品牌）发布为期5周（十一档2周、艾滋病宣传月期间1周、跨年档2周）的艾滋病防治映前广告，顺序为倒三位。</w:t>
            </w:r>
          </w:p>
          <w:p>
            <w:pPr>
              <w:pStyle w:val="null3"/>
              <w:ind w:firstLine="400"/>
              <w:jc w:val="both"/>
            </w:pPr>
            <w:r>
              <w:rPr>
                <w:rFonts w:ascii="仿宋_GB2312" w:hAnsi="仿宋_GB2312" w:cs="仿宋_GB2312" w:eastAsia="仿宋_GB2312"/>
                <w:sz w:val="21"/>
              </w:rPr>
              <w:t>（2）在地铁1、2、3、4、6号线内热门站点（S+、S、A++级）各类平面媒体中投放艾滋病宣传图文，如墙贴、屏蔽门贴、包柱、灯箱等，为期至少2周。</w:t>
            </w:r>
          </w:p>
          <w:p>
            <w:pPr>
              <w:pStyle w:val="null3"/>
              <w:ind w:firstLine="400"/>
              <w:jc w:val="both"/>
            </w:pPr>
            <w:r>
              <w:rPr>
                <w:rFonts w:ascii="仿宋_GB2312" w:hAnsi="仿宋_GB2312" w:cs="仿宋_GB2312" w:eastAsia="仿宋_GB2312"/>
                <w:sz w:val="21"/>
              </w:rPr>
              <w:t>（3）在高铁北站各类平面媒体中投放艾滋病宣传图文，如LED屏、包柱、灯箱等，为期至少2周。</w:t>
            </w:r>
          </w:p>
          <w:p>
            <w:pPr>
              <w:pStyle w:val="null3"/>
              <w:ind w:firstLine="400"/>
              <w:jc w:val="both"/>
            </w:pPr>
            <w:r>
              <w:rPr>
                <w:rFonts w:ascii="仿宋_GB2312" w:hAnsi="仿宋_GB2312" w:cs="仿宋_GB2312" w:eastAsia="仿宋_GB2312"/>
                <w:sz w:val="21"/>
              </w:rPr>
              <w:t>（4）在三季度策划举办防艾短视频征集大赛，包含MG动画、短剧、百家碎戏等形式，组织专家评审，并在121宣传活动当天对获奖选手进行现场颁奖。乙方公司负责所有活动策划、落地执行与推广。</w:t>
            </w:r>
          </w:p>
          <w:p>
            <w:pPr>
              <w:pStyle w:val="null3"/>
              <w:ind w:firstLine="400"/>
              <w:jc w:val="both"/>
            </w:pPr>
            <w:r>
              <w:rPr>
                <w:rFonts w:ascii="仿宋_GB2312" w:hAnsi="仿宋_GB2312" w:cs="仿宋_GB2312" w:eastAsia="仿宋_GB2312"/>
                <w:sz w:val="21"/>
              </w:rPr>
              <w:t>（5）在11月中旬开展线上有奖问答活动，采取创意游戏形式答题，采购实物类奖品并向获奖者邮寄。</w:t>
            </w:r>
          </w:p>
          <w:p>
            <w:pPr>
              <w:pStyle w:val="null3"/>
              <w:ind w:firstLine="400"/>
              <w:jc w:val="both"/>
            </w:pPr>
            <w:r>
              <w:rPr>
                <w:rFonts w:ascii="仿宋_GB2312" w:hAnsi="仿宋_GB2312" w:cs="仿宋_GB2312" w:eastAsia="仿宋_GB2312"/>
                <w:sz w:val="21"/>
              </w:rPr>
              <w:t>（6）12月1日当天，开展大型宣传活动，除短视频征集大赛颁奖仪式外，设计创意互动环节（如遇恶劣天气，需设计备用方案）。 乙方公司负责场地布置、活动策划、物料采购及落地执行等相关事宜。</w:t>
            </w:r>
          </w:p>
          <w:p>
            <w:pPr>
              <w:pStyle w:val="null3"/>
              <w:jc w:val="both"/>
            </w:pPr>
            <w:r>
              <w:rPr>
                <w:rFonts w:ascii="仿宋_GB2312" w:hAnsi="仿宋_GB2312" w:cs="仿宋_GB2312" w:eastAsia="仿宋_GB2312"/>
                <w:sz w:val="21"/>
                <w:b/>
              </w:rPr>
              <w:t>二、宣传载体</w:t>
            </w:r>
          </w:p>
          <w:p>
            <w:pPr>
              <w:pStyle w:val="null3"/>
              <w:ind w:firstLine="400"/>
              <w:jc w:val="both"/>
            </w:pPr>
            <w:r>
              <w:rPr>
                <w:rFonts w:ascii="仿宋_GB2312" w:hAnsi="仿宋_GB2312" w:cs="仿宋_GB2312" w:eastAsia="仿宋_GB2312"/>
                <w:sz w:val="21"/>
              </w:rPr>
              <w:t>可包括但不限于下列形式：</w:t>
            </w:r>
          </w:p>
          <w:p>
            <w:pPr>
              <w:pStyle w:val="null3"/>
              <w:ind w:firstLine="402"/>
              <w:jc w:val="both"/>
            </w:pPr>
            <w:r>
              <w:rPr>
                <w:rFonts w:ascii="仿宋_GB2312" w:hAnsi="仿宋_GB2312" w:cs="仿宋_GB2312" w:eastAsia="仿宋_GB2312"/>
                <w:sz w:val="21"/>
                <w:b/>
              </w:rPr>
              <w:t>1、传统媒体平台</w:t>
            </w:r>
          </w:p>
          <w:p>
            <w:pPr>
              <w:pStyle w:val="null3"/>
              <w:ind w:firstLine="400"/>
              <w:jc w:val="both"/>
            </w:pPr>
            <w:r>
              <w:rPr>
                <w:rFonts w:ascii="仿宋_GB2312" w:hAnsi="仿宋_GB2312" w:cs="仿宋_GB2312" w:eastAsia="仿宋_GB2312"/>
                <w:sz w:val="21"/>
              </w:rPr>
              <w:t>（1）报纸、电视、广播；</w:t>
            </w:r>
          </w:p>
          <w:p>
            <w:pPr>
              <w:pStyle w:val="null3"/>
              <w:ind w:firstLine="400"/>
              <w:jc w:val="both"/>
            </w:pPr>
            <w:r>
              <w:rPr>
                <w:rFonts w:ascii="仿宋_GB2312" w:hAnsi="仿宋_GB2312" w:cs="仿宋_GB2312" w:eastAsia="仿宋_GB2312"/>
                <w:sz w:val="21"/>
              </w:rPr>
              <w:t>（2）公共场所广告：影院映前广告、户外LED屏、公交车内外LED屏、地铁内相关媒体、机场/火车站/客运站相关媒体等。</w:t>
            </w:r>
          </w:p>
          <w:p>
            <w:pPr>
              <w:pStyle w:val="null3"/>
              <w:ind w:firstLine="402"/>
              <w:jc w:val="both"/>
            </w:pPr>
            <w:r>
              <w:rPr>
                <w:rFonts w:ascii="仿宋_GB2312" w:hAnsi="仿宋_GB2312" w:cs="仿宋_GB2312" w:eastAsia="仿宋_GB2312"/>
                <w:sz w:val="21"/>
                <w:b/>
              </w:rPr>
              <w:t>2、线上媒体平台</w:t>
            </w:r>
          </w:p>
          <w:p>
            <w:pPr>
              <w:pStyle w:val="null3"/>
              <w:ind w:firstLine="400"/>
              <w:jc w:val="both"/>
            </w:pPr>
            <w:r>
              <w:rPr>
                <w:rFonts w:ascii="仿宋_GB2312" w:hAnsi="仿宋_GB2312" w:cs="仿宋_GB2312" w:eastAsia="仿宋_GB2312"/>
                <w:sz w:val="21"/>
              </w:rPr>
              <w:t>网站首页、手机APP首页及弹窗、社交媒体平台首页及弹窗、微信朋友圈、公众号、手机短信等。</w:t>
            </w:r>
          </w:p>
          <w:p>
            <w:pPr>
              <w:pStyle w:val="null3"/>
              <w:ind w:firstLine="402"/>
              <w:jc w:val="both"/>
            </w:pPr>
            <w:r>
              <w:rPr>
                <w:rFonts w:ascii="仿宋_GB2312" w:hAnsi="仿宋_GB2312" w:cs="仿宋_GB2312" w:eastAsia="仿宋_GB2312"/>
                <w:sz w:val="21"/>
                <w:b/>
              </w:rPr>
              <w:t>3、落地活动</w:t>
            </w:r>
          </w:p>
          <w:p>
            <w:pPr>
              <w:pStyle w:val="null3"/>
              <w:ind w:firstLine="402"/>
              <w:jc w:val="both"/>
            </w:pPr>
            <w:r>
              <w:rPr>
                <w:rFonts w:ascii="仿宋_GB2312" w:hAnsi="仿宋_GB2312" w:cs="仿宋_GB2312" w:eastAsia="仿宋_GB2312"/>
                <w:sz w:val="21"/>
              </w:rPr>
              <w:t>创意主题活动、知识讲座、竞赛、户外宣传等。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2026年9月—12月上旬</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服务期满后，由乙方向甲方递交验收通知书，经甲方确认后，组织乙方进行系统验收。 验收合格后，填写政府采购项目验收单作为对本次服务的最终认可。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其他，合同签订后，支付预付款10万元，达到付款条件起15个工作日内，支付合同总金额的20.0%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其他，项目结束并验收合格后，达到付款条件起15个工作日内，支付合同总金额的80.0%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项目负责人.docx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项目负责人.docx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项目负责人.docx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符合“第三章 质量验收标准或规范”的要求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供应商应提交的相关资格证明材料.docx 中小企业声明函 商务应答表 服务内容及服务要求应答表 标的清单 报价表 响应函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商务应答表 企业业绩.docx 服务内容及服务要求应答表 报价表 供应商承诺书.docx 服务团队.docx 响应文件封面 项目负责人.docx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整体需求理解</w:t>
            </w:r>
          </w:p>
        </w:tc>
        <w:tc>
          <w:tcPr>
            <w:tcW w:type="dxa" w:w="2492"/>
          </w:tcPr>
          <w:p>
            <w:pPr>
              <w:pStyle w:val="null3"/>
            </w:pPr>
            <w:r>
              <w:rPr>
                <w:rFonts w:ascii="仿宋_GB2312" w:hAnsi="仿宋_GB2312" w:cs="仿宋_GB2312" w:eastAsia="仿宋_GB2312"/>
              </w:rPr>
              <w:t>⼀、评审内容：供应商针对本项⽬的理解，包括但不限于：①工作动态及重点业务宣传②政策法规及解读科普宣传③应急宣传方案。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⼀、评审内容：供应商针对本项目提供服务方案，包括但不限于：①不同运营方式提供更新稿件的质量、数量、创新性②内容重点及成果形式③页面及栏目优化设计④专题策划与制作。 二、评审标准： 1、完善性：方案必须全面，对评审内容中的各项要求有详细阐述； 2、可实施性：切合本项目实际情况，提出步骤清晰、合理的方案； 3、针对性：方案能够紧扣项目实际情况，内容科学合理。上述4项评审内容全部满足评审标准得8分，每有一个评审内容缺项扣2分，每有一项评审内容存在缺陷，扣0.5分。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⼀、评审内容：提供针对本项目不同阶段工作的进度要求，提供进度计划，包括但不限于：①时间节点控制②资源配置计划。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上述2项评审内容全部满足评审标准得5分，每有一个评审内容缺项扣2.5分，每有一项评审内容存在缺陷，扣0.5分。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⼀、评审内容：供应商针对本项目提供质量控制管理措施，包括但不限于：①质量控制体系②质量控制目标。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上述2项评审内容全部满足评审标准得5分，每有一个评审内容缺项扣2.5分，每有一项评审内容存在缺陷，扣0.5分。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应急⽅案</w:t>
            </w:r>
          </w:p>
        </w:tc>
        <w:tc>
          <w:tcPr>
            <w:tcW w:type="dxa" w:w="2492"/>
          </w:tcPr>
          <w:p>
            <w:pPr>
              <w:pStyle w:val="null3"/>
            </w:pPr>
            <w:r>
              <w:rPr>
                <w:rFonts w:ascii="仿宋_GB2312" w:hAnsi="仿宋_GB2312" w:cs="仿宋_GB2312" w:eastAsia="仿宋_GB2312"/>
              </w:rPr>
              <w:t>⼀、评审内容：供应商针对本项⽬的应急⽅案，包括但不限于：①发布稿件数量激增②各类⻛险分级处置流程及责任⼈③应急物资储备清单④多部⻔应急联动机制。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上述4项评审内容全部满足评审标准得6分，每有一个评审内容缺项扣1.5分，每有一项评审内容存在缺陷，扣0.5分。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⼀、评审内容：供应商针对本项⽬的售后服务⽅案，包括但不限于：①响应时效与服务标准②在项目实施过程中及后续的工作程序中与采购人积极的配合程度提供相应服务承诺。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①具有本科及以上学历得3分，专科学历得1分，其余不得分； ②具备3年及以上媒体服务经验（提供体现项目负责人姓名的合同（协议书)或中标通知书或其他有效证明文件），且提供近半年任意一个月社保缴纳证明的，得2分，其他不得分。 注：项目负责人需提供身份证、毕业证、相关经验证明文件及半年内任意一个月社保缴纳证明的复印件或扫描件。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供应商针对本项目配备专业服务团队人员不少于6人（至少包含导演、摄像师、剪辑师）得9分，在此基础上，每增加1人得1分，本项最高得15分。 注：以上相关人员需提供身份证、劳动合同或近半年任意一个月社保缴纳证明的复印件或扫描件。。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供应商提供2023年6月至今类似项目业绩，每提供 1个得 2.5分，最高得20分。 注：业绩以合同（协议书)复印件加盖公章为准，时间以合同签订时间为准。提供的业绩合同须真实有效，内容清晰可辨，关键信息完整；评审时仅对符合采购项目性质、内容相近的业绩予以认可。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采用低价优先法计算，即满足磋商文件要求且最终报价最低的价格为磋商基准价，其价格分为满分。其他投标人的价格分统一按照下列公式计算： 磋商报价得分=（磋商基准价/最终磋商报价）×20超出预算的磋商报价在评审过程中按无效投标处理。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