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8F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sz w:val="44"/>
          <w:szCs w:val="44"/>
        </w:rPr>
        <w:t>政府采购货物采购合同</w:t>
      </w:r>
    </w:p>
    <w:p w14:paraId="54806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</w:rPr>
        <w:t>合同编号：</w:t>
      </w:r>
    </w:p>
    <w:p w14:paraId="0A437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甲方（采购人）：</w:t>
      </w:r>
    </w:p>
    <w:p w14:paraId="3159B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 xml:space="preserve">乙方（成交供应商）： </w:t>
      </w:r>
    </w:p>
    <w:p w14:paraId="561F1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依据《中华人民共和国民法典》《中华人民共和国政府采购法》《政府采购法实施条例》，根据本项目采购文件、乙方响应文件、成交通知书，甲乙双方本着平等自愿原则，订立本合同。</w:t>
      </w:r>
    </w:p>
    <w:p w14:paraId="01EEC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黑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黑体" w:cs="宋体"/>
          <w:b w:val="0"/>
          <w:bCs w:val="0"/>
          <w:sz w:val="28"/>
          <w:szCs w:val="28"/>
        </w:rPr>
        <w:t>第一条 采购标的</w:t>
      </w:r>
    </w:p>
    <w:p w14:paraId="70870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1.1 由乙方按照采购文件要求，向甲方提供货物一批，全部货物的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8"/>
        </w:rPr>
        <w:t>名称、数量、品牌型号、技术参数、质保期限等详细明细详见本合同附件1《货物采购清单》。</w:t>
      </w:r>
    </w:p>
    <w:p w14:paraId="229FE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1.2 乙方提供全部硬件为全新原厂正品，无翻新、二手、串货产品；全部教学软件具备合法授权、知识产权。</w:t>
      </w:r>
    </w:p>
    <w:p w14:paraId="29AD6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1.3 合同总价：人民币【        】元（大写：【        】）。总价包干，包含货物、运输、装卸、布线、安装、系统联调、软件部署、操作培训、质保维修、辅材、税费、测试耗材等完成本项目全部工作的一切费用，甲方无需额外支付任何费用。</w:t>
      </w:r>
    </w:p>
    <w:p w14:paraId="53468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黑体" w:cs="宋体"/>
          <w:sz w:val="28"/>
          <w:szCs w:val="28"/>
        </w:rPr>
      </w:pPr>
      <w:r>
        <w:rPr>
          <w:rFonts w:hint="eastAsia" w:ascii="宋体" w:hAnsi="宋体" w:eastAsia="黑体" w:cs="宋体"/>
          <w:sz w:val="28"/>
          <w:szCs w:val="28"/>
        </w:rPr>
        <w:t>第二条 交付、安装与调试</w:t>
      </w:r>
    </w:p>
    <w:p w14:paraId="267CF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2.1 交付地点：【甲方指定校园地点】</w:t>
      </w:r>
    </w:p>
    <w:p w14:paraId="589CF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2.2 交付期限：合同签订后【  】日历天内完成全部货物供货、场内搬运、硬件安装、软件部署、系统联调。</w:t>
      </w:r>
    </w:p>
    <w:p w14:paraId="29779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2.3 乙方完成实施后先行自检，自检合格向甲方提交书面验收申请，项目进入30日历天试运行期。试运行期间软硬件稳定运行，方可组织正式履约验收。</w:t>
      </w:r>
    </w:p>
    <w:p w14:paraId="5AD0C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2.4 自货物交付之日起至验收合格前，货物损毁、灭失风险由乙方承担。</w:t>
      </w:r>
    </w:p>
    <w:p w14:paraId="04394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黑体" w:cs="宋体"/>
          <w:sz w:val="28"/>
          <w:szCs w:val="28"/>
        </w:rPr>
      </w:pPr>
      <w:r>
        <w:rPr>
          <w:rFonts w:hint="eastAsia" w:ascii="宋体" w:hAnsi="宋体" w:eastAsia="黑体" w:cs="宋体"/>
          <w:sz w:val="28"/>
          <w:szCs w:val="28"/>
        </w:rPr>
        <w:t>第三条 付款方式</w:t>
      </w:r>
    </w:p>
    <w:p w14:paraId="4F076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3.1 本项目资金为财政专项资金。乙方完成全部供货、安装调试、系统联调，30日历天试运行期满、履约验收合格，提交全套验收资料、合法有效全额增值税发票后，甲方按财政资金管理规定报送付款申请，专项资金下达后办理支付。</w:t>
      </w:r>
    </w:p>
    <w:p w14:paraId="6B8E7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3.2 甲方按期提交付款申请即履行付款义务；因财政资金拨付、国库审批等非甲方可控因素造成付款延迟的，甲方不承担逾期付款违约责任。</w:t>
      </w:r>
    </w:p>
    <w:p w14:paraId="018F4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3.3 付款比例：支付合同总金额100%；本项目不收取履约保证金，不预留质量保证金。</w:t>
      </w:r>
    </w:p>
    <w:p w14:paraId="13FD5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3.4 款项转账至乙方合同预留账户，开票单位、收款单位、乙方名称必须一致。</w:t>
      </w:r>
    </w:p>
    <w:p w14:paraId="64C2B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黑体" w:cs="宋体"/>
          <w:sz w:val="28"/>
          <w:szCs w:val="28"/>
        </w:rPr>
        <w:t>第四条 履约验收</w:t>
      </w:r>
    </w:p>
    <w:p w14:paraId="2B846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4.1 验收由甲方组建验收小组实施。履约验收遵循全部货物技术参数逐项核查原则：</w:t>
      </w:r>
    </w:p>
    <w:p w14:paraId="2F20E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（1）硬件逐项核对品牌、型号、数量、外观，通电测试运行状态；</w:t>
      </w:r>
    </w:p>
    <w:p w14:paraId="0DCE6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（2）针对教学终端维护软件、旧微机室电子教室系统软件、电子教室系统软件、教学应用软件、教学流视软件、教学板式阅读器、教学应用系统，甲方有权要求乙方对照技术参数逐项开展现场功能演示核验。</w:t>
      </w:r>
    </w:p>
    <w:p w14:paraId="746E3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4.2 验收判定规则：</w:t>
      </w:r>
    </w:p>
    <w:p w14:paraId="6C3C3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①全部商务、技术指标达标，签署履约验收报告，视为验收合格；</w:t>
      </w:r>
    </w:p>
    <w:p w14:paraId="08CBA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②存在轻微瑕疵，不影响核心功能使用，验收小组出具书面整改意见，乙方限期整改，整改周期不计入试运行期限，整改完成复验合格后方可验收；</w:t>
      </w:r>
    </w:p>
    <w:p w14:paraId="017C4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③软硬件不满足采购需求及响应文件约定，乙方限期免费整改、更换；整改后仍不合格，视为履约违约，甲方有权拒收货物、追究违约责任直至解除合同。验收发现投标阶段弄虚作假线索的，甲方收集证据移交政府采购监管部门处理。</w:t>
      </w:r>
    </w:p>
    <w:p w14:paraId="3709E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4.3 验收产生的人工、测试耗材等全部费用由乙方承担。</w:t>
      </w:r>
    </w:p>
    <w:p w14:paraId="3DB4A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4.4 乙方提交验收申请时同步提供纸质版资料2份；资料不齐，甲方可暂缓组织验收。</w:t>
      </w:r>
    </w:p>
    <w:p w14:paraId="74CD9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黑体" w:cs="宋体"/>
          <w:sz w:val="28"/>
          <w:szCs w:val="28"/>
        </w:rPr>
      </w:pPr>
      <w:r>
        <w:rPr>
          <w:rFonts w:hint="eastAsia" w:ascii="宋体" w:hAnsi="宋体" w:eastAsia="黑体" w:cs="宋体"/>
          <w:sz w:val="28"/>
          <w:szCs w:val="28"/>
        </w:rPr>
        <w:t>第五条 售后服务（质保）</w:t>
      </w:r>
    </w:p>
    <w:p w14:paraId="4D8DA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5.1 各货物质保期限以附件清单约定为准（部分设备质保1年，部分设备</w:t>
      </w:r>
      <w:r>
        <w:rPr>
          <w:rFonts w:hint="eastAsia" w:ascii="宋体" w:hAnsi="宋体" w:cs="宋体"/>
          <w:sz w:val="24"/>
          <w:szCs w:val="28"/>
          <w:lang w:eastAsia="zh-CN"/>
        </w:rPr>
        <w:t>、软件</w:t>
      </w:r>
      <w:r>
        <w:rPr>
          <w:rFonts w:hint="eastAsia" w:ascii="宋体" w:hAnsi="宋体" w:eastAsia="宋体" w:cs="宋体"/>
          <w:sz w:val="24"/>
          <w:szCs w:val="28"/>
        </w:rPr>
        <w:t>质保3年）；质保起始时间：项目整体履约验收合格之日起计算。</w:t>
      </w:r>
    </w:p>
    <w:p w14:paraId="026B7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5.2 质保期内，硬件故障乙方免费维修、更换配件；软件提供免费升级、故障排查、技术支持。乙方按照采购文件承诺时限响应报修。</w:t>
      </w:r>
    </w:p>
    <w:p w14:paraId="30408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5.3 质保期内乙方拒不履行维修、更换义务，甲方可委托第三方开展维修，产生全部费用由乙方承担，甲方有权依法追偿，并追究乙方违约责任。</w:t>
      </w:r>
    </w:p>
    <w:p w14:paraId="518EC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黑体" w:cs="宋体"/>
          <w:sz w:val="28"/>
          <w:szCs w:val="28"/>
        </w:rPr>
      </w:pPr>
      <w:r>
        <w:rPr>
          <w:rFonts w:hint="eastAsia" w:ascii="宋体" w:hAnsi="宋体" w:eastAsia="黑体" w:cs="宋体"/>
          <w:sz w:val="28"/>
          <w:szCs w:val="28"/>
        </w:rPr>
        <w:t>第六条 知识产权与保密</w:t>
      </w:r>
    </w:p>
    <w:p w14:paraId="301A1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6.1 乙方保证本项目软硬件不存在知识产权侵权。如第三方主张侵权，全部责任、经济损失由乙方承担。甲方享有软件约定范围内永久使用权。</w:t>
      </w:r>
    </w:p>
    <w:p w14:paraId="5E2F0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6.2 双方对合同履行过程获取的校园资料、技术方案、业务信息承担保密义务，合同终止后保密责任持续有效。</w:t>
      </w:r>
    </w:p>
    <w:p w14:paraId="7A22C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黑体" w:cs="宋体"/>
          <w:sz w:val="28"/>
          <w:szCs w:val="28"/>
          <w:lang w:eastAsia="zh-CN"/>
        </w:rPr>
      </w:pPr>
      <w:r>
        <w:rPr>
          <w:rFonts w:hint="eastAsia" w:ascii="宋体" w:hAnsi="宋体" w:eastAsia="黑体" w:cs="宋体"/>
          <w:sz w:val="28"/>
          <w:szCs w:val="28"/>
        </w:rPr>
        <w:t>第七条 双方禁止性约</w:t>
      </w:r>
      <w:r>
        <w:rPr>
          <w:rFonts w:hint="eastAsia" w:ascii="宋体" w:hAnsi="宋体" w:eastAsia="黑体" w:cs="宋体"/>
          <w:sz w:val="28"/>
          <w:szCs w:val="28"/>
          <w:lang w:eastAsia="zh-CN"/>
        </w:rPr>
        <w:t>定</w:t>
      </w:r>
    </w:p>
    <w:p w14:paraId="2451E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7.1 乙方不得将本项目整体转包；确需分包的，必须事先取得甲方书面同意。未经许可转包、违法分包，甲方有权单方解除合同并追究违约金。</w:t>
      </w:r>
    </w:p>
    <w:p w14:paraId="3A145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7.2 未经甲方书面许可，乙方不得擅自变更产品品牌、型号、软件版本。</w:t>
      </w:r>
    </w:p>
    <w:p w14:paraId="08358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黑体" w:cs="宋体"/>
          <w:sz w:val="28"/>
          <w:szCs w:val="28"/>
        </w:rPr>
      </w:pPr>
      <w:r>
        <w:rPr>
          <w:rFonts w:hint="eastAsia" w:ascii="宋体" w:hAnsi="宋体" w:eastAsia="黑体" w:cs="宋体"/>
          <w:sz w:val="28"/>
          <w:szCs w:val="28"/>
        </w:rPr>
        <w:t>第八条 违约责任</w:t>
      </w:r>
    </w:p>
    <w:p w14:paraId="01764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8.1 乙方逾期完成供货安装、系统联调，每逾期一日按合同总金额0.05%支付违约金；违约金最高不超过合同总价10%；逾期30日，甲方有权解除合同。</w:t>
      </w:r>
    </w:p>
    <w:p w14:paraId="7720D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8.2 交付软硬件参数、功能与采购文件、响应文件不符，乙方限期整改；整改后仍不达标的，甲方有权解除合同，乙方支付合同总价10%违约金，并赔偿甲方全部损失。</w:t>
      </w:r>
    </w:p>
    <w:p w14:paraId="63AFA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8.3 质保期内乙方未按约定履行售后义务，乙方承担合同总价5%违约金，同时承担第三方维修产生的全部费用。</w:t>
      </w:r>
    </w:p>
    <w:p w14:paraId="69FAC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黑体" w:cs="宋体"/>
          <w:sz w:val="28"/>
          <w:szCs w:val="28"/>
        </w:rPr>
      </w:pPr>
      <w:r>
        <w:rPr>
          <w:rFonts w:hint="eastAsia" w:ascii="宋体" w:hAnsi="宋体" w:eastAsia="黑体" w:cs="宋体"/>
          <w:sz w:val="28"/>
          <w:szCs w:val="28"/>
        </w:rPr>
        <w:t>第九条 不可抗力</w:t>
      </w:r>
    </w:p>
    <w:p w14:paraId="59199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因地震、洪水、政策调整等不可抗力造成无法履约的，受影响一方及时书面通知对方，双方协商履约方案；不可抗力不能免除违约方应当承担的赔偿责任。</w:t>
      </w:r>
    </w:p>
    <w:p w14:paraId="03804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黑体" w:cs="宋体"/>
          <w:sz w:val="28"/>
          <w:szCs w:val="28"/>
        </w:rPr>
        <w:t>第十条 争议解决</w:t>
      </w:r>
    </w:p>
    <w:p w14:paraId="4347C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合同履行产生争议，双方优先友好协商；协商不成，任何一方可向甲方所在地人民法院提起诉讼。</w:t>
      </w:r>
    </w:p>
    <w:p w14:paraId="3FCDC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黑体" w:cs="宋体"/>
          <w:sz w:val="28"/>
          <w:szCs w:val="28"/>
        </w:rPr>
      </w:pPr>
      <w:r>
        <w:rPr>
          <w:rFonts w:hint="eastAsia" w:ascii="宋体" w:hAnsi="宋体" w:eastAsia="黑体" w:cs="宋体"/>
          <w:sz w:val="28"/>
          <w:szCs w:val="28"/>
        </w:rPr>
        <w:t>第十一条 合同组成文件</w:t>
      </w:r>
    </w:p>
    <w:p w14:paraId="33340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下列文件互为补充、具有同等法律效力，文件冲突时，以形成时间在后且有利于实现采购目的约定为准：</w:t>
      </w:r>
    </w:p>
    <w:p w14:paraId="48D3C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</w:rPr>
        <w:t>1. 本合同正文及附件；2.成交通知书；3.乙方磋商响应文件；4.采购文件（含采购需求、所有澄清、补遗文件）；5.双方签署的补充协议。</w:t>
      </w:r>
    </w:p>
    <w:p w14:paraId="7270A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黑体" w:cs="宋体"/>
          <w:sz w:val="28"/>
          <w:szCs w:val="28"/>
        </w:rPr>
      </w:pPr>
      <w:r>
        <w:rPr>
          <w:rFonts w:hint="eastAsia" w:ascii="宋体" w:hAnsi="宋体" w:eastAsia="黑体" w:cs="宋体"/>
          <w:sz w:val="28"/>
          <w:szCs w:val="28"/>
        </w:rPr>
        <w:t>第十二条 其他约定</w:t>
      </w:r>
    </w:p>
    <w:p w14:paraId="0AB7E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12.1 本合同未尽事宜，双方协商签订补充协议，补充协议与本合同具备同等法律效力。</w:t>
      </w:r>
    </w:p>
    <w:p w14:paraId="40201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 xml:space="preserve">12.2 本合同一式 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8"/>
        </w:rPr>
        <w:t>份，甲方执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8"/>
        </w:rPr>
        <w:t xml:space="preserve"> 份，乙方执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8"/>
        </w:rPr>
        <w:t>份，自甲乙双方签字盖章之日生效。</w:t>
      </w:r>
    </w:p>
    <w:p w14:paraId="61D9E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</w:p>
    <w:p w14:paraId="03B8E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</w:p>
    <w:p w14:paraId="5D3D4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</w:p>
    <w:p w14:paraId="0789E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E57A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5A5DCB7D">
            <w:pPr>
              <w:rPr>
                <w:rFonts w:hint="eastAsia" w:ascii="宋体" w:hAnsi="宋体" w:eastAsia="宋体" w:cs="宋体"/>
                <w:sz w:val="24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甲方（盖章）：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3E511A81">
            <w:pPr>
              <w:rPr>
                <w:rFonts w:hint="eastAsia" w:ascii="宋体" w:hAnsi="宋体" w:eastAsia="宋体" w:cs="宋体"/>
                <w:sz w:val="24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乙方（盖章）：</w:t>
            </w:r>
          </w:p>
        </w:tc>
      </w:tr>
      <w:tr w14:paraId="0AD0E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30B5125E">
            <w:pPr>
              <w:rPr>
                <w:rFonts w:hint="eastAsia" w:ascii="宋体" w:hAnsi="宋体" w:eastAsia="宋体" w:cs="宋体"/>
                <w:sz w:val="24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法定代表人/委托代理人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（签字）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5CE9A23A">
            <w:pPr>
              <w:rPr>
                <w:rFonts w:hint="eastAsia" w:ascii="宋体" w:hAnsi="宋体" w:eastAsia="宋体" w:cs="宋体"/>
                <w:sz w:val="24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法定代表人/委托代理人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（签字）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：</w:t>
            </w:r>
          </w:p>
        </w:tc>
      </w:tr>
      <w:tr w14:paraId="561DE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467CCECC">
            <w:pPr>
              <w:rPr>
                <w:rFonts w:hint="eastAsia" w:ascii="宋体" w:hAnsi="宋体" w:eastAsia="宋体" w:cs="宋体"/>
                <w:sz w:val="24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联系电话：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65260635">
            <w:pPr>
              <w:rPr>
                <w:rFonts w:hint="eastAsia" w:ascii="宋体" w:hAnsi="宋体" w:eastAsia="宋体" w:cs="宋体"/>
                <w:sz w:val="24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联系电话：</w:t>
            </w:r>
          </w:p>
        </w:tc>
      </w:tr>
      <w:tr w14:paraId="347F3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4BF95FC3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开户行：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34D02635">
            <w:pPr>
              <w:rPr>
                <w:rFonts w:hint="eastAsia" w:ascii="宋体" w:hAnsi="宋体" w:eastAsia="宋体" w:cs="宋体"/>
                <w:sz w:val="24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开户行：</w:t>
            </w:r>
          </w:p>
        </w:tc>
      </w:tr>
      <w:tr w14:paraId="1E008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7C1BDD3F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银行账号：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01341CB9">
            <w:pPr>
              <w:rPr>
                <w:rFonts w:hint="eastAsia" w:ascii="宋体" w:hAnsi="宋体" w:eastAsia="宋体" w:cs="宋体"/>
                <w:sz w:val="24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银行账号：</w:t>
            </w:r>
          </w:p>
        </w:tc>
      </w:tr>
      <w:tr w14:paraId="58678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6C2F6DA3">
            <w:pPr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日期：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04BA89D3">
            <w:pPr>
              <w:rPr>
                <w:rFonts w:hint="eastAsia" w:ascii="宋体" w:hAnsi="宋体" w:eastAsia="宋体" w:cs="宋体"/>
                <w:sz w:val="24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日期：</w:t>
            </w:r>
          </w:p>
        </w:tc>
      </w:tr>
    </w:tbl>
    <w:p w14:paraId="3CCA7991">
      <w:pPr>
        <w:rPr>
          <w:rFonts w:hint="eastAsia" w:ascii="宋体" w:hAnsi="宋体" w:eastAsia="宋体" w:cs="宋体"/>
          <w:sz w:val="24"/>
          <w:szCs w:val="28"/>
        </w:rPr>
      </w:pPr>
    </w:p>
    <w:p w14:paraId="44EDB2CC">
      <w:pPr>
        <w:rPr>
          <w:rFonts w:hint="eastAsia" w:ascii="宋体" w:hAnsi="宋体" w:eastAsia="宋体" w:cs="宋体"/>
          <w:sz w:val="24"/>
          <w:szCs w:val="28"/>
        </w:rPr>
      </w:pPr>
    </w:p>
    <w:p w14:paraId="32453A0D">
      <w:pPr>
        <w:rPr>
          <w:rFonts w:hint="eastAsia" w:ascii="宋体" w:hAnsi="宋体" w:eastAsia="宋体" w:cs="宋体"/>
          <w:sz w:val="24"/>
          <w:szCs w:val="28"/>
        </w:rPr>
      </w:pPr>
    </w:p>
    <w:p w14:paraId="28D09E94">
      <w:pPr>
        <w:rPr>
          <w:rFonts w:hint="eastAsia" w:ascii="宋体" w:hAnsi="宋体" w:eastAsia="宋体" w:cs="宋体"/>
          <w:sz w:val="24"/>
          <w:szCs w:val="28"/>
        </w:rPr>
      </w:pPr>
    </w:p>
    <w:p w14:paraId="23EA7653">
      <w:pPr>
        <w:rPr>
          <w:rFonts w:hint="eastAsia" w:ascii="宋体" w:hAnsi="宋体" w:eastAsia="宋体" w:cs="宋体"/>
          <w:sz w:val="24"/>
          <w:szCs w:val="28"/>
        </w:rPr>
      </w:pPr>
    </w:p>
    <w:p w14:paraId="1BB1E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9727BA85-AF58-40FC-BA27-B881580F6888}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2" w:fontKey="{23D72ED5-991F-47E0-8E82-88BD4784646C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32DFD23-71DD-43CE-A9AA-28BDA9FB8A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2E93055D-D6D5-464E-BEC5-57A7F54B71B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embedSystem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5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2026-07-24T04:57:00Z</dcterms:created>
  <dc:creator>Administrator</dc:creator>
  <cp:lastModifiedBy>WPS_1470104768</cp:lastModifiedBy>
  <dcterms:modified xsi:type="dcterms:W3CDTF">2026-07-24T04:57:32Z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5F48BF8D14514F22B4D43AD24658CB00_12</vt:lpwstr>
  </property>
</Properties>
</file>