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版本号：ZYGJ-HZZC-263720260821001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2026年度西乡县沙河镇西河口村、毛垭村、苦竹村茶叶机械采购项目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ZYGJ-HZZC-2637</w:t>
      </w:r>
      <w:r>
        <w:br/>
      </w:r>
      <w:r>
        <w:br/>
      </w:r>
      <w:r>
        <w:br/>
      </w:r>
    </w:p>
    <w:p>
      <w:pPr>
        <w:pStyle w:val="null3"/>
        <w:jc w:val="center"/>
        <w:outlineLvl w:val="2"/>
      </w:pPr>
      <w:r>
        <w:rPr>
          <w:rFonts w:ascii="仿宋_GB2312" w:hAnsi="仿宋_GB2312" w:cs="仿宋_GB2312" w:eastAsia="仿宋_GB2312"/>
          <w:sz w:val="28"/>
          <w:b/>
        </w:rPr>
        <w:t>西乡县沙河镇人民政府</w:t>
      </w:r>
    </w:p>
    <w:p>
      <w:pPr>
        <w:pStyle w:val="null3"/>
        <w:jc w:val="center"/>
        <w:outlineLvl w:val="2"/>
      </w:pPr>
      <w:r>
        <w:rPr>
          <w:rFonts w:ascii="仿宋_GB2312" w:hAnsi="仿宋_GB2312" w:cs="仿宋_GB2312" w:eastAsia="仿宋_GB2312"/>
          <w:sz w:val="28"/>
          <w:b/>
        </w:rPr>
        <w:t>众赢国际咨询有限责任公司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众赢国际咨询有限责任公司</w:t>
      </w:r>
      <w:r>
        <w:rPr>
          <w:rFonts w:ascii="仿宋_GB2312" w:hAnsi="仿宋_GB2312" w:cs="仿宋_GB2312" w:eastAsia="仿宋_GB2312"/>
        </w:rPr>
        <w:t>（以下简称“代理机构”）受</w:t>
      </w:r>
      <w:r>
        <w:rPr>
          <w:rFonts w:ascii="仿宋_GB2312" w:hAnsi="仿宋_GB2312" w:cs="仿宋_GB2312" w:eastAsia="仿宋_GB2312"/>
        </w:rPr>
        <w:t>西乡县沙河镇人民政府</w:t>
      </w:r>
      <w:r>
        <w:rPr>
          <w:rFonts w:ascii="仿宋_GB2312" w:hAnsi="仿宋_GB2312" w:cs="仿宋_GB2312" w:eastAsia="仿宋_GB2312"/>
        </w:rPr>
        <w:t>委托，拟对</w:t>
      </w:r>
      <w:r>
        <w:rPr>
          <w:rFonts w:ascii="仿宋_GB2312" w:hAnsi="仿宋_GB2312" w:cs="仿宋_GB2312" w:eastAsia="仿宋_GB2312"/>
        </w:rPr>
        <w:t>2026年度西乡县沙河镇西河口村、毛垭村、苦竹村茶叶机械采购项目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ZYGJ-HZZC-2637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2026年度西乡县沙河镇西河口村、毛垭村、苦竹村茶叶机械采购项目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西乡县沙河镇西河口村、毛垭村、苦竹村茶叶机械采购项目，共计15台各型设备，分为3个采购包</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采购包1（2026年度西乡县沙河镇西河口村茶叶机械购置项目）：属于专门面向中小企业采购。</w:t>
      </w:r>
    </w:p>
    <w:p>
      <w:pPr>
        <w:pStyle w:val="null3"/>
      </w:pPr>
      <w:r>
        <w:rPr>
          <w:rFonts w:ascii="仿宋_GB2312" w:hAnsi="仿宋_GB2312" w:cs="仿宋_GB2312" w:eastAsia="仿宋_GB2312"/>
        </w:rPr>
        <w:t>采购包2（2026年度西乡县沙河镇毛垭村茶叶机械设备购置项目）：属于专门面向中小企业采购。</w:t>
      </w:r>
    </w:p>
    <w:p>
      <w:pPr>
        <w:pStyle w:val="null3"/>
      </w:pPr>
      <w:r>
        <w:rPr>
          <w:rFonts w:ascii="仿宋_GB2312" w:hAnsi="仿宋_GB2312" w:cs="仿宋_GB2312" w:eastAsia="仿宋_GB2312"/>
        </w:rPr>
        <w:t>采购包3（2026年度西乡县沙河镇苦竹村茶叶加工设备项目）：属于专门面向中小企业采购。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1、供应商资格：供应商须为具有独立承担民事责任能力的法人、其他组织或自然人;出具合法有效的营业执照或事业单位法人证书等国家规定的相关证明，自然人参与的提供其身份证明。</w:t>
      </w:r>
    </w:p>
    <w:p>
      <w:pPr>
        <w:pStyle w:val="null3"/>
      </w:pPr>
      <w:r>
        <w:rPr>
          <w:rFonts w:ascii="仿宋_GB2312" w:hAnsi="仿宋_GB2312" w:cs="仿宋_GB2312" w:eastAsia="仿宋_GB2312"/>
        </w:rPr>
        <w:t>2、供应商代表身份证明：法定代表人直接参加投标的，须出具法人身份证；法定代表人授权代表参加投标的，须出具法定代表人授权书及授权代表身份证；</w:t>
      </w:r>
    </w:p>
    <w:p>
      <w:pPr>
        <w:pStyle w:val="null3"/>
      </w:pPr>
      <w:r>
        <w:rPr>
          <w:rFonts w:ascii="仿宋_GB2312" w:hAnsi="仿宋_GB2312" w:cs="仿宋_GB2312" w:eastAsia="仿宋_GB2312"/>
        </w:rPr>
        <w:t>3、财务与信用条件：具有良好的商业信誉和健全的财务会计制度,具有履行合同所必需的设备和专业技术能力，具有依法缴纳税收和社会保障金的良好记录，参加本项目采购活动前三年内无重大违法活动记录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，未列入在信用中国网站“失信被执行人”、“重大税收违法案件当事人名单”中(www.creditchina.gov.cn)，也未列入中国政府采购网“政府采购严重违法失信行为记录名单”中www. ccgp. gov.cn )，供应商应按照汉中市财政局《关于全面推行政府采购供应商基本资格条件承诺制的通知》（汉采办采管〔2024〕20号）文件要求，提供资格承诺函；（承诺函模板详见招标文件格式）。</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1、供应商资格：供应商须为具有独立承担民事责任能力的法人、其他组织或自然人;出具合法有效的营业执照或事业单位法人证书等国家规定的相关证明，自然人参与的提供其身份证明。</w:t>
      </w:r>
    </w:p>
    <w:p>
      <w:pPr>
        <w:pStyle w:val="null3"/>
      </w:pPr>
      <w:r>
        <w:rPr>
          <w:rFonts w:ascii="仿宋_GB2312" w:hAnsi="仿宋_GB2312" w:cs="仿宋_GB2312" w:eastAsia="仿宋_GB2312"/>
        </w:rPr>
        <w:t>2、供应商代表身份证明：法定代表人直接参加投标的，须出具法人身份证；法定代表人授权代表参加投标的，须出具法定代表人授权书及授权代表身份证；</w:t>
      </w:r>
    </w:p>
    <w:p>
      <w:pPr>
        <w:pStyle w:val="null3"/>
      </w:pPr>
      <w:r>
        <w:rPr>
          <w:rFonts w:ascii="仿宋_GB2312" w:hAnsi="仿宋_GB2312" w:cs="仿宋_GB2312" w:eastAsia="仿宋_GB2312"/>
        </w:rPr>
        <w:t>3、财务与信用条件：具有良好的商业信誉和健全的财务会计制度,具有履行合同所必需的设备和专业技术能力，具有依法缴纳税收和社会保障金的良好记录，参加本项目采购活动前三年内无重大违法活动记录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，未列入在信用中国网站“失信被执行人”、“重大税收违法案件当事人名单”中(www.creditchina.gov.cn)，也未列入中国政府采购网“政府采购严重违法失信行为记录名单”中www. ccgp. gov.cn )，供应商应按照汉中市财政局《关于全面推行政府采购供应商基本资格条件承诺制的通知》（汉采办采管〔2024〕20号）文件要求，提供资格承诺函；（承诺函模板详见招标文件格式）。</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1、供应商资格：供应商须为具有独立承担民事责任能力的法人、其他组织或自然人;出具合法有效的营业执照或事业单位法人证书等国家规定的相关证明，自然人参与的提供其身份证明。</w:t>
      </w:r>
    </w:p>
    <w:p>
      <w:pPr>
        <w:pStyle w:val="null3"/>
      </w:pPr>
      <w:r>
        <w:rPr>
          <w:rFonts w:ascii="仿宋_GB2312" w:hAnsi="仿宋_GB2312" w:cs="仿宋_GB2312" w:eastAsia="仿宋_GB2312"/>
        </w:rPr>
        <w:t>2、供应商代表身份证明：法定代表人直接参加投标的，须出具法人身份证；法定代表人授权代表参加投标的，须出具法定代表人授权书及授权代表身份证；</w:t>
      </w:r>
    </w:p>
    <w:p>
      <w:pPr>
        <w:pStyle w:val="null3"/>
      </w:pPr>
      <w:r>
        <w:rPr>
          <w:rFonts w:ascii="仿宋_GB2312" w:hAnsi="仿宋_GB2312" w:cs="仿宋_GB2312" w:eastAsia="仿宋_GB2312"/>
        </w:rPr>
        <w:t>3、财务与信用条件：具有良好的商业信誉和健全的财务会计制度,具有履行合同所必需的设备和专业技术能力，具有依法缴纳税收和社会保障金的良好记录，参加本项目采购活动前三年内无重大违法活动记录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，未列入在信用中国网站“失信被执行人”、“重大税收违法案件当事人名单”中(www.creditchina.gov.cn)，也未列入中国政府采购网“政府采购严重违法失信行为记录名单”中www. ccgp. gov.cn )，供应商应按照汉中市财政局《关于全面推行政府采购供应商基本资格条件承诺制的通知》（汉采办采管〔2024〕20号）文件要求，提供资格承诺函；（承诺函模板详见招标文件格式）。</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西乡县沙河镇人民政府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西乡县沙河镇</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西乡县沙河镇人民政府经办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0916-6366358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众赢国际咨询有限责任公司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陕西省汉中市汉台区悦景湾门面房四单元二楼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13369258576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西乡县政府采购管理股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王文德</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13991614866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采购包1：300,000.00元</w:t>
            </w:r>
          </w:p>
          <w:p>
            <w:pPr>
              <w:pStyle w:val="null3"/>
            </w:pPr>
            <w:r>
              <w:rPr>
                <w:rFonts w:ascii="仿宋_GB2312" w:hAnsi="仿宋_GB2312" w:cs="仿宋_GB2312" w:eastAsia="仿宋_GB2312"/>
              </w:rPr>
              <w:t>采购包2：300,000.00元</w:t>
            </w:r>
          </w:p>
          <w:p>
            <w:pPr>
              <w:pStyle w:val="null3"/>
            </w:pPr>
            <w:r>
              <w:rPr>
                <w:rFonts w:ascii="仿宋_GB2312" w:hAnsi="仿宋_GB2312" w:cs="仿宋_GB2312" w:eastAsia="仿宋_GB2312"/>
              </w:rPr>
              <w:t>采购包3：300,000.00元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代理服务费收费标准：按照实际中标金额的1.5%收取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西乡县沙河镇人民政府</w:t>
      </w:r>
      <w:r>
        <w:rPr>
          <w:rFonts w:ascii="仿宋_GB2312" w:hAnsi="仿宋_GB2312" w:cs="仿宋_GB2312" w:eastAsia="仿宋_GB2312"/>
        </w:rPr>
        <w:t>和</w:t>
      </w:r>
      <w:r>
        <w:rPr>
          <w:rFonts w:ascii="仿宋_GB2312" w:hAnsi="仿宋_GB2312" w:cs="仿宋_GB2312" w:eastAsia="仿宋_GB2312"/>
        </w:rPr>
        <w:t>众赢国际咨询有限责任公司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西乡县沙河镇人民政府</w:t>
      </w:r>
      <w:r>
        <w:rPr>
          <w:rFonts w:ascii="仿宋_GB2312" w:hAnsi="仿宋_GB2312" w:cs="仿宋_GB2312" w:eastAsia="仿宋_GB2312"/>
        </w:rPr>
        <w:t>负责解释。除上述招标文件内容，其他内容由</w:t>
      </w:r>
      <w:r>
        <w:rPr>
          <w:rFonts w:ascii="仿宋_GB2312" w:hAnsi="仿宋_GB2312" w:cs="仿宋_GB2312" w:eastAsia="仿宋_GB2312"/>
        </w:rPr>
        <w:t>众赢国际咨询有限责任公司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西乡县沙河镇人民政府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众赢国际咨询有限责任公司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使⽤该知识成果后，投标⼈需提供开发接⼝和开发⼿册等技术资料，并承诺提供⽆限期⽀持，采购⼈享有使⽤权(含采购⼈委托第三⽅在该项⽬后续开发的使⽤权)。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本项目采购人将严格按照《财政部关于进一步加强政府采购需求和履约验收管理的指导意见》 (财库(2016 205号)等政府采购相关法律法规的要求进行验收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本项目采购人将严格按照《财政部关于进一步加强政府采购需求和履约验收管理的指导意见》 (财库(2016 205号)等政府采购相关法律法规的要求进行验收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本项目采购人将严格按照《财政部关于进一步加强政府采购需求和履约验收管理的指导意见》(财库(2016 205号)等政府采购相关法律法规的要求进行验收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众赢国际咨询有限责任公司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众赢国际咨询有限责任公司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众赢国际咨询有限责任公司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联系人：刘先生</w:t>
      </w:r>
    </w:p>
    <w:p>
      <w:pPr>
        <w:pStyle w:val="null3"/>
      </w:pPr>
      <w:r>
        <w:rPr>
          <w:rFonts w:ascii="仿宋_GB2312" w:hAnsi="仿宋_GB2312" w:cs="仿宋_GB2312" w:eastAsia="仿宋_GB2312"/>
        </w:rPr>
        <w:t>联系电话：13369258576</w:t>
      </w:r>
    </w:p>
    <w:p>
      <w:pPr>
        <w:pStyle w:val="null3"/>
      </w:pPr>
      <w:r>
        <w:rPr>
          <w:rFonts w:ascii="仿宋_GB2312" w:hAnsi="仿宋_GB2312" w:cs="仿宋_GB2312" w:eastAsia="仿宋_GB2312"/>
        </w:rPr>
        <w:t>地址：陕西省汉中市汉台区悦景湾门面房四单元二楼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西乡县沙河镇西河口村、毛垭村、苦竹村茶叶机械采购项目，共计15台各型设备，分为3个采购包</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全自动75型揉捻机组（4台组成）</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225,000.00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150型茶叶炒干机</w:t>
            </w:r>
          </w:p>
        </w:tc>
        <w:tc>
          <w:tcPr>
            <w:tcW w:type="dxa" w:w="755"/>
          </w:tcPr>
          <w:p>
            <w:pPr>
              <w:pStyle w:val="null3"/>
              <w:jc w:val="right"/>
            </w:pPr>
            <w:r>
              <w:rPr>
                <w:rFonts w:ascii="仿宋_GB2312" w:hAnsi="仿宋_GB2312" w:cs="仿宋_GB2312" w:eastAsia="仿宋_GB2312"/>
              </w:rPr>
              <w:t>3.00</w:t>
            </w:r>
          </w:p>
        </w:tc>
        <w:tc>
          <w:tcPr>
            <w:tcW w:type="dxa" w:w="755"/>
          </w:tcPr>
          <w:p>
            <w:pPr>
              <w:pStyle w:val="null3"/>
              <w:jc w:val="right"/>
            </w:pPr>
            <w:r>
              <w:rPr>
                <w:rFonts w:ascii="仿宋_GB2312" w:hAnsi="仿宋_GB2312" w:cs="仿宋_GB2312" w:eastAsia="仿宋_GB2312"/>
              </w:rPr>
              <w:t>75,000.00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80型超热风杀青机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168,000.00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三口风选机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3</w:t>
            </w:r>
          </w:p>
        </w:tc>
        <w:tc>
          <w:tcPr>
            <w:tcW w:type="dxa" w:w="755"/>
          </w:tcPr>
          <w:p>
            <w:pPr>
              <w:pStyle w:val="null3"/>
            </w:pPr>
            <w:r>
              <w:rPr>
                <w:rFonts w:ascii="仿宋_GB2312" w:hAnsi="仿宋_GB2312" w:cs="仿宋_GB2312" w:eastAsia="仿宋_GB2312"/>
              </w:rPr>
              <w:t>60型动态烘干机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82,800.00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4</w:t>
            </w:r>
          </w:p>
        </w:tc>
        <w:tc>
          <w:tcPr>
            <w:tcW w:type="dxa" w:w="755"/>
          </w:tcPr>
          <w:p>
            <w:pPr>
              <w:pStyle w:val="null3"/>
            </w:pPr>
            <w:r>
              <w:rPr>
                <w:rFonts w:ascii="仿宋_GB2312" w:hAnsi="仿宋_GB2312" w:cs="仿宋_GB2312" w:eastAsia="仿宋_GB2312"/>
              </w:rPr>
              <w:t>65型揉捻机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16,800.00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5</w:t>
            </w:r>
          </w:p>
        </w:tc>
        <w:tc>
          <w:tcPr>
            <w:tcW w:type="dxa" w:w="755"/>
          </w:tcPr>
          <w:p>
            <w:pPr>
              <w:pStyle w:val="null3"/>
            </w:pPr>
            <w:r>
              <w:rPr>
                <w:rFonts w:ascii="仿宋_GB2312" w:hAnsi="仿宋_GB2312" w:cs="仿宋_GB2312" w:eastAsia="仿宋_GB2312"/>
              </w:rPr>
              <w:t>55型揉捻机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8,800.00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6</w:t>
            </w:r>
          </w:p>
        </w:tc>
        <w:tc>
          <w:tcPr>
            <w:tcW w:type="dxa" w:w="755"/>
          </w:tcPr>
          <w:p>
            <w:pPr>
              <w:pStyle w:val="null3"/>
            </w:pPr>
            <w:r>
              <w:rPr>
                <w:rFonts w:ascii="仿宋_GB2312" w:hAnsi="仿宋_GB2312" w:cs="仿宋_GB2312" w:eastAsia="仿宋_GB2312"/>
              </w:rPr>
              <w:t>2.0摊凉槽</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17,600.00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150型热风杀青机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标的名称：全自动75型揉捻机组（4台组成）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单台揉桶外径≥750mm、揉桶高度≥950mm</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揉捻机1组，4台为一组</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配茶叶输送机，配套上料出料设备</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主机架使用碳钢型材制作，配站台、白动清理喷嘴</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整体机架，配装送料小车(驱动轮直径≥80mm)</w:t>
            </w:r>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舱门采用气缸推动，缸径≥80mm，行程≥450mm</w:t>
            </w:r>
          </w:p>
        </w:tc>
      </w:tr>
      <w:tr>
        <w:tc>
          <w:tcPr>
            <w:tcW w:type="dxa" w:w="2769"/>
          </w:tcPr>
          <w:p>
            <w:pPr>
              <w:pStyle w:val="null3"/>
            </w:pPr>
            <w:r>
              <w:rPr>
                <w:rFonts w:ascii="仿宋_GB2312" w:hAnsi="仿宋_GB2312" w:cs="仿宋_GB2312" w:eastAsia="仿宋_GB2312"/>
              </w:rPr>
              <w:t>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智能控制、机组联动，具备以下功能:自动上料、自动揉捻、自动出料、自动解块、故障报警；</w:t>
            </w:r>
          </w:p>
        </w:tc>
      </w:tr>
      <w:tr>
        <w:tc>
          <w:tcPr>
            <w:tcW w:type="dxa" w:w="2769"/>
          </w:tcPr>
          <w:p>
            <w:pPr>
              <w:pStyle w:val="null3"/>
            </w:pPr>
            <w:r>
              <w:rPr>
                <w:rFonts w:ascii="仿宋_GB2312" w:hAnsi="仿宋_GB2312" w:cs="仿宋_GB2312" w:eastAsia="仿宋_GB2312"/>
              </w:rPr>
              <w:t>8</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单台揉捻机产量≥150kg/h，</w:t>
            </w:r>
          </w:p>
        </w:tc>
      </w:tr>
      <w:tr>
        <w:tc>
          <w:tcPr>
            <w:tcW w:type="dxa" w:w="2769"/>
          </w:tcPr>
          <w:p>
            <w:pPr>
              <w:pStyle w:val="null3"/>
            </w:pPr>
            <w:r>
              <w:rPr>
                <w:rFonts w:ascii="仿宋_GB2312" w:hAnsi="仿宋_GB2312" w:cs="仿宋_GB2312" w:eastAsia="仿宋_GB2312"/>
              </w:rPr>
              <w:t>9</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揉捻工艺：全自动编程，压力行程（轻-中-重-松压），转速可自定义</w:t>
            </w:r>
          </w:p>
        </w:tc>
      </w:tr>
      <w:tr>
        <w:tc>
          <w:tcPr>
            <w:tcW w:type="dxa" w:w="2769"/>
          </w:tcPr>
          <w:p>
            <w:pPr>
              <w:pStyle w:val="null3"/>
            </w:pPr>
            <w:r>
              <w:rPr>
                <w:rFonts w:ascii="仿宋_GB2312" w:hAnsi="仿宋_GB2312" w:cs="仿宋_GB2312" w:eastAsia="仿宋_GB2312"/>
              </w:rPr>
              <w:t>10</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电压:380V三相/50Hz</w:t>
            </w:r>
          </w:p>
        </w:tc>
      </w:tr>
      <w:tr>
        <w:tc>
          <w:tcPr>
            <w:tcW w:type="dxa" w:w="2769"/>
          </w:tcPr>
          <w:p>
            <w:pPr>
              <w:pStyle w:val="null3"/>
            </w:pPr>
            <w:r>
              <w:rPr>
                <w:rFonts w:ascii="仿宋_GB2312" w:hAnsi="仿宋_GB2312" w:cs="仿宋_GB2312" w:eastAsia="仿宋_GB2312"/>
              </w:rPr>
              <w:t>11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传动:皮带+齿轮减速箱</w:t>
            </w:r>
          </w:p>
        </w:tc>
      </w:tr>
    </w:tbl>
    <w:p>
      <w:pPr>
        <w:pStyle w:val="null3"/>
      </w:pPr>
      <w:r>
        <w:rPr>
          <w:rFonts w:ascii="仿宋_GB2312" w:hAnsi="仿宋_GB2312" w:cs="仿宋_GB2312" w:eastAsia="仿宋_GB2312"/>
        </w:rPr>
        <w:t>标的名称：150型茶叶炒干机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滚筒直径：≥1500mm</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材质：主机架使用碳钢型材焊接成形、滚筒使用3mm厚碳钢板材折弯焊接成形、灶膛内壁铺设耐火水泥；</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保温：下部耐火水泥隔温、上部夹层耐火棉</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台时产量:300kg/桶(鲜叶)</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传动方式：减速机</w:t>
            </w:r>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滚筒出口布局为拖轮无轴式</w:t>
            </w:r>
          </w:p>
        </w:tc>
      </w:tr>
      <w:tr>
        <w:tc>
          <w:tcPr>
            <w:tcW w:type="dxa" w:w="2769"/>
          </w:tcPr>
          <w:p>
            <w:pPr>
              <w:pStyle w:val="null3"/>
            </w:pPr>
            <w:r>
              <w:rPr>
                <w:rFonts w:ascii="仿宋_GB2312" w:hAnsi="仿宋_GB2312" w:cs="仿宋_GB2312" w:eastAsia="仿宋_GB2312"/>
              </w:rPr>
              <w:t>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电压：380V三相/50Hz</w:t>
            </w:r>
          </w:p>
        </w:tc>
      </w:tr>
      <w:tr>
        <w:tc>
          <w:tcPr>
            <w:tcW w:type="dxa" w:w="2769"/>
          </w:tcPr>
          <w:p>
            <w:pPr>
              <w:pStyle w:val="null3"/>
            </w:pPr>
            <w:r>
              <w:rPr>
                <w:rFonts w:ascii="仿宋_GB2312" w:hAnsi="仿宋_GB2312" w:cs="仿宋_GB2312" w:eastAsia="仿宋_GB2312"/>
              </w:rPr>
              <w:t>8</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功率：≥4kw</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标的名称：80型超热风杀青机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滚筒外径≥800mm</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滚筒内部直段长度≥4200mm</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生产率：≥100kg/h</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配套热风炉，不锈钢内胆，含鲜叶提升机，冷却输送机。</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运转电机功率≥0.75KW</w:t>
            </w:r>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外形尺寸(mm)：5000X1000X2100(±200mm）</w:t>
            </w:r>
          </w:p>
        </w:tc>
      </w:tr>
    </w:tbl>
    <w:p>
      <w:pPr>
        <w:pStyle w:val="null3"/>
      </w:pPr>
      <w:r>
        <w:rPr>
          <w:rFonts w:ascii="仿宋_GB2312" w:hAnsi="仿宋_GB2312" w:cs="仿宋_GB2312" w:eastAsia="仿宋_GB2312"/>
        </w:rPr>
        <w:t>标的名称：三口风选机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风量：≥3400m³/h</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功率≥0.55kw</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风选室有效宽度≥600 mm</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接触茶部件材质：镀锌板（喂料槽、风选箱、出茶斗、风道）</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主风机≥1.1 kW，轴流式</w:t>
            </w:r>
          </w:p>
        </w:tc>
      </w:tr>
    </w:tbl>
    <w:p>
      <w:pPr>
        <w:pStyle w:val="null3"/>
      </w:pPr>
      <w:r>
        <w:rPr>
          <w:rFonts w:ascii="仿宋_GB2312" w:hAnsi="仿宋_GB2312" w:cs="仿宋_GB2312" w:eastAsia="仿宋_GB2312"/>
        </w:rPr>
        <w:t>标的名称：60型动态烘干机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滚筒外径≥600mm</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滚筒转速:调速转速1-40r/min</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电机总功率≥3.6kw,额定电压：380v</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温度范围:100-220℃</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自动控温，数显，配电器控制箱，变频调速，含配套主机的上料器</w:t>
            </w:r>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台时产量:≥80kg</w:t>
            </w:r>
          </w:p>
        </w:tc>
      </w:tr>
      <w:tr>
        <w:tc>
          <w:tcPr>
            <w:tcW w:type="dxa" w:w="2769"/>
          </w:tcPr>
          <w:p>
            <w:pPr>
              <w:pStyle w:val="null3"/>
            </w:pPr>
            <w:r>
              <w:rPr>
                <w:rFonts w:ascii="仿宋_GB2312" w:hAnsi="仿宋_GB2312" w:cs="仿宋_GB2312" w:eastAsia="仿宋_GB2312"/>
              </w:rPr>
              <w:t>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滚筒壁厚: 1.5mm，材质为不锈钢，</w:t>
            </w:r>
          </w:p>
        </w:tc>
      </w:tr>
    </w:tbl>
    <w:p>
      <w:pPr>
        <w:pStyle w:val="null3"/>
      </w:pPr>
      <w:r>
        <w:rPr>
          <w:rFonts w:ascii="仿宋_GB2312" w:hAnsi="仿宋_GB2312" w:cs="仿宋_GB2312" w:eastAsia="仿宋_GB2312"/>
        </w:rPr>
        <w:t>标的名称：65型揉捻机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揉桶直径≥650mm</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加压方式：双柱丝杆式加压</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揉盘内径</w:t>
            </w:r>
            <w:r>
              <w:rPr>
                <w:rFonts w:ascii="仿宋_GB2312" w:hAnsi="仿宋_GB2312" w:cs="仿宋_GB2312" w:eastAsia="仿宋_GB2312"/>
                <w:sz w:val="21"/>
              </w:rPr>
              <w:t>≥1100mm</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配套功率≥3kw，额定电压：380v</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台时产量≥80kg/h.</w:t>
            </w:r>
          </w:p>
        </w:tc>
      </w:tr>
    </w:tbl>
    <w:p>
      <w:pPr>
        <w:pStyle w:val="null3"/>
      </w:pPr>
      <w:r>
        <w:rPr>
          <w:rFonts w:ascii="仿宋_GB2312" w:hAnsi="仿宋_GB2312" w:cs="仿宋_GB2312" w:eastAsia="仿宋_GB2312"/>
        </w:rPr>
        <w:t>标的名称：55型揉捻机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揉桶直径≥550mm</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加压方式:双柱丝杆式加压</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配套功率≥2.2kw，额定电压：380V</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台时产量≥60kg/h</w:t>
            </w:r>
          </w:p>
        </w:tc>
      </w:tr>
    </w:tbl>
    <w:p>
      <w:pPr>
        <w:pStyle w:val="null3"/>
      </w:pPr>
      <w:r>
        <w:rPr>
          <w:rFonts w:ascii="仿宋_GB2312" w:hAnsi="仿宋_GB2312" w:cs="仿宋_GB2312" w:eastAsia="仿宋_GB2312"/>
        </w:rPr>
        <w:t>标的名称：2.0摊凉槽</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外形尺寸≥</w:t>
            </w:r>
            <w:r>
              <w:rPr>
                <w:rFonts w:ascii="仿宋_GB2312" w:hAnsi="仿宋_GB2312" w:cs="仿宋_GB2312" w:eastAsia="仿宋_GB2312"/>
                <w:sz w:val="21"/>
              </w:rPr>
              <w:t>2100x1050x450mm（长</w:t>
            </w:r>
            <w:r>
              <w:rPr>
                <w:rFonts w:ascii="仿宋_GB2312" w:hAnsi="仿宋_GB2312" w:cs="仿宋_GB2312" w:eastAsia="仿宋_GB2312"/>
                <w:sz w:val="21"/>
              </w:rPr>
              <w:t>x</w:t>
            </w:r>
            <w:r>
              <w:rPr>
                <w:rFonts w:ascii="仿宋_GB2312" w:hAnsi="仿宋_GB2312" w:cs="仿宋_GB2312" w:eastAsia="仿宋_GB2312"/>
                <w:sz w:val="21"/>
              </w:rPr>
              <w:t>宽</w:t>
            </w:r>
            <w:r>
              <w:rPr>
                <w:rFonts w:ascii="仿宋_GB2312" w:hAnsi="仿宋_GB2312" w:cs="仿宋_GB2312" w:eastAsia="仿宋_GB2312"/>
                <w:sz w:val="21"/>
              </w:rPr>
              <w:t>x</w:t>
            </w:r>
            <w:r>
              <w:rPr>
                <w:rFonts w:ascii="仿宋_GB2312" w:hAnsi="仿宋_GB2312" w:cs="仿宋_GB2312" w:eastAsia="仿宋_GB2312"/>
                <w:sz w:val="21"/>
              </w:rPr>
              <w:t>高）</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配套功率≥</w:t>
            </w:r>
            <w:r>
              <w:rPr>
                <w:rFonts w:ascii="仿宋_GB2312" w:hAnsi="仿宋_GB2312" w:cs="仿宋_GB2312" w:eastAsia="仿宋_GB2312"/>
                <w:sz w:val="21"/>
              </w:rPr>
              <w:t>0.7kw</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接触茶叶部分为不锈钢，双风机</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标的名称：150型热风杀青机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主滚筒尺寸：滚筒长≥10000mm、滚筒外径≥1500mm</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配套超高温热风节能炉一套，含独立炉座、炉体、副炉，配套茶叶输送机一台</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使用温度；320℃-460℃（出风口温度）</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主风机功率≥15kw，引烟机功率≥5.5kw</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产量≥1000kg/小时（鲜叶量）</w:t>
            </w:r>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传动方式：使用皮带、皮带盘减速，大齿圈、链条带动主滚筒旋转，主滚筒主传动方向拖轮使用凹轮；</w:t>
            </w:r>
          </w:p>
        </w:tc>
      </w:tr>
      <w:tr>
        <w:tc>
          <w:tcPr>
            <w:tcW w:type="dxa" w:w="2769"/>
          </w:tcPr>
          <w:p>
            <w:pPr>
              <w:pStyle w:val="null3"/>
            </w:pPr>
            <w:r>
              <w:rPr>
                <w:rFonts w:ascii="仿宋_GB2312" w:hAnsi="仿宋_GB2312" w:cs="仿宋_GB2312" w:eastAsia="仿宋_GB2312"/>
              </w:rPr>
              <w:t>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材质：主机架使用碳钢喷漆制作、杀青滚筒主体使用3mm不锈钢板材折弯成型、内部导叶风管使用不锈钢焊接成型；</w:t>
            </w:r>
          </w:p>
        </w:tc>
      </w:tr>
      <w:tr>
        <w:tc>
          <w:tcPr>
            <w:tcW w:type="dxa" w:w="2769"/>
          </w:tcPr>
          <w:p>
            <w:pPr>
              <w:pStyle w:val="null3"/>
            </w:pPr>
            <w:r>
              <w:rPr>
                <w:rFonts w:ascii="仿宋_GB2312" w:hAnsi="仿宋_GB2312" w:cs="仿宋_GB2312" w:eastAsia="仿宋_GB2312"/>
              </w:rPr>
              <w:t>8</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主进风管道内径≥420mm</w:t>
            </w:r>
          </w:p>
        </w:tc>
      </w:tr>
      <w:tr>
        <w:tc>
          <w:tcPr>
            <w:tcW w:type="dxa" w:w="2769"/>
          </w:tcPr>
          <w:p>
            <w:pPr>
              <w:pStyle w:val="null3"/>
            </w:pPr>
            <w:r>
              <w:rPr>
                <w:rFonts w:ascii="仿宋_GB2312" w:hAnsi="仿宋_GB2312" w:cs="仿宋_GB2312" w:eastAsia="仿宋_GB2312"/>
              </w:rPr>
              <w:t>9</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主传动功率≥3kw</w:t>
            </w:r>
          </w:p>
        </w:tc>
      </w:tr>
      <w:tr>
        <w:tc>
          <w:tcPr>
            <w:tcW w:type="dxa" w:w="2769"/>
          </w:tcPr>
          <w:p>
            <w:pPr>
              <w:pStyle w:val="null3"/>
            </w:pPr>
            <w:r>
              <w:rPr>
                <w:rFonts w:ascii="仿宋_GB2312" w:hAnsi="仿宋_GB2312" w:cs="仿宋_GB2312" w:eastAsia="仿宋_GB2312"/>
              </w:rPr>
              <w:t>10</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滚筒可变频调速</w:t>
            </w:r>
          </w:p>
        </w:tc>
      </w:tr>
      <w:tr>
        <w:tc>
          <w:tcPr>
            <w:tcW w:type="dxa" w:w="2769"/>
          </w:tcPr>
          <w:p>
            <w:pPr>
              <w:pStyle w:val="null3"/>
            </w:pPr>
            <w:r>
              <w:rPr>
                <w:rFonts w:ascii="仿宋_GB2312" w:hAnsi="仿宋_GB2312" w:cs="仿宋_GB2312" w:eastAsia="仿宋_GB2312"/>
              </w:rPr>
              <w:t>11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配套茶叶输送机材质:主机架使用碳钠喷漆刺</w:t>
            </w:r>
          </w:p>
        </w:tc>
      </w:tr>
      <w:tr>
        <w:tc>
          <w:tcPr>
            <w:tcW w:type="dxa" w:w="2769"/>
          </w:tcPr>
          <w:p>
            <w:pPr>
              <w:pStyle w:val="null3"/>
            </w:pPr>
            <w:r>
              <w:rPr>
                <w:rFonts w:ascii="仿宋_GB2312" w:hAnsi="仿宋_GB2312" w:cs="仿宋_GB2312" w:eastAsia="仿宋_GB2312"/>
              </w:rPr>
              <w:t>12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配套茶叶输送机输送:输送不锈钢链板、提升隔板使用不锈钢折弯成型，链条选用大滚珠链条;</w:t>
            </w:r>
          </w:p>
        </w:tc>
      </w:tr>
      <w:tr>
        <w:tc>
          <w:tcPr>
            <w:tcW w:type="dxa" w:w="2769"/>
          </w:tcPr>
          <w:p>
            <w:pPr>
              <w:pStyle w:val="null3"/>
            </w:pPr>
            <w:r>
              <w:rPr>
                <w:rFonts w:ascii="仿宋_GB2312" w:hAnsi="仿宋_GB2312" w:cs="仿宋_GB2312" w:eastAsia="仿宋_GB2312"/>
              </w:rPr>
              <w:t>13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配套茶叶输送机加装匀叶器、匀叶高度可调节、使用独立电机驱动;</w:t>
            </w:r>
          </w:p>
        </w:tc>
      </w:tr>
      <w:tr>
        <w:tc>
          <w:tcPr>
            <w:tcW w:type="dxa" w:w="2769"/>
          </w:tcPr>
          <w:p>
            <w:pPr>
              <w:pStyle w:val="null3"/>
            </w:pPr>
            <w:r>
              <w:rPr>
                <w:rFonts w:ascii="仿宋_GB2312" w:hAnsi="仿宋_GB2312" w:cs="仿宋_GB2312" w:eastAsia="仿宋_GB2312"/>
              </w:rPr>
              <w:t>14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配套茶叶输送机提升高度:≥2600mm</w:t>
            </w:r>
          </w:p>
        </w:tc>
      </w:tr>
      <w:tr>
        <w:tc>
          <w:tcPr>
            <w:tcW w:type="dxa" w:w="2769"/>
          </w:tcPr>
          <w:p>
            <w:pPr>
              <w:pStyle w:val="null3"/>
            </w:pPr>
            <w:r>
              <w:rPr>
                <w:rFonts w:ascii="仿宋_GB2312" w:hAnsi="仿宋_GB2312" w:cs="仿宋_GB2312" w:eastAsia="仿宋_GB2312"/>
              </w:rPr>
              <w:t>15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配套茶叶输送机输送速度变频0.1至0.8m/s无极可调</w:t>
            </w:r>
          </w:p>
        </w:tc>
      </w:tr>
      <w:tr>
        <w:tc>
          <w:tcPr>
            <w:tcW w:type="dxa" w:w="2769"/>
          </w:tcPr>
          <w:p>
            <w:pPr>
              <w:pStyle w:val="null3"/>
            </w:pPr>
            <w:r>
              <w:rPr>
                <w:rFonts w:ascii="仿宋_GB2312" w:hAnsi="仿宋_GB2312" w:cs="仿宋_GB2312" w:eastAsia="仿宋_GB2312"/>
              </w:rPr>
              <w:t>16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配套茶叶输送机产量:1000-1750kg/小时(鲜叶量)</w:t>
            </w:r>
          </w:p>
        </w:tc>
      </w:tr>
      <w:tr>
        <w:tc>
          <w:tcPr>
            <w:tcW w:type="dxa" w:w="2769"/>
          </w:tcPr>
          <w:p>
            <w:pPr>
              <w:pStyle w:val="null3"/>
            </w:pPr>
            <w:r>
              <w:rPr>
                <w:rFonts w:ascii="仿宋_GB2312" w:hAnsi="仿宋_GB2312" w:cs="仿宋_GB2312" w:eastAsia="仿宋_GB2312"/>
              </w:rPr>
              <w:t>17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功率:≥1.68kw，电压:380V/50Hz</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 30 日历天内完成全部设备供货、现场安装、接线调试、整机试运行、操作培训并交付投入使用。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合同签订后 30 日历天内完成全部设备供货、现场安装、接线调试、整机试运行、操作培训并交付投入使用。</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合同签订后 30 日历天内完成全部设备供货、现场安装、接线调试、整机试运行、操作培训并交付投入使用。</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预付款，合同签订生效，中标供应商按采购人要求提交全套履约资料并开具等额合规发票后，达到付款条件起7个工作日内，支付合同总金额的40.0%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全部设备运送至采购人指定地点，完成卸货、摆放、外包装拆除，甲乙双方现场共同清点核对设备规格、数量、配件无误，供应商开具对应等额发票后，达到付款条件起7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进度款，供应商完成全部设备安装、布线、整机调试、联动试运行，经采购人组织履约验收合格，供应商开具剩余全额发票，达到付款条件起7个工作日内，支付合同总金额的20.0%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预付款，中标供应商按采购人要求提交全套履约资料并开具等额合规发票后，达到付款条件起7个工作日内，支付合同总金额的40.0%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全部设备运送至采购人指定地点，完成卸货、摆放、外包装拆除，甲乙双方现场共同清点核对设备规格、数量、配件无误，供应商开具对应等额发票后，达到付款条件起7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进度款，供应商完成全部设备安装、布线、整机调试、联动试运行，经采购人组织履约验收合格，供应商开具剩余全额发票，达到付款条件起7个工作日内，支付合同总金额的20.0%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预付款，合同签订生效，中标供应商按采购人要求提交全套履约资料并开具等额合规发票后，达到付款条件起7个工作日内，支付合同总金额的40.0%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全部设备运送至采购人指定地点，完成卸货、摆放、外包装拆除，甲乙双方现场共同清点核对设备规格、数量、配件无误，供应商开具对应等额发票后，达到付款条件起7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进度款，供应商完成全部设备安装、布线、整机调试、联动试运行，经采购人组织履约验收合格，供应商开具剩余全额发票，达到付款条件起7个工作日内，支付合同总金额的20.0%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供应商完成全部设备供货、安装、调试、试运行及实操培训后，采购人对照招标文件、投标文件、合同约定及设备技术参数逐项现场核验组织一次性整体履约验收。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供应商完成全部设备供货、安装、调试、试运行及实操培训后，采购人对照招标文件、投标文件、合同约定及设备技术参数逐项现场核验组织一次性整体履约验收。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供应商完成全部设备供货、安装、调试、试运行及实操培训后，采购人对照招标文件、投标文件、合同约定及设备技术参数逐项现场核验组织一次性整体履约验收。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全部设备整体免费质保不少于2年，质保期内免费上门维修、配件更换、年度巡检保养。</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全部设备整体免费质保不少于 2年，质保期内免费上门维修、配件更换、年度巡检保养。</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全部设备整体免费质保不少于 2年，质保期内免费上门维修、配件更换、年度巡检保养。</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本项⽬在履约过程中发⽣的争议，由甲、⼄双⽅当事⼈协商解决，协商不成的提交西乡县仲裁委员会仲裁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本项⽬在履约过程中发⽣的争议，由甲、⼄双⽅当事⼈协商解决，协商不成的提交西乡县仲裁委员会仲裁</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本项⽬在履约过程中发⽣的争议，由甲、⼄双⽅当事⼈协商解决，协商不成的提交西乡县仲裁委员会仲裁</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因项目存档需要，成交供应商在中标公示后5个工作日内向代理机构提交纸质响应文件1正1副，所提交响应文件应与投标所提交加密文件内容一致，印章齐全。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供应商资格</w:t>
            </w:r>
          </w:p>
        </w:tc>
        <w:tc>
          <w:tcPr>
            <w:tcW w:type="dxa" w:w="3322"/>
          </w:tcPr>
          <w:p>
            <w:pPr>
              <w:pStyle w:val="null3"/>
            </w:pPr>
            <w:r>
              <w:rPr>
                <w:rFonts w:ascii="仿宋_GB2312" w:hAnsi="仿宋_GB2312" w:cs="仿宋_GB2312" w:eastAsia="仿宋_GB2312"/>
              </w:rPr>
              <w:t>供应商须为具有独立承担民事责任能力的法人、其他组织或自然人;出具合法有效的营业执照或事业单位法人证书等国家规定的相关证明，自然人参与的提供其身份证明。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供应商代表身份证明</w:t>
            </w:r>
          </w:p>
        </w:tc>
        <w:tc>
          <w:tcPr>
            <w:tcW w:type="dxa" w:w="3322"/>
          </w:tcPr>
          <w:p>
            <w:pPr>
              <w:pStyle w:val="null3"/>
            </w:pPr>
            <w:r>
              <w:rPr>
                <w:rFonts w:ascii="仿宋_GB2312" w:hAnsi="仿宋_GB2312" w:cs="仿宋_GB2312" w:eastAsia="仿宋_GB2312"/>
              </w:rPr>
              <w:t>法定代表人直接参加投标的，须出具法人身份证；法定代表人授权代表参加投标的，须出具法定代表人授权书及授权代表身份证；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财务与信用条件</w:t>
            </w:r>
          </w:p>
        </w:tc>
        <w:tc>
          <w:tcPr>
            <w:tcW w:type="dxa" w:w="3322"/>
          </w:tcPr>
          <w:p>
            <w:pPr>
              <w:pStyle w:val="null3"/>
            </w:pPr>
            <w:r>
              <w:rPr>
                <w:rFonts w:ascii="仿宋_GB2312" w:hAnsi="仿宋_GB2312" w:cs="仿宋_GB2312" w:eastAsia="仿宋_GB2312"/>
              </w:rPr>
              <w:t>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，未列入在信用中国网站“失信被执行人”、“重大税收违法案件当事人名单”中(www.creditchina.gov.cn)，也未列入中国政府采购网“政府采购严重违法失信行为记录名单”中www. ccgp. gov.cn )，供应商应按照汉中市财政局《关于全面推行政府采购供应商基本资格条件承诺制的通知》（汉采办采管〔2024〕20号）文件要求，提供资格承诺函；（承诺函模板详见招标文件格式）。</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供应商资格</w:t>
            </w:r>
          </w:p>
        </w:tc>
        <w:tc>
          <w:tcPr>
            <w:tcW w:type="dxa" w:w="3322"/>
          </w:tcPr>
          <w:p>
            <w:pPr>
              <w:pStyle w:val="null3"/>
            </w:pPr>
            <w:r>
              <w:rPr>
                <w:rFonts w:ascii="仿宋_GB2312" w:hAnsi="仿宋_GB2312" w:cs="仿宋_GB2312" w:eastAsia="仿宋_GB2312"/>
              </w:rPr>
              <w:t>供应商须为具有独立承担民事责任能力的法人、其他组织或自然人;出具合法有效的营业执照或事业单位法人证书等国家规定的相关证明，自然人参与的提供其身份证明。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供应商代表身份证明</w:t>
            </w:r>
          </w:p>
        </w:tc>
        <w:tc>
          <w:tcPr>
            <w:tcW w:type="dxa" w:w="3322"/>
          </w:tcPr>
          <w:p>
            <w:pPr>
              <w:pStyle w:val="null3"/>
            </w:pPr>
            <w:r>
              <w:rPr>
                <w:rFonts w:ascii="仿宋_GB2312" w:hAnsi="仿宋_GB2312" w:cs="仿宋_GB2312" w:eastAsia="仿宋_GB2312"/>
              </w:rPr>
              <w:t>法定代表人直接参加投标的，须出具法人身份证；法定代表人授权代表参加投标的，须出具法定代表人授权书及授权代表身份证；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财务与信用条件</w:t>
            </w:r>
          </w:p>
        </w:tc>
        <w:tc>
          <w:tcPr>
            <w:tcW w:type="dxa" w:w="3322"/>
          </w:tcPr>
          <w:p>
            <w:pPr>
              <w:pStyle w:val="null3"/>
            </w:pPr>
            <w:r>
              <w:rPr>
                <w:rFonts w:ascii="仿宋_GB2312" w:hAnsi="仿宋_GB2312" w:cs="仿宋_GB2312" w:eastAsia="仿宋_GB2312"/>
              </w:rPr>
              <w:t>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，未列入在信用中国网站“失信被执行人”、“重大税收违法案件当事人名单”中(www.creditchina.gov.cn)，也未列入中国政府采购网“政府采购严重违法失信行为记录名单”中www. ccgp. gov.cn )，供应商应按照汉中市财政局《关于全面推行政府采购供应商基本资格条件承诺制的通知》（汉采办采管〔2024〕20号）文件要求，提供资格承诺函；（承诺函模板详见招标文件格式）。</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供应商资格</w:t>
            </w:r>
          </w:p>
        </w:tc>
        <w:tc>
          <w:tcPr>
            <w:tcW w:type="dxa" w:w="3322"/>
          </w:tcPr>
          <w:p>
            <w:pPr>
              <w:pStyle w:val="null3"/>
            </w:pPr>
            <w:r>
              <w:rPr>
                <w:rFonts w:ascii="仿宋_GB2312" w:hAnsi="仿宋_GB2312" w:cs="仿宋_GB2312" w:eastAsia="仿宋_GB2312"/>
              </w:rPr>
              <w:t>供应商须为具有独立承担民事责任能力的法人、其他组织或自然人;出具合法有效的营业执照或事业单位法人证书等国家规定的相关证明，自然人参与的提供其身份证明。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供应商代表身份证明</w:t>
            </w:r>
          </w:p>
        </w:tc>
        <w:tc>
          <w:tcPr>
            <w:tcW w:type="dxa" w:w="3322"/>
          </w:tcPr>
          <w:p>
            <w:pPr>
              <w:pStyle w:val="null3"/>
            </w:pPr>
            <w:r>
              <w:rPr>
                <w:rFonts w:ascii="仿宋_GB2312" w:hAnsi="仿宋_GB2312" w:cs="仿宋_GB2312" w:eastAsia="仿宋_GB2312"/>
              </w:rPr>
              <w:t>法定代表人直接参加投标的，须出具法人身份证；法定代表人授权代表参加投标的，须出具法定代表人授权书及授权代表身份证；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财务与信用条件</w:t>
            </w:r>
          </w:p>
        </w:tc>
        <w:tc>
          <w:tcPr>
            <w:tcW w:type="dxa" w:w="3322"/>
          </w:tcPr>
          <w:p>
            <w:pPr>
              <w:pStyle w:val="null3"/>
            </w:pPr>
            <w:r>
              <w:rPr>
                <w:rFonts w:ascii="仿宋_GB2312" w:hAnsi="仿宋_GB2312" w:cs="仿宋_GB2312" w:eastAsia="仿宋_GB2312"/>
              </w:rPr>
              <w:t>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，未列入在信用中国网站“失信被执行人”、“重大税收违法案件当事人名单”中(www.creditchina.gov.cn)，也未列入中国政府采购网“政府采购严重违法失信行为记录名单”中www. ccgp. gov.cn )，供应商应按照汉中市财政局《关于全面推行政府采购供应商基本资格条件承诺制的通知》（汉采办采管〔2024〕20号）文件要求，提供资格承诺函；（承诺函模板详见招标文件格式）。</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响应文件封面、响应函的项目名称、项目编号、采购包（如有）</w:t>
            </w:r>
          </w:p>
        </w:tc>
        <w:tc>
          <w:tcPr>
            <w:tcW w:type="dxa" w:w="3322"/>
          </w:tcPr>
          <w:p>
            <w:pPr>
              <w:pStyle w:val="null3"/>
            </w:pPr>
            <w:r>
              <w:rPr>
                <w:rFonts w:ascii="仿宋_GB2312" w:hAnsi="仿宋_GB2312" w:cs="仿宋_GB2312" w:eastAsia="仿宋_GB2312"/>
              </w:rPr>
              <w:t>无遗漏，且与所投项目名称、项目编号、采购包（如有）一致。</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响应文件中未按照招标文件规定要求签字、盖章的</w:t>
            </w:r>
          </w:p>
        </w:tc>
        <w:tc>
          <w:tcPr>
            <w:tcW w:type="dxa" w:w="1661"/>
          </w:tcPr>
          <w:p>
            <w:pPr>
              <w:pStyle w:val="null3"/>
            </w:pPr>
            <w:r>
              <w:rPr>
                <w:rFonts w:ascii="仿宋_GB2312" w:hAnsi="仿宋_GB2312" w:cs="仿宋_GB2312" w:eastAsia="仿宋_GB2312"/>
              </w:rPr>
              <w:t>开标一览表 产品技术参数表 投标函 商务应答表 标的清单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技术参数响应</w:t>
            </w:r>
          </w:p>
        </w:tc>
        <w:tc>
          <w:tcPr>
            <w:tcW w:type="dxa" w:w="3322"/>
          </w:tcPr>
          <w:p>
            <w:pPr>
              <w:pStyle w:val="null3"/>
            </w:pPr>
            <w:r>
              <w:rPr>
                <w:rFonts w:ascii="仿宋_GB2312" w:hAnsi="仿宋_GB2312" w:cs="仿宋_GB2312" w:eastAsia="仿宋_GB2312"/>
              </w:rPr>
              <w:t>不满足招标文件中实质性条款要求的（标注★的参数不可偏离出现一项既属于不满足实质性条款要求）</w:t>
            </w:r>
          </w:p>
        </w:tc>
        <w:tc>
          <w:tcPr>
            <w:tcW w:type="dxa" w:w="1661"/>
          </w:tcPr>
          <w:p>
            <w:pPr>
              <w:pStyle w:val="null3"/>
            </w:pPr>
            <w:r>
              <w:rPr>
                <w:rFonts w:ascii="仿宋_GB2312" w:hAnsi="仿宋_GB2312" w:cs="仿宋_GB2312" w:eastAsia="仿宋_GB2312"/>
              </w:rPr>
              <w:t>产品技术参数表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响应文件含有采购人不能接受的附加条件的或其他情形。</w:t>
            </w:r>
          </w:p>
        </w:tc>
        <w:tc>
          <w:tcPr>
            <w:tcW w:type="dxa" w:w="1661"/>
          </w:tcPr>
          <w:p>
            <w:pPr>
              <w:pStyle w:val="null3"/>
            </w:pPr>
            <w:r>
              <w:rPr>
                <w:rFonts w:ascii="仿宋_GB2312" w:hAnsi="仿宋_GB2312" w:cs="仿宋_GB2312" w:eastAsia="仿宋_GB2312"/>
              </w:rPr>
              <w:t>商务应答表</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响应文件封面、响应函的项目名称、项目编号、采购包(如有)</w:t>
            </w:r>
          </w:p>
        </w:tc>
        <w:tc>
          <w:tcPr>
            <w:tcW w:type="dxa" w:w="3322"/>
          </w:tcPr>
          <w:p>
            <w:pPr>
              <w:pStyle w:val="null3"/>
            </w:pPr>
            <w:r>
              <w:rPr>
                <w:rFonts w:ascii="仿宋_GB2312" w:hAnsi="仿宋_GB2312" w:cs="仿宋_GB2312" w:eastAsia="仿宋_GB2312"/>
              </w:rPr>
              <w:t>无遗漏，且与所投项目名称、项目编号、采购包(如有)一致。</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响应文件中未按照招标文件规定要求签字、盖章的</w:t>
            </w:r>
          </w:p>
        </w:tc>
        <w:tc>
          <w:tcPr>
            <w:tcW w:type="dxa" w:w="1661"/>
          </w:tcPr>
          <w:p>
            <w:pPr>
              <w:pStyle w:val="null3"/>
            </w:pPr>
            <w:r>
              <w:rPr>
                <w:rFonts w:ascii="仿宋_GB2312" w:hAnsi="仿宋_GB2312" w:cs="仿宋_GB2312" w:eastAsia="仿宋_GB2312"/>
              </w:rPr>
              <w:t>开标一览表 产品技术参数表 投标函 商务应答表 标的清单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技术参数响应</w:t>
            </w:r>
          </w:p>
        </w:tc>
        <w:tc>
          <w:tcPr>
            <w:tcW w:type="dxa" w:w="3322"/>
          </w:tcPr>
          <w:p>
            <w:pPr>
              <w:pStyle w:val="null3"/>
            </w:pPr>
            <w:r>
              <w:rPr>
                <w:rFonts w:ascii="仿宋_GB2312" w:hAnsi="仿宋_GB2312" w:cs="仿宋_GB2312" w:eastAsia="仿宋_GB2312"/>
              </w:rPr>
              <w:t>不满足招标文件中实质性条款要求的（标注★的参数不可偏离出现一项既属于不满足实质性条款要求）</w:t>
            </w:r>
          </w:p>
        </w:tc>
        <w:tc>
          <w:tcPr>
            <w:tcW w:type="dxa" w:w="1661"/>
          </w:tcPr>
          <w:p>
            <w:pPr>
              <w:pStyle w:val="null3"/>
            </w:pPr>
            <w:r>
              <w:rPr>
                <w:rFonts w:ascii="仿宋_GB2312" w:hAnsi="仿宋_GB2312" w:cs="仿宋_GB2312" w:eastAsia="仿宋_GB2312"/>
              </w:rPr>
              <w:t>产品技术参数表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响应文件含有采购人不能接受的附加条件的或其他情形。</w:t>
            </w:r>
          </w:p>
        </w:tc>
        <w:tc>
          <w:tcPr>
            <w:tcW w:type="dxa" w:w="1661"/>
          </w:tcPr>
          <w:p>
            <w:pPr>
              <w:pStyle w:val="null3"/>
            </w:pPr>
            <w:r>
              <w:rPr>
                <w:rFonts w:ascii="仿宋_GB2312" w:hAnsi="仿宋_GB2312" w:cs="仿宋_GB2312" w:eastAsia="仿宋_GB2312"/>
              </w:rPr>
              <w:t>商务应答表</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响应文件封面、响应函的项目名称、项目编号、采购包(如有)</w:t>
            </w:r>
          </w:p>
        </w:tc>
        <w:tc>
          <w:tcPr>
            <w:tcW w:type="dxa" w:w="3322"/>
          </w:tcPr>
          <w:p>
            <w:pPr>
              <w:pStyle w:val="null3"/>
            </w:pPr>
            <w:r>
              <w:rPr>
                <w:rFonts w:ascii="仿宋_GB2312" w:hAnsi="仿宋_GB2312" w:cs="仿宋_GB2312" w:eastAsia="仿宋_GB2312"/>
              </w:rPr>
              <w:t>无遗漏，且与所投项目名称、项目编号、采购包(如有)一致。</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响应文件中未按照招标文件规定要求签字、盖章的</w:t>
            </w:r>
          </w:p>
        </w:tc>
        <w:tc>
          <w:tcPr>
            <w:tcW w:type="dxa" w:w="1661"/>
          </w:tcPr>
          <w:p>
            <w:pPr>
              <w:pStyle w:val="null3"/>
            </w:pPr>
            <w:r>
              <w:rPr>
                <w:rFonts w:ascii="仿宋_GB2312" w:hAnsi="仿宋_GB2312" w:cs="仿宋_GB2312" w:eastAsia="仿宋_GB2312"/>
              </w:rPr>
              <w:t>开标一览表 产品技术参数表 投标函 商务应答表 标的清单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技术参数响应</w:t>
            </w:r>
          </w:p>
        </w:tc>
        <w:tc>
          <w:tcPr>
            <w:tcW w:type="dxa" w:w="3322"/>
          </w:tcPr>
          <w:p>
            <w:pPr>
              <w:pStyle w:val="null3"/>
            </w:pPr>
            <w:r>
              <w:rPr>
                <w:rFonts w:ascii="仿宋_GB2312" w:hAnsi="仿宋_GB2312" w:cs="仿宋_GB2312" w:eastAsia="仿宋_GB2312"/>
              </w:rPr>
              <w:t>不满足招标文件中实质性条款要求的（标注★的参数不可偏离出现一项既属于不满足实质性条款要求）</w:t>
            </w:r>
          </w:p>
        </w:tc>
        <w:tc>
          <w:tcPr>
            <w:tcW w:type="dxa" w:w="1661"/>
          </w:tcPr>
          <w:p>
            <w:pPr>
              <w:pStyle w:val="null3"/>
            </w:pPr>
            <w:r>
              <w:rPr>
                <w:rFonts w:ascii="仿宋_GB2312" w:hAnsi="仿宋_GB2312" w:cs="仿宋_GB2312" w:eastAsia="仿宋_GB2312"/>
              </w:rPr>
              <w:t>产品技术参数表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响应文件含有采购人不能接受的附加条件的或其他情形。</w:t>
            </w:r>
          </w:p>
        </w:tc>
        <w:tc>
          <w:tcPr>
            <w:tcW w:type="dxa" w:w="1661"/>
          </w:tcPr>
          <w:p>
            <w:pPr>
              <w:pStyle w:val="null3"/>
            </w:pPr>
            <w:r>
              <w:rPr>
                <w:rFonts w:ascii="仿宋_GB2312" w:hAnsi="仿宋_GB2312" w:cs="仿宋_GB2312" w:eastAsia="仿宋_GB2312"/>
              </w:rPr>
              <w:t>商务应答表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参数响应</w:t>
            </w:r>
          </w:p>
        </w:tc>
        <w:tc>
          <w:tcPr>
            <w:tcW w:type="dxa" w:w="2492"/>
          </w:tcPr>
          <w:p>
            <w:pPr>
              <w:pStyle w:val="null3"/>
            </w:pPr>
            <w:r>
              <w:rPr>
                <w:rFonts w:ascii="仿宋_GB2312" w:hAnsi="仿宋_GB2312" w:cs="仿宋_GB2312" w:eastAsia="仿宋_GB2312"/>
              </w:rPr>
              <w:t>投标产品技术指标完全满⾜招标技术要求得30分； 其中：（1） “★”标记参数出现负偏离的，投标按废标处理； （2）“▲ ”标记参数，共15条，每出现1个负偏离的，扣2分，⽆偏离或正偏离不扣分，15条累计最多扣30分；“★”标记参数未按要求提供参数证明材料，对应参数⼀律按负偏离判定。评审依据：产品检测报告、合格证、图册、技术说明书、⼚家佐证资料。（以上资料加盖供应商企业公章）</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产品来源渠道</w:t>
            </w:r>
          </w:p>
        </w:tc>
        <w:tc>
          <w:tcPr>
            <w:tcW w:type="dxa" w:w="2492"/>
          </w:tcPr>
          <w:p>
            <w:pPr>
              <w:pStyle w:val="null3"/>
            </w:pPr>
            <w:r>
              <w:rPr>
                <w:rFonts w:ascii="仿宋_GB2312" w:hAnsi="仿宋_GB2312" w:cs="仿宋_GB2312" w:eastAsia="仿宋_GB2312"/>
              </w:rPr>
              <w:t>所投产品符合相关标准且⽆产权纠纷，⽆假货、⽔货、翻新货，提供所投产品来源渠道合法证明⽂件(包括但不限于销售协议、代理协议、原⼚授权等)，每提供一类产品对应有效来源证明得 3 分，本项最高得6分；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投标人认为应该提供的其他资料.docx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提供2023年1⽉1⽇至今茶叶或食品加工机械设备供货业绩，每提供 1 个有效业绩得2.5分，满分5分。 评审依据：提供加盖供应商公章的合同扫描件或成交（中标）通知书扫描件（时间以合同 / 通知书落款为准）。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供应商类似项目业绩一览表.docx</w:t>
            </w:r>
          </w:p>
        </w:tc>
      </w:tr>
      <w:tr>
        <w:tc>
          <w:tcPr>
            <w:tcW w:type="dxa" w:w="831"/>
            <w:vMerge/>
          </w:tcPr>
          <w:p/>
        </w:tc>
        <w:tc>
          <w:tcPr>
            <w:tcW w:type="dxa" w:w="1661"/>
          </w:tcPr>
          <w:p>
            <w:pPr>
              <w:pStyle w:val="null3"/>
            </w:pPr>
            <w:r>
              <w:rPr>
                <w:rFonts w:ascii="仿宋_GB2312" w:hAnsi="仿宋_GB2312" w:cs="仿宋_GB2312" w:eastAsia="仿宋_GB2312"/>
              </w:rPr>
              <w:t>服务人员配置</w:t>
            </w:r>
          </w:p>
        </w:tc>
        <w:tc>
          <w:tcPr>
            <w:tcW w:type="dxa" w:w="2492"/>
          </w:tcPr>
          <w:p>
            <w:pPr>
              <w:pStyle w:val="null3"/>
            </w:pPr>
            <w:r>
              <w:rPr>
                <w:rFonts w:ascii="仿宋_GB2312" w:hAnsi="仿宋_GB2312" w:cs="仿宋_GB2312" w:eastAsia="仿宋_GB2312"/>
              </w:rPr>
              <w:t>服务团队⼈员每提供⼀⼈得3分，最多得9分。评审依据：⾝份证、劳动合同或社保证明的扫描件。</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拟投入本项目人员配置情况表.docx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供应商对本项目提供的实施方案中包括：①货源组织及供货进度计划方案；②质量控制措施、关键节点把控方案；③包装运输及安装调试方案；④退货换货机制；⑤项目应急预案，以上5项内容完整且符合采购需求的得10分，每缺一项2分，每有一处缺陷扣1分，直至本项分值扣完为止。 注：（1）以上内容符合采购需求是指①内容与项目技术服务需求吻合，有具体详细的阐述；②阐述从实际出发，切合项目背景、项目需求发现问题并提出合理化专业技术建议或者解决方案；③内容符合国家、地方、行业标准、行业惯例以及项目特点；④内容清楚明了、表述规范、含义准确。 (2)存在缺陷是指①仅有框架或标题、或仅有复制招标内容的要求；②内容不完整、方案中出现套用（复制）其他项目方案或内容；③内容中出现前后描述不一致现象或语言描述出现有错误；④内容涉及适用的规范及标准(方法)出现错误、实施地点区域错误、项目名称错误等任意一种情形。 (3)以评审专家结合项目实际情况和响应文件综合评定为准。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实施方案和售后方案.docx</w:t>
            </w:r>
          </w:p>
          <w:p>
            <w:pPr>
              <w:pStyle w:val="null3"/>
            </w:pPr>
            <w:r>
              <w:rPr>
                <w:rFonts w:ascii="仿宋_GB2312" w:hAnsi="仿宋_GB2312" w:cs="仿宋_GB2312" w:eastAsia="仿宋_GB2312"/>
              </w:rPr>
              <w:t>拟投入本项目人员配置情况表.docx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供应商对本项目提供的售后服务方案中包括：①售后服务机构或售后服务网点配置；②售后服务设备和人员配置；③质量跟踪计划；④产品使用培训计划及方案；⑤售后服务响应方案及响应时间，以上5项内容完整且符合采购需求的得10分，每缺一项扣2分，每有一处缺陷扣1分，直至本项分值扣完为止。 注：以上内容符合采购需求是指①内容与项目技术服务需求吻合，有具体详细的阐述；②阐述从实际出发，切合项目背景、项目需求发现问题并提出合理化专业技术建议或者解决方案；③内容符合国家、地方、行业标准、行业惯例以及项目特点；④内容清楚明了、表述规范、含义准确。 (2)存在缺陷是指①仅有框架或标题、或仅有复制招标内容的要求；②内容不完整、方案中出现套用（复制）其他项目方案或内容；③内容中出现前后描述不一致现象或语言描述出现有错误；④内容涉及适用的规范及标准(方法)出现错误、实施地点区域错误、项目名称错误等任意一种情形。 (3)以评审专家结合项目实际情况和响应文件综合评定为准。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实施方案和售后方案.docx</w:t>
            </w:r>
          </w:p>
          <w:p>
            <w:pPr>
              <w:pStyle w:val="null3"/>
            </w:pPr>
            <w:r>
              <w:rPr>
                <w:rFonts w:ascii="仿宋_GB2312" w:hAnsi="仿宋_GB2312" w:cs="仿宋_GB2312" w:eastAsia="仿宋_GB2312"/>
              </w:rPr>
              <w:t>拟投入本项目人员配置情况表.docx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满足磋商文件要求且报价最低的为评审基准价，价格得分=（评审基准价/报价）×标准分值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参数响应</w:t>
            </w:r>
          </w:p>
        </w:tc>
        <w:tc>
          <w:tcPr>
            <w:tcW w:type="dxa" w:w="2492"/>
          </w:tcPr>
          <w:p>
            <w:pPr>
              <w:pStyle w:val="null3"/>
            </w:pPr>
            <w:r>
              <w:rPr>
                <w:rFonts w:ascii="仿宋_GB2312" w:hAnsi="仿宋_GB2312" w:cs="仿宋_GB2312" w:eastAsia="仿宋_GB2312"/>
              </w:rPr>
              <w:t>投标产品技术指标完全满⾜招标技术要求得25分； 其中：（1） “★”标记参数出现负偏离的，投标按废标处理； （2）“▲ ”标记参数，共25条，每出现1个负偏离的，扣1分，⽆偏离或正偏离不扣分，25条累计最多扣25分；“★”标记参数未按要求提供参数证明材料，对应参数⼀律按负偏离判定。评审依据：产品检测报告、合格证、图册、技术说明书、⼚家佐证资料。（以上资料加盖供应商企业公章）</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产品来源渠道</w:t>
            </w:r>
          </w:p>
        </w:tc>
        <w:tc>
          <w:tcPr>
            <w:tcW w:type="dxa" w:w="2492"/>
          </w:tcPr>
          <w:p>
            <w:pPr>
              <w:pStyle w:val="null3"/>
            </w:pPr>
            <w:r>
              <w:rPr>
                <w:rFonts w:ascii="仿宋_GB2312" w:hAnsi="仿宋_GB2312" w:cs="仿宋_GB2312" w:eastAsia="仿宋_GB2312"/>
              </w:rPr>
              <w:t>所投产品符合相关标准且⽆产权纠纷，⽆假货、⽔货、翻新货，提供所投产品来源渠道合法证明⽂件(包括但不限于销售协议、代理协议、原⼚授权等)，每提供一类产品对应有效来源证明得2 分，本项最高得12分；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投标人认为应该提供的其他资料.docx</w:t>
            </w:r>
          </w:p>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提供2023年1⽉1⽇至今茶叶或食品加工机械设备供货业绩，每提供 1 个有效业绩得2分，满分4分。 评审依据：提供加盖供应商公章的合同扫描件或成交（中标）通知书扫描件（时间以合同 / 通知书落款为准）。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供应商类似项目业绩一览表.docx</w:t>
            </w:r>
          </w:p>
        </w:tc>
      </w:tr>
      <w:tr>
        <w:tc>
          <w:tcPr>
            <w:tcW w:type="dxa" w:w="831"/>
            <w:vMerge/>
          </w:tcPr>
          <w:p/>
        </w:tc>
        <w:tc>
          <w:tcPr>
            <w:tcW w:type="dxa" w:w="1661"/>
          </w:tcPr>
          <w:p>
            <w:pPr>
              <w:pStyle w:val="null3"/>
            </w:pPr>
            <w:r>
              <w:rPr>
                <w:rFonts w:ascii="仿宋_GB2312" w:hAnsi="仿宋_GB2312" w:cs="仿宋_GB2312" w:eastAsia="仿宋_GB2312"/>
              </w:rPr>
              <w:t>团队⼈员配置</w:t>
            </w:r>
          </w:p>
        </w:tc>
        <w:tc>
          <w:tcPr>
            <w:tcW w:type="dxa" w:w="2492"/>
          </w:tcPr>
          <w:p>
            <w:pPr>
              <w:pStyle w:val="null3"/>
            </w:pPr>
            <w:r>
              <w:rPr>
                <w:rFonts w:ascii="仿宋_GB2312" w:hAnsi="仿宋_GB2312" w:cs="仿宋_GB2312" w:eastAsia="仿宋_GB2312"/>
              </w:rPr>
              <w:t>服务团队⼈员每提供⼀⼈得3分，最多得9分。评审依据：⾝份证、劳动合同或社保缴纳证明的扫描件。</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拟投入本项目人员配置情况表.docx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供应商对本项目提供的实施方案中包括：①货源组织及供货进度计划方案；②质量控制措施、关键节点把控方案；③包装运输及安装调试方案；④退货换货机制；⑤项目应急预案，以上5项内容完整且符合采购需求的得10分，每缺一项2分，每有一处缺陷扣1分，直至本项分值扣完为止。 注：（1）以上内容符合采购需求是指①内容与项目技术服务需求吻合，有具体详细的阐述；②阐述从实际出发，切合项目背景、项目需求发现问题并提出合理化专业技术建议或者解决方案；③内容符合国家、地方、行业标准、行业惯例以及项目特点；④内容清楚明了、表述规范、含义准确。 (2)存在缺陷是指①仅有框架或标题、或仅有复制招标内容的要求；②内容不完整、方案中出现套用（复制）其他项目方案或内容；③内容中出现前后描述不一致现象或语言描述出现有错误；④内容涉及适用的规范及标准(方法)出现错误、实施地点区域错误、项目名称错误等任意一种情形。 (3)以评审专家结合项目实际情况和响应文件综合评定为准。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拟投入本项目人员配置情况表.docx</w:t>
            </w:r>
          </w:p>
          <w:p>
            <w:pPr>
              <w:pStyle w:val="null3"/>
            </w:pPr>
            <w:r>
              <w:rPr>
                <w:rFonts w:ascii="仿宋_GB2312" w:hAnsi="仿宋_GB2312" w:cs="仿宋_GB2312" w:eastAsia="仿宋_GB2312"/>
              </w:rPr>
              <w:t>实施方案和售后方案.docx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供应商对本项目提供的售后服务方案中包括：①售后服务机构或售后服务网点配置；②售后服务设备和人员配置；③质量跟踪计划；④产品使用培训计划及方案；⑤售后服务响应方案及响应时间，以上5项内容完整且符合采购需求的得10分，每缺一项扣2分，每有一处缺陷扣1分，直至本项分值扣完为止。 注：以上内容符合采购需求是指①内容与项目技术服务需求吻合，有具体详细的阐述；②阐述从实际出发，切合项目背景、项目需求发现问题并提出合理化专业技术建议或者解决方案；③内容符合国家、地方、行业标准、行业惯例以及项目特点；④内容清楚明了、表述规范、含义准确。 (2)存在缺陷是指①仅有框架或标题、或仅有复制招标内容的要求；②内容不完整、方案中出现套用（复制）其他项目方案或内容；③内容中出现前后描述不一致现象或语言描述出现有错误；④内容涉及适用的规范及标准(方法)出现错误、实施地点区域错误、项目名称错误等任意一种情形。 (3)以评审专家结合项目实际情况和响应文件综合评定为准。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拟投入本项目人员配置情况表.docx</w:t>
            </w:r>
          </w:p>
          <w:p>
            <w:pPr>
              <w:pStyle w:val="null3"/>
            </w:pPr>
            <w:r>
              <w:rPr>
                <w:rFonts w:ascii="仿宋_GB2312" w:hAnsi="仿宋_GB2312" w:cs="仿宋_GB2312" w:eastAsia="仿宋_GB2312"/>
              </w:rPr>
              <w:t>实施方案和售后方案.docx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满足磋商文件要求且报价最低的为评审基准价，价格得分=（评审基准价/报价）×标准分值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参数响应</w:t>
            </w:r>
          </w:p>
        </w:tc>
        <w:tc>
          <w:tcPr>
            <w:tcW w:type="dxa" w:w="2492"/>
          </w:tcPr>
          <w:p>
            <w:pPr>
              <w:pStyle w:val="null3"/>
            </w:pPr>
            <w:r>
              <w:rPr>
                <w:rFonts w:ascii="仿宋_GB2312" w:hAnsi="仿宋_GB2312" w:cs="仿宋_GB2312" w:eastAsia="仿宋_GB2312"/>
              </w:rPr>
              <w:t>投标产品技术指标完全满⾜招标技术要求得30分； 其中：（1） “★”标记参数出现负偏离的，投标按废标处理； （2）“▲ ”标记参数，共15条，每出现1个负偏离的，扣2分，⽆偏离或正偏离不扣分，15条累计最多扣30分；“★”标记参数未按要求提供参数证明材料，对应参数⼀律按负偏离判定。评审依据：产品检测报告、合格证、图册、技术说明书、⼚家佐证资料。（以上资料加盖供应商企业公章）</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产品来源渠道</w:t>
            </w:r>
          </w:p>
        </w:tc>
        <w:tc>
          <w:tcPr>
            <w:tcW w:type="dxa" w:w="2492"/>
          </w:tcPr>
          <w:p>
            <w:pPr>
              <w:pStyle w:val="null3"/>
            </w:pPr>
            <w:r>
              <w:rPr>
                <w:rFonts w:ascii="仿宋_GB2312" w:hAnsi="仿宋_GB2312" w:cs="仿宋_GB2312" w:eastAsia="仿宋_GB2312"/>
              </w:rPr>
              <w:t>所投产品符合相关标准且⽆产权纠纷，⽆假货、⽔货、翻新货，提供所投产品来源渠道合法证明⽂件(包括但不限于销售协议、代理协议、原⼚授权等)，每提供一类产品对应有效来源证明得 6 分，本项最高得6分；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投标人认为应该提供的其他资料.docx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提供2023年1⽉1⽇至今茶叶或食品加工机械设备供货业绩，每提供 1 个有效业绩得2.5分，满分5分。 评审依据：提供加盖供应商公章的合同扫描件或成交（中标）通知书扫描件（时间以合同 / 通知书落款为准）。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供应商类似项目业绩一览表.docx</w:t>
            </w:r>
          </w:p>
        </w:tc>
      </w:tr>
      <w:tr>
        <w:tc>
          <w:tcPr>
            <w:tcW w:type="dxa" w:w="831"/>
            <w:vMerge/>
          </w:tcPr>
          <w:p/>
        </w:tc>
        <w:tc>
          <w:tcPr>
            <w:tcW w:type="dxa" w:w="1661"/>
          </w:tcPr>
          <w:p>
            <w:pPr>
              <w:pStyle w:val="null3"/>
            </w:pPr>
            <w:r>
              <w:rPr>
                <w:rFonts w:ascii="仿宋_GB2312" w:hAnsi="仿宋_GB2312" w:cs="仿宋_GB2312" w:eastAsia="仿宋_GB2312"/>
              </w:rPr>
              <w:t>团队⼈员配置</w:t>
            </w:r>
          </w:p>
        </w:tc>
        <w:tc>
          <w:tcPr>
            <w:tcW w:type="dxa" w:w="2492"/>
          </w:tcPr>
          <w:p>
            <w:pPr>
              <w:pStyle w:val="null3"/>
            </w:pPr>
            <w:r>
              <w:rPr>
                <w:rFonts w:ascii="仿宋_GB2312" w:hAnsi="仿宋_GB2312" w:cs="仿宋_GB2312" w:eastAsia="仿宋_GB2312"/>
              </w:rPr>
              <w:t>服务团队⼈员每提供⼀⼈得3分，最多得9分。评审依据：⾝份证、劳动合同或社保证明的扫描件。</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拟投入本项目人员配置情况表.docx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供应商对本项目提供的实施方案中包括：①货源组织及供货进度计划方案；②质量控制措施、关键节点把控方案；③包装运输及安装调试方案；④退货换货机制；⑤项目应急预案，以上5项内容完整且符合采购需求的得10分，每缺一项2分，每有一处缺陷扣1分，直至本项分值扣完为止。 注：（1）以上内容符合采购需求是指①内容与项目技术服务需求吻合，有具体详细的阐述；②阐述从实际出发，切合项目背景、项目需求发现问题并提出合理化专业技术建议或者解决方案；③内容符合国家、地方、行业标准、行业惯例以及项目特点；④内容清楚明了、表述规范、含义准确。 (2)存在缺陷是指①仅有框架或标题、或仅有复制招标内容的要求；②内容不完整、方案中出现套用（复制）其他项目方案或内容；③内容中出现前后描述不一致现象或语言描述出现有错误；④内容涉及适用的规范及标准(方法)出现错误、实施地点区域错误、项目名称错误等任意一种情形。 (3)以评审专家结合项目实际情况和响应文件综合评定为准。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实施方案和售后方案.docx</w:t>
            </w:r>
          </w:p>
          <w:p>
            <w:pPr>
              <w:pStyle w:val="null3"/>
            </w:pPr>
            <w:r>
              <w:rPr>
                <w:rFonts w:ascii="仿宋_GB2312" w:hAnsi="仿宋_GB2312" w:cs="仿宋_GB2312" w:eastAsia="仿宋_GB2312"/>
              </w:rPr>
              <w:t>拟投入本项目人员配置情况表.docx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供应商对本项目提供的售后服务方案中包括：①售后服务机构或售后服务网点配置；②售后服务设备和人员配置；③质量跟踪计划；④产品使用培训计划及方案；⑤售后服务响应方案及响应时间，以上5项内容完整且符合采购需求的得10分，每缺一项扣2分，每有一处缺陷扣1分，直至本项分值扣完为止。 注：以上内容符合采购需求是指①内容与项目技术服务需求吻合，有具体详细的阐述；②阐述从实际出发，切合项目背景、项目需求发现问题并提出合理化专业技术建议或者解决方案；③内容符合国家、地方、行业标准、行业惯例以及项目特点；④内容清楚明了、表述规范、含义准确。 (2)存在缺陷是指①仅有框架或标题、或仅有复制招标内容的要求；②内容不完整、方案中出现套用（复制）其他项目方案或内容；③内容中出现前后描述不一致现象或语言描述出现有错误；④内容涉及适用的规范及标准(方法)出现错误、实施地点区域错误、项目名称错误等任意一种情形。 (3)以评审专家结合项目实际情况和响应文件综合评定为准。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拟投入本项目人员配置情况表.docx</w:t>
            </w:r>
          </w:p>
          <w:p>
            <w:pPr>
              <w:pStyle w:val="null3"/>
            </w:pPr>
            <w:r>
              <w:rPr>
                <w:rFonts w:ascii="仿宋_GB2312" w:hAnsi="仿宋_GB2312" w:cs="仿宋_GB2312" w:eastAsia="仿宋_GB2312"/>
              </w:rPr>
              <w:t>实施方案和售后方案.docx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满足磋商文件要求且报价最低的为评审基准价，价格得分=（评审基准价/报价）×标准分值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详见附件：供应商类似项目业绩一览表.docx</w:t>
      </w:r>
    </w:p>
    <w:p>
      <w:pPr>
        <w:pStyle w:val="null3"/>
        <w:ind w:firstLine="960"/>
      </w:pPr>
      <w:r>
        <w:rPr>
          <w:rFonts w:ascii="仿宋_GB2312" w:hAnsi="仿宋_GB2312" w:cs="仿宋_GB2312" w:eastAsia="仿宋_GB2312"/>
        </w:rPr>
        <w:t>详见附件：拟投入本项目人员配置情况表.docx</w:t>
      </w:r>
    </w:p>
    <w:p>
      <w:pPr>
        <w:pStyle w:val="null3"/>
        <w:ind w:firstLine="960"/>
      </w:pPr>
      <w:r>
        <w:rPr>
          <w:rFonts w:ascii="仿宋_GB2312" w:hAnsi="仿宋_GB2312" w:cs="仿宋_GB2312" w:eastAsia="仿宋_GB2312"/>
        </w:rPr>
        <w:t>详见附件：实施方案和售后方案.docx</w:t>
      </w:r>
    </w:p>
    <w:p>
      <w:pPr>
        <w:pStyle w:val="null3"/>
        <w:ind w:firstLine="960"/>
      </w:pPr>
      <w:r>
        <w:rPr>
          <w:rFonts w:ascii="仿宋_GB2312" w:hAnsi="仿宋_GB2312" w:cs="仿宋_GB2312" w:eastAsia="仿宋_GB2312"/>
        </w:rPr>
        <w:t>详见附件：投标人认为应该提供的其他资料.docx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详见附件：供应商类似项目业绩一览表.docx</w:t>
      </w:r>
    </w:p>
    <w:p>
      <w:pPr>
        <w:pStyle w:val="null3"/>
        <w:ind w:firstLine="960"/>
      </w:pPr>
      <w:r>
        <w:rPr>
          <w:rFonts w:ascii="仿宋_GB2312" w:hAnsi="仿宋_GB2312" w:cs="仿宋_GB2312" w:eastAsia="仿宋_GB2312"/>
        </w:rPr>
        <w:t>详见附件：拟投入本项目人员配置情况表.docx</w:t>
      </w:r>
    </w:p>
    <w:p>
      <w:pPr>
        <w:pStyle w:val="null3"/>
        <w:ind w:firstLine="960"/>
      </w:pPr>
      <w:r>
        <w:rPr>
          <w:rFonts w:ascii="仿宋_GB2312" w:hAnsi="仿宋_GB2312" w:cs="仿宋_GB2312" w:eastAsia="仿宋_GB2312"/>
        </w:rPr>
        <w:t>详见附件：实施方案和售后方案.docx</w:t>
      </w:r>
    </w:p>
    <w:p>
      <w:pPr>
        <w:pStyle w:val="null3"/>
        <w:ind w:firstLine="960"/>
      </w:pPr>
      <w:r>
        <w:rPr>
          <w:rFonts w:ascii="仿宋_GB2312" w:hAnsi="仿宋_GB2312" w:cs="仿宋_GB2312" w:eastAsia="仿宋_GB2312"/>
        </w:rPr>
        <w:t>详见附件：投标人认为应该提供的其他资料.docx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详见附件：供应商类似项目业绩一览表.docx</w:t>
      </w:r>
    </w:p>
    <w:p>
      <w:pPr>
        <w:pStyle w:val="null3"/>
        <w:ind w:firstLine="960"/>
      </w:pPr>
      <w:r>
        <w:rPr>
          <w:rFonts w:ascii="仿宋_GB2312" w:hAnsi="仿宋_GB2312" w:cs="仿宋_GB2312" w:eastAsia="仿宋_GB2312"/>
        </w:rPr>
        <w:t>详见附件：拟投入本项目人员配置情况表.docx</w:t>
      </w:r>
    </w:p>
    <w:p>
      <w:pPr>
        <w:pStyle w:val="null3"/>
        <w:ind w:firstLine="960"/>
      </w:pPr>
      <w:r>
        <w:rPr>
          <w:rFonts w:ascii="仿宋_GB2312" w:hAnsi="仿宋_GB2312" w:cs="仿宋_GB2312" w:eastAsia="仿宋_GB2312"/>
        </w:rPr>
        <w:t>详见附件：实施方案和售后方案.docx</w:t>
      </w:r>
    </w:p>
    <w:p>
      <w:pPr>
        <w:pStyle w:val="null3"/>
        <w:ind w:firstLine="960"/>
      </w:pPr>
      <w:r>
        <w:rPr>
          <w:rFonts w:ascii="仿宋_GB2312" w:hAnsi="仿宋_GB2312" w:cs="仿宋_GB2312" w:eastAsia="仿宋_GB2312"/>
        </w:rPr>
        <w:t>详见附件：投标人认为应该提供的其他资料.docx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详见附件：政府采购合同-货物（试行）.docx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