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版本号：ZYZX2026-036（XDZ2026-231-Z）20260902002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秦渡中心卫生院非集采中药饮片招标采购项目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ZYZX2026-036（XDZ2026-231-Z）</w:t>
      </w:r>
      <w:r>
        <w:br/>
      </w:r>
      <w:r>
        <w:br/>
      </w:r>
      <w:r>
        <w:br/>
      </w:r>
    </w:p>
    <w:p>
      <w:pPr>
        <w:pStyle w:val="null3"/>
        <w:jc w:val="center"/>
        <w:outlineLvl w:val="2"/>
      </w:pPr>
      <w:r>
        <w:rPr>
          <w:rFonts w:ascii="仿宋_GB2312" w:hAnsi="仿宋_GB2312" w:cs="仿宋_GB2312" w:eastAsia="仿宋_GB2312"/>
          <w:sz w:val="28"/>
          <w:b/>
        </w:rPr>
        <w:t>鄠邑区秦渡中心卫生院</w:t>
      </w:r>
    </w:p>
    <w:p>
      <w:pPr>
        <w:pStyle w:val="null3"/>
        <w:jc w:val="center"/>
        <w:outlineLvl w:val="2"/>
      </w:pPr>
      <w:r>
        <w:rPr>
          <w:rFonts w:ascii="仿宋_GB2312" w:hAnsi="仿宋_GB2312" w:cs="仿宋_GB2312" w:eastAsia="仿宋_GB2312"/>
          <w:sz w:val="28"/>
          <w:b/>
        </w:rPr>
        <w:t>正飏（陕西）项目管理咨询有限公司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正飏（陕西）项目管理咨询有限公司</w:t>
      </w:r>
      <w:r>
        <w:rPr>
          <w:rFonts w:ascii="仿宋_GB2312" w:hAnsi="仿宋_GB2312" w:cs="仿宋_GB2312" w:eastAsia="仿宋_GB2312"/>
        </w:rPr>
        <w:t>（以下简称“代理机构”）受</w:t>
      </w:r>
      <w:r>
        <w:rPr>
          <w:rFonts w:ascii="仿宋_GB2312" w:hAnsi="仿宋_GB2312" w:cs="仿宋_GB2312" w:eastAsia="仿宋_GB2312"/>
        </w:rPr>
        <w:t>鄠邑区秦渡中心卫生院</w:t>
      </w:r>
      <w:r>
        <w:rPr>
          <w:rFonts w:ascii="仿宋_GB2312" w:hAnsi="仿宋_GB2312" w:cs="仿宋_GB2312" w:eastAsia="仿宋_GB2312"/>
        </w:rPr>
        <w:t>委托，拟对</w:t>
      </w:r>
      <w:r>
        <w:rPr>
          <w:rFonts w:ascii="仿宋_GB2312" w:hAnsi="仿宋_GB2312" w:cs="仿宋_GB2312" w:eastAsia="仿宋_GB2312"/>
        </w:rPr>
        <w:t>秦渡中心卫生院非集采中药饮片招标采购项目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ZYZX2026-036（XDZ2026-231-Z）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秦渡中心卫生院非集采中药饮片招标采购项目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秦渡中心卫生院非集采中药饮片招标采购项目1项，具体详⻅采购⽂件第三章 磋商项⽬技术、服务、商务及其他要求。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采购包1（秦渡中心卫生院非集采中药饮片招标采购项目）：属于专门面向中小企业采购。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报告：供应商提供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供应商资质要求：供应商为代理商的需提供《药品经营许可证》（经营范围须包含“中药饮片”）及生产厂家的《药品生产许可证》；供应商为生产厂家的需提供《药品生产许可证》，若所投饮片存在非本单位生产的情况须同时提供本单位的《药品经营许可证》（经营范围须包含“中药饮片”）及生产厂家的《药品生产许可证》，供应商需在项目电子化交易系统中按要求上传相应证明文件并进行电子签章。</w:t>
      </w:r>
    </w:p>
    <w:p>
      <w:pPr>
        <w:pStyle w:val="null3"/>
      </w:pPr>
      <w:r>
        <w:rPr>
          <w:rFonts w:ascii="仿宋_GB2312" w:hAnsi="仿宋_GB2312" w:cs="仿宋_GB2312" w:eastAsia="仿宋_GB2312"/>
        </w:rPr>
        <w:t>8、供应商经营范围：若供应商所投饮片为毒性饮片，其《药品生产许可证》的生产范围和代理商的《药品经营许可证》经营范围须包括“中药饮片（含毒性饮片）”，供应商需在项目电子化交易系统中按要求上传相应证明文件并进行电子签章。</w:t>
      </w:r>
    </w:p>
    <w:p>
      <w:pPr>
        <w:pStyle w:val="null3"/>
      </w:pPr>
      <w:r>
        <w:rPr>
          <w:rFonts w:ascii="仿宋_GB2312" w:hAnsi="仿宋_GB2312" w:cs="仿宋_GB2312" w:eastAsia="仿宋_GB2312"/>
        </w:rPr>
        <w:t>9、注册证书：若供应商所投饮片为实施审批管理的中药饮片，须提供该品种的药品注册证书，供应商需在项目电子化交易系统中按要求上传相应证明文件并进行电子签章。</w:t>
      </w:r>
    </w:p>
    <w:p>
      <w:pPr>
        <w:pStyle w:val="null3"/>
      </w:pPr>
      <w:r>
        <w:rPr>
          <w:rFonts w:ascii="仿宋_GB2312" w:hAnsi="仿宋_GB2312" w:cs="仿宋_GB2312" w:eastAsia="仿宋_GB2312"/>
        </w:rPr>
        <w:t>10、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鄠邑区秦渡中心卫生院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西安市鄠邑区秦渡街道西鄠路秦渡段7号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029-84943156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正飏（陕西）项目管理咨询有限公司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陕西省西安市雁塔区电子正街云锦紫豪商务中心13层06室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朱帅、王浩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029-81101839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代理服务费收费标准：1.本项目采用定额收费，代理费为人民币伍仟元整（¥5000.00元）。 2.成交单位在领取成交通知书之前，须向代理机构支付招标代理服务费。 3. 招标代理服务费以转账或现金形式缴纳至以下账户： 开户名称：正飏（陕西）项目管理咨询有限公司 开户银行：上海浦东发展银行股份有限公司西安电子正街支行 账号：72230078801300000775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鄠邑区秦渡中心卫生院</w:t>
      </w:r>
      <w:r>
        <w:rPr>
          <w:rFonts w:ascii="仿宋_GB2312" w:hAnsi="仿宋_GB2312" w:cs="仿宋_GB2312" w:eastAsia="仿宋_GB2312"/>
        </w:rPr>
        <w:t>和</w:t>
      </w:r>
      <w:r>
        <w:rPr>
          <w:rFonts w:ascii="仿宋_GB2312" w:hAnsi="仿宋_GB2312" w:cs="仿宋_GB2312" w:eastAsia="仿宋_GB2312"/>
        </w:rPr>
        <w:t>正飏（陕西）项目管理咨询有限公司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鄠邑区秦渡中心卫生院</w:t>
      </w:r>
      <w:r>
        <w:rPr>
          <w:rFonts w:ascii="仿宋_GB2312" w:hAnsi="仿宋_GB2312" w:cs="仿宋_GB2312" w:eastAsia="仿宋_GB2312"/>
        </w:rPr>
        <w:t>负责解释。除上述磋商文件内容，其他内容由</w:t>
      </w:r>
      <w:r>
        <w:rPr>
          <w:rFonts w:ascii="仿宋_GB2312" w:hAnsi="仿宋_GB2312" w:cs="仿宋_GB2312" w:eastAsia="仿宋_GB2312"/>
        </w:rPr>
        <w:t>正飏（陕西）项目管理咨询有限公司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鄠邑区秦渡中心卫生院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正飏（陕西）项目管理咨询有限公司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以最终签订合同为准</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联系人：朱帅、王浩</w:t>
      </w:r>
    </w:p>
    <w:p>
      <w:pPr>
        <w:pStyle w:val="null3"/>
      </w:pPr>
      <w:r>
        <w:rPr>
          <w:rFonts w:ascii="仿宋_GB2312" w:hAnsi="仿宋_GB2312" w:cs="仿宋_GB2312" w:eastAsia="仿宋_GB2312"/>
        </w:rPr>
        <w:t>联系电话：029-81101839</w:t>
      </w:r>
    </w:p>
    <w:p>
      <w:pPr>
        <w:pStyle w:val="null3"/>
      </w:pPr>
      <w:r>
        <w:rPr>
          <w:rFonts w:ascii="仿宋_GB2312" w:hAnsi="仿宋_GB2312" w:cs="仿宋_GB2312" w:eastAsia="仿宋_GB2312"/>
        </w:rPr>
        <w:t>地址：陕西省西安市雁塔区电子正街云锦紫豪商务中心13层06室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秦渡中心卫生院非集采中药饮片招标采购项目</w:t>
      </w:r>
      <w:r>
        <w:rPr>
          <w:rFonts w:ascii="仿宋_GB2312" w:hAnsi="仿宋_GB2312" w:cs="仿宋_GB2312" w:eastAsia="仿宋_GB2312"/>
        </w:rPr>
        <w:t>1项，具体</w:t>
      </w:r>
      <w:r>
        <w:rPr>
          <w:rFonts w:ascii="仿宋_GB2312" w:hAnsi="仿宋_GB2312" w:cs="仿宋_GB2312" w:eastAsia="仿宋_GB2312"/>
        </w:rPr>
        <w:t>详</w:t>
      </w:r>
      <w:r>
        <w:rPr>
          <w:rFonts w:ascii="仿宋_GB2312" w:hAnsi="仿宋_GB2312" w:cs="仿宋_GB2312" w:eastAsia="仿宋_GB2312"/>
        </w:rPr>
        <w:t>⻅采购⽂件第三章</w:t>
      </w:r>
      <w:r>
        <w:rPr>
          <w:rFonts w:ascii="仿宋_GB2312" w:hAnsi="仿宋_GB2312" w:cs="仿宋_GB2312" w:eastAsia="仿宋_GB2312"/>
        </w:rPr>
        <w:t>磋商项⽬技术、服务、商务及其他要求。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秦渡中心卫生院非集采中药饮片招标采购项目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标的名称：秦渡中心卫生院非集采中药饮片招标采购项目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项目概况</w:t>
            </w:r>
          </w:p>
          <w:p>
            <w:pPr>
              <w:pStyle w:val="null3"/>
              <w:ind w:firstLine="420"/>
              <w:jc w:val="left"/>
            </w:pPr>
            <w:r>
              <w:rPr>
                <w:rFonts w:ascii="仿宋_GB2312" w:hAnsi="仿宋_GB2312" w:cs="仿宋_GB2312" w:eastAsia="仿宋_GB2312"/>
                <w:sz w:val="21"/>
                <w:color w:val="000000"/>
              </w:rPr>
              <w:t>为满足中医临床诊疗需求，补齐集采目录外饮片缺口，本次采购为卫生院临床使用非集采中药饮片共计</w:t>
            </w:r>
            <w:r>
              <w:rPr>
                <w:rFonts w:ascii="仿宋_GB2312" w:hAnsi="仿宋_GB2312" w:cs="仿宋_GB2312" w:eastAsia="仿宋_GB2312"/>
                <w:sz w:val="21"/>
                <w:color w:val="000000"/>
              </w:rPr>
              <w:t>256个品种，不含省级集中带量采购品种。</w:t>
            </w:r>
          </w:p>
          <w:p>
            <w:pPr>
              <w:pStyle w:val="null3"/>
              <w:jc w:val="left"/>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采购内容</w:t>
            </w:r>
          </w:p>
          <w:tbl>
            <w:tblPr>
              <w:tblBorders>
                <w:top w:val="none" w:color="000000" w:sz="4"/>
                <w:left w:val="none" w:color="000000" w:sz="4"/>
                <w:bottom w:val="none" w:color="000000" w:sz="4"/>
                <w:right w:val="none" w:color="000000" w:sz="4"/>
                <w:insideH w:val="none"/>
                <w:insideV w:val="none"/>
              </w:tblBorders>
            </w:tblPr>
            <w:tblGrid>
              <w:gridCol w:w="302"/>
              <w:gridCol w:w="949"/>
              <w:gridCol w:w="428"/>
              <w:gridCol w:w="873"/>
            </w:tblGrid>
            <w:tr>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物品名称</w:t>
                  </w:r>
                </w:p>
              </w:tc>
              <w:tc>
                <w:tcPr>
                  <w:tcW w:type="dxa" w:w="4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规格</w:t>
                  </w:r>
                </w:p>
              </w:tc>
              <w:tc>
                <w:tcPr>
                  <w:tcW w:type="dxa" w:w="8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综合单价</w:t>
                  </w:r>
                </w:p>
                <w:p>
                  <w:pPr>
                    <w:pStyle w:val="null3"/>
                    <w:jc w:val="center"/>
                  </w:pPr>
                  <w:r>
                    <w:rPr>
                      <w:rFonts w:ascii="仿宋_GB2312" w:hAnsi="仿宋_GB2312" w:cs="仿宋_GB2312" w:eastAsia="仿宋_GB2312"/>
                      <w:sz w:val="18"/>
                      <w:b/>
                      <w:color w:val="000000"/>
                    </w:rPr>
                    <w:t>（最高限价）</w:t>
                  </w:r>
                </w:p>
                <w:p>
                  <w:pPr>
                    <w:pStyle w:val="null3"/>
                    <w:jc w:val="center"/>
                  </w:pPr>
                  <w:r>
                    <w:rPr>
                      <w:rFonts w:ascii="仿宋_GB2312" w:hAnsi="仿宋_GB2312" w:cs="仿宋_GB2312" w:eastAsia="仿宋_GB2312"/>
                      <w:sz w:val="18"/>
                      <w:b/>
                      <w:color w:val="000000"/>
                    </w:rPr>
                    <w:t>单位：元</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阿胶</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5800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巴戟天</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白扁豆</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白豆蔻</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224.4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白果仁</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白花蛇舌草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白芨</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668.7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白芥子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白茅根</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白前</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白头翁</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白薇</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118.7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白鲜皮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百部</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柏子仁</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败酱草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板蓝根</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半枝莲</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薄荷</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北柴胡</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350.4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北沙参</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萆薢</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萹</w:t>
                  </w:r>
                  <w:r>
                    <w:rPr>
                      <w:rFonts w:ascii="仿宋_GB2312" w:hAnsi="仿宋_GB2312" w:cs="仿宋_GB2312" w:eastAsia="仿宋_GB2312"/>
                      <w:sz w:val="18"/>
                      <w:color w:val="000000"/>
                    </w:rPr>
                    <w:t>蓄</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鳖甲</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槟榔</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补骨脂</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苍耳子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苍术</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93</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侧柏叶</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蝉蜕</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炒鸡内金</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炒僵蚕</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炒酸枣仁</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1373.7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沉香</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赤芍</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111.6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赤小豆</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川楝子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磁石</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醋艾炭</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醋延胡索</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醋郁金</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大腹皮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大黄</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大青叶</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大血藤</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大枣</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代赭石</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淡豆豉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淡竹叶</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灯心草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428.4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地枫皮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地肤子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地骨皮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地锦草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地龙</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地榆炭</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81.2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丁香</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冬瓜皮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冬葵子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独活</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104.4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煅龙骨</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煅牡蛎</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莪术</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番泻叶</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防风</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佛手</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麸炒山药</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茯苓皮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茯神</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浮萍草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浮小麦</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覆盆子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甘草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甘松</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830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干姜</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高良姜</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藁本</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葛根</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枸杞子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谷精草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骨碎补</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广藿香</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龟板</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海风藤</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海金沙</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325.2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海螵蛸</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旱莲草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诃子肉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93.6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荷叶</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郁金</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黑芝麻</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88.7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厚朴</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胡黄连</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1081.2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虎杖</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花椒</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滑石</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槐米</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黄柏</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黄精</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153</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黄芩片</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81.6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火麻仁</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鸡血藤</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蒺藜</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降香</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焦栀子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金钱草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金樱子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荆芥穗</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荆芥炭</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韭菜子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菊花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157.2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橘核</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橘红</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决明子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苦参</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苦杏仁</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款冬花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莱菔子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荔枝核</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莲须</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279</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莲子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刘寄奴</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六神曲</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龙齿</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1087.5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龙胆草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龙眼肉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159.6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芦根</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芦荟</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258.7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路路通</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络石藤</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麻黄</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麻黄根</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马鞭草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马齿苋</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蔓荆子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156.2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没药</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玫瑰花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蜜麻黄</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蜜桑白皮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蜜玉竹</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木通</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木香</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149</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木贼</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牛蒡子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女贞子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胖大海</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553</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佩兰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枇杷叶</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片姜黄</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蒲黄</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千年健</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前胡</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芡实</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茜草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羌活</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秦艽</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青风藤</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青蒿</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青皮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瞿麦</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全蝎</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6791.2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人参</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1118.7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肉苁蓉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肉豆蔻</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肉桂</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乳香</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三七粉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桑寄生</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桑螵蛸</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桑椹</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桑叶</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桑枝</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沙苑子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砂仁</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山楂</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蛇床子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射干</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伸筋草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升麻</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196.8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生艾叶</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生石膏</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石菖蒲</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石决明</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石韦</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使君子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首乌藤</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水蛭</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2042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丝瓜络</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226.2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苏木</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娑罗子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锁阳</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台乌</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檀香</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1353.6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烫狗脊</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桃仁</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天冬</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206.2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铁皮石斛</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1724.4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葶苈子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通草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1993.7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透骨草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土茯苓</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菟丝子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瓦楞子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王不留行</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威灵仙</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乌梅</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吴茱萸</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蜈蚣</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五加皮</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256.2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五灵脂</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五味子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146.4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豨</w:t>
                  </w:r>
                  <w:r>
                    <w:rPr>
                      <w:rFonts w:ascii="仿宋_GB2312" w:hAnsi="仿宋_GB2312" w:cs="仿宋_GB2312" w:eastAsia="仿宋_GB2312"/>
                      <w:sz w:val="18"/>
                      <w:color w:val="000000"/>
                    </w:rPr>
                    <w:t>签草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细辛</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仙茅</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423.6</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香附</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香薷</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香橼</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68.7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小茴香</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小蓟</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薤白</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辛夷</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续断</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旋覆花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盐车前子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94.8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阳起石</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益母草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益智仁</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507.5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茵陈</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银柴胡</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淫羊藿</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鱼腥草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郁李仁</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远志</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976.2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月季花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皂角刺</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114</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泽兰</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浙贝母</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518.7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珍珠母</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知母</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枳实</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制白附子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270</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制草乌</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制川乌</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393.7</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247</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制何首乌</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132.5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248</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猪苓</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249</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紫草</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1481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紫花地丁</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251</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紫石英</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252</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紫苏梗</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紫苏叶</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79.2</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254</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紫苏子</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255</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紫菀</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256</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自然铜</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kg</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r>
          </w:tbl>
          <w:p>
            <w:pPr>
              <w:pStyle w:val="null3"/>
              <w:jc w:val="left"/>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技术要求</w:t>
            </w:r>
          </w:p>
          <w:p>
            <w:pPr>
              <w:pStyle w:val="null3"/>
              <w:ind w:firstLine="420"/>
              <w:jc w:val="left"/>
            </w:pPr>
            <w:r>
              <w:rPr>
                <w:rFonts w:ascii="仿宋_GB2312" w:hAnsi="仿宋_GB2312" w:cs="仿宋_GB2312" w:eastAsia="仿宋_GB2312"/>
                <w:sz w:val="21"/>
                <w:color w:val="000000"/>
              </w:rPr>
              <w:t>1.所有中药饮片质量必须符合《中华人民共和国药典（202</w:t>
            </w:r>
            <w:r>
              <w:rPr>
                <w:rFonts w:ascii="仿宋_GB2312" w:hAnsi="仿宋_GB2312" w:cs="仿宋_GB2312" w:eastAsia="仿宋_GB2312"/>
                <w:sz w:val="21"/>
                <w:color w:val="000000"/>
              </w:rPr>
              <w:t>5</w:t>
            </w:r>
            <w:r>
              <w:rPr>
                <w:rFonts w:ascii="仿宋_GB2312" w:hAnsi="仿宋_GB2312" w:cs="仿宋_GB2312" w:eastAsia="仿宋_GB2312"/>
                <w:sz w:val="21"/>
                <w:color w:val="000000"/>
              </w:rPr>
              <w:t>版）》《陕西省中药饮片炮制规范》相关标准，药典未收录品种执行国家及地方现行质量标准。</w:t>
            </w:r>
          </w:p>
          <w:p>
            <w:pPr>
              <w:pStyle w:val="null3"/>
              <w:ind w:firstLine="420"/>
              <w:jc w:val="left"/>
            </w:pPr>
            <w:r>
              <w:rPr>
                <w:rFonts w:ascii="仿宋_GB2312" w:hAnsi="仿宋_GB2312" w:cs="仿宋_GB2312" w:eastAsia="仿宋_GB2312"/>
                <w:sz w:val="21"/>
                <w:color w:val="000000"/>
              </w:rPr>
              <w:t>2.饮片外观整洁、色泽正常，无霉变、虫蛀、走油、异味、潮解、杂质超标等问题，无伪品、劣品、混淆品。按临床需求以选货规格，严格按招标规格供货，不得随意替换、混装。</w:t>
            </w:r>
          </w:p>
          <w:p>
            <w:pPr>
              <w:pStyle w:val="null3"/>
              <w:ind w:firstLine="420"/>
              <w:jc w:val="left"/>
            </w:pPr>
            <w:r>
              <w:rPr>
                <w:rFonts w:ascii="仿宋_GB2312" w:hAnsi="仿宋_GB2312" w:cs="仿宋_GB2312" w:eastAsia="仿宋_GB2312"/>
                <w:sz w:val="21"/>
                <w:color w:val="000000"/>
              </w:rPr>
              <w:t>3.饮片水分、灰分、二氧化硫残留、重金属、农残、黄曲霉毒素等安全指标全部符合药典限值，每批次随货附带同批次出厂检验报告。</w:t>
            </w:r>
          </w:p>
          <w:p>
            <w:pPr>
              <w:pStyle w:val="null3"/>
              <w:ind w:firstLine="420"/>
              <w:jc w:val="left"/>
            </w:pPr>
            <w:r>
              <w:rPr>
                <w:rFonts w:ascii="仿宋_GB2312" w:hAnsi="仿宋_GB2312" w:cs="仿宋_GB2312" w:eastAsia="仿宋_GB2312"/>
                <w:sz w:val="21"/>
                <w:color w:val="000000"/>
              </w:rPr>
              <w:t>4.包装规范、密封防潮，标签信息齐全（品名、规格、产地、厂家、批号、有效期、执行标准），满足入库验收及溯源管理要求。</w:t>
            </w:r>
          </w:p>
          <w:p>
            <w:pPr>
              <w:pStyle w:val="null3"/>
              <w:ind w:firstLine="420"/>
              <w:jc w:val="left"/>
            </w:pPr>
            <w:r>
              <w:rPr>
                <w:rFonts w:ascii="仿宋_GB2312" w:hAnsi="仿宋_GB2312" w:cs="仿宋_GB2312" w:eastAsia="仿宋_GB2312"/>
                <w:sz w:val="21"/>
                <w:color w:val="000000"/>
              </w:rPr>
              <w:t>5.到货饮片剩余有效期不低于总效期80%，严禁供应陈货、近效期饮片。</w:t>
            </w:r>
          </w:p>
          <w:p>
            <w:pPr>
              <w:pStyle w:val="null3"/>
              <w:jc w:val="left"/>
            </w:pPr>
            <w:r>
              <w:rPr>
                <w:rFonts w:ascii="仿宋_GB2312" w:hAnsi="仿宋_GB2312" w:cs="仿宋_GB2312" w:eastAsia="仿宋_GB2312"/>
                <w:sz w:val="21"/>
                <w:b/>
                <w:color w:val="000000"/>
              </w:rPr>
              <w:t>四、服务要求</w:t>
            </w:r>
          </w:p>
          <w:p>
            <w:pPr>
              <w:pStyle w:val="null3"/>
              <w:ind w:firstLine="420"/>
              <w:jc w:val="left"/>
            </w:pPr>
            <w:r>
              <w:rPr>
                <w:rFonts w:ascii="仿宋_GB2312" w:hAnsi="仿宋_GB2312" w:cs="仿宋_GB2312" w:eastAsia="仿宋_GB2312"/>
                <w:sz w:val="21"/>
                <w:color w:val="000000"/>
              </w:rPr>
              <w:t>1.供应商须保障256个品种常备库存，缺货率控制在5%以内，临时缺货须书面报备并限时补货，不得无故拒单。</w:t>
            </w:r>
          </w:p>
          <w:p>
            <w:pPr>
              <w:pStyle w:val="null3"/>
              <w:ind w:firstLine="420"/>
              <w:jc w:val="left"/>
            </w:pPr>
            <w:r>
              <w:rPr>
                <w:rFonts w:ascii="仿宋_GB2312" w:hAnsi="仿宋_GB2312" w:cs="仿宋_GB2312" w:eastAsia="仿宋_GB2312"/>
                <w:sz w:val="21"/>
                <w:color w:val="000000"/>
              </w:rPr>
              <w:t>2.每批次送货票据、台账、质检资料齐全，票、账、货、证一致，可随时备查归档。</w:t>
            </w:r>
          </w:p>
          <w:p>
            <w:pPr>
              <w:pStyle w:val="null3"/>
              <w:ind w:firstLine="420"/>
              <w:jc w:val="left"/>
            </w:pPr>
            <w:r>
              <w:rPr>
                <w:rFonts w:ascii="仿宋_GB2312" w:hAnsi="仿宋_GB2312" w:cs="仿宋_GB2312" w:eastAsia="仿宋_GB2312"/>
                <w:sz w:val="21"/>
                <w:color w:val="000000"/>
              </w:rPr>
              <w:t>3.合同期内原材料价格大幅波动可书面申请调价，市场降价须同步下调供货价格。</w:t>
            </w:r>
          </w:p>
          <w:p>
            <w:pPr>
              <w:pStyle w:val="null3"/>
              <w:ind w:firstLine="420"/>
              <w:jc w:val="left"/>
            </w:pPr>
            <w:r>
              <w:rPr>
                <w:rFonts w:ascii="仿宋_GB2312" w:hAnsi="仿宋_GB2312" w:cs="仿宋_GB2312" w:eastAsia="仿宋_GB2312"/>
                <w:sz w:val="21"/>
                <w:color w:val="000000"/>
              </w:rPr>
              <w:t>4.具备标准化仓储、养护条件及专业配送能力，能够全年稳定足额供应全部256个品种。</w:t>
            </w:r>
          </w:p>
          <w:p>
            <w:pPr>
              <w:pStyle w:val="null3"/>
              <w:ind w:firstLine="420"/>
              <w:jc w:val="left"/>
            </w:pPr>
            <w:r>
              <w:rPr>
                <w:rFonts w:ascii="仿宋_GB2312" w:hAnsi="仿宋_GB2312" w:cs="仿宋_GB2312" w:eastAsia="仿宋_GB2312"/>
                <w:sz w:val="21"/>
                <w:color w:val="000000"/>
              </w:rPr>
              <w:t>5.对不合格饮片实行48小时无条件退换货，主动配合院方质控检查、药事管理及各级抽检工作</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rPr>
              <w:t>五、商务要求</w:t>
            </w:r>
          </w:p>
          <w:p>
            <w:pPr>
              <w:pStyle w:val="null3"/>
              <w:ind w:firstLine="420"/>
              <w:jc w:val="left"/>
            </w:pPr>
            <w:r>
              <w:rPr>
                <w:rFonts w:ascii="仿宋_GB2312" w:hAnsi="仿宋_GB2312" w:cs="仿宋_GB2312" w:eastAsia="仿宋_GB2312"/>
                <w:sz w:val="21"/>
                <w:color w:val="000000"/>
              </w:rPr>
              <w:t>一、服务期限：自合同签订之日起一年</w:t>
            </w:r>
          </w:p>
          <w:p>
            <w:pPr>
              <w:pStyle w:val="null3"/>
              <w:ind w:firstLine="420"/>
              <w:jc w:val="left"/>
            </w:pPr>
            <w:r>
              <w:rPr>
                <w:rFonts w:ascii="仿宋_GB2312" w:hAnsi="仿宋_GB2312" w:cs="仿宋_GB2312" w:eastAsia="仿宋_GB2312"/>
                <w:sz w:val="21"/>
                <w:color w:val="000000"/>
              </w:rPr>
              <w:t>二、供货周期：在采购人发出采购计划后，</w:t>
            </w:r>
            <w:r>
              <w:rPr>
                <w:rFonts w:ascii="仿宋_GB2312" w:hAnsi="仿宋_GB2312" w:cs="仿宋_GB2312" w:eastAsia="仿宋_GB2312"/>
                <w:sz w:val="21"/>
                <w:color w:val="000000"/>
              </w:rPr>
              <w:t>5个工作日内配送至交货地点，急需饮片48小时内配送到位。</w:t>
            </w:r>
          </w:p>
          <w:p>
            <w:pPr>
              <w:pStyle w:val="null3"/>
              <w:ind w:firstLine="420"/>
              <w:jc w:val="left"/>
            </w:pPr>
            <w:r>
              <w:rPr>
                <w:rFonts w:ascii="仿宋_GB2312" w:hAnsi="仿宋_GB2312" w:cs="仿宋_GB2312" w:eastAsia="仿宋_GB2312"/>
                <w:sz w:val="21"/>
                <w:color w:val="000000"/>
              </w:rPr>
              <w:t>三、供货地点：采购人指定地点。</w:t>
            </w:r>
          </w:p>
          <w:p>
            <w:pPr>
              <w:pStyle w:val="null3"/>
              <w:ind w:firstLine="420"/>
              <w:jc w:val="left"/>
            </w:pPr>
            <w:r>
              <w:rPr>
                <w:rFonts w:ascii="仿宋_GB2312" w:hAnsi="仿宋_GB2312" w:cs="仿宋_GB2312" w:eastAsia="仿宋_GB2312"/>
                <w:sz w:val="21"/>
                <w:color w:val="000000"/>
              </w:rPr>
              <w:t>四、款项结算：按月据实结算，供应商于月初按有关要求向采购人提交上一月已交易药品的发票等相关单据以及合同规定的其他义务已经履行的证明，采购人核对交易单据及明细无误后</w:t>
            </w:r>
            <w:r>
              <w:rPr>
                <w:rFonts w:ascii="仿宋_GB2312" w:hAnsi="仿宋_GB2312" w:cs="仿宋_GB2312" w:eastAsia="仿宋_GB2312"/>
                <w:sz w:val="21"/>
                <w:color w:val="000000"/>
              </w:rPr>
              <w:t>30日内向供应商付款。</w:t>
            </w:r>
          </w:p>
          <w:p>
            <w:pPr>
              <w:pStyle w:val="null3"/>
              <w:ind w:firstLine="420"/>
              <w:jc w:val="left"/>
            </w:pPr>
            <w:r>
              <w:rPr>
                <w:rFonts w:ascii="仿宋_GB2312" w:hAnsi="仿宋_GB2312" w:cs="仿宋_GB2312" w:eastAsia="仿宋_GB2312"/>
                <w:sz w:val="21"/>
                <w:color w:val="000000"/>
              </w:rPr>
              <w:t>五、本项目为单价采购合同，在合同执行阶段以供应商所报最终单价为结算单价，合同执行期内单价保持不变（若</w:t>
            </w:r>
            <w:r>
              <w:rPr>
                <w:rFonts w:ascii="仿宋_GB2312" w:hAnsi="仿宋_GB2312" w:cs="仿宋_GB2312" w:eastAsia="仿宋_GB2312"/>
                <w:sz w:val="21"/>
                <w:color w:val="000000"/>
              </w:rPr>
              <w:t>合同期内原材料价格大幅波动可书面申请调价，市场降价须同步下调供货价格。</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特别说明：本项目服务期限为自合同签订之日起一年，若一年内达到产生的合同金额达到项目预算金额时，合同自动终止。</w:t>
            </w:r>
          </w:p>
          <w:p>
            <w:pPr>
              <w:pStyle w:val="null3"/>
              <w:ind w:firstLine="420"/>
              <w:jc w:val="left"/>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服务期限：自合同签订之日起一年。供货周期：在采购人发出采购计划后，5个工作日内配送至交货地点，急需饮片48小时内配送到位。</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据实结算，供应商于月初按有关要求向采购人提交上一月已交易药品的发票等相关单据以及合同规定的其他义务已经履行的证明，采购人核对交易单据及明细无误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对应的中小企业划分标准所属行业为：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2.需要落实的政府采购政策：详见磋商公告。3.供应商需要在线提交所有通过电子化交易平台实施的政府采购项目的响应文件，同时，线下提交纸质响应文件壹份，纸质版响应文件需与系统签章版响应文件保持一致，具体要求详见磋商公告。4.本项目专门面向中小企业采购（残疾人福利性单位、监狱企业视同小型、微型企业）。5.根据《西安高新区财政金融局关于开展政府采购供应商基本资格条件承诺制试点工作的通知（西高财函〔2024〕111号）》，简化对供应商资格条件等的形式审查，供应商只需以书面形式提供规定格式的《基本资格条件承诺函》(详见磋商文件第七章响应文件格式“相关资格证明资料”)，即可替代以下材料：（1）依法缴纳税收的证明材料；（2）依法社会保险缴纳的证明材料；（3）财务审计报告或其基本开户银行出具的资信证明材料或专业担保机构出具的投标担保函；（4）参加政府采购活动前三年内，在经营活动中没有重大违法记录的证明材料；（5）具有履行合同所必需的设备和专业技术能力的证明材料；（6）未被列入失信被执行人、重大税收违法案件当事人名单及政府采购严重违法失信行为记录名单的证明材料。简化后，供应商应对承诺内容的真实性、合法性、有效性负责。经调查核实为虚假承诺的，视同为“提供虚假材料谋取中标、成交”的违法行为，依照《中华人民共和国政府采购法》等法律法规追究相应责任。若不提供《基本资格条件承诺函》，则需提供相应的证明材料，否则按无效投标处理。6.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7.本项目采用固定综合单价报价方式。8.（1）供应商在填写报价表时单价处填写综合单价合计金额；（2）供应商在填写标的清单时，单价填写综合单价合计金额、数量填“1”、总价填写综合单价合计金额；（3）磋商第一次报价表中综合单价合计金额、报价明细表中综合单价合计金额、报价表中单价金额、标的清单中单价金额、标的清单中总价金额应保持一致，否则按无效响应处理；9.本项目评审过程中需要各供应商进行二次报价，二次报价时各供应商在系统填报综合单价金额的同时还需自行下载打印附件中的“磋商第二次报价表及报价明细表”进行填写并盖章扫描，扫描完成后需在规定时限内将扫描件及word版发送至招标代理机构邮箱“zyzx1124@163.com”，未按规定发送的按无效响应处理。10.由于系统原因，本项目确定供应商及支付约定付款条件说明分别按以下执行：（1）采购代理机构在评审结束之日起1个工作日内将评审报告送交采购人。采购人在收到评审报告之日起4个工作日内，在评审报告推荐的成交候选供应商名单中按顺序确定成交供应商。采购代理机构应当自成交供应商确定之日起1个工作日内，发出成交通知书，并在陕西省政府采购网公告成交结果，采购文件随成交结果同时公告。（2）付款方式：按月据实结算，供应商于月初按有关要求向采购人提交上一月已交易药品的发票等相关单据以及合同规定的其他义务已经履行的证明，采购人核对交易单据及明细无误后30日内向供应商付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身份证明文件 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为代理商的需提供《药品经营许可证》（经营范围须包含“中药饮片”）及生产厂家的《药品生产许可证》；供应商为生产厂家的需提供《药品生产许可证》，若所投饮片存在非本单位生产的情况须同时提供本单位的《药品经营许可证》（经营范围须包含“中药饮片”）及生产厂家的《药品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供应商经营范围</w:t>
            </w:r>
          </w:p>
        </w:tc>
        <w:tc>
          <w:tcPr>
            <w:tcW w:type="dxa" w:w="3322"/>
          </w:tcPr>
          <w:p>
            <w:pPr>
              <w:pStyle w:val="null3"/>
            </w:pPr>
            <w:r>
              <w:rPr>
                <w:rFonts w:ascii="仿宋_GB2312" w:hAnsi="仿宋_GB2312" w:cs="仿宋_GB2312" w:eastAsia="仿宋_GB2312"/>
              </w:rPr>
              <w:t>若供应商所投饮片为毒性饮片，其《药品生产许可证》的生产范围和代理商的《药品经营许可证》经营范围须包括“中药饮片（含毒性饮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注册证书</w:t>
            </w:r>
          </w:p>
        </w:tc>
        <w:tc>
          <w:tcPr>
            <w:tcW w:type="dxa" w:w="3322"/>
          </w:tcPr>
          <w:p>
            <w:pPr>
              <w:pStyle w:val="null3"/>
            </w:pPr>
            <w:r>
              <w:rPr>
                <w:rFonts w:ascii="仿宋_GB2312" w:hAnsi="仿宋_GB2312" w:cs="仿宋_GB2312" w:eastAsia="仿宋_GB2312"/>
              </w:rPr>
              <w:t>若供应商所投饮片为实施审批管理的中药饮片，须提供该品种的药品注册证书，供应商需在项目电子化交易系统中按要求上传相应证明文件并进行电子签章。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身份证明文件 资格证明文件 本国产品说明 承诺书 标的清单 关于符合本国产品标准的声明函 报价表 中国境内生产的组件成本核算基本规则 响应函 磋商第一次报价表 方案响应部分</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报价唯一，且没有高于本项目采购预算及最高限价，有分项最高限价的，不得高于各分项最高限价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响应文件封面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供货周期</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供货地点</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身份证明文件 响应文件封面 资格证明文件 本国产品说明 承诺书 标的清单 关于符合本国产品标准的声明函 报价表 中国境内生产的组件成本核算基本规则 响应函 磋商第一次报价表 方案响应部分</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评审得分相同的，按照最后报价由低到高的顺序推荐。评审得分且最后报价相同的，按照整体实施方案优劣顺序推荐。评审得分且最后报价且整体实施方案得分均相同的，成交候选供应商并列。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一、评审内容针对本项目有详细可行整体实施方案；评审内容包含：①供货组织安排方案②供货时效性保证措施③运输配送保障方案④调换货和退换货服务方案⑤总体售后服务方案⑥售后服务响应时间⑦质量问题的处理及补救措施 二、评审标准：1、完整性：内容必须全面，对评审内容中的各项要求有详细描述； 2、可实施性：切合本项目实际情况，提出清晰、合理的内容； 3、针对性：内容能够紧扣项目实际情况，内容科学合理。三、赋分标准（满分19.5分） ①供货组织安排方案每完全满足一项评审标准得1分，满分3分；②供货时效性保证措施每完全满足一项评审标准得1分，满分3分；③运输配送保障方案每完全满足一项评审标准得1分，满分3分；④调换货和退换货服务方案每完全满足一项评审标准得1分，满分3分；⑤总体售后服务方案每完全满足一项评审标准得1分，满分3分；⑥售后服务响应时间每完全满足一项评审标准得1分，满分3分；⑦质量问题的处理及补救措施每完全满足一项评审标准得0.5分，满分1.5分；</w:t>
            </w:r>
          </w:p>
        </w:tc>
        <w:tc>
          <w:tcPr>
            <w:tcW w:type="dxa" w:w="831"/>
          </w:tcPr>
          <w:p>
            <w:pPr>
              <w:pStyle w:val="null3"/>
              <w:jc w:val="right"/>
            </w:pPr>
            <w:r>
              <w:rPr>
                <w:rFonts w:ascii="仿宋_GB2312" w:hAnsi="仿宋_GB2312" w:cs="仿宋_GB2312" w:eastAsia="仿宋_GB2312"/>
              </w:rPr>
              <w:t>19.5000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w:t>
            </w:r>
          </w:p>
        </w:tc>
      </w:tr>
      <w:tr>
        <w:tc>
          <w:tcPr>
            <w:tcW w:type="dxa" w:w="831"/>
            <w:vMerge/>
          </w:tcPr>
          <w:p/>
        </w:tc>
        <w:tc>
          <w:tcPr>
            <w:tcW w:type="dxa" w:w="1661"/>
          </w:tcPr>
          <w:p>
            <w:pPr>
              <w:pStyle w:val="null3"/>
            </w:pPr>
            <w:r>
              <w:rPr>
                <w:rFonts w:ascii="仿宋_GB2312" w:hAnsi="仿宋_GB2312" w:cs="仿宋_GB2312" w:eastAsia="仿宋_GB2312"/>
              </w:rPr>
              <w:t>仓储面积</w:t>
            </w:r>
          </w:p>
        </w:tc>
        <w:tc>
          <w:tcPr>
            <w:tcW w:type="dxa" w:w="2492"/>
          </w:tcPr>
          <w:p>
            <w:pPr>
              <w:pStyle w:val="null3"/>
            </w:pPr>
            <w:r>
              <w:rPr>
                <w:rFonts w:ascii="仿宋_GB2312" w:hAnsi="仿宋_GB2312" w:cs="仿宋_GB2312" w:eastAsia="仿宋_GB2312"/>
              </w:rPr>
              <w:t>供应商具备中药饮片仓储能力：中药饮片库仓储面积在300㎡及以上得6分，最高得6分。不足300㎡得1分。 需提供产权证明或库房租赁合同证明材料，未提供或未按要求提供资料不得分。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w:t>
            </w:r>
          </w:p>
        </w:tc>
      </w:tr>
      <w:tr>
        <w:tc>
          <w:tcPr>
            <w:tcW w:type="dxa" w:w="831"/>
            <w:vMerge/>
          </w:tcPr>
          <w:p/>
        </w:tc>
        <w:tc>
          <w:tcPr>
            <w:tcW w:type="dxa" w:w="1661"/>
          </w:tcPr>
          <w:p>
            <w:pPr>
              <w:pStyle w:val="null3"/>
            </w:pPr>
            <w:r>
              <w:rPr>
                <w:rFonts w:ascii="仿宋_GB2312" w:hAnsi="仿宋_GB2312" w:cs="仿宋_GB2312" w:eastAsia="仿宋_GB2312"/>
              </w:rPr>
              <w:t>拟投入人员</w:t>
            </w:r>
          </w:p>
        </w:tc>
        <w:tc>
          <w:tcPr>
            <w:tcW w:type="dxa" w:w="2492"/>
          </w:tcPr>
          <w:p>
            <w:pPr>
              <w:pStyle w:val="null3"/>
            </w:pPr>
            <w:r>
              <w:rPr>
                <w:rFonts w:ascii="仿宋_GB2312" w:hAnsi="仿宋_GB2312" w:cs="仿宋_GB2312" w:eastAsia="仿宋_GB2312"/>
              </w:rPr>
              <w:t>供应商拟投入本项目团队人员中有1人具有医药类中级及以上职称的得5分，每增加1人加2分，本项最高得11分。注：以上人员需为供应商的本单位人员，提供职称证及劳动合同的扫描件或复印件，未提供或未按要求提供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w:t>
            </w:r>
          </w:p>
        </w:tc>
      </w:tr>
      <w:tr>
        <w:tc>
          <w:tcPr>
            <w:tcW w:type="dxa" w:w="831"/>
            <w:vMerge/>
          </w:tcPr>
          <w:p/>
        </w:tc>
        <w:tc>
          <w:tcPr>
            <w:tcW w:type="dxa" w:w="1661"/>
          </w:tcPr>
          <w:p>
            <w:pPr>
              <w:pStyle w:val="null3"/>
            </w:pPr>
            <w:r>
              <w:rPr>
                <w:rFonts w:ascii="仿宋_GB2312" w:hAnsi="仿宋_GB2312" w:cs="仿宋_GB2312" w:eastAsia="仿宋_GB2312"/>
              </w:rPr>
              <w:t>配送物流车辆</w:t>
            </w:r>
          </w:p>
        </w:tc>
        <w:tc>
          <w:tcPr>
            <w:tcW w:type="dxa" w:w="2492"/>
          </w:tcPr>
          <w:p>
            <w:pPr>
              <w:pStyle w:val="null3"/>
            </w:pPr>
            <w:r>
              <w:rPr>
                <w:rFonts w:ascii="仿宋_GB2312" w:hAnsi="仿宋_GB2312" w:cs="仿宋_GB2312" w:eastAsia="仿宋_GB2312"/>
              </w:rPr>
              <w:t>供应商拟投入本项目的配送物流运输车辆：供应商每提供1台车辆得2.5分，最高得5分。注：1.供应商提供自有配送车辆的（以供应商提供的行驶证复印件或扫描件及车辆照片为准）；2.供应商提供租赁配送车辆的（以供应商提供的有效租赁合同及车辆照片为准），未提供或未按要求提供资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①供应商提供中药饮片质量保证承诺的得3.5分；未提供不得分。②生产厂家已注册陕西省中药材追溯服务平台的得5分，提供网上截图；未提供不得分。</w:t>
            </w:r>
          </w:p>
        </w:tc>
        <w:tc>
          <w:tcPr>
            <w:tcW w:type="dxa" w:w="831"/>
          </w:tcPr>
          <w:p>
            <w:pPr>
              <w:pStyle w:val="null3"/>
              <w:jc w:val="right"/>
            </w:pPr>
            <w:r>
              <w:rPr>
                <w:rFonts w:ascii="仿宋_GB2312" w:hAnsi="仿宋_GB2312" w:cs="仿宋_GB2312" w:eastAsia="仿宋_GB2312"/>
              </w:rPr>
              <w:t>8.5000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提供供应商自2023年8月1日起至今类似项目业绩。业绩以合同为准。（时间以签订的合同日期或中标通知书发出时间为准）,每份计5分,最高得20分。注：合同内容须清晰可辨认，否则视为无效合同。</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磋商第一次报价表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采用低价优先法计算，即满足磋商文件要求且最后报价最低的供应商的价格为磋商基准价，其价格分为满分。磋商报价得分＝（磋商基准价/最后磋商报价）×价格分分值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详见附件：身份证明文件</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详见附件：相关资格证明资料</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详见附件：方案响应部分</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详见附件：磋商第一次报价表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