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6AA1B">
      <w:pPr>
        <w:pStyle w:val="4"/>
        <w:spacing w:line="360" w:lineRule="auto"/>
        <w:jc w:val="center"/>
        <w:rPr>
          <w:rStyle w:val="10"/>
          <w:rFonts w:hint="eastAsia" w:ascii="宋体" w:hAnsi="宋体"/>
          <w:bCs/>
          <w:sz w:val="28"/>
        </w:rPr>
      </w:pPr>
      <w:r>
        <w:rPr>
          <w:rStyle w:val="10"/>
          <w:rFonts w:hint="eastAsia" w:ascii="宋体" w:hAnsi="宋体"/>
          <w:bCs/>
          <w:sz w:val="28"/>
        </w:rPr>
        <w:t>拟签订的合同文本</w:t>
      </w:r>
    </w:p>
    <w:p w14:paraId="58CD8332">
      <w:pPr>
        <w:pStyle w:val="4"/>
        <w:spacing w:line="360" w:lineRule="auto"/>
        <w:jc w:val="center"/>
        <w:rPr>
          <w:rStyle w:val="10"/>
          <w:rFonts w:hint="eastAsia" w:ascii="宋体" w:hAnsi="宋体" w:eastAsia="宋体" w:cs="Times New Roman"/>
          <w:bCs/>
          <w:sz w:val="28"/>
        </w:rPr>
      </w:pPr>
    </w:p>
    <w:p w14:paraId="54394BBA">
      <w:pPr>
        <w:pStyle w:val="4"/>
        <w:spacing w:line="360" w:lineRule="auto"/>
        <w:jc w:val="center"/>
        <w:rPr>
          <w:rStyle w:val="10"/>
          <w:rFonts w:hint="eastAsia" w:ascii="宋体" w:hAnsi="宋体" w:eastAsia="宋体" w:cs="Times New Roman"/>
          <w:bCs/>
          <w:sz w:val="28"/>
        </w:rPr>
      </w:pPr>
      <w:r>
        <w:rPr>
          <w:rStyle w:val="10"/>
          <w:rFonts w:hint="eastAsia" w:ascii="宋体" w:hAnsi="宋体" w:eastAsia="宋体" w:cs="Times New Roman"/>
          <w:bCs/>
          <w:sz w:val="28"/>
        </w:rPr>
        <w:t>（本格式条款供双方签订合同参考，采购人可根据项目的实际情况增减条款和内容）</w:t>
      </w:r>
    </w:p>
    <w:p w14:paraId="57AF130C">
      <w:pPr>
        <w:spacing w:line="800" w:lineRule="exact"/>
        <w:rPr>
          <w:rFonts w:ascii="仿宋_GB2312" w:hAnsi="宋体" w:eastAsia="仿宋_GB2312" w:cs="宋体"/>
          <w:b/>
          <w:sz w:val="36"/>
          <w:szCs w:val="36"/>
        </w:rPr>
      </w:pPr>
    </w:p>
    <w:p w14:paraId="23B06236">
      <w:pPr>
        <w:rPr>
          <w:rFonts w:hint="eastAsia" w:ascii="宋体" w:hAnsi="宋体" w:cs="宋体"/>
          <w:b/>
          <w:sz w:val="44"/>
          <w:szCs w:val="44"/>
          <w:lang w:eastAsia="zh-CN"/>
        </w:rPr>
      </w:pPr>
      <w:r>
        <w:rPr>
          <w:rFonts w:hint="eastAsia" w:ascii="宋体" w:hAnsi="宋体" w:cs="宋体"/>
          <w:b/>
          <w:sz w:val="44"/>
          <w:szCs w:val="44"/>
          <w:lang w:eastAsia="zh-CN"/>
        </w:rPr>
        <w:br w:type="page"/>
      </w:r>
    </w:p>
    <w:p w14:paraId="7772DF2F">
      <w:pPr>
        <w:spacing w:line="800" w:lineRule="exact"/>
        <w:jc w:val="center"/>
        <w:rPr>
          <w:rFonts w:hint="eastAsia" w:ascii="宋体" w:hAnsi="宋体" w:cs="宋体"/>
          <w:b/>
          <w:sz w:val="44"/>
          <w:szCs w:val="44"/>
          <w:lang w:eastAsia="zh-CN"/>
        </w:rPr>
      </w:pPr>
    </w:p>
    <w:p w14:paraId="238E049F">
      <w:pPr>
        <w:spacing w:line="800" w:lineRule="exact"/>
        <w:jc w:val="center"/>
        <w:rPr>
          <w:rFonts w:hint="eastAsia" w:ascii="宋体" w:hAnsi="宋体" w:cs="宋体"/>
          <w:b/>
          <w:sz w:val="44"/>
          <w:szCs w:val="44"/>
        </w:rPr>
      </w:pPr>
      <w:r>
        <w:rPr>
          <w:rFonts w:hint="eastAsia" w:ascii="宋体" w:hAnsi="宋体" w:cs="宋体"/>
          <w:b/>
          <w:sz w:val="44"/>
          <w:szCs w:val="44"/>
          <w:lang w:eastAsia="zh-CN"/>
        </w:rPr>
        <w:t>秦渡中心卫生院非集采中药饮片招标采购项目</w:t>
      </w:r>
      <w:r>
        <w:rPr>
          <w:rFonts w:hint="eastAsia" w:ascii="宋体" w:hAnsi="宋体" w:cs="宋体"/>
          <w:b/>
          <w:sz w:val="44"/>
          <w:szCs w:val="44"/>
        </w:rPr>
        <w:t>采购合同</w:t>
      </w:r>
    </w:p>
    <w:p w14:paraId="336D0A2D">
      <w:pPr>
        <w:spacing w:line="800" w:lineRule="exact"/>
        <w:jc w:val="center"/>
        <w:rPr>
          <w:rFonts w:hint="eastAsia" w:ascii="宋体" w:hAnsi="宋体" w:cs="宋体"/>
          <w:b/>
          <w:sz w:val="32"/>
          <w:szCs w:val="32"/>
          <w:lang w:eastAsia="zh-CN"/>
        </w:rPr>
      </w:pPr>
    </w:p>
    <w:p w14:paraId="30BCD7FA">
      <w:pPr>
        <w:spacing w:line="800" w:lineRule="exact"/>
        <w:jc w:val="center"/>
        <w:rPr>
          <w:rFonts w:ascii="宋体" w:hAnsi="宋体" w:cs="宋体"/>
          <w:b/>
          <w:sz w:val="32"/>
          <w:szCs w:val="32"/>
        </w:rPr>
      </w:pPr>
    </w:p>
    <w:p w14:paraId="1B661123">
      <w:pPr>
        <w:spacing w:line="800" w:lineRule="exact"/>
        <w:jc w:val="center"/>
        <w:rPr>
          <w:rFonts w:ascii="宋体" w:hAnsi="宋体" w:cs="宋体"/>
          <w:b/>
          <w:sz w:val="32"/>
          <w:szCs w:val="32"/>
        </w:rPr>
      </w:pPr>
    </w:p>
    <w:p w14:paraId="5E493FF3">
      <w:pPr>
        <w:spacing w:line="800" w:lineRule="exact"/>
        <w:jc w:val="center"/>
        <w:rPr>
          <w:rFonts w:hint="eastAsia" w:ascii="宋体" w:hAnsi="宋体" w:eastAsia="宋体" w:cs="宋体"/>
          <w:b/>
          <w:sz w:val="32"/>
          <w:szCs w:val="32"/>
          <w:lang w:eastAsia="zh-CN"/>
        </w:rPr>
      </w:pPr>
      <w:r>
        <w:rPr>
          <w:rFonts w:hint="eastAsia" w:ascii="宋体" w:hAnsi="宋体" w:cs="宋体"/>
          <w:b/>
          <w:sz w:val="32"/>
          <w:szCs w:val="32"/>
        </w:rPr>
        <w:t>项目编号：</w:t>
      </w:r>
      <w:r>
        <w:rPr>
          <w:rFonts w:hint="eastAsia" w:ascii="宋体" w:hAnsi="宋体" w:cs="宋体"/>
          <w:b/>
          <w:sz w:val="32"/>
          <w:szCs w:val="32"/>
          <w:lang w:eastAsia="zh-CN"/>
        </w:rPr>
        <w:t>ZYZX2026-036（XDZ2026-231-Z）</w:t>
      </w:r>
    </w:p>
    <w:p w14:paraId="0B98692B">
      <w:pPr>
        <w:spacing w:line="440" w:lineRule="exact"/>
        <w:ind w:firstLine="420" w:firstLineChars="200"/>
        <w:rPr>
          <w:rFonts w:ascii="宋体" w:hAnsi="宋体"/>
          <w:szCs w:val="21"/>
        </w:rPr>
      </w:pPr>
    </w:p>
    <w:p w14:paraId="63BB636A">
      <w:pPr>
        <w:spacing w:line="440" w:lineRule="exact"/>
        <w:ind w:firstLine="420" w:firstLineChars="200"/>
        <w:rPr>
          <w:rFonts w:ascii="宋体" w:hAnsi="宋体"/>
          <w:szCs w:val="21"/>
        </w:rPr>
      </w:pPr>
    </w:p>
    <w:p w14:paraId="2A1F8B10">
      <w:pPr>
        <w:spacing w:line="440" w:lineRule="exact"/>
        <w:ind w:firstLine="420" w:firstLineChars="200"/>
        <w:rPr>
          <w:rFonts w:ascii="宋体" w:hAnsi="宋体"/>
          <w:szCs w:val="21"/>
        </w:rPr>
      </w:pPr>
    </w:p>
    <w:p w14:paraId="39E416A2">
      <w:pPr>
        <w:spacing w:line="440" w:lineRule="exact"/>
        <w:ind w:firstLine="420" w:firstLineChars="200"/>
        <w:rPr>
          <w:rFonts w:ascii="宋体" w:hAnsi="宋体"/>
          <w:szCs w:val="21"/>
        </w:rPr>
      </w:pPr>
    </w:p>
    <w:p w14:paraId="7FE49800">
      <w:pPr>
        <w:spacing w:line="440" w:lineRule="exact"/>
        <w:ind w:firstLine="420" w:firstLineChars="200"/>
        <w:rPr>
          <w:rFonts w:ascii="宋体" w:hAnsi="宋体"/>
          <w:szCs w:val="21"/>
        </w:rPr>
      </w:pPr>
    </w:p>
    <w:p w14:paraId="0374F766">
      <w:pPr>
        <w:spacing w:line="440" w:lineRule="exact"/>
        <w:ind w:firstLine="420" w:firstLineChars="200"/>
        <w:rPr>
          <w:rFonts w:ascii="宋体" w:hAnsi="宋体"/>
          <w:szCs w:val="21"/>
        </w:rPr>
      </w:pPr>
    </w:p>
    <w:p w14:paraId="5EC61FC4">
      <w:pPr>
        <w:ind w:firstLine="1950" w:firstLineChars="650"/>
        <w:rPr>
          <w:rFonts w:hint="eastAsia" w:ascii="宋体" w:hAnsi="宋体" w:eastAsia="宋体" w:cs="宋体"/>
          <w:sz w:val="30"/>
          <w:szCs w:val="30"/>
          <w:lang w:eastAsia="zh-CN"/>
        </w:rPr>
      </w:pPr>
      <w:r>
        <w:rPr>
          <w:rFonts w:hint="eastAsia" w:ascii="宋体" w:hAnsi="宋体" w:cs="宋体"/>
          <w:sz w:val="30"/>
          <w:szCs w:val="30"/>
        </w:rPr>
        <w:t>甲  方：</w:t>
      </w:r>
      <w:r>
        <w:rPr>
          <w:rFonts w:hint="eastAsia" w:ascii="宋体" w:hAnsi="宋体" w:cs="宋体"/>
          <w:sz w:val="30"/>
          <w:szCs w:val="30"/>
          <w:lang w:eastAsia="zh-CN"/>
        </w:rPr>
        <w:t>西安市鄠邑区秦渡中心卫生院</w:t>
      </w:r>
    </w:p>
    <w:p w14:paraId="12BAC01F">
      <w:pPr>
        <w:tabs>
          <w:tab w:val="left" w:pos="480"/>
        </w:tabs>
        <w:ind w:firstLine="600" w:firstLineChars="200"/>
        <w:rPr>
          <w:rFonts w:ascii="宋体" w:hAnsi="宋体" w:cs="宋体"/>
          <w:sz w:val="30"/>
          <w:szCs w:val="30"/>
        </w:rPr>
      </w:pPr>
      <w:r>
        <w:rPr>
          <w:rFonts w:hint="eastAsia" w:ascii="宋体" w:hAnsi="宋体" w:cs="宋体"/>
          <w:sz w:val="30"/>
          <w:szCs w:val="30"/>
        </w:rPr>
        <w:t xml:space="preserve">         乙  方：xxxx</w:t>
      </w:r>
    </w:p>
    <w:p w14:paraId="621A2E74">
      <w:pPr>
        <w:jc w:val="center"/>
        <w:rPr>
          <w:rFonts w:ascii="宋体" w:hAnsi="宋体" w:cs="宋体"/>
          <w:sz w:val="30"/>
          <w:szCs w:val="30"/>
        </w:rPr>
      </w:pPr>
    </w:p>
    <w:p w14:paraId="09B6157A">
      <w:pPr>
        <w:jc w:val="center"/>
        <w:rPr>
          <w:rFonts w:ascii="宋体" w:hAnsi="宋体" w:cs="宋体"/>
          <w:sz w:val="30"/>
          <w:szCs w:val="30"/>
        </w:rPr>
      </w:pPr>
      <w:r>
        <w:rPr>
          <w:rFonts w:hint="eastAsia" w:ascii="宋体" w:hAnsi="宋体" w:cs="宋体"/>
          <w:sz w:val="30"/>
          <w:szCs w:val="30"/>
        </w:rPr>
        <w:t>202</w:t>
      </w:r>
      <w:r>
        <w:rPr>
          <w:rFonts w:ascii="宋体" w:hAnsi="宋体" w:cs="宋体"/>
          <w:sz w:val="30"/>
          <w:szCs w:val="30"/>
        </w:rPr>
        <w:t xml:space="preserve"> </w:t>
      </w:r>
      <w:r>
        <w:rPr>
          <w:rFonts w:hint="eastAsia" w:ascii="宋体" w:hAnsi="宋体" w:cs="宋体"/>
          <w:sz w:val="30"/>
          <w:szCs w:val="30"/>
        </w:rPr>
        <w:t>年 月</w:t>
      </w:r>
    </w:p>
    <w:p w14:paraId="642752DF">
      <w:pPr>
        <w:jc w:val="center"/>
        <w:rPr>
          <w:rFonts w:ascii="宋体" w:hAnsi="宋体" w:cs="宋体"/>
          <w:sz w:val="30"/>
          <w:szCs w:val="30"/>
        </w:rPr>
      </w:pPr>
      <w:r>
        <w:rPr>
          <w:rFonts w:hint="eastAsia" w:ascii="宋体" w:hAnsi="宋体" w:cs="宋体"/>
          <w:sz w:val="30"/>
          <w:szCs w:val="30"/>
        </w:rPr>
        <w:t>中国  西安</w:t>
      </w:r>
    </w:p>
    <w:p w14:paraId="4EE0D14B">
      <w:pPr>
        <w:spacing w:line="440" w:lineRule="exact"/>
        <w:rPr>
          <w:rFonts w:ascii="宋体" w:hAnsi="宋体"/>
          <w:szCs w:val="21"/>
        </w:rPr>
      </w:pPr>
    </w:p>
    <w:p w14:paraId="04DDE583">
      <w:pPr>
        <w:spacing w:line="360" w:lineRule="auto"/>
        <w:ind w:firstLine="420" w:firstLineChars="200"/>
        <w:rPr>
          <w:rFonts w:hint="eastAsia" w:ascii="宋体" w:hAnsi="宋体" w:eastAsia="宋体" w:cs="宋体"/>
          <w:szCs w:val="21"/>
          <w:lang w:eastAsia="zh-CN"/>
        </w:rPr>
      </w:pPr>
      <w:r>
        <w:rPr>
          <w:rFonts w:ascii="宋体" w:hAnsi="宋体" w:cs="宋体"/>
          <w:szCs w:val="21"/>
        </w:rPr>
        <w:br w:type="page"/>
      </w:r>
      <w:r>
        <w:rPr>
          <w:rFonts w:hint="eastAsia" w:ascii="宋体" w:hAnsi="宋体" w:cs="宋体"/>
          <w:szCs w:val="21"/>
        </w:rPr>
        <w:t>甲方：</w:t>
      </w:r>
      <w:r>
        <w:rPr>
          <w:rFonts w:hint="eastAsia" w:ascii="宋体" w:hAnsi="宋体" w:cs="宋体"/>
          <w:szCs w:val="21"/>
          <w:lang w:eastAsia="zh-CN"/>
        </w:rPr>
        <w:t>西安市鄠邑区秦渡中心卫生院</w:t>
      </w:r>
    </w:p>
    <w:p w14:paraId="4875C4E6">
      <w:pPr>
        <w:spacing w:line="360" w:lineRule="auto"/>
        <w:ind w:firstLine="420" w:firstLineChars="200"/>
        <w:rPr>
          <w:rFonts w:ascii="宋体" w:hAnsi="宋体" w:cs="宋体"/>
          <w:szCs w:val="21"/>
        </w:rPr>
      </w:pPr>
      <w:r>
        <w:rPr>
          <w:rFonts w:hint="eastAsia" w:ascii="宋体" w:hAnsi="宋体" w:cs="宋体"/>
          <w:szCs w:val="21"/>
        </w:rPr>
        <w:t>住所地：</w:t>
      </w:r>
    </w:p>
    <w:p w14:paraId="3DA591EF">
      <w:pPr>
        <w:spacing w:line="360" w:lineRule="auto"/>
        <w:ind w:firstLine="420" w:firstLineChars="200"/>
        <w:rPr>
          <w:rFonts w:ascii="宋体" w:hAnsi="宋体" w:cs="宋体"/>
          <w:szCs w:val="21"/>
        </w:rPr>
      </w:pPr>
      <w:r>
        <w:rPr>
          <w:rFonts w:hint="eastAsia" w:ascii="宋体" w:hAnsi="宋体" w:cs="宋体"/>
          <w:szCs w:val="21"/>
        </w:rPr>
        <w:t>法定代表人：</w:t>
      </w:r>
      <w:r>
        <w:rPr>
          <w:rFonts w:ascii="宋体" w:hAnsi="宋体" w:cs="宋体"/>
          <w:szCs w:val="21"/>
        </w:rPr>
        <w:t xml:space="preserve"> </w:t>
      </w:r>
    </w:p>
    <w:p w14:paraId="009FF325">
      <w:pPr>
        <w:spacing w:line="360" w:lineRule="auto"/>
        <w:ind w:firstLine="420" w:firstLineChars="200"/>
        <w:rPr>
          <w:rFonts w:ascii="宋体" w:hAnsi="宋体" w:cs="宋体"/>
          <w:szCs w:val="21"/>
        </w:rPr>
      </w:pPr>
      <w:r>
        <w:rPr>
          <w:rFonts w:hint="eastAsia" w:ascii="宋体" w:hAnsi="宋体" w:cs="宋体"/>
          <w:szCs w:val="21"/>
        </w:rPr>
        <w:t xml:space="preserve">联系方式： </w:t>
      </w:r>
    </w:p>
    <w:p w14:paraId="4E692F80">
      <w:pPr>
        <w:spacing w:line="360" w:lineRule="auto"/>
        <w:ind w:firstLine="420" w:firstLineChars="200"/>
        <w:rPr>
          <w:rFonts w:ascii="宋体" w:hAnsi="宋体" w:cs="宋体"/>
          <w:szCs w:val="21"/>
        </w:rPr>
      </w:pPr>
      <w:r>
        <w:rPr>
          <w:rFonts w:hint="eastAsia" w:ascii="宋体" w:hAnsi="宋体" w:cs="宋体"/>
          <w:szCs w:val="21"/>
        </w:rPr>
        <w:t>乙方：xxxx</w:t>
      </w:r>
    </w:p>
    <w:p w14:paraId="6963E6CF">
      <w:pPr>
        <w:spacing w:line="360" w:lineRule="auto"/>
        <w:ind w:firstLine="420" w:firstLineChars="200"/>
        <w:rPr>
          <w:rFonts w:ascii="宋体" w:hAnsi="宋体" w:cs="宋体"/>
          <w:szCs w:val="21"/>
        </w:rPr>
      </w:pPr>
      <w:r>
        <w:rPr>
          <w:rFonts w:hint="eastAsia" w:ascii="宋体" w:hAnsi="宋体" w:cs="宋体"/>
          <w:szCs w:val="21"/>
        </w:rPr>
        <w:t>住所地：</w:t>
      </w:r>
    </w:p>
    <w:p w14:paraId="45FB71F2">
      <w:pPr>
        <w:spacing w:line="360" w:lineRule="auto"/>
        <w:ind w:firstLine="420" w:firstLineChars="200"/>
        <w:rPr>
          <w:rFonts w:ascii="宋体" w:hAnsi="宋体" w:cs="宋体"/>
          <w:szCs w:val="21"/>
        </w:rPr>
      </w:pPr>
      <w:r>
        <w:rPr>
          <w:rFonts w:hint="eastAsia" w:ascii="宋体" w:hAnsi="宋体" w:cs="宋体"/>
          <w:szCs w:val="21"/>
        </w:rPr>
        <w:t>法定代表人：</w:t>
      </w:r>
    </w:p>
    <w:p w14:paraId="677F13F4">
      <w:pPr>
        <w:spacing w:line="360" w:lineRule="auto"/>
        <w:ind w:firstLine="420" w:firstLineChars="200"/>
        <w:rPr>
          <w:rFonts w:ascii="宋体" w:hAnsi="宋体" w:cs="宋体"/>
          <w:szCs w:val="21"/>
        </w:rPr>
      </w:pPr>
      <w:r>
        <w:rPr>
          <w:rFonts w:hint="eastAsia" w:ascii="宋体" w:hAnsi="宋体" w:cs="宋体"/>
          <w:szCs w:val="21"/>
        </w:rPr>
        <w:t>联系方式</w:t>
      </w:r>
    </w:p>
    <w:p w14:paraId="6B5D0AB4">
      <w:pPr>
        <w:spacing w:line="360" w:lineRule="auto"/>
        <w:ind w:firstLine="420" w:firstLineChars="200"/>
        <w:rPr>
          <w:rFonts w:ascii="宋体" w:hAnsi="宋体" w:cs="宋体"/>
          <w:szCs w:val="21"/>
        </w:rPr>
      </w:pPr>
      <w:r>
        <w:rPr>
          <w:rFonts w:hint="eastAsia" w:ascii="宋体" w:hAnsi="宋体" w:cs="宋体"/>
          <w:szCs w:val="21"/>
          <w:lang w:eastAsia="zh-CN"/>
        </w:rPr>
        <w:t>西安市鄠邑区秦渡中心卫生院</w:t>
      </w:r>
      <w:r>
        <w:rPr>
          <w:rFonts w:hint="eastAsia" w:ascii="宋体" w:hAnsi="宋体" w:cs="宋体"/>
          <w:szCs w:val="21"/>
        </w:rPr>
        <w:t>（以下简称甲方）所需本合同项目下的</w:t>
      </w:r>
      <w:r>
        <w:rPr>
          <w:rFonts w:hint="eastAsia" w:ascii="宋体" w:hAnsi="宋体" w:cs="宋体"/>
          <w:szCs w:val="21"/>
          <w:u w:val="single"/>
          <w:lang w:eastAsia="zh-CN"/>
        </w:rPr>
        <w:t>秦渡中心卫生院非集采中药饮片招标采购项目</w:t>
      </w:r>
      <w:r>
        <w:rPr>
          <w:rFonts w:hint="eastAsia" w:ascii="宋体" w:hAnsi="宋体" w:cs="宋体"/>
          <w:szCs w:val="21"/>
        </w:rPr>
        <w:t>，在</w:t>
      </w:r>
      <w:r>
        <w:rPr>
          <w:rFonts w:hint="eastAsia" w:ascii="宋体" w:hAnsi="宋体" w:cs="宋体"/>
          <w:szCs w:val="21"/>
          <w:lang w:eastAsia="zh-CN"/>
        </w:rPr>
        <w:t>西安市高新技术开发区政府采购管理股</w:t>
      </w:r>
      <w:r>
        <w:rPr>
          <w:rFonts w:hint="eastAsia" w:ascii="宋体" w:hAnsi="宋体" w:cs="宋体"/>
          <w:szCs w:val="21"/>
        </w:rPr>
        <w:t>的监督管理下，由</w:t>
      </w:r>
      <w:r>
        <w:rPr>
          <w:rFonts w:hint="eastAsia" w:ascii="宋体" w:hAnsi="宋体" w:cs="宋体"/>
          <w:szCs w:val="21"/>
          <w:lang w:eastAsia="zh-CN"/>
        </w:rPr>
        <w:t>正飏（陕西）项目管理咨询有限公司</w:t>
      </w:r>
      <w:r>
        <w:rPr>
          <w:rFonts w:hint="eastAsia" w:ascii="宋体" w:hAnsi="宋体" w:cs="宋体"/>
          <w:szCs w:val="21"/>
        </w:rPr>
        <w:t>按照政府采购程序组织竞争性磋商，确定xxxx（以下简称乙方）为成交供应商。依据《中华人民共和国政府采购法》、《中华人民共和国民法典》以及磋商文件、响应文件正本和澄清表（函）、成交通知书，经甲、乙双方协商，达成如下条款。</w:t>
      </w:r>
    </w:p>
    <w:p w14:paraId="4D54604D">
      <w:pPr>
        <w:tabs>
          <w:tab w:val="left" w:pos="480"/>
        </w:tabs>
        <w:spacing w:line="360" w:lineRule="auto"/>
        <w:rPr>
          <w:rFonts w:ascii="宋体" w:hAnsi="宋体" w:cs="宋体"/>
          <w:b/>
          <w:szCs w:val="21"/>
        </w:rPr>
      </w:pPr>
      <w:r>
        <w:rPr>
          <w:rFonts w:hint="eastAsia" w:ascii="宋体" w:hAnsi="宋体" w:cs="宋体"/>
          <w:b/>
          <w:szCs w:val="21"/>
        </w:rPr>
        <w:t>一、合同标的物内容及数量</w:t>
      </w:r>
      <w:r>
        <w:rPr>
          <w:rFonts w:hint="eastAsia" w:ascii="宋体" w:hAnsi="宋体" w:cs="宋体"/>
          <w:szCs w:val="21"/>
        </w:rPr>
        <w:t>（以响应文件正本和澄清表〈函〉为准）</w:t>
      </w:r>
    </w:p>
    <w:tbl>
      <w:tblPr>
        <w:tblStyle w:val="6"/>
        <w:tblW w:w="84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81"/>
        <w:gridCol w:w="1144"/>
        <w:gridCol w:w="1572"/>
        <w:gridCol w:w="1135"/>
        <w:gridCol w:w="709"/>
        <w:gridCol w:w="1276"/>
        <w:gridCol w:w="812"/>
      </w:tblGrid>
      <w:tr w14:paraId="37A3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59024EA0">
            <w:pPr>
              <w:tabs>
                <w:tab w:val="left" w:pos="480"/>
              </w:tabs>
              <w:spacing w:line="360" w:lineRule="auto"/>
              <w:jc w:val="center"/>
              <w:rPr>
                <w:rFonts w:ascii="宋体" w:hAnsi="宋体" w:cs="宋体"/>
                <w:szCs w:val="21"/>
              </w:rPr>
            </w:pPr>
            <w:r>
              <w:rPr>
                <w:rFonts w:hint="eastAsia" w:ascii="宋体" w:hAnsi="宋体" w:cs="宋体"/>
                <w:szCs w:val="21"/>
              </w:rPr>
              <w:t>序号</w:t>
            </w:r>
          </w:p>
        </w:tc>
        <w:tc>
          <w:tcPr>
            <w:tcW w:w="981" w:type="dxa"/>
            <w:tcBorders>
              <w:top w:val="single" w:color="auto" w:sz="4" w:space="0"/>
              <w:left w:val="single" w:color="auto" w:sz="4" w:space="0"/>
              <w:bottom w:val="single" w:color="auto" w:sz="4" w:space="0"/>
              <w:right w:val="single" w:color="auto" w:sz="4" w:space="0"/>
            </w:tcBorders>
            <w:vAlign w:val="center"/>
          </w:tcPr>
          <w:p w14:paraId="64AF2FDB">
            <w:pPr>
              <w:tabs>
                <w:tab w:val="left" w:pos="480"/>
              </w:tabs>
              <w:spacing w:line="360" w:lineRule="auto"/>
              <w:jc w:val="center"/>
              <w:rPr>
                <w:rFonts w:ascii="宋体" w:hAnsi="宋体" w:cs="宋体"/>
                <w:szCs w:val="21"/>
              </w:rPr>
            </w:pPr>
            <w:r>
              <w:rPr>
                <w:rFonts w:hint="eastAsia" w:ascii="宋体" w:hAnsi="宋体" w:cs="宋体"/>
                <w:szCs w:val="21"/>
              </w:rPr>
              <w:t>名称</w:t>
            </w:r>
          </w:p>
        </w:tc>
        <w:tc>
          <w:tcPr>
            <w:tcW w:w="1144" w:type="dxa"/>
            <w:tcBorders>
              <w:top w:val="single" w:color="auto" w:sz="4" w:space="0"/>
              <w:left w:val="single" w:color="auto" w:sz="4" w:space="0"/>
              <w:bottom w:val="single" w:color="auto" w:sz="4" w:space="0"/>
              <w:right w:val="single" w:color="auto" w:sz="4" w:space="0"/>
            </w:tcBorders>
            <w:vAlign w:val="center"/>
          </w:tcPr>
          <w:p w14:paraId="07A3A138">
            <w:pPr>
              <w:tabs>
                <w:tab w:val="left" w:pos="480"/>
              </w:tabs>
              <w:spacing w:line="360" w:lineRule="auto"/>
              <w:jc w:val="center"/>
              <w:rPr>
                <w:rFonts w:ascii="宋体" w:hAnsi="宋体" w:cs="宋体"/>
                <w:szCs w:val="21"/>
              </w:rPr>
            </w:pPr>
            <w:r>
              <w:rPr>
                <w:rFonts w:ascii="宋体" w:hAnsi="宋体" w:cs="宋体"/>
                <w:szCs w:val="21"/>
              </w:rPr>
              <w:t>生产厂家</w:t>
            </w:r>
            <w:r>
              <w:rPr>
                <w:rFonts w:hint="eastAsia" w:ascii="宋体" w:hAnsi="宋体" w:cs="宋体"/>
                <w:szCs w:val="21"/>
              </w:rPr>
              <w:t>/品牌</w:t>
            </w:r>
          </w:p>
        </w:tc>
        <w:tc>
          <w:tcPr>
            <w:tcW w:w="1572" w:type="dxa"/>
            <w:tcBorders>
              <w:top w:val="single" w:color="auto" w:sz="4" w:space="0"/>
              <w:left w:val="single" w:color="auto" w:sz="4" w:space="0"/>
              <w:bottom w:val="single" w:color="auto" w:sz="4" w:space="0"/>
              <w:right w:val="single" w:color="auto" w:sz="4" w:space="0"/>
            </w:tcBorders>
            <w:vAlign w:val="center"/>
          </w:tcPr>
          <w:p w14:paraId="54D7F786">
            <w:pPr>
              <w:tabs>
                <w:tab w:val="left" w:pos="480"/>
              </w:tabs>
              <w:spacing w:line="360" w:lineRule="auto"/>
              <w:jc w:val="center"/>
              <w:rPr>
                <w:rFonts w:ascii="宋体" w:hAnsi="宋体" w:cs="宋体"/>
                <w:szCs w:val="21"/>
              </w:rPr>
            </w:pPr>
            <w:r>
              <w:rPr>
                <w:rFonts w:hint="eastAsia" w:ascii="宋体" w:hAnsi="宋体" w:cs="宋体"/>
                <w:szCs w:val="21"/>
              </w:rPr>
              <w:t>型号规格</w:t>
            </w:r>
          </w:p>
        </w:tc>
        <w:tc>
          <w:tcPr>
            <w:tcW w:w="1135" w:type="dxa"/>
            <w:tcBorders>
              <w:top w:val="single" w:color="auto" w:sz="4" w:space="0"/>
              <w:left w:val="single" w:color="auto" w:sz="4" w:space="0"/>
              <w:bottom w:val="single" w:color="auto" w:sz="4" w:space="0"/>
              <w:right w:val="single" w:color="auto" w:sz="4" w:space="0"/>
            </w:tcBorders>
            <w:vAlign w:val="center"/>
          </w:tcPr>
          <w:p w14:paraId="7824CFEC">
            <w:pPr>
              <w:tabs>
                <w:tab w:val="left" w:pos="480"/>
              </w:tabs>
              <w:spacing w:line="360" w:lineRule="auto"/>
              <w:jc w:val="center"/>
              <w:rPr>
                <w:rFonts w:ascii="宋体" w:hAnsi="宋体" w:cs="宋体"/>
                <w:szCs w:val="21"/>
              </w:rPr>
            </w:pPr>
            <w:r>
              <w:rPr>
                <w:rFonts w:hint="eastAsia" w:ascii="宋体" w:hAnsi="宋体" w:cs="宋体"/>
                <w:szCs w:val="21"/>
              </w:rPr>
              <w:t>产地</w:t>
            </w:r>
          </w:p>
        </w:tc>
        <w:tc>
          <w:tcPr>
            <w:tcW w:w="709" w:type="dxa"/>
            <w:tcBorders>
              <w:top w:val="single" w:color="auto" w:sz="4" w:space="0"/>
              <w:left w:val="single" w:color="auto" w:sz="4" w:space="0"/>
              <w:bottom w:val="single" w:color="auto" w:sz="4" w:space="0"/>
              <w:right w:val="single" w:color="auto" w:sz="4" w:space="0"/>
            </w:tcBorders>
            <w:vAlign w:val="center"/>
          </w:tcPr>
          <w:p w14:paraId="730890F8">
            <w:pPr>
              <w:tabs>
                <w:tab w:val="left" w:pos="480"/>
              </w:tabs>
              <w:spacing w:line="360" w:lineRule="auto"/>
              <w:jc w:val="center"/>
              <w:rPr>
                <w:rFonts w:ascii="宋体" w:hAnsi="宋体" w:cs="宋体"/>
                <w:szCs w:val="21"/>
              </w:rPr>
            </w:pPr>
            <w:r>
              <w:rPr>
                <w:rFonts w:hint="eastAsia" w:ascii="宋体" w:hAnsi="宋体" w:cs="宋体"/>
                <w:szCs w:val="21"/>
              </w:rPr>
              <w:t>数量</w:t>
            </w:r>
          </w:p>
        </w:tc>
        <w:tc>
          <w:tcPr>
            <w:tcW w:w="1276" w:type="dxa"/>
            <w:tcBorders>
              <w:top w:val="single" w:color="auto" w:sz="4" w:space="0"/>
              <w:left w:val="single" w:color="auto" w:sz="4" w:space="0"/>
              <w:bottom w:val="single" w:color="auto" w:sz="4" w:space="0"/>
              <w:right w:val="single" w:color="auto" w:sz="4" w:space="0"/>
            </w:tcBorders>
            <w:vAlign w:val="center"/>
          </w:tcPr>
          <w:p w14:paraId="477B056F">
            <w:pPr>
              <w:tabs>
                <w:tab w:val="left" w:pos="480"/>
              </w:tabs>
              <w:spacing w:line="360" w:lineRule="auto"/>
              <w:jc w:val="center"/>
              <w:rPr>
                <w:rFonts w:ascii="宋体" w:hAnsi="宋体" w:cs="宋体"/>
                <w:szCs w:val="21"/>
              </w:rPr>
            </w:pPr>
            <w:r>
              <w:rPr>
                <w:rFonts w:hint="eastAsia" w:ascii="宋体" w:hAnsi="宋体" w:cs="宋体"/>
                <w:szCs w:val="21"/>
              </w:rPr>
              <w:t>单价</w:t>
            </w:r>
          </w:p>
          <w:p w14:paraId="2844D459">
            <w:pPr>
              <w:tabs>
                <w:tab w:val="left" w:pos="480"/>
              </w:tabs>
              <w:spacing w:line="360" w:lineRule="auto"/>
              <w:jc w:val="center"/>
              <w:rPr>
                <w:rFonts w:ascii="宋体" w:hAnsi="宋体" w:cs="宋体"/>
                <w:szCs w:val="21"/>
              </w:rPr>
            </w:pPr>
            <w:r>
              <w:rPr>
                <w:rFonts w:hint="eastAsia" w:ascii="宋体" w:hAnsi="宋体" w:cs="宋体"/>
                <w:szCs w:val="21"/>
              </w:rPr>
              <w:t>（元）</w:t>
            </w:r>
          </w:p>
        </w:tc>
        <w:tc>
          <w:tcPr>
            <w:tcW w:w="812" w:type="dxa"/>
            <w:tcBorders>
              <w:top w:val="single" w:color="auto" w:sz="4" w:space="0"/>
              <w:left w:val="single" w:color="auto" w:sz="4" w:space="0"/>
              <w:bottom w:val="single" w:color="auto" w:sz="4" w:space="0"/>
              <w:right w:val="single" w:color="auto" w:sz="4" w:space="0"/>
            </w:tcBorders>
            <w:vAlign w:val="center"/>
          </w:tcPr>
          <w:p w14:paraId="0B223D82">
            <w:pPr>
              <w:tabs>
                <w:tab w:val="left" w:pos="480"/>
              </w:tabs>
              <w:spacing w:line="360" w:lineRule="auto"/>
              <w:jc w:val="center"/>
              <w:rPr>
                <w:rFonts w:ascii="宋体" w:hAnsi="宋体" w:cs="宋体"/>
                <w:szCs w:val="21"/>
              </w:rPr>
            </w:pPr>
            <w:r>
              <w:rPr>
                <w:rFonts w:hint="eastAsia" w:ascii="宋体" w:hAnsi="宋体" w:cs="宋体"/>
                <w:szCs w:val="21"/>
              </w:rPr>
              <w:t>备注</w:t>
            </w:r>
          </w:p>
        </w:tc>
      </w:tr>
      <w:tr w14:paraId="3C767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741B0577">
            <w:pPr>
              <w:tabs>
                <w:tab w:val="left" w:pos="480"/>
              </w:tabs>
              <w:spacing w:line="360" w:lineRule="auto"/>
              <w:jc w:val="center"/>
              <w:rPr>
                <w:rFonts w:ascii="宋体" w:hAnsi="宋体" w:cs="宋体"/>
                <w:szCs w:val="21"/>
              </w:rPr>
            </w:pPr>
            <w:r>
              <w:rPr>
                <w:rFonts w:hint="eastAsia" w:ascii="宋体" w:hAnsi="宋体" w:cs="宋体"/>
                <w:szCs w:val="21"/>
              </w:rPr>
              <w:t>1</w:t>
            </w:r>
          </w:p>
        </w:tc>
        <w:tc>
          <w:tcPr>
            <w:tcW w:w="981" w:type="dxa"/>
            <w:tcBorders>
              <w:top w:val="single" w:color="auto" w:sz="4" w:space="0"/>
              <w:left w:val="single" w:color="auto" w:sz="4" w:space="0"/>
              <w:bottom w:val="single" w:color="auto" w:sz="4" w:space="0"/>
              <w:right w:val="single" w:color="auto" w:sz="4" w:space="0"/>
            </w:tcBorders>
            <w:vAlign w:val="center"/>
          </w:tcPr>
          <w:p w14:paraId="6D35BC5B">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144" w:type="dxa"/>
            <w:tcBorders>
              <w:top w:val="single" w:color="auto" w:sz="4" w:space="0"/>
              <w:left w:val="single" w:color="auto" w:sz="4" w:space="0"/>
              <w:bottom w:val="single" w:color="auto" w:sz="4" w:space="0"/>
              <w:right w:val="single" w:color="auto" w:sz="4" w:space="0"/>
            </w:tcBorders>
            <w:vAlign w:val="center"/>
          </w:tcPr>
          <w:p w14:paraId="4B883946">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572" w:type="dxa"/>
            <w:tcBorders>
              <w:top w:val="single" w:color="auto" w:sz="4" w:space="0"/>
              <w:left w:val="single" w:color="auto" w:sz="4" w:space="0"/>
              <w:bottom w:val="single" w:color="auto" w:sz="4" w:space="0"/>
              <w:right w:val="single" w:color="auto" w:sz="4" w:space="0"/>
            </w:tcBorders>
            <w:vAlign w:val="center"/>
          </w:tcPr>
          <w:p w14:paraId="3B679C46">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135" w:type="dxa"/>
            <w:tcBorders>
              <w:top w:val="single" w:color="auto" w:sz="4" w:space="0"/>
              <w:left w:val="single" w:color="auto" w:sz="4" w:space="0"/>
              <w:bottom w:val="single" w:color="auto" w:sz="4" w:space="0"/>
              <w:right w:val="single" w:color="auto" w:sz="4" w:space="0"/>
            </w:tcBorders>
            <w:vAlign w:val="center"/>
          </w:tcPr>
          <w:p w14:paraId="1C31BAD0">
            <w:pPr>
              <w:tabs>
                <w:tab w:val="left" w:pos="480"/>
              </w:tabs>
              <w:spacing w:line="360" w:lineRule="auto"/>
              <w:jc w:val="center"/>
              <w:rPr>
                <w:rFonts w:ascii="宋体" w:hAnsi="宋体" w:cs="宋体"/>
                <w:szCs w:val="21"/>
              </w:rPr>
            </w:pPr>
            <w:r>
              <w:rPr>
                <w:rFonts w:hint="eastAsia" w:ascii="宋体" w:hAnsi="宋体" w:cs="宋体"/>
                <w:szCs w:val="21"/>
              </w:rPr>
              <w:t>xxxx</w:t>
            </w:r>
          </w:p>
        </w:tc>
        <w:tc>
          <w:tcPr>
            <w:tcW w:w="709" w:type="dxa"/>
            <w:tcBorders>
              <w:top w:val="single" w:color="auto" w:sz="4" w:space="0"/>
              <w:left w:val="single" w:color="auto" w:sz="4" w:space="0"/>
              <w:bottom w:val="single" w:color="auto" w:sz="4" w:space="0"/>
              <w:right w:val="single" w:color="auto" w:sz="4" w:space="0"/>
            </w:tcBorders>
            <w:vAlign w:val="center"/>
          </w:tcPr>
          <w:p w14:paraId="7F908B92">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276" w:type="dxa"/>
            <w:tcBorders>
              <w:top w:val="single" w:color="auto" w:sz="4" w:space="0"/>
              <w:left w:val="single" w:color="auto" w:sz="4" w:space="0"/>
              <w:bottom w:val="single" w:color="auto" w:sz="4" w:space="0"/>
              <w:right w:val="single" w:color="auto" w:sz="4" w:space="0"/>
            </w:tcBorders>
            <w:vAlign w:val="center"/>
          </w:tcPr>
          <w:p w14:paraId="1F83F5D8">
            <w:pPr>
              <w:tabs>
                <w:tab w:val="left" w:pos="480"/>
              </w:tabs>
              <w:spacing w:line="360" w:lineRule="auto"/>
              <w:jc w:val="center"/>
              <w:rPr>
                <w:rFonts w:ascii="宋体" w:hAnsi="宋体" w:cs="宋体"/>
                <w:szCs w:val="21"/>
              </w:rPr>
            </w:pPr>
            <w:r>
              <w:rPr>
                <w:rFonts w:hint="eastAsia" w:ascii="宋体" w:hAnsi="宋体" w:cs="宋体"/>
                <w:szCs w:val="21"/>
              </w:rPr>
              <w:t>xxxx</w:t>
            </w:r>
          </w:p>
        </w:tc>
        <w:tc>
          <w:tcPr>
            <w:tcW w:w="812" w:type="dxa"/>
            <w:vMerge w:val="restart"/>
            <w:tcBorders>
              <w:top w:val="single" w:color="auto" w:sz="4" w:space="0"/>
              <w:left w:val="single" w:color="auto" w:sz="4" w:space="0"/>
              <w:right w:val="single" w:color="auto" w:sz="4" w:space="0"/>
            </w:tcBorders>
            <w:vAlign w:val="center"/>
          </w:tcPr>
          <w:p w14:paraId="7001755E">
            <w:pPr>
              <w:tabs>
                <w:tab w:val="left" w:pos="480"/>
              </w:tabs>
              <w:spacing w:line="360" w:lineRule="auto"/>
              <w:jc w:val="center"/>
              <w:rPr>
                <w:rFonts w:ascii="宋体" w:hAnsi="宋体" w:cs="宋体"/>
                <w:szCs w:val="21"/>
              </w:rPr>
            </w:pPr>
          </w:p>
        </w:tc>
      </w:tr>
      <w:tr w14:paraId="66359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38492EC2">
            <w:pPr>
              <w:tabs>
                <w:tab w:val="left" w:pos="480"/>
              </w:tabs>
              <w:spacing w:line="360" w:lineRule="auto"/>
              <w:jc w:val="center"/>
              <w:rPr>
                <w:rFonts w:ascii="宋体" w:hAnsi="宋体" w:cs="宋体"/>
                <w:szCs w:val="21"/>
              </w:rPr>
            </w:pPr>
            <w:r>
              <w:rPr>
                <w:rFonts w:hint="eastAsia" w:ascii="宋体" w:hAnsi="宋体" w:cs="宋体"/>
                <w:szCs w:val="21"/>
              </w:rPr>
              <w:t>2</w:t>
            </w:r>
          </w:p>
        </w:tc>
        <w:tc>
          <w:tcPr>
            <w:tcW w:w="981" w:type="dxa"/>
            <w:tcBorders>
              <w:top w:val="single" w:color="auto" w:sz="4" w:space="0"/>
              <w:left w:val="single" w:color="auto" w:sz="4" w:space="0"/>
              <w:bottom w:val="single" w:color="auto" w:sz="4" w:space="0"/>
              <w:right w:val="single" w:color="auto" w:sz="4" w:space="0"/>
            </w:tcBorders>
            <w:vAlign w:val="center"/>
          </w:tcPr>
          <w:p w14:paraId="66506F04">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144" w:type="dxa"/>
            <w:tcBorders>
              <w:top w:val="single" w:color="auto" w:sz="4" w:space="0"/>
              <w:left w:val="single" w:color="auto" w:sz="4" w:space="0"/>
              <w:bottom w:val="single" w:color="auto" w:sz="4" w:space="0"/>
              <w:right w:val="single" w:color="auto" w:sz="4" w:space="0"/>
            </w:tcBorders>
            <w:vAlign w:val="center"/>
          </w:tcPr>
          <w:p w14:paraId="5E8AE2A8">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572" w:type="dxa"/>
            <w:tcBorders>
              <w:top w:val="single" w:color="auto" w:sz="4" w:space="0"/>
              <w:left w:val="single" w:color="auto" w:sz="4" w:space="0"/>
              <w:bottom w:val="single" w:color="auto" w:sz="4" w:space="0"/>
              <w:right w:val="single" w:color="auto" w:sz="4" w:space="0"/>
            </w:tcBorders>
            <w:vAlign w:val="center"/>
          </w:tcPr>
          <w:p w14:paraId="28839F4D">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135" w:type="dxa"/>
            <w:tcBorders>
              <w:top w:val="single" w:color="auto" w:sz="4" w:space="0"/>
              <w:left w:val="single" w:color="auto" w:sz="4" w:space="0"/>
              <w:bottom w:val="single" w:color="auto" w:sz="4" w:space="0"/>
              <w:right w:val="single" w:color="auto" w:sz="4" w:space="0"/>
            </w:tcBorders>
            <w:vAlign w:val="center"/>
          </w:tcPr>
          <w:p w14:paraId="6D24ECDB">
            <w:pPr>
              <w:tabs>
                <w:tab w:val="left" w:pos="480"/>
              </w:tabs>
              <w:spacing w:line="360" w:lineRule="auto"/>
              <w:jc w:val="center"/>
              <w:rPr>
                <w:rFonts w:ascii="宋体" w:hAnsi="宋体" w:cs="宋体"/>
                <w:szCs w:val="21"/>
              </w:rPr>
            </w:pPr>
            <w:r>
              <w:rPr>
                <w:rFonts w:hint="eastAsia" w:ascii="宋体" w:hAnsi="宋体" w:cs="宋体"/>
                <w:szCs w:val="21"/>
              </w:rPr>
              <w:t>xxxx</w:t>
            </w:r>
          </w:p>
        </w:tc>
        <w:tc>
          <w:tcPr>
            <w:tcW w:w="709" w:type="dxa"/>
            <w:tcBorders>
              <w:top w:val="single" w:color="auto" w:sz="4" w:space="0"/>
              <w:left w:val="single" w:color="auto" w:sz="4" w:space="0"/>
              <w:bottom w:val="single" w:color="auto" w:sz="4" w:space="0"/>
              <w:right w:val="single" w:color="auto" w:sz="4" w:space="0"/>
            </w:tcBorders>
            <w:vAlign w:val="center"/>
          </w:tcPr>
          <w:p w14:paraId="620668F3">
            <w:pPr>
              <w:tabs>
                <w:tab w:val="left" w:pos="480"/>
              </w:tabs>
              <w:spacing w:line="360" w:lineRule="auto"/>
              <w:jc w:val="center"/>
              <w:rPr>
                <w:rFonts w:ascii="宋体" w:hAnsi="宋体" w:cs="宋体"/>
                <w:szCs w:val="21"/>
              </w:rPr>
            </w:pPr>
            <w:r>
              <w:rPr>
                <w:rFonts w:hint="eastAsia" w:ascii="宋体" w:hAnsi="宋体" w:cs="宋体"/>
                <w:szCs w:val="21"/>
              </w:rPr>
              <w:t>xxxx</w:t>
            </w:r>
          </w:p>
        </w:tc>
        <w:tc>
          <w:tcPr>
            <w:tcW w:w="1276" w:type="dxa"/>
            <w:tcBorders>
              <w:top w:val="single" w:color="auto" w:sz="4" w:space="0"/>
              <w:left w:val="single" w:color="auto" w:sz="4" w:space="0"/>
              <w:bottom w:val="single" w:color="auto" w:sz="4" w:space="0"/>
              <w:right w:val="single" w:color="auto" w:sz="4" w:space="0"/>
            </w:tcBorders>
            <w:vAlign w:val="center"/>
          </w:tcPr>
          <w:p w14:paraId="1EEB696D">
            <w:pPr>
              <w:tabs>
                <w:tab w:val="left" w:pos="480"/>
              </w:tabs>
              <w:spacing w:line="360" w:lineRule="auto"/>
              <w:jc w:val="center"/>
              <w:rPr>
                <w:rFonts w:ascii="宋体" w:hAnsi="宋体" w:cs="宋体"/>
                <w:szCs w:val="21"/>
              </w:rPr>
            </w:pPr>
            <w:r>
              <w:rPr>
                <w:rFonts w:hint="eastAsia" w:ascii="宋体" w:hAnsi="宋体" w:cs="宋体"/>
                <w:szCs w:val="21"/>
              </w:rPr>
              <w:t>xxxx</w:t>
            </w:r>
          </w:p>
        </w:tc>
        <w:tc>
          <w:tcPr>
            <w:tcW w:w="812" w:type="dxa"/>
            <w:vMerge w:val="continue"/>
            <w:tcBorders>
              <w:left w:val="single" w:color="auto" w:sz="4" w:space="0"/>
              <w:right w:val="single" w:color="auto" w:sz="4" w:space="0"/>
            </w:tcBorders>
            <w:vAlign w:val="center"/>
          </w:tcPr>
          <w:p w14:paraId="23329078">
            <w:pPr>
              <w:tabs>
                <w:tab w:val="left" w:pos="480"/>
              </w:tabs>
              <w:spacing w:line="360" w:lineRule="auto"/>
              <w:jc w:val="center"/>
              <w:rPr>
                <w:rFonts w:ascii="宋体" w:hAnsi="宋体" w:cs="宋体"/>
                <w:szCs w:val="21"/>
              </w:rPr>
            </w:pPr>
          </w:p>
        </w:tc>
      </w:tr>
      <w:tr w14:paraId="3152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14:paraId="513EAFC8">
            <w:pPr>
              <w:tabs>
                <w:tab w:val="left" w:pos="480"/>
              </w:tabs>
              <w:spacing w:line="360" w:lineRule="auto"/>
              <w:jc w:val="center"/>
              <w:rPr>
                <w:rFonts w:ascii="宋体" w:hAnsi="宋体" w:cs="宋体"/>
                <w:szCs w:val="21"/>
              </w:rPr>
            </w:pPr>
            <w:r>
              <w:rPr>
                <w:rFonts w:ascii="宋体" w:hAnsi="宋体" w:cs="宋体"/>
                <w:szCs w:val="21"/>
              </w:rPr>
              <w:t>…</w:t>
            </w:r>
          </w:p>
        </w:tc>
        <w:tc>
          <w:tcPr>
            <w:tcW w:w="981" w:type="dxa"/>
            <w:tcBorders>
              <w:top w:val="single" w:color="auto" w:sz="4" w:space="0"/>
              <w:left w:val="single" w:color="auto" w:sz="4" w:space="0"/>
              <w:bottom w:val="single" w:color="auto" w:sz="4" w:space="0"/>
              <w:right w:val="single" w:color="auto" w:sz="4" w:space="0"/>
            </w:tcBorders>
            <w:vAlign w:val="center"/>
          </w:tcPr>
          <w:p w14:paraId="21D53C19">
            <w:pPr>
              <w:tabs>
                <w:tab w:val="left" w:pos="480"/>
              </w:tabs>
              <w:spacing w:line="360" w:lineRule="auto"/>
              <w:jc w:val="center"/>
              <w:rPr>
                <w:rFonts w:ascii="宋体" w:hAnsi="宋体" w:cs="宋体"/>
                <w:szCs w:val="21"/>
              </w:rPr>
            </w:pPr>
            <w:r>
              <w:rPr>
                <w:rFonts w:ascii="宋体" w:hAnsi="宋体" w:cs="宋体"/>
                <w:szCs w:val="21"/>
              </w:rPr>
              <w:t>…</w:t>
            </w:r>
          </w:p>
        </w:tc>
        <w:tc>
          <w:tcPr>
            <w:tcW w:w="1144" w:type="dxa"/>
            <w:tcBorders>
              <w:top w:val="single" w:color="auto" w:sz="4" w:space="0"/>
              <w:left w:val="single" w:color="auto" w:sz="4" w:space="0"/>
              <w:bottom w:val="single" w:color="auto" w:sz="4" w:space="0"/>
              <w:right w:val="single" w:color="auto" w:sz="4" w:space="0"/>
            </w:tcBorders>
            <w:vAlign w:val="center"/>
          </w:tcPr>
          <w:p w14:paraId="6CDA7C4A">
            <w:pPr>
              <w:tabs>
                <w:tab w:val="left" w:pos="480"/>
              </w:tabs>
              <w:spacing w:line="360" w:lineRule="auto"/>
              <w:jc w:val="center"/>
              <w:rPr>
                <w:rFonts w:ascii="宋体" w:hAnsi="宋体" w:cs="宋体"/>
                <w:szCs w:val="21"/>
              </w:rPr>
            </w:pPr>
            <w:r>
              <w:rPr>
                <w:rFonts w:ascii="宋体" w:hAnsi="宋体" w:cs="宋体"/>
                <w:szCs w:val="21"/>
              </w:rPr>
              <w:t>…</w:t>
            </w:r>
          </w:p>
        </w:tc>
        <w:tc>
          <w:tcPr>
            <w:tcW w:w="1572" w:type="dxa"/>
            <w:tcBorders>
              <w:top w:val="single" w:color="auto" w:sz="4" w:space="0"/>
              <w:left w:val="single" w:color="auto" w:sz="4" w:space="0"/>
              <w:bottom w:val="single" w:color="auto" w:sz="4" w:space="0"/>
              <w:right w:val="single" w:color="auto" w:sz="4" w:space="0"/>
            </w:tcBorders>
            <w:vAlign w:val="center"/>
          </w:tcPr>
          <w:p w14:paraId="2FA1ABAC">
            <w:pPr>
              <w:tabs>
                <w:tab w:val="left" w:pos="480"/>
              </w:tabs>
              <w:spacing w:line="360" w:lineRule="auto"/>
              <w:jc w:val="center"/>
              <w:rPr>
                <w:rFonts w:ascii="宋体" w:hAnsi="宋体" w:cs="宋体"/>
                <w:szCs w:val="21"/>
              </w:rPr>
            </w:pPr>
            <w:r>
              <w:rPr>
                <w:rFonts w:ascii="宋体" w:hAnsi="宋体" w:cs="宋体"/>
                <w:szCs w:val="21"/>
              </w:rPr>
              <w:t>…</w:t>
            </w:r>
          </w:p>
        </w:tc>
        <w:tc>
          <w:tcPr>
            <w:tcW w:w="1135" w:type="dxa"/>
            <w:tcBorders>
              <w:top w:val="single" w:color="auto" w:sz="4" w:space="0"/>
              <w:left w:val="single" w:color="auto" w:sz="4" w:space="0"/>
              <w:bottom w:val="single" w:color="auto" w:sz="4" w:space="0"/>
              <w:right w:val="single" w:color="auto" w:sz="4" w:space="0"/>
            </w:tcBorders>
            <w:vAlign w:val="center"/>
          </w:tcPr>
          <w:p w14:paraId="6D491F04">
            <w:pPr>
              <w:tabs>
                <w:tab w:val="left" w:pos="480"/>
              </w:tabs>
              <w:spacing w:line="360" w:lineRule="auto"/>
              <w:jc w:val="center"/>
              <w:rPr>
                <w:rFonts w:ascii="宋体" w:hAnsi="宋体" w:cs="宋体"/>
                <w:szCs w:val="21"/>
              </w:rPr>
            </w:pPr>
            <w:r>
              <w:rPr>
                <w:rFonts w:ascii="宋体" w:hAnsi="宋体" w:cs="宋体"/>
                <w:szCs w:val="21"/>
              </w:rPr>
              <w:t>…</w:t>
            </w:r>
          </w:p>
        </w:tc>
        <w:tc>
          <w:tcPr>
            <w:tcW w:w="709" w:type="dxa"/>
            <w:tcBorders>
              <w:top w:val="single" w:color="auto" w:sz="4" w:space="0"/>
              <w:left w:val="single" w:color="auto" w:sz="4" w:space="0"/>
              <w:bottom w:val="single" w:color="auto" w:sz="4" w:space="0"/>
              <w:right w:val="single" w:color="auto" w:sz="4" w:space="0"/>
            </w:tcBorders>
            <w:vAlign w:val="center"/>
          </w:tcPr>
          <w:p w14:paraId="6557C0DD">
            <w:pPr>
              <w:tabs>
                <w:tab w:val="left" w:pos="480"/>
              </w:tabs>
              <w:spacing w:line="360" w:lineRule="auto"/>
              <w:jc w:val="center"/>
              <w:rPr>
                <w:rFonts w:ascii="宋体" w:hAnsi="宋体" w:cs="宋体"/>
                <w:szCs w:val="21"/>
              </w:rPr>
            </w:pPr>
            <w:r>
              <w:rPr>
                <w:rFonts w:ascii="宋体" w:hAnsi="宋体" w:cs="宋体"/>
                <w:szCs w:val="21"/>
              </w:rPr>
              <w:t>…</w:t>
            </w:r>
          </w:p>
        </w:tc>
        <w:tc>
          <w:tcPr>
            <w:tcW w:w="1276" w:type="dxa"/>
            <w:tcBorders>
              <w:top w:val="single" w:color="auto" w:sz="4" w:space="0"/>
              <w:left w:val="single" w:color="auto" w:sz="4" w:space="0"/>
              <w:bottom w:val="single" w:color="auto" w:sz="4" w:space="0"/>
              <w:right w:val="single" w:color="auto" w:sz="4" w:space="0"/>
            </w:tcBorders>
            <w:vAlign w:val="center"/>
          </w:tcPr>
          <w:p w14:paraId="43491302">
            <w:pPr>
              <w:tabs>
                <w:tab w:val="left" w:pos="480"/>
              </w:tabs>
              <w:spacing w:line="360" w:lineRule="auto"/>
              <w:jc w:val="center"/>
              <w:rPr>
                <w:rFonts w:ascii="宋体" w:hAnsi="宋体" w:cs="宋体"/>
                <w:szCs w:val="21"/>
              </w:rPr>
            </w:pPr>
            <w:r>
              <w:rPr>
                <w:rFonts w:ascii="宋体" w:hAnsi="宋体" w:cs="宋体"/>
                <w:szCs w:val="21"/>
              </w:rPr>
              <w:t>…</w:t>
            </w:r>
          </w:p>
        </w:tc>
        <w:tc>
          <w:tcPr>
            <w:tcW w:w="812" w:type="dxa"/>
            <w:vMerge w:val="continue"/>
            <w:tcBorders>
              <w:left w:val="single" w:color="auto" w:sz="4" w:space="0"/>
              <w:right w:val="single" w:color="auto" w:sz="4" w:space="0"/>
            </w:tcBorders>
            <w:vAlign w:val="center"/>
          </w:tcPr>
          <w:p w14:paraId="109394D5">
            <w:pPr>
              <w:tabs>
                <w:tab w:val="left" w:pos="480"/>
              </w:tabs>
              <w:spacing w:line="360" w:lineRule="auto"/>
              <w:jc w:val="center"/>
              <w:rPr>
                <w:rFonts w:ascii="宋体" w:hAnsi="宋体" w:cs="宋体"/>
                <w:szCs w:val="21"/>
              </w:rPr>
            </w:pPr>
          </w:p>
        </w:tc>
      </w:tr>
      <w:tr w14:paraId="601C0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6358" w:type="dxa"/>
            <w:gridSpan w:val="6"/>
            <w:tcBorders>
              <w:top w:val="single" w:color="auto" w:sz="4" w:space="0"/>
              <w:left w:val="single" w:color="auto" w:sz="4" w:space="0"/>
              <w:bottom w:val="single" w:color="auto" w:sz="4" w:space="0"/>
              <w:right w:val="single" w:color="auto" w:sz="4" w:space="0"/>
            </w:tcBorders>
            <w:vAlign w:val="center"/>
          </w:tcPr>
          <w:p w14:paraId="010FB2AA">
            <w:pPr>
              <w:tabs>
                <w:tab w:val="left" w:pos="480"/>
              </w:tabs>
              <w:spacing w:line="360" w:lineRule="auto"/>
              <w:jc w:val="center"/>
              <w:rPr>
                <w:rFonts w:hint="eastAsia" w:ascii="宋体" w:hAnsi="宋体" w:eastAsia="宋体" w:cs="宋体"/>
                <w:szCs w:val="21"/>
                <w:lang w:val="en-US" w:eastAsia="zh-CN"/>
              </w:rPr>
            </w:pPr>
            <w:r>
              <w:rPr>
                <w:rFonts w:hint="eastAsia" w:ascii="宋体" w:hAnsi="宋体" w:cs="宋体"/>
                <w:szCs w:val="21"/>
                <w:lang w:val="en-US" w:eastAsia="zh-CN"/>
              </w:rPr>
              <w:t>合计（元）</w:t>
            </w:r>
          </w:p>
        </w:tc>
        <w:tc>
          <w:tcPr>
            <w:tcW w:w="2088" w:type="dxa"/>
            <w:gridSpan w:val="2"/>
            <w:tcBorders>
              <w:top w:val="single" w:color="auto" w:sz="4" w:space="0"/>
              <w:left w:val="single" w:color="auto" w:sz="4" w:space="0"/>
              <w:bottom w:val="single" w:color="auto" w:sz="4" w:space="0"/>
              <w:right w:val="single" w:color="auto" w:sz="4" w:space="0"/>
            </w:tcBorders>
            <w:vAlign w:val="center"/>
          </w:tcPr>
          <w:p w14:paraId="35F4DFE0">
            <w:pPr>
              <w:tabs>
                <w:tab w:val="left" w:pos="480"/>
              </w:tabs>
              <w:spacing w:line="360" w:lineRule="auto"/>
              <w:jc w:val="center"/>
              <w:rPr>
                <w:rFonts w:ascii="宋体" w:hAnsi="宋体" w:cs="宋体"/>
                <w:szCs w:val="21"/>
              </w:rPr>
            </w:pPr>
          </w:p>
        </w:tc>
      </w:tr>
    </w:tbl>
    <w:p w14:paraId="18049686">
      <w:pPr>
        <w:tabs>
          <w:tab w:val="left" w:pos="480"/>
        </w:tabs>
        <w:spacing w:line="360" w:lineRule="auto"/>
        <w:rPr>
          <w:rFonts w:ascii="宋体" w:hAnsi="宋体" w:cs="宋体"/>
          <w:b/>
          <w:szCs w:val="21"/>
        </w:rPr>
      </w:pPr>
      <w:r>
        <w:rPr>
          <w:rFonts w:hint="eastAsia" w:ascii="宋体" w:hAnsi="宋体" w:cs="宋体"/>
          <w:b/>
          <w:szCs w:val="21"/>
        </w:rPr>
        <w:t>二、合同价款</w:t>
      </w:r>
    </w:p>
    <w:p w14:paraId="05CC4B38">
      <w:pPr>
        <w:tabs>
          <w:tab w:val="left" w:pos="480"/>
        </w:tabs>
        <w:spacing w:line="360" w:lineRule="auto"/>
        <w:jc w:val="left"/>
        <w:rPr>
          <w:rFonts w:ascii="宋体" w:hAnsi="宋体" w:cs="宋体"/>
          <w:szCs w:val="21"/>
        </w:rPr>
      </w:pPr>
      <w:r>
        <w:rPr>
          <w:rFonts w:hint="eastAsia" w:ascii="宋体" w:hAnsi="宋体" w:cs="宋体"/>
          <w:szCs w:val="21"/>
        </w:rPr>
        <w:t>（一）合同</w:t>
      </w:r>
      <w:r>
        <w:rPr>
          <w:rFonts w:hint="eastAsia" w:ascii="宋体" w:hAnsi="宋体" w:cs="宋体"/>
          <w:szCs w:val="21"/>
          <w:lang w:val="en-US" w:eastAsia="zh-CN"/>
        </w:rPr>
        <w:t>单价合计</w:t>
      </w:r>
      <w:r>
        <w:rPr>
          <w:rFonts w:hint="eastAsia" w:ascii="宋体" w:hAnsi="宋体" w:cs="宋体"/>
          <w:szCs w:val="21"/>
        </w:rPr>
        <w:t>为人民币（大写）xxxx（￥xxxx元）。</w:t>
      </w:r>
    </w:p>
    <w:p w14:paraId="65F16AA2">
      <w:pPr>
        <w:tabs>
          <w:tab w:val="left" w:pos="480"/>
        </w:tabs>
        <w:spacing w:line="360" w:lineRule="auto"/>
        <w:rPr>
          <w:rFonts w:ascii="宋体" w:hAnsi="宋体" w:cs="宋体"/>
          <w:color w:val="0000FF"/>
          <w:szCs w:val="21"/>
        </w:rPr>
      </w:pPr>
      <w:r>
        <w:rPr>
          <w:rFonts w:hint="eastAsia" w:ascii="宋体" w:hAnsi="宋体" w:cs="宋体"/>
          <w:szCs w:val="21"/>
        </w:rPr>
        <w:t>（二）合同</w:t>
      </w:r>
      <w:r>
        <w:rPr>
          <w:rFonts w:hint="eastAsia" w:ascii="宋体" w:hAnsi="宋体" w:cs="宋体"/>
          <w:szCs w:val="21"/>
          <w:lang w:val="en-US" w:eastAsia="zh-CN"/>
        </w:rPr>
        <w:t>单价</w:t>
      </w:r>
      <w:r>
        <w:rPr>
          <w:rFonts w:hint="eastAsia" w:ascii="宋体" w:hAnsi="宋体" w:cs="宋体"/>
          <w:szCs w:val="21"/>
        </w:rPr>
        <w:t>包括</w:t>
      </w:r>
      <w:r>
        <w:rPr>
          <w:rFonts w:hint="eastAsia" w:ascii="宋体" w:hAnsi="宋体" w:cs="宋体"/>
          <w:color w:val="auto"/>
          <w:szCs w:val="21"/>
        </w:rPr>
        <w:t>：包括</w:t>
      </w:r>
      <w:r>
        <w:rPr>
          <w:rFonts w:hint="eastAsia" w:ascii="宋体" w:hAnsi="宋体" w:cs="宋体"/>
          <w:color w:val="auto"/>
          <w:szCs w:val="21"/>
          <w:lang w:val="en-US" w:eastAsia="zh-CN"/>
        </w:rPr>
        <w:t>货物</w:t>
      </w:r>
      <w:r>
        <w:rPr>
          <w:rFonts w:hint="eastAsia" w:ascii="宋体" w:hAnsi="宋体" w:cs="宋体"/>
          <w:color w:val="auto"/>
          <w:szCs w:val="21"/>
        </w:rPr>
        <w:t>费、</w:t>
      </w:r>
      <w:r>
        <w:rPr>
          <w:rFonts w:hint="eastAsia" w:ascii="宋体" w:hAnsi="宋体" w:cs="宋体"/>
          <w:color w:val="auto"/>
          <w:szCs w:val="21"/>
          <w:lang w:val="en-US" w:eastAsia="zh-CN"/>
        </w:rPr>
        <w:t>装卸</w:t>
      </w:r>
      <w:r>
        <w:rPr>
          <w:rFonts w:hint="eastAsia" w:ascii="宋体" w:hAnsi="宋体" w:cs="宋体"/>
          <w:color w:val="auto"/>
          <w:szCs w:val="21"/>
        </w:rPr>
        <w:t>费、管理费、应交纳税费、服务费、等因开展本项目所涉及本项目的一切相关费用在内。</w:t>
      </w:r>
    </w:p>
    <w:p w14:paraId="167A9DFA">
      <w:pPr>
        <w:tabs>
          <w:tab w:val="left" w:pos="480"/>
        </w:tabs>
        <w:spacing w:line="360" w:lineRule="auto"/>
        <w:rPr>
          <w:rFonts w:ascii="宋体" w:hAnsi="宋体" w:cs="宋体"/>
          <w:b/>
          <w:szCs w:val="21"/>
        </w:rPr>
      </w:pPr>
      <w:r>
        <w:rPr>
          <w:rFonts w:hint="eastAsia" w:ascii="宋体" w:hAnsi="宋体" w:cs="宋体"/>
          <w:b/>
          <w:szCs w:val="21"/>
        </w:rPr>
        <w:t>三、款项结算</w:t>
      </w:r>
    </w:p>
    <w:p w14:paraId="206C9A21">
      <w:pPr>
        <w:tabs>
          <w:tab w:val="left" w:pos="480"/>
        </w:tabs>
        <w:spacing w:line="480" w:lineRule="exact"/>
        <w:rPr>
          <w:rFonts w:ascii="宋体" w:hAnsi="宋体" w:cs="宋体"/>
          <w:bCs/>
          <w:szCs w:val="21"/>
        </w:rPr>
      </w:pPr>
      <w:r>
        <w:rPr>
          <w:rFonts w:hint="eastAsia" w:ascii="宋体" w:hAnsi="宋体" w:cs="宋体"/>
          <w:bCs/>
          <w:szCs w:val="21"/>
        </w:rPr>
        <w:t>（一）付款方式：</w:t>
      </w:r>
    </w:p>
    <w:p w14:paraId="197FB3C7">
      <w:pPr>
        <w:spacing w:line="360" w:lineRule="auto"/>
        <w:ind w:firstLine="420" w:firstLineChars="200"/>
        <w:rPr>
          <w:rFonts w:hint="eastAsia" w:ascii="宋体" w:hAnsi="宋体" w:cs="宋体"/>
          <w:szCs w:val="21"/>
        </w:rPr>
      </w:pPr>
      <w:r>
        <w:rPr>
          <w:rFonts w:hint="eastAsia" w:ascii="宋体" w:hAnsi="宋体" w:cs="宋体"/>
          <w:szCs w:val="21"/>
          <w:lang w:val="en-US" w:eastAsia="zh-CN"/>
        </w:rPr>
        <w:t>分期</w:t>
      </w:r>
      <w:r>
        <w:rPr>
          <w:rFonts w:hint="eastAsia" w:ascii="宋体" w:hAnsi="宋体" w:cs="宋体"/>
          <w:szCs w:val="21"/>
        </w:rPr>
        <w:t>付清。付款条件说明： 按月据实结算，供应商于月初按有关要求向采购人提交上一月已交易药品的发票等相关单据以及合同规定的其他义务已经履行的证明，采购人核对交易单据及明细无误后30日内向供应商付款。</w:t>
      </w:r>
    </w:p>
    <w:p w14:paraId="528ED414">
      <w:pPr>
        <w:spacing w:line="360" w:lineRule="auto"/>
        <w:rPr>
          <w:rFonts w:ascii="宋体" w:hAnsi="宋体" w:cs="宋体"/>
          <w:szCs w:val="21"/>
        </w:rPr>
      </w:pPr>
      <w:r>
        <w:rPr>
          <w:rFonts w:hint="eastAsia" w:ascii="宋体" w:hAnsi="宋体" w:cs="宋体"/>
          <w:szCs w:val="21"/>
        </w:rPr>
        <w:t>（二）支付方式：银行转帐。</w:t>
      </w:r>
    </w:p>
    <w:p w14:paraId="52A86040">
      <w:pPr>
        <w:spacing w:line="480" w:lineRule="exact"/>
        <w:ind w:left="1230" w:leftChars="-13" w:hanging="1257" w:hangingChars="599"/>
        <w:rPr>
          <w:rFonts w:ascii="宋体" w:hAnsi="宋体"/>
          <w:szCs w:val="21"/>
        </w:rPr>
      </w:pPr>
      <w:r>
        <w:rPr>
          <w:rFonts w:hint="eastAsia" w:ascii="宋体" w:hAnsi="宋体" w:cs="宋体"/>
          <w:bCs/>
          <w:szCs w:val="21"/>
        </w:rPr>
        <w:t>（三）结算方式：乙方持验收合格单，等额合规发票，成交通知书、供货合同，与甲方结算。</w:t>
      </w:r>
    </w:p>
    <w:p w14:paraId="5D29F552">
      <w:pPr>
        <w:spacing w:line="480" w:lineRule="exact"/>
        <w:rPr>
          <w:rFonts w:ascii="宋体" w:hAnsi="宋体" w:cs="宋体"/>
          <w:b/>
          <w:szCs w:val="21"/>
        </w:rPr>
      </w:pPr>
      <w:r>
        <w:rPr>
          <w:rFonts w:hint="eastAsia" w:ascii="宋体" w:hAnsi="宋体" w:cs="宋体"/>
          <w:b/>
          <w:szCs w:val="21"/>
        </w:rPr>
        <w:t>四、交货条件：</w:t>
      </w:r>
    </w:p>
    <w:p w14:paraId="5292425C">
      <w:pPr>
        <w:tabs>
          <w:tab w:val="left" w:pos="480"/>
        </w:tabs>
        <w:spacing w:line="480" w:lineRule="exact"/>
        <w:rPr>
          <w:rFonts w:ascii="宋体" w:hAnsi="宋体" w:cs="宋体"/>
          <w:szCs w:val="21"/>
          <w:u w:val="single"/>
        </w:rPr>
      </w:pPr>
      <w:r>
        <w:rPr>
          <w:rFonts w:hint="eastAsia" w:ascii="宋体" w:hAnsi="宋体" w:cs="宋体"/>
          <w:szCs w:val="21"/>
        </w:rPr>
        <w:t>（一）项目地点</w:t>
      </w:r>
      <w:r>
        <w:rPr>
          <w:rFonts w:hint="eastAsia" w:ascii="宋体" w:hAnsi="宋体" w:cs="宋体"/>
          <w:szCs w:val="21"/>
          <w:u w:val="single"/>
        </w:rPr>
        <w:t xml:space="preserve">：               </w:t>
      </w:r>
      <w:r>
        <w:rPr>
          <w:rFonts w:hint="eastAsia" w:ascii="宋体" w:hAnsi="宋体" w:cs="宋体"/>
          <w:bCs/>
          <w:szCs w:val="21"/>
          <w:u w:val="single"/>
        </w:rPr>
        <w:t>。</w:t>
      </w:r>
    </w:p>
    <w:p w14:paraId="0BD168C4">
      <w:pPr>
        <w:tabs>
          <w:tab w:val="left" w:pos="480"/>
        </w:tabs>
        <w:spacing w:line="480" w:lineRule="exact"/>
        <w:rPr>
          <w:rFonts w:hint="eastAsia" w:ascii="宋体" w:hAnsi="宋体" w:cs="宋体"/>
          <w:bCs/>
          <w:szCs w:val="21"/>
        </w:rPr>
      </w:pPr>
      <w:r>
        <w:rPr>
          <w:rFonts w:hint="eastAsia" w:ascii="宋体" w:hAnsi="宋体" w:cs="宋体"/>
          <w:bCs/>
          <w:szCs w:val="21"/>
          <w:lang w:eastAsia="zh-CN"/>
        </w:rPr>
        <w:t>（</w:t>
      </w:r>
      <w:r>
        <w:rPr>
          <w:rFonts w:hint="eastAsia" w:ascii="宋体" w:hAnsi="宋体" w:cs="宋体"/>
          <w:bCs/>
          <w:szCs w:val="21"/>
          <w:lang w:val="en-US" w:eastAsia="zh-CN"/>
        </w:rPr>
        <w:t>二</w:t>
      </w:r>
      <w:r>
        <w:rPr>
          <w:rFonts w:hint="eastAsia" w:ascii="宋体" w:hAnsi="宋体" w:cs="宋体"/>
          <w:bCs/>
          <w:szCs w:val="21"/>
          <w:lang w:eastAsia="zh-CN"/>
        </w:rPr>
        <w:t>）</w:t>
      </w:r>
      <w:r>
        <w:rPr>
          <w:rFonts w:hint="eastAsia" w:ascii="宋体" w:hAnsi="宋体" w:cs="宋体"/>
          <w:bCs/>
          <w:szCs w:val="21"/>
        </w:rPr>
        <w:t>服务期限：自合同签订之日起一年</w:t>
      </w:r>
      <w:bookmarkStart w:id="0" w:name="_GoBack"/>
      <w:bookmarkEnd w:id="0"/>
      <w:r>
        <w:rPr>
          <w:rFonts w:hint="eastAsia" w:ascii="宋体" w:hAnsi="宋体" w:cs="宋体"/>
          <w:bCs/>
          <w:szCs w:val="21"/>
        </w:rPr>
        <w:t>。</w:t>
      </w:r>
    </w:p>
    <w:p w14:paraId="34B1B80D">
      <w:pPr>
        <w:tabs>
          <w:tab w:val="left" w:pos="480"/>
        </w:tabs>
        <w:spacing w:line="480" w:lineRule="exact"/>
        <w:ind w:left="420" w:hanging="420" w:hangingChars="200"/>
        <w:rPr>
          <w:rFonts w:hint="eastAsia" w:ascii="宋体" w:hAnsi="宋体" w:cs="宋体"/>
          <w:bCs/>
          <w:szCs w:val="21"/>
        </w:rPr>
      </w:pPr>
      <w:r>
        <w:rPr>
          <w:rFonts w:hint="eastAsia" w:ascii="宋体" w:hAnsi="宋体" w:cs="宋体"/>
          <w:bCs/>
          <w:szCs w:val="21"/>
          <w:lang w:eastAsia="zh-CN"/>
        </w:rPr>
        <w:t>（</w:t>
      </w:r>
      <w:r>
        <w:rPr>
          <w:rFonts w:hint="eastAsia" w:ascii="宋体" w:hAnsi="宋体" w:cs="宋体"/>
          <w:bCs/>
          <w:szCs w:val="21"/>
          <w:lang w:val="en-US" w:eastAsia="zh-CN"/>
        </w:rPr>
        <w:t>三</w:t>
      </w:r>
      <w:r>
        <w:rPr>
          <w:rFonts w:hint="eastAsia" w:ascii="宋体" w:hAnsi="宋体" w:cs="宋体"/>
          <w:bCs/>
          <w:szCs w:val="21"/>
          <w:lang w:eastAsia="zh-CN"/>
        </w:rPr>
        <w:t>）</w:t>
      </w:r>
      <w:r>
        <w:rPr>
          <w:rFonts w:hint="eastAsia" w:ascii="宋体" w:hAnsi="宋体" w:cs="宋体"/>
          <w:bCs/>
          <w:szCs w:val="21"/>
        </w:rPr>
        <w:t>供货周期：在采购人发出采购计划后，</w:t>
      </w:r>
      <w:r>
        <w:rPr>
          <w:rFonts w:hint="eastAsia" w:ascii="宋体" w:hAnsi="宋体" w:cs="宋体"/>
          <w:bCs/>
          <w:szCs w:val="21"/>
          <w:u w:val="single"/>
          <w:lang w:val="en-US" w:eastAsia="zh-CN"/>
        </w:rPr>
        <w:t xml:space="preserve">   </w:t>
      </w:r>
      <w:r>
        <w:rPr>
          <w:rFonts w:hint="eastAsia" w:ascii="宋体" w:hAnsi="宋体" w:cs="宋体"/>
          <w:bCs/>
          <w:szCs w:val="21"/>
        </w:rPr>
        <w:t>个工作日内配送至交货地点，急需饮片</w:t>
      </w:r>
    </w:p>
    <w:p w14:paraId="7C8805EB">
      <w:pPr>
        <w:tabs>
          <w:tab w:val="left" w:pos="480"/>
        </w:tabs>
        <w:spacing w:line="480" w:lineRule="exact"/>
        <w:ind w:left="420" w:hanging="420" w:hangingChars="200"/>
        <w:rPr>
          <w:rFonts w:hint="eastAsia" w:ascii="宋体" w:hAnsi="宋体" w:cs="宋体"/>
          <w:bCs/>
          <w:szCs w:val="21"/>
        </w:rPr>
      </w:pPr>
      <w:r>
        <w:rPr>
          <w:rFonts w:hint="eastAsia" w:ascii="宋体" w:hAnsi="宋体" w:cs="宋体"/>
          <w:bCs/>
          <w:szCs w:val="21"/>
          <w:u w:val="single"/>
          <w:lang w:val="en-US" w:eastAsia="zh-CN"/>
        </w:rPr>
        <w:t xml:space="preserve">   </w:t>
      </w:r>
      <w:r>
        <w:rPr>
          <w:rFonts w:hint="eastAsia" w:ascii="宋体" w:hAnsi="宋体" w:cs="宋体"/>
          <w:bCs/>
          <w:szCs w:val="21"/>
        </w:rPr>
        <w:t>小时内配送到位。</w:t>
      </w:r>
    </w:p>
    <w:p w14:paraId="69398761">
      <w:pPr>
        <w:tabs>
          <w:tab w:val="left" w:pos="480"/>
        </w:tabs>
        <w:spacing w:line="480" w:lineRule="exact"/>
        <w:rPr>
          <w:rFonts w:hint="eastAsia" w:ascii="宋体" w:hAnsi="宋体" w:cs="宋体"/>
          <w:bCs/>
          <w:szCs w:val="21"/>
          <w:lang w:eastAsia="zh-CN"/>
        </w:rPr>
      </w:pPr>
      <w:r>
        <w:rPr>
          <w:rFonts w:hint="eastAsia" w:ascii="宋体" w:hAnsi="宋体" w:cs="宋体"/>
          <w:bCs/>
          <w:szCs w:val="21"/>
          <w:lang w:eastAsia="zh-CN"/>
        </w:rPr>
        <w:t>（</w:t>
      </w:r>
      <w:r>
        <w:rPr>
          <w:rFonts w:hint="eastAsia" w:ascii="宋体" w:hAnsi="宋体" w:cs="宋体"/>
          <w:bCs/>
          <w:szCs w:val="21"/>
          <w:lang w:val="en-US" w:eastAsia="zh-CN"/>
        </w:rPr>
        <w:t>四</w:t>
      </w:r>
      <w:r>
        <w:rPr>
          <w:rFonts w:hint="eastAsia" w:ascii="宋体" w:hAnsi="宋体" w:cs="宋体"/>
          <w:bCs/>
          <w:szCs w:val="21"/>
          <w:lang w:eastAsia="zh-CN"/>
        </w:rPr>
        <w:t>）本项⽬服务期限为⾃合同签订之⽇起⼀年，若⼀年内达到产⽣的合同⾦额达到项⽬预算⾦额时，合同⾃动终⽌。</w:t>
      </w:r>
    </w:p>
    <w:p w14:paraId="55BCE77E">
      <w:pPr>
        <w:tabs>
          <w:tab w:val="left" w:pos="480"/>
        </w:tabs>
        <w:spacing w:line="480" w:lineRule="exact"/>
        <w:rPr>
          <w:rFonts w:ascii="宋体" w:hAnsi="宋体" w:cs="宋体"/>
          <w:b/>
          <w:szCs w:val="21"/>
        </w:rPr>
      </w:pPr>
      <w:r>
        <w:rPr>
          <w:rFonts w:hint="eastAsia" w:ascii="宋体" w:hAnsi="宋体" w:cs="宋体"/>
          <w:b/>
          <w:szCs w:val="21"/>
        </w:rPr>
        <w:t xml:space="preserve">  五、运输</w:t>
      </w:r>
    </w:p>
    <w:p w14:paraId="79F77BB8">
      <w:pPr>
        <w:tabs>
          <w:tab w:val="left" w:pos="480"/>
        </w:tabs>
        <w:spacing w:line="480" w:lineRule="exact"/>
        <w:rPr>
          <w:rFonts w:ascii="宋体" w:hAnsi="宋体" w:cs="宋体"/>
          <w:szCs w:val="21"/>
        </w:rPr>
      </w:pPr>
      <w:r>
        <w:rPr>
          <w:rFonts w:hint="eastAsia" w:ascii="宋体" w:hAnsi="宋体" w:cs="宋体"/>
          <w:szCs w:val="21"/>
        </w:rPr>
        <w:t>（一）运输由乙方负责，运杂费已包含在合同</w:t>
      </w:r>
      <w:r>
        <w:rPr>
          <w:rFonts w:hint="eastAsia" w:ascii="宋体" w:hAnsi="宋体" w:cs="宋体"/>
          <w:szCs w:val="21"/>
          <w:lang w:val="en-US" w:eastAsia="zh-CN"/>
        </w:rPr>
        <w:t>单</w:t>
      </w:r>
      <w:r>
        <w:rPr>
          <w:rFonts w:hint="eastAsia" w:ascii="宋体" w:hAnsi="宋体" w:cs="宋体"/>
          <w:szCs w:val="21"/>
        </w:rPr>
        <w:t>价内。</w:t>
      </w:r>
    </w:p>
    <w:p w14:paraId="5D89AE9B">
      <w:pPr>
        <w:tabs>
          <w:tab w:val="left" w:pos="480"/>
        </w:tabs>
        <w:spacing w:line="480" w:lineRule="exact"/>
        <w:rPr>
          <w:rFonts w:ascii="宋体" w:hAnsi="宋体" w:cs="宋体"/>
          <w:szCs w:val="21"/>
        </w:rPr>
      </w:pPr>
      <w:r>
        <w:rPr>
          <w:rFonts w:hint="eastAsia" w:ascii="宋体" w:hAnsi="宋体" w:cs="宋体"/>
          <w:szCs w:val="21"/>
        </w:rPr>
        <w:t>（二）运输方式由乙方自行选择，但必须保证按期交货。</w:t>
      </w:r>
    </w:p>
    <w:p w14:paraId="0A3BA0CA">
      <w:pPr>
        <w:tabs>
          <w:tab w:val="left" w:pos="480"/>
        </w:tabs>
        <w:spacing w:line="480" w:lineRule="exact"/>
        <w:rPr>
          <w:rFonts w:ascii="宋体" w:hAnsi="宋体" w:cs="宋体"/>
          <w:szCs w:val="21"/>
        </w:rPr>
      </w:pPr>
      <w:r>
        <w:rPr>
          <w:rFonts w:hint="eastAsia" w:ascii="宋体" w:hAnsi="宋体" w:cs="宋体"/>
          <w:szCs w:val="21"/>
        </w:rPr>
        <w:t>（三）因运输产生的一切风险及质量问题均由乙方承担。</w:t>
      </w:r>
    </w:p>
    <w:p w14:paraId="413CCBC5">
      <w:pPr>
        <w:tabs>
          <w:tab w:val="left" w:pos="480"/>
        </w:tabs>
        <w:spacing w:line="480" w:lineRule="exact"/>
        <w:rPr>
          <w:rFonts w:ascii="宋体" w:hAnsi="宋体" w:cs="宋体"/>
          <w:b/>
          <w:szCs w:val="21"/>
        </w:rPr>
      </w:pPr>
      <w:r>
        <w:rPr>
          <w:rFonts w:hint="eastAsia" w:ascii="宋体" w:hAnsi="宋体" w:cs="宋体"/>
          <w:b/>
          <w:szCs w:val="21"/>
        </w:rPr>
        <w:t>六、质量保证</w:t>
      </w:r>
    </w:p>
    <w:p w14:paraId="16140570">
      <w:pPr>
        <w:tabs>
          <w:tab w:val="left" w:pos="480"/>
        </w:tabs>
        <w:spacing w:line="480" w:lineRule="exact"/>
        <w:rPr>
          <w:rFonts w:ascii="宋体" w:hAnsi="宋体" w:cs="宋体"/>
          <w:szCs w:val="21"/>
        </w:rPr>
      </w:pPr>
      <w:r>
        <w:rPr>
          <w:rFonts w:hint="eastAsia" w:ascii="宋体" w:hAnsi="宋体" w:cs="宋体"/>
          <w:szCs w:val="21"/>
        </w:rPr>
        <w:t>乙方所供货物必须执行下列条款：</w:t>
      </w:r>
    </w:p>
    <w:p w14:paraId="5A6B478B">
      <w:pPr>
        <w:tabs>
          <w:tab w:val="left" w:pos="480"/>
        </w:tabs>
        <w:spacing w:line="480" w:lineRule="exact"/>
        <w:rPr>
          <w:rFonts w:hint="default" w:ascii="宋体" w:hAnsi="宋体" w:eastAsia="宋体" w:cs="宋体"/>
          <w:szCs w:val="21"/>
          <w:lang w:val="en-US" w:eastAsia="zh-CN"/>
        </w:rPr>
      </w:pPr>
      <w:r>
        <w:rPr>
          <w:rFonts w:hint="eastAsia" w:ascii="宋体" w:hAnsi="宋体" w:cs="宋体"/>
          <w:szCs w:val="21"/>
          <w:lang w:val="en-US" w:eastAsia="zh-CN"/>
        </w:rPr>
        <w:t>（一）</w:t>
      </w:r>
      <w:r>
        <w:rPr>
          <w:rFonts w:hint="default" w:ascii="宋体" w:hAnsi="宋体" w:eastAsia="宋体" w:cs="宋体"/>
          <w:szCs w:val="21"/>
          <w:lang w:val="en-US" w:eastAsia="zh-CN"/>
        </w:rPr>
        <w:t>所有中药饮片质量必须符合《中华人民共和国药典（2025版）》《陕西省中药饮片炮制规范》相关标准，药典未收录品种执行国家及地方现行质量标准。</w:t>
      </w:r>
    </w:p>
    <w:p w14:paraId="325096F8">
      <w:pPr>
        <w:tabs>
          <w:tab w:val="left" w:pos="480"/>
        </w:tabs>
        <w:spacing w:line="480" w:lineRule="exact"/>
        <w:rPr>
          <w:rFonts w:hint="default" w:ascii="宋体" w:hAnsi="宋体" w:eastAsia="宋体" w:cs="宋体"/>
          <w:szCs w:val="21"/>
          <w:lang w:val="en-US" w:eastAsia="zh-CN"/>
        </w:rPr>
      </w:pPr>
      <w:r>
        <w:rPr>
          <w:rFonts w:hint="eastAsia" w:ascii="宋体" w:hAnsi="宋体" w:cs="宋体"/>
          <w:szCs w:val="21"/>
          <w:lang w:val="en-US" w:eastAsia="zh-CN"/>
        </w:rPr>
        <w:t>（二）</w:t>
      </w:r>
      <w:r>
        <w:rPr>
          <w:rFonts w:hint="default" w:ascii="宋体" w:hAnsi="宋体" w:eastAsia="宋体" w:cs="宋体"/>
          <w:szCs w:val="21"/>
          <w:lang w:val="en-US" w:eastAsia="zh-CN"/>
        </w:rPr>
        <w:t>饮片外观整洁、色泽正常，无霉变、虫蛀、走油、异味、潮解、杂质超标等问题，无伪品、劣品、混淆品。按临床需求区分统货、选货规格，严格按招标规格供货，不得随意替换、混装。</w:t>
      </w:r>
    </w:p>
    <w:p w14:paraId="4CFAA9BC">
      <w:pPr>
        <w:tabs>
          <w:tab w:val="left" w:pos="480"/>
        </w:tabs>
        <w:spacing w:line="480" w:lineRule="exact"/>
        <w:rPr>
          <w:rFonts w:hint="default" w:ascii="宋体" w:hAnsi="宋体" w:eastAsia="宋体" w:cs="宋体"/>
          <w:szCs w:val="21"/>
          <w:lang w:val="en-US" w:eastAsia="zh-CN"/>
        </w:rPr>
      </w:pPr>
      <w:r>
        <w:rPr>
          <w:rFonts w:hint="eastAsia" w:ascii="宋体" w:hAnsi="宋体" w:cs="宋体"/>
          <w:szCs w:val="21"/>
          <w:lang w:val="en-US" w:eastAsia="zh-CN"/>
        </w:rPr>
        <w:t>（三）</w:t>
      </w:r>
      <w:r>
        <w:rPr>
          <w:rFonts w:hint="default" w:ascii="宋体" w:hAnsi="宋体" w:eastAsia="宋体" w:cs="宋体"/>
          <w:szCs w:val="21"/>
          <w:lang w:val="en-US" w:eastAsia="zh-CN"/>
        </w:rPr>
        <w:t>饮片水分、灰分、二氧化硫残留、重金属、农残、黄曲霉毒素等安全指标全部符合药典限值，每批次随货附带同批次出厂检验报告。</w:t>
      </w:r>
    </w:p>
    <w:p w14:paraId="2F0B9168">
      <w:pPr>
        <w:tabs>
          <w:tab w:val="left" w:pos="480"/>
        </w:tabs>
        <w:spacing w:line="480" w:lineRule="exact"/>
        <w:rPr>
          <w:rFonts w:hint="default" w:ascii="宋体" w:hAnsi="宋体" w:eastAsia="宋体" w:cs="宋体"/>
          <w:szCs w:val="21"/>
          <w:lang w:val="en-US" w:eastAsia="zh-CN"/>
        </w:rPr>
      </w:pPr>
      <w:r>
        <w:rPr>
          <w:rFonts w:hint="eastAsia" w:ascii="宋体" w:hAnsi="宋体" w:cs="宋体"/>
          <w:szCs w:val="21"/>
          <w:lang w:val="en-US" w:eastAsia="zh-CN"/>
        </w:rPr>
        <w:t>（四）</w:t>
      </w:r>
      <w:r>
        <w:rPr>
          <w:rFonts w:hint="default" w:ascii="宋体" w:hAnsi="宋体" w:eastAsia="宋体" w:cs="宋体"/>
          <w:szCs w:val="21"/>
          <w:lang w:val="en-US" w:eastAsia="zh-CN"/>
        </w:rPr>
        <w:t>包装规范、密封防潮，标签信息齐全（品名、规格、产地、厂家、批号、有效期、执行标准），满足入库验收及溯源管理要求。</w:t>
      </w:r>
    </w:p>
    <w:p w14:paraId="5A1CE791">
      <w:pPr>
        <w:tabs>
          <w:tab w:val="left" w:pos="480"/>
        </w:tabs>
        <w:spacing w:line="480" w:lineRule="exact"/>
        <w:rPr>
          <w:rFonts w:hint="default" w:ascii="宋体" w:hAnsi="宋体" w:eastAsia="宋体" w:cs="宋体"/>
          <w:szCs w:val="21"/>
          <w:lang w:val="en-US" w:eastAsia="zh-CN"/>
        </w:rPr>
      </w:pPr>
      <w:r>
        <w:rPr>
          <w:rFonts w:hint="eastAsia" w:ascii="宋体" w:hAnsi="宋体" w:cs="宋体"/>
          <w:szCs w:val="21"/>
          <w:lang w:val="en-US" w:eastAsia="zh-CN"/>
        </w:rPr>
        <w:t>（五）</w:t>
      </w:r>
      <w:r>
        <w:rPr>
          <w:rFonts w:hint="default" w:ascii="宋体" w:hAnsi="宋体" w:eastAsia="宋体" w:cs="宋体"/>
          <w:szCs w:val="21"/>
          <w:lang w:val="en-US" w:eastAsia="zh-CN"/>
        </w:rPr>
        <w:t>到货饮片剩余有效期不低于总效期80%，严禁供应陈货、近效期饮片。</w:t>
      </w:r>
    </w:p>
    <w:p w14:paraId="03F8FD37">
      <w:pPr>
        <w:tabs>
          <w:tab w:val="left" w:pos="480"/>
        </w:tabs>
        <w:spacing w:line="360" w:lineRule="auto"/>
        <w:rPr>
          <w:rFonts w:ascii="宋体" w:hAnsi="宋体" w:cs="宋体"/>
          <w:b/>
          <w:szCs w:val="21"/>
        </w:rPr>
      </w:pPr>
      <w:r>
        <w:rPr>
          <w:rFonts w:hint="eastAsia" w:ascii="宋体" w:hAnsi="宋体" w:cs="宋体"/>
          <w:b/>
          <w:szCs w:val="21"/>
          <w:lang w:val="en-US" w:eastAsia="zh-CN"/>
        </w:rPr>
        <w:t>七</w:t>
      </w:r>
      <w:r>
        <w:rPr>
          <w:rFonts w:hint="eastAsia" w:ascii="宋体" w:hAnsi="宋体" w:cs="宋体"/>
          <w:b/>
          <w:szCs w:val="21"/>
        </w:rPr>
        <w:t>、技术与服务</w:t>
      </w:r>
    </w:p>
    <w:p w14:paraId="3C5D6CF2">
      <w:pPr>
        <w:tabs>
          <w:tab w:val="left" w:pos="480"/>
        </w:tabs>
        <w:spacing w:line="360" w:lineRule="auto"/>
        <w:rPr>
          <w:rFonts w:ascii="宋体" w:hAnsi="宋体" w:cs="宋体"/>
          <w:szCs w:val="21"/>
        </w:rPr>
      </w:pPr>
      <w:r>
        <w:rPr>
          <w:rFonts w:hint="eastAsia" w:ascii="宋体" w:hAnsi="宋体" w:cs="宋体"/>
          <w:szCs w:val="21"/>
        </w:rPr>
        <w:t>（一）技术资料：</w:t>
      </w:r>
    </w:p>
    <w:p w14:paraId="49D1A607">
      <w:pPr>
        <w:tabs>
          <w:tab w:val="left" w:pos="480"/>
        </w:tabs>
        <w:spacing w:line="360" w:lineRule="auto"/>
        <w:ind w:firstLine="420" w:firstLineChars="200"/>
        <w:rPr>
          <w:rFonts w:ascii="宋体" w:hAnsi="宋体" w:cs="宋体"/>
          <w:szCs w:val="21"/>
        </w:rPr>
      </w:pPr>
      <w:r>
        <w:rPr>
          <w:rFonts w:hint="eastAsia" w:ascii="宋体" w:hAnsi="宋体" w:cs="宋体"/>
          <w:szCs w:val="21"/>
        </w:rPr>
        <w:t>1、货物合格证；</w:t>
      </w:r>
    </w:p>
    <w:p w14:paraId="7A805BC3">
      <w:pPr>
        <w:tabs>
          <w:tab w:val="left" w:pos="480"/>
        </w:tabs>
        <w:spacing w:line="360" w:lineRule="auto"/>
        <w:ind w:firstLine="420" w:firstLineChars="200"/>
        <w:rPr>
          <w:rFonts w:ascii="宋体" w:hAnsi="宋体" w:cs="宋体"/>
          <w:szCs w:val="21"/>
        </w:rPr>
      </w:pPr>
      <w:r>
        <w:rPr>
          <w:rFonts w:hint="eastAsia" w:ascii="宋体" w:hAnsi="宋体" w:cs="宋体"/>
          <w:szCs w:val="21"/>
        </w:rPr>
        <w:t>2、货物使用说明书（中文）；</w:t>
      </w:r>
    </w:p>
    <w:p w14:paraId="15C1FE0A">
      <w:pPr>
        <w:tabs>
          <w:tab w:val="left" w:pos="480"/>
        </w:tabs>
        <w:spacing w:line="360" w:lineRule="auto"/>
        <w:ind w:firstLine="420" w:firstLineChars="200"/>
        <w:rPr>
          <w:rFonts w:ascii="宋体" w:hAnsi="宋体" w:cs="宋体"/>
          <w:szCs w:val="21"/>
        </w:rPr>
      </w:pPr>
      <w:r>
        <w:rPr>
          <w:rFonts w:hint="eastAsia" w:ascii="宋体" w:hAnsi="宋体" w:cs="宋体"/>
          <w:szCs w:val="21"/>
        </w:rPr>
        <w:t>3、乙方提供相关部门出具的检验测试报告；</w:t>
      </w:r>
    </w:p>
    <w:p w14:paraId="22F1D76F">
      <w:pPr>
        <w:tabs>
          <w:tab w:val="left" w:pos="480"/>
        </w:tabs>
        <w:spacing w:line="360" w:lineRule="auto"/>
        <w:ind w:firstLine="420" w:firstLineChars="200"/>
        <w:rPr>
          <w:rFonts w:ascii="宋体" w:hAnsi="宋体" w:cs="宋体"/>
          <w:szCs w:val="21"/>
        </w:rPr>
      </w:pPr>
      <w:r>
        <w:rPr>
          <w:rFonts w:hint="eastAsia" w:ascii="宋体" w:hAnsi="宋体" w:cs="宋体"/>
          <w:szCs w:val="21"/>
        </w:rPr>
        <w:t>4、其它资料。</w:t>
      </w:r>
    </w:p>
    <w:p w14:paraId="1A27EBB3">
      <w:pPr>
        <w:tabs>
          <w:tab w:val="left" w:pos="480"/>
        </w:tabs>
        <w:spacing w:line="360" w:lineRule="auto"/>
        <w:rPr>
          <w:rFonts w:hint="eastAsia" w:ascii="宋体" w:hAnsi="宋体" w:cs="宋体"/>
          <w:szCs w:val="21"/>
        </w:rPr>
      </w:pPr>
      <w:r>
        <w:rPr>
          <w:rFonts w:hint="eastAsia" w:ascii="宋体" w:hAnsi="宋体" w:cs="宋体"/>
          <w:szCs w:val="21"/>
        </w:rPr>
        <w:t>（二）服务承诺：以响应文件、澄清表（函）、合同和随货物的相关文件为准。</w:t>
      </w:r>
    </w:p>
    <w:p w14:paraId="7D112121">
      <w:pPr>
        <w:tabs>
          <w:tab w:val="left" w:pos="480"/>
        </w:tabs>
        <w:spacing w:line="360" w:lineRule="auto"/>
        <w:rPr>
          <w:rFonts w:hint="eastAsia" w:ascii="宋体" w:hAnsi="宋体" w:cs="宋体"/>
          <w:szCs w:val="21"/>
          <w:lang w:val="en-US" w:eastAsia="zh-CN"/>
        </w:rPr>
      </w:pPr>
      <w:r>
        <w:rPr>
          <w:rFonts w:hint="eastAsia" w:ascii="宋体" w:hAnsi="宋体" w:cs="宋体"/>
          <w:szCs w:val="21"/>
          <w:lang w:eastAsia="zh-CN"/>
        </w:rPr>
        <w:t>（</w:t>
      </w:r>
      <w:r>
        <w:rPr>
          <w:rFonts w:hint="eastAsia" w:ascii="宋体" w:hAnsi="宋体" w:cs="宋体"/>
          <w:szCs w:val="21"/>
          <w:lang w:val="en-US" w:eastAsia="zh-CN"/>
        </w:rPr>
        <w:t>三</w:t>
      </w:r>
      <w:r>
        <w:rPr>
          <w:rFonts w:hint="eastAsia" w:ascii="宋体" w:hAnsi="宋体" w:cs="宋体"/>
          <w:szCs w:val="21"/>
          <w:lang w:eastAsia="zh-CN"/>
        </w:rPr>
        <w:t>）</w:t>
      </w:r>
      <w:r>
        <w:rPr>
          <w:rFonts w:hint="eastAsia" w:ascii="宋体" w:hAnsi="宋体" w:cs="宋体"/>
          <w:szCs w:val="21"/>
          <w:lang w:val="en-US" w:eastAsia="zh-CN"/>
        </w:rPr>
        <w:t>服务要求：</w:t>
      </w:r>
    </w:p>
    <w:p w14:paraId="656951F7">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default" w:ascii="宋体" w:hAnsi="宋体" w:cs="宋体"/>
          <w:szCs w:val="21"/>
          <w:lang w:val="en-US" w:eastAsia="zh-CN"/>
        </w:rPr>
      </w:pPr>
      <w:r>
        <w:rPr>
          <w:rFonts w:hint="default" w:ascii="宋体" w:hAnsi="宋体" w:cs="宋体"/>
          <w:szCs w:val="21"/>
          <w:lang w:val="en-US" w:eastAsia="zh-CN"/>
        </w:rPr>
        <w:t>1.供应商须保障256个品种常备库存，缺货率控制在5%以内，临时缺货须书面报备并限时补货，不得无故拒单。</w:t>
      </w:r>
    </w:p>
    <w:p w14:paraId="1F77AB3A">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default" w:ascii="宋体" w:hAnsi="宋体" w:cs="宋体"/>
          <w:szCs w:val="21"/>
          <w:lang w:val="en-US" w:eastAsia="zh-CN"/>
        </w:rPr>
      </w:pPr>
      <w:r>
        <w:rPr>
          <w:rFonts w:hint="default" w:ascii="宋体" w:hAnsi="宋体" w:cs="宋体"/>
          <w:szCs w:val="21"/>
          <w:lang w:val="en-US" w:eastAsia="zh-CN"/>
        </w:rPr>
        <w:t>2.每批次送货票据、台账、质检资料齐全，票、账、货、证一致，可随时备查归档。</w:t>
      </w:r>
    </w:p>
    <w:p w14:paraId="34DFE96F">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default" w:ascii="宋体" w:hAnsi="宋体" w:cs="宋体"/>
          <w:szCs w:val="21"/>
          <w:lang w:val="en-US" w:eastAsia="zh-CN"/>
        </w:rPr>
      </w:pPr>
      <w:r>
        <w:rPr>
          <w:rFonts w:hint="default" w:ascii="宋体" w:hAnsi="宋体" w:cs="宋体"/>
          <w:szCs w:val="21"/>
          <w:lang w:val="en-US" w:eastAsia="zh-CN"/>
        </w:rPr>
        <w:t>3.合同期内原材料价格大幅波动可书面申请调价，市场降价须同步下调供货价格。</w:t>
      </w:r>
    </w:p>
    <w:p w14:paraId="73412074">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default" w:ascii="宋体" w:hAnsi="宋体" w:cs="宋体"/>
          <w:szCs w:val="21"/>
          <w:lang w:val="en-US" w:eastAsia="zh-CN"/>
        </w:rPr>
      </w:pPr>
      <w:r>
        <w:rPr>
          <w:rFonts w:hint="default" w:ascii="宋体" w:hAnsi="宋体" w:cs="宋体"/>
          <w:szCs w:val="21"/>
          <w:lang w:val="en-US" w:eastAsia="zh-CN"/>
        </w:rPr>
        <w:t>4.具备标准化仓储、养护条件及专业配送能力，能够全年稳定足额供应全部256个品种。</w:t>
      </w:r>
    </w:p>
    <w:p w14:paraId="54C2161E">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420" w:firstLineChars="200"/>
        <w:textAlignment w:val="auto"/>
        <w:rPr>
          <w:rFonts w:hint="default" w:ascii="宋体" w:hAnsi="宋体" w:cs="宋体"/>
          <w:szCs w:val="21"/>
          <w:lang w:val="en-US" w:eastAsia="zh-CN"/>
        </w:rPr>
      </w:pPr>
      <w:r>
        <w:rPr>
          <w:rFonts w:hint="default" w:ascii="宋体" w:hAnsi="宋体" w:cs="宋体"/>
          <w:szCs w:val="21"/>
          <w:lang w:val="en-US" w:eastAsia="zh-CN"/>
        </w:rPr>
        <w:t>5.对不合格饮片实行48小时无条件退换货，主动配合院方质控检查、药事管理及各级抽检工作。</w:t>
      </w:r>
    </w:p>
    <w:p w14:paraId="7F7A9123">
      <w:pPr>
        <w:tabs>
          <w:tab w:val="left" w:pos="480"/>
        </w:tabs>
        <w:spacing w:line="360" w:lineRule="auto"/>
        <w:rPr>
          <w:rFonts w:ascii="宋体" w:hAnsi="宋体" w:cs="宋体"/>
          <w:b/>
          <w:szCs w:val="21"/>
        </w:rPr>
      </w:pPr>
      <w:r>
        <w:rPr>
          <w:rFonts w:hint="eastAsia" w:ascii="宋体" w:hAnsi="宋体" w:cs="宋体"/>
          <w:b/>
          <w:szCs w:val="21"/>
          <w:lang w:val="en-US" w:eastAsia="zh-CN"/>
        </w:rPr>
        <w:t>八</w:t>
      </w:r>
      <w:r>
        <w:rPr>
          <w:rFonts w:hint="eastAsia" w:ascii="宋体" w:hAnsi="宋体" w:cs="宋体"/>
          <w:b/>
          <w:szCs w:val="21"/>
        </w:rPr>
        <w:t>、验收</w:t>
      </w:r>
    </w:p>
    <w:p w14:paraId="4AE421D5">
      <w:pPr>
        <w:tabs>
          <w:tab w:val="left" w:pos="480"/>
        </w:tabs>
        <w:spacing w:line="360" w:lineRule="auto"/>
        <w:rPr>
          <w:rFonts w:ascii="宋体" w:hAnsi="宋体" w:cs="宋体"/>
          <w:szCs w:val="21"/>
        </w:rPr>
      </w:pPr>
      <w:r>
        <w:rPr>
          <w:rFonts w:hint="eastAsia" w:ascii="宋体" w:hAnsi="宋体" w:cs="宋体"/>
          <w:szCs w:val="21"/>
        </w:rPr>
        <w:t>（一）货物到达甲方指定地点后，甲方根据合同要求，进行外观验收，确认产地、规格、数量。甲乙双方需在约定的时间和地点共同开箱检验。</w:t>
      </w:r>
    </w:p>
    <w:p w14:paraId="3FE392FA">
      <w:pPr>
        <w:tabs>
          <w:tab w:val="left" w:pos="480"/>
        </w:tabs>
        <w:spacing w:line="360" w:lineRule="auto"/>
        <w:rPr>
          <w:rFonts w:ascii="宋体" w:hAnsi="宋体" w:cs="宋体"/>
          <w:szCs w:val="21"/>
        </w:rPr>
      </w:pPr>
      <w:r>
        <w:rPr>
          <w:rFonts w:hint="eastAsia" w:ascii="宋体" w:hAnsi="宋体" w:cs="宋体"/>
          <w:szCs w:val="21"/>
        </w:rPr>
        <w:t>（二）货物</w:t>
      </w:r>
      <w:r>
        <w:rPr>
          <w:rFonts w:hint="eastAsia" w:ascii="宋体" w:hAnsi="宋体" w:cs="宋体"/>
          <w:szCs w:val="21"/>
          <w:lang w:val="en-US" w:eastAsia="zh-CN"/>
        </w:rPr>
        <w:t>采购完成后</w:t>
      </w:r>
      <w:r>
        <w:rPr>
          <w:rFonts w:hint="eastAsia" w:ascii="宋体" w:hAnsi="宋体" w:cs="宋体"/>
          <w:szCs w:val="21"/>
        </w:rPr>
        <w:t>，由乙方进行自检，合格后能够正常使用时书面通知甲方。</w:t>
      </w:r>
    </w:p>
    <w:p w14:paraId="00737FA3">
      <w:pPr>
        <w:tabs>
          <w:tab w:val="left" w:pos="480"/>
        </w:tabs>
        <w:spacing w:line="360" w:lineRule="auto"/>
        <w:rPr>
          <w:rFonts w:ascii="宋体" w:hAnsi="宋体" w:cs="宋体"/>
          <w:szCs w:val="21"/>
        </w:rPr>
      </w:pPr>
      <w:r>
        <w:rPr>
          <w:rFonts w:hint="eastAsia" w:ascii="宋体" w:hAnsi="宋体" w:cs="宋体"/>
          <w:szCs w:val="21"/>
        </w:rPr>
        <w:t>（三）甲方确认接收乙方的自检内容后，进行验收，验收合格后，甲方填写</w:t>
      </w:r>
      <w:r>
        <w:rPr>
          <w:rFonts w:hint="eastAsia" w:ascii="宋体" w:hAnsi="宋体" w:cs="宋体"/>
          <w:bCs/>
          <w:szCs w:val="21"/>
        </w:rPr>
        <w:t>验收单</w:t>
      </w:r>
      <w:r>
        <w:rPr>
          <w:rFonts w:hint="eastAsia" w:ascii="宋体" w:hAnsi="宋体" w:cs="宋体"/>
          <w:szCs w:val="21"/>
        </w:rPr>
        <w:t>作为对货物的最终认可。</w:t>
      </w:r>
    </w:p>
    <w:p w14:paraId="1D814B31">
      <w:pPr>
        <w:tabs>
          <w:tab w:val="left" w:pos="480"/>
        </w:tabs>
        <w:spacing w:line="360" w:lineRule="auto"/>
        <w:rPr>
          <w:rFonts w:ascii="宋体" w:hAnsi="宋体" w:cs="宋体"/>
          <w:szCs w:val="21"/>
        </w:rPr>
      </w:pPr>
      <w:r>
        <w:rPr>
          <w:rFonts w:hint="eastAsia" w:ascii="宋体" w:hAnsi="宋体" w:cs="宋体"/>
          <w:szCs w:val="21"/>
        </w:rPr>
        <w:t>（四）乙方向甲方提交货物实施过程中的所有资料，以便甲方日后管理和维护。</w:t>
      </w:r>
    </w:p>
    <w:p w14:paraId="32856622">
      <w:pPr>
        <w:tabs>
          <w:tab w:val="left" w:pos="480"/>
        </w:tabs>
        <w:spacing w:line="360" w:lineRule="auto"/>
        <w:rPr>
          <w:rFonts w:ascii="宋体" w:hAnsi="宋体" w:cs="宋体"/>
          <w:szCs w:val="21"/>
        </w:rPr>
      </w:pPr>
      <w:r>
        <w:rPr>
          <w:rFonts w:hint="eastAsia" w:ascii="宋体" w:hAnsi="宋体" w:cs="宋体"/>
          <w:bCs/>
          <w:szCs w:val="21"/>
        </w:rPr>
        <w:t>（五）</w:t>
      </w:r>
      <w:r>
        <w:rPr>
          <w:rFonts w:hint="eastAsia" w:ascii="宋体" w:hAnsi="宋体" w:cs="宋体"/>
          <w:szCs w:val="21"/>
        </w:rPr>
        <w:t>验收依据：</w:t>
      </w:r>
    </w:p>
    <w:p w14:paraId="073FEE06">
      <w:pPr>
        <w:tabs>
          <w:tab w:val="left" w:pos="480"/>
        </w:tabs>
        <w:spacing w:line="360" w:lineRule="auto"/>
        <w:ind w:firstLine="420" w:firstLineChars="200"/>
        <w:rPr>
          <w:rFonts w:ascii="宋体" w:hAnsi="宋体" w:cs="宋体"/>
          <w:szCs w:val="21"/>
        </w:rPr>
      </w:pPr>
      <w:r>
        <w:rPr>
          <w:rFonts w:hint="eastAsia" w:ascii="宋体" w:hAnsi="宋体" w:cs="宋体"/>
          <w:szCs w:val="21"/>
        </w:rPr>
        <w:t>1、本合同及合同附件。</w:t>
      </w:r>
    </w:p>
    <w:p w14:paraId="36E80D0B">
      <w:pPr>
        <w:tabs>
          <w:tab w:val="left" w:pos="480"/>
        </w:tabs>
        <w:spacing w:line="360" w:lineRule="auto"/>
        <w:ind w:firstLine="420" w:firstLineChars="200"/>
        <w:rPr>
          <w:rFonts w:ascii="宋体" w:hAnsi="宋体" w:cs="宋体"/>
          <w:szCs w:val="21"/>
        </w:rPr>
      </w:pPr>
      <w:r>
        <w:rPr>
          <w:rFonts w:hint="eastAsia" w:ascii="宋体" w:hAnsi="宋体" w:cs="宋体"/>
          <w:szCs w:val="21"/>
        </w:rPr>
        <w:t>2、国家相应的标准、规范。</w:t>
      </w:r>
    </w:p>
    <w:p w14:paraId="64065D84">
      <w:pPr>
        <w:tabs>
          <w:tab w:val="left" w:pos="480"/>
        </w:tabs>
        <w:spacing w:line="360" w:lineRule="auto"/>
        <w:ind w:firstLine="420" w:firstLineChars="200"/>
        <w:rPr>
          <w:rFonts w:ascii="宋体" w:hAnsi="宋体" w:cs="宋体"/>
          <w:szCs w:val="21"/>
        </w:rPr>
      </w:pPr>
      <w:r>
        <w:rPr>
          <w:rFonts w:hint="eastAsia" w:ascii="宋体" w:hAnsi="宋体" w:cs="宋体"/>
          <w:szCs w:val="21"/>
        </w:rPr>
        <w:t>3、磋商文件、响应文件、澄清表（函）。</w:t>
      </w:r>
    </w:p>
    <w:p w14:paraId="159B0787">
      <w:pPr>
        <w:tabs>
          <w:tab w:val="left" w:pos="480"/>
        </w:tabs>
        <w:spacing w:line="360" w:lineRule="auto"/>
        <w:rPr>
          <w:rFonts w:ascii="宋体" w:hAnsi="宋体" w:cs="宋体"/>
          <w:b/>
          <w:szCs w:val="21"/>
        </w:rPr>
      </w:pPr>
      <w:r>
        <w:rPr>
          <w:rFonts w:hint="eastAsia" w:ascii="宋体" w:hAnsi="宋体" w:cs="宋体"/>
          <w:b/>
          <w:szCs w:val="21"/>
          <w:lang w:val="en-US" w:eastAsia="zh-CN"/>
        </w:rPr>
        <w:t>九</w:t>
      </w:r>
      <w:r>
        <w:rPr>
          <w:rFonts w:hint="eastAsia" w:ascii="宋体" w:hAnsi="宋体" w:cs="宋体"/>
          <w:b/>
          <w:szCs w:val="21"/>
        </w:rPr>
        <w:t>、违约责任</w:t>
      </w:r>
    </w:p>
    <w:p w14:paraId="607A4F5B">
      <w:pPr>
        <w:tabs>
          <w:tab w:val="left" w:pos="480"/>
        </w:tabs>
        <w:spacing w:line="360" w:lineRule="auto"/>
        <w:rPr>
          <w:rFonts w:ascii="宋体" w:hAnsi="宋体" w:cs="宋体"/>
          <w:szCs w:val="21"/>
        </w:rPr>
      </w:pPr>
      <w:r>
        <w:rPr>
          <w:rFonts w:hint="eastAsia" w:ascii="宋体" w:hAnsi="宋体" w:cs="宋体"/>
          <w:szCs w:val="21"/>
        </w:rPr>
        <w:t>（一）按《中华人民共和国政府采购法》、《中华人民共和国民法典》中的相关条款执行。</w:t>
      </w:r>
    </w:p>
    <w:p w14:paraId="57582AA6">
      <w:pPr>
        <w:tabs>
          <w:tab w:val="left" w:pos="480"/>
        </w:tabs>
        <w:spacing w:line="360" w:lineRule="auto"/>
        <w:rPr>
          <w:rFonts w:ascii="宋体" w:hAnsi="宋体" w:cs="宋体"/>
          <w:szCs w:val="21"/>
        </w:rPr>
      </w:pPr>
      <w:r>
        <w:rPr>
          <w:rFonts w:hint="eastAsia" w:ascii="宋体" w:hAnsi="宋体" w:cs="宋体"/>
          <w:szCs w:val="21"/>
        </w:rPr>
        <w:t>（二）未按合同要求提供货物或质量不能满足磋商文件技术要求，在约定的条件下，乙方必须无条件更换，提高技术，完善质量，否则，甲方有权解除合同，解除合同书面通知书到达乙方之日视为合同已解除，并按以下两种方式追究乙方的违约责任：</w:t>
      </w:r>
    </w:p>
    <w:p w14:paraId="2E4113DC">
      <w:pPr>
        <w:tabs>
          <w:tab w:val="left" w:pos="480"/>
        </w:tabs>
        <w:spacing w:line="360" w:lineRule="auto"/>
        <w:ind w:firstLine="420" w:firstLineChars="200"/>
        <w:rPr>
          <w:rFonts w:ascii="宋体" w:hAnsi="宋体" w:cs="宋体"/>
          <w:color w:val="auto"/>
          <w:szCs w:val="21"/>
        </w:rPr>
      </w:pPr>
      <w:r>
        <w:rPr>
          <w:rFonts w:hint="eastAsia" w:ascii="宋体" w:hAnsi="宋体" w:cs="宋体"/>
          <w:color w:val="auto"/>
          <w:szCs w:val="21"/>
        </w:rPr>
        <w:t>乙方赔偿甲方解除合同的全部损失（包括但不限于重新采购产生的费用、合同未履行导致</w:t>
      </w:r>
      <w:r>
        <w:rPr>
          <w:rFonts w:hint="eastAsia" w:ascii="宋体" w:hAnsi="宋体" w:cs="宋体"/>
          <w:color w:val="auto"/>
          <w:szCs w:val="21"/>
          <w:lang w:val="en-US" w:eastAsia="zh-CN"/>
        </w:rPr>
        <w:t>货物</w:t>
      </w:r>
      <w:r>
        <w:rPr>
          <w:rFonts w:hint="eastAsia" w:ascii="宋体" w:hAnsi="宋体" w:cs="宋体"/>
          <w:color w:val="auto"/>
          <w:szCs w:val="21"/>
        </w:rPr>
        <w:t>不能按规划交付使用可能产生的</w:t>
      </w:r>
      <w:r>
        <w:rPr>
          <w:rFonts w:hint="eastAsia" w:ascii="宋体" w:hAnsi="宋体" w:cs="宋体"/>
          <w:color w:val="auto"/>
          <w:szCs w:val="21"/>
          <w:lang w:val="en-US" w:eastAsia="zh-CN"/>
        </w:rPr>
        <w:t>采购</w:t>
      </w:r>
      <w:r>
        <w:rPr>
          <w:rFonts w:hint="eastAsia" w:ascii="宋体" w:hAnsi="宋体" w:cs="宋体"/>
          <w:color w:val="auto"/>
          <w:szCs w:val="21"/>
        </w:rPr>
        <w:t>费用）；</w:t>
      </w:r>
    </w:p>
    <w:p w14:paraId="52038652">
      <w:pPr>
        <w:tabs>
          <w:tab w:val="left" w:pos="480"/>
        </w:tabs>
        <w:spacing w:line="360" w:lineRule="auto"/>
        <w:rPr>
          <w:rFonts w:ascii="宋体" w:hAnsi="宋体" w:cs="宋体"/>
          <w:b/>
          <w:szCs w:val="21"/>
        </w:rPr>
      </w:pPr>
      <w:r>
        <w:rPr>
          <w:rFonts w:hint="eastAsia" w:ascii="宋体" w:hAnsi="宋体" w:cs="宋体"/>
          <w:b/>
          <w:szCs w:val="21"/>
        </w:rPr>
        <w:t>十、合同争议解决的方式</w:t>
      </w:r>
    </w:p>
    <w:p w14:paraId="5A52066C">
      <w:pPr>
        <w:tabs>
          <w:tab w:val="left" w:pos="480"/>
        </w:tabs>
        <w:spacing w:line="360" w:lineRule="auto"/>
        <w:ind w:firstLine="420" w:firstLineChars="200"/>
        <w:rPr>
          <w:rFonts w:ascii="宋体" w:hAnsi="宋体" w:cs="宋体"/>
          <w:szCs w:val="21"/>
        </w:rPr>
      </w:pPr>
      <w:r>
        <w:rPr>
          <w:rFonts w:hint="eastAsia" w:ascii="宋体" w:hAnsi="宋体" w:cs="宋体"/>
          <w:szCs w:val="21"/>
        </w:rPr>
        <w:t>本合同在履行过程中发生的争议，由甲、乙双方当事人协商解决，协商不成的依法向甲方所在地人民法院起诉。</w:t>
      </w:r>
    </w:p>
    <w:p w14:paraId="2113DA91">
      <w:pPr>
        <w:tabs>
          <w:tab w:val="left" w:pos="480"/>
        </w:tabs>
        <w:spacing w:line="360" w:lineRule="auto"/>
        <w:rPr>
          <w:rFonts w:ascii="宋体" w:hAnsi="宋体" w:cs="宋体"/>
          <w:b/>
          <w:szCs w:val="21"/>
        </w:rPr>
      </w:pPr>
      <w:r>
        <w:rPr>
          <w:rFonts w:hint="eastAsia" w:ascii="宋体" w:hAnsi="宋体" w:cs="宋体"/>
          <w:b/>
          <w:szCs w:val="21"/>
        </w:rPr>
        <w:t>十</w:t>
      </w:r>
      <w:r>
        <w:rPr>
          <w:rFonts w:hint="eastAsia" w:ascii="宋体" w:hAnsi="宋体" w:cs="宋体"/>
          <w:b/>
          <w:szCs w:val="21"/>
          <w:lang w:val="en-US" w:eastAsia="zh-CN"/>
        </w:rPr>
        <w:t>一</w:t>
      </w:r>
      <w:r>
        <w:rPr>
          <w:rFonts w:hint="eastAsia" w:ascii="宋体" w:hAnsi="宋体" w:cs="宋体"/>
          <w:b/>
          <w:szCs w:val="21"/>
        </w:rPr>
        <w:t>、合同生效</w:t>
      </w:r>
    </w:p>
    <w:p w14:paraId="6E26BC63">
      <w:pPr>
        <w:tabs>
          <w:tab w:val="left" w:pos="480"/>
        </w:tabs>
        <w:spacing w:line="360" w:lineRule="auto"/>
        <w:ind w:firstLine="420" w:firstLineChars="200"/>
        <w:rPr>
          <w:rFonts w:hint="eastAsia" w:ascii="宋体" w:hAnsi="宋体" w:eastAsia="宋体" w:cs="宋体"/>
          <w:color w:val="auto"/>
          <w:szCs w:val="21"/>
          <w:highlight w:val="yellow"/>
          <w:lang w:eastAsia="zh-CN"/>
        </w:rPr>
      </w:pPr>
      <w:r>
        <w:rPr>
          <w:rFonts w:hint="eastAsia" w:ascii="宋体" w:hAnsi="宋体" w:cs="宋体"/>
          <w:szCs w:val="21"/>
        </w:rPr>
        <w:t>本合同一式</w:t>
      </w:r>
      <w:r>
        <w:rPr>
          <w:rFonts w:hint="eastAsia" w:ascii="宋体" w:hAnsi="宋体" w:cs="宋体"/>
          <w:szCs w:val="21"/>
          <w:u w:val="single"/>
        </w:rPr>
        <w:t xml:space="preserve">    </w:t>
      </w:r>
      <w:r>
        <w:rPr>
          <w:rFonts w:hint="eastAsia" w:ascii="宋体" w:hAnsi="宋体" w:cs="宋体"/>
          <w:szCs w:val="21"/>
        </w:rPr>
        <w:t>份，甲方</w:t>
      </w:r>
      <w:r>
        <w:rPr>
          <w:rFonts w:hint="eastAsia" w:ascii="宋体" w:hAnsi="宋体" w:cs="宋体"/>
          <w:szCs w:val="21"/>
          <w:u w:val="single"/>
        </w:rPr>
        <w:t xml:space="preserve">   </w:t>
      </w:r>
      <w:r>
        <w:rPr>
          <w:rFonts w:hint="eastAsia" w:ascii="宋体" w:hAnsi="宋体" w:cs="宋体"/>
          <w:szCs w:val="21"/>
        </w:rPr>
        <w:t>份，乙方</w:t>
      </w:r>
      <w:r>
        <w:rPr>
          <w:rFonts w:hint="eastAsia" w:ascii="宋体" w:hAnsi="宋体" w:cs="宋体"/>
          <w:szCs w:val="21"/>
          <w:u w:val="single"/>
        </w:rPr>
        <w:t xml:space="preserve">    </w:t>
      </w:r>
      <w:r>
        <w:rPr>
          <w:rFonts w:hint="eastAsia" w:ascii="宋体" w:hAnsi="宋体" w:cs="宋体"/>
          <w:szCs w:val="21"/>
        </w:rPr>
        <w:t>份，</w:t>
      </w:r>
      <w:r>
        <w:rPr>
          <w:rFonts w:hint="eastAsia" w:ascii="宋体" w:hAnsi="宋体" w:cs="宋体"/>
          <w:color w:val="auto"/>
          <w:szCs w:val="21"/>
          <w:lang w:eastAsia="zh-CN"/>
        </w:rPr>
        <w:t>西安市高新技术开发区政府采购管理股</w:t>
      </w:r>
      <w:r>
        <w:rPr>
          <w:rFonts w:hint="eastAsia" w:ascii="宋体" w:hAnsi="宋体" w:cs="宋体"/>
          <w:szCs w:val="21"/>
        </w:rPr>
        <w:t>备案</w:t>
      </w:r>
      <w:r>
        <w:rPr>
          <w:rFonts w:hint="eastAsia" w:ascii="宋体" w:hAnsi="宋体" w:cs="宋体"/>
          <w:szCs w:val="21"/>
          <w:u w:val="single"/>
        </w:rPr>
        <w:t xml:space="preserve">  </w:t>
      </w:r>
      <w:r>
        <w:rPr>
          <w:rFonts w:hint="eastAsia" w:ascii="宋体" w:hAnsi="宋体" w:cs="宋体"/>
          <w:szCs w:val="21"/>
        </w:rPr>
        <w:t>份，本合同经甲方、乙方签字盖章后生效</w:t>
      </w:r>
      <w:r>
        <w:rPr>
          <w:rFonts w:hint="eastAsia" w:ascii="宋体" w:hAnsi="宋体" w:cs="宋体"/>
          <w:szCs w:val="21"/>
          <w:lang w:eastAsia="zh-CN"/>
        </w:rPr>
        <w:t>。</w:t>
      </w:r>
    </w:p>
    <w:p w14:paraId="23EB24B3">
      <w:pPr>
        <w:tabs>
          <w:tab w:val="left" w:pos="480"/>
        </w:tabs>
        <w:spacing w:line="360" w:lineRule="auto"/>
        <w:rPr>
          <w:rFonts w:ascii="宋体" w:hAnsi="宋体" w:cs="宋体"/>
          <w:b/>
          <w:szCs w:val="21"/>
        </w:rPr>
      </w:pPr>
      <w:r>
        <w:rPr>
          <w:rFonts w:hint="eastAsia" w:ascii="宋体" w:hAnsi="宋体" w:cs="宋体"/>
          <w:b/>
          <w:szCs w:val="21"/>
        </w:rPr>
        <w:t>十</w:t>
      </w:r>
      <w:r>
        <w:rPr>
          <w:rFonts w:hint="eastAsia" w:ascii="宋体" w:hAnsi="宋体" w:cs="宋体"/>
          <w:b/>
          <w:szCs w:val="21"/>
          <w:lang w:val="en-US" w:eastAsia="zh-CN"/>
        </w:rPr>
        <w:t>二</w:t>
      </w:r>
      <w:r>
        <w:rPr>
          <w:rFonts w:hint="eastAsia" w:ascii="宋体" w:hAnsi="宋体" w:cs="宋体"/>
          <w:b/>
          <w:szCs w:val="21"/>
        </w:rPr>
        <w:t>、其他事项</w:t>
      </w:r>
    </w:p>
    <w:p w14:paraId="4543371D">
      <w:pPr>
        <w:tabs>
          <w:tab w:val="left" w:pos="480"/>
        </w:tabs>
        <w:spacing w:line="360" w:lineRule="auto"/>
        <w:rPr>
          <w:rFonts w:ascii="宋体" w:hAnsi="宋体" w:cs="宋体"/>
          <w:szCs w:val="21"/>
        </w:rPr>
      </w:pPr>
      <w:r>
        <w:rPr>
          <w:rFonts w:hint="eastAsia" w:ascii="宋体" w:hAnsi="宋体" w:cs="宋体"/>
          <w:szCs w:val="21"/>
        </w:rPr>
        <w:t>（一）</w:t>
      </w:r>
      <w:r>
        <w:rPr>
          <w:rFonts w:hint="eastAsia" w:ascii="宋体" w:hAnsi="宋体" w:cs="宋体"/>
          <w:szCs w:val="21"/>
          <w:lang w:eastAsia="zh-CN"/>
        </w:rPr>
        <w:t>西安市高新技术开发区政府采购管理股</w:t>
      </w:r>
      <w:r>
        <w:rPr>
          <w:rFonts w:hint="eastAsia" w:ascii="宋体" w:hAnsi="宋体" w:cs="宋体"/>
          <w:szCs w:val="21"/>
        </w:rPr>
        <w:t>在合同的履行期间以及履行期后，可以随时检查项目的执行情况，对采购内容、标准进行调查核实，并对发现的问题进行处理。</w:t>
      </w:r>
    </w:p>
    <w:p w14:paraId="737C9CB3">
      <w:pPr>
        <w:tabs>
          <w:tab w:val="left" w:pos="480"/>
        </w:tabs>
        <w:spacing w:line="360" w:lineRule="auto"/>
        <w:rPr>
          <w:rFonts w:ascii="宋体" w:hAnsi="宋体" w:cs="宋体"/>
          <w:szCs w:val="21"/>
        </w:rPr>
      </w:pPr>
      <w:r>
        <w:rPr>
          <w:rFonts w:hint="eastAsia" w:ascii="宋体" w:hAnsi="宋体" w:cs="宋体"/>
          <w:szCs w:val="21"/>
        </w:rPr>
        <w:t>（二）磋商文件、响应文件、澄清表（函）、成交通知书、合同附件均成为合同不可分割的部分。</w:t>
      </w:r>
    </w:p>
    <w:p w14:paraId="132C3339">
      <w:pPr>
        <w:tabs>
          <w:tab w:val="left" w:pos="480"/>
        </w:tabs>
        <w:spacing w:line="360" w:lineRule="auto"/>
        <w:rPr>
          <w:rFonts w:ascii="宋体" w:hAnsi="宋体" w:cs="宋体"/>
          <w:szCs w:val="21"/>
        </w:rPr>
      </w:pPr>
      <w:r>
        <w:rPr>
          <w:rFonts w:hint="eastAsia" w:ascii="宋体" w:hAnsi="宋体" w:cs="宋体"/>
          <w:szCs w:val="21"/>
        </w:rPr>
        <w:t>（三）合同未尽事宜，由甲、乙双方协商签订补充协议，与原合同具有同等法律效力。</w:t>
      </w:r>
    </w:p>
    <w:p w14:paraId="1C70290C">
      <w:pPr>
        <w:tabs>
          <w:tab w:val="left" w:pos="480"/>
        </w:tabs>
        <w:spacing w:line="360" w:lineRule="auto"/>
        <w:rPr>
          <w:rFonts w:ascii="宋体" w:hAnsi="宋体" w:cs="宋体"/>
          <w:szCs w:val="21"/>
        </w:rPr>
      </w:pPr>
      <w:r>
        <w:rPr>
          <w:rFonts w:hint="eastAsia" w:ascii="宋体" w:hAnsi="宋体" w:cs="宋体"/>
          <w:szCs w:val="21"/>
        </w:rPr>
        <w:t>（四）合同一经签订，不得擅自变更、中止或终止合同。对确需变更、调整或中止、终止合同的，有法律规定的按照法律规定，除合同约定外，由甲乙双方再行协商，协商一致前，原合同或条款继续履行。</w:t>
      </w:r>
    </w:p>
    <w:p w14:paraId="51C224B5">
      <w:pPr>
        <w:tabs>
          <w:tab w:val="left" w:pos="480"/>
        </w:tabs>
        <w:spacing w:line="360" w:lineRule="auto"/>
        <w:rPr>
          <w:rFonts w:ascii="宋体" w:hAnsi="宋体" w:cs="宋体"/>
          <w:szCs w:val="21"/>
        </w:rPr>
      </w:pPr>
      <w:r>
        <w:rPr>
          <w:rFonts w:hint="eastAsia" w:ascii="宋体" w:hAnsi="宋体" w:cs="宋体"/>
          <w:szCs w:val="21"/>
        </w:rPr>
        <w:t>（五）本合同按照中华人民共和国的现行法律进行解释。</w:t>
      </w:r>
    </w:p>
    <w:p w14:paraId="75F2DA89">
      <w:pPr>
        <w:tabs>
          <w:tab w:val="left" w:pos="480"/>
        </w:tabs>
        <w:spacing w:line="360" w:lineRule="auto"/>
        <w:rPr>
          <w:rFonts w:ascii="宋体" w:hAnsi="宋体" w:cs="宋体"/>
          <w:szCs w:val="21"/>
        </w:rPr>
      </w:pPr>
      <w:r>
        <w:rPr>
          <w:rFonts w:hint="eastAsia" w:ascii="宋体" w:hAnsi="宋体" w:cs="宋体"/>
          <w:szCs w:val="21"/>
        </w:rPr>
        <w:t>（六）本合同附件作为本合同的组成部分，与本合同具有同等法律效力。</w:t>
      </w:r>
    </w:p>
    <w:p w14:paraId="66EB4421">
      <w:pPr>
        <w:tabs>
          <w:tab w:val="left" w:pos="480"/>
        </w:tabs>
        <w:spacing w:line="360" w:lineRule="auto"/>
        <w:rPr>
          <w:rFonts w:ascii="宋体" w:hAnsi="宋体" w:cs="宋体"/>
          <w:szCs w:val="21"/>
        </w:rPr>
      </w:pPr>
      <w:r>
        <w:rPr>
          <w:rFonts w:hint="eastAsia" w:ascii="宋体" w:hAnsi="宋体" w:cs="宋体"/>
          <w:szCs w:val="21"/>
        </w:rPr>
        <w:t>（以下无正文）</w:t>
      </w:r>
    </w:p>
    <w:p w14:paraId="4667465B">
      <w:pPr>
        <w:tabs>
          <w:tab w:val="left" w:pos="480"/>
        </w:tabs>
        <w:spacing w:line="360" w:lineRule="auto"/>
        <w:rPr>
          <w:rFonts w:ascii="宋体" w:hAnsi="宋体" w:cs="宋体"/>
          <w:szCs w:val="21"/>
        </w:rPr>
      </w:pPr>
    </w:p>
    <w:p w14:paraId="72772045">
      <w:pPr>
        <w:tabs>
          <w:tab w:val="left" w:pos="480"/>
        </w:tabs>
        <w:spacing w:line="360" w:lineRule="auto"/>
        <w:rPr>
          <w:rFonts w:ascii="宋体" w:hAnsi="宋体" w:cs="宋体"/>
          <w:szCs w:val="21"/>
        </w:rPr>
      </w:pPr>
      <w:r>
        <w:rPr>
          <w:rFonts w:hint="eastAsia" w:ascii="宋体" w:hAnsi="宋体" w:cs="宋体"/>
          <w:szCs w:val="21"/>
        </w:rPr>
        <w:t>甲  方（盖章）                          乙  方（盖章）</w:t>
      </w:r>
    </w:p>
    <w:p w14:paraId="5EFA5D3E">
      <w:pPr>
        <w:tabs>
          <w:tab w:val="left" w:pos="480"/>
        </w:tabs>
        <w:spacing w:line="360" w:lineRule="auto"/>
        <w:rPr>
          <w:rFonts w:ascii="宋体" w:hAnsi="宋体" w:cs="宋体"/>
          <w:szCs w:val="21"/>
        </w:rPr>
      </w:pPr>
      <w:r>
        <w:rPr>
          <w:rFonts w:hint="eastAsia" w:ascii="宋体" w:hAnsi="宋体" w:cs="宋体"/>
          <w:szCs w:val="21"/>
        </w:rPr>
        <w:t>单位名称：</w:t>
      </w:r>
      <w:r>
        <w:rPr>
          <w:rFonts w:hint="eastAsia" w:ascii="宋体" w:hAnsi="宋体" w:cs="宋体"/>
          <w:szCs w:val="21"/>
          <w:lang w:eastAsia="zh-CN"/>
        </w:rPr>
        <w:t>西安市鄠邑区秦渡中心卫生院</w:t>
      </w:r>
      <w:r>
        <w:rPr>
          <w:rFonts w:hint="eastAsia" w:ascii="宋体" w:hAnsi="宋体" w:cs="宋体"/>
          <w:szCs w:val="21"/>
        </w:rPr>
        <w:t xml:space="preserve">            单位名称:xxxx</w:t>
      </w:r>
    </w:p>
    <w:p w14:paraId="08921C30">
      <w:pPr>
        <w:tabs>
          <w:tab w:val="left" w:pos="480"/>
        </w:tabs>
        <w:spacing w:line="360" w:lineRule="auto"/>
        <w:rPr>
          <w:rFonts w:ascii="宋体" w:hAnsi="宋体" w:cs="宋体"/>
          <w:szCs w:val="21"/>
        </w:rPr>
      </w:pPr>
      <w:r>
        <w:rPr>
          <w:rFonts w:hint="eastAsia" w:ascii="宋体" w:hAnsi="宋体" w:cs="宋体"/>
          <w:szCs w:val="21"/>
        </w:rPr>
        <w:t xml:space="preserve">地  址：                               </w:t>
      </w:r>
      <w:r>
        <w:rPr>
          <w:rFonts w:ascii="宋体" w:hAnsi="宋体" w:cs="宋体"/>
          <w:szCs w:val="21"/>
        </w:rPr>
        <w:t xml:space="preserve"> </w:t>
      </w:r>
      <w:r>
        <w:rPr>
          <w:rFonts w:hint="eastAsia" w:ascii="宋体" w:hAnsi="宋体" w:cs="宋体"/>
          <w:szCs w:val="21"/>
        </w:rPr>
        <w:t>地  址：xxxx</w:t>
      </w:r>
    </w:p>
    <w:p w14:paraId="2D58C4D9">
      <w:pPr>
        <w:tabs>
          <w:tab w:val="left" w:pos="480"/>
        </w:tabs>
        <w:spacing w:line="360" w:lineRule="auto"/>
        <w:rPr>
          <w:rFonts w:ascii="宋体" w:hAnsi="宋体" w:cs="宋体"/>
          <w:szCs w:val="21"/>
        </w:rPr>
      </w:pPr>
      <w:r>
        <w:rPr>
          <w:rFonts w:hint="eastAsia" w:ascii="宋体" w:hAnsi="宋体" w:cs="宋体"/>
          <w:szCs w:val="21"/>
        </w:rPr>
        <w:t xml:space="preserve">法定代表人：（签字或盖章）              法定代表人：（签字或盖章） </w:t>
      </w:r>
    </w:p>
    <w:p w14:paraId="000BD21A">
      <w:pPr>
        <w:tabs>
          <w:tab w:val="left" w:pos="480"/>
        </w:tabs>
        <w:spacing w:line="360" w:lineRule="auto"/>
        <w:rPr>
          <w:rFonts w:ascii="宋体" w:hAnsi="宋体" w:cs="宋体"/>
          <w:szCs w:val="21"/>
        </w:rPr>
      </w:pPr>
      <w:r>
        <w:rPr>
          <w:rFonts w:hint="eastAsia" w:ascii="宋体" w:hAnsi="宋体" w:cs="宋体"/>
          <w:szCs w:val="21"/>
        </w:rPr>
        <w:t>代理人：（签字或盖章）                  代理人：（签字或盖章）</w:t>
      </w:r>
    </w:p>
    <w:p w14:paraId="1A8A5ACD">
      <w:pPr>
        <w:tabs>
          <w:tab w:val="left" w:pos="480"/>
        </w:tabs>
        <w:spacing w:line="360" w:lineRule="auto"/>
        <w:ind w:firstLine="2940" w:firstLineChars="1400"/>
        <w:rPr>
          <w:rFonts w:ascii="宋体" w:hAnsi="宋体" w:cs="宋体"/>
          <w:szCs w:val="21"/>
        </w:rPr>
      </w:pPr>
      <w:r>
        <w:rPr>
          <w:rFonts w:hint="eastAsia" w:ascii="宋体" w:hAnsi="宋体" w:cs="宋体"/>
          <w:szCs w:val="21"/>
        </w:rPr>
        <w:t xml:space="preserve">            开户银行:xxxx</w:t>
      </w:r>
    </w:p>
    <w:p w14:paraId="544A0C1D">
      <w:pPr>
        <w:tabs>
          <w:tab w:val="left" w:pos="480"/>
        </w:tabs>
        <w:spacing w:line="360" w:lineRule="auto"/>
        <w:ind w:firstLine="4200" w:firstLineChars="2000"/>
        <w:rPr>
          <w:rFonts w:ascii="宋体" w:hAnsi="宋体" w:cs="宋体"/>
          <w:szCs w:val="21"/>
        </w:rPr>
      </w:pPr>
      <w:r>
        <w:rPr>
          <w:rFonts w:hint="eastAsia" w:ascii="宋体" w:hAnsi="宋体" w:cs="宋体"/>
          <w:szCs w:val="21"/>
        </w:rPr>
        <w:t>帐    号：xxxx</w:t>
      </w:r>
    </w:p>
    <w:p w14:paraId="722FB63B">
      <w:pPr>
        <w:tabs>
          <w:tab w:val="left" w:pos="480"/>
        </w:tabs>
        <w:spacing w:line="360" w:lineRule="auto"/>
      </w:pPr>
      <w:r>
        <w:rPr>
          <w:rFonts w:hint="eastAsia" w:ascii="宋体" w:hAnsi="宋体" w:cs="宋体"/>
          <w:szCs w:val="21"/>
        </w:rPr>
        <w:t>签订日期：202</w:t>
      </w:r>
      <w:r>
        <w:rPr>
          <w:rFonts w:ascii="宋体" w:hAnsi="宋体" w:cs="宋体"/>
          <w:szCs w:val="21"/>
        </w:rPr>
        <w:t xml:space="preserve"> </w:t>
      </w:r>
      <w:r>
        <w:rPr>
          <w:rFonts w:hint="eastAsia" w:ascii="宋体" w:hAnsi="宋体" w:cs="宋体"/>
          <w:szCs w:val="21"/>
        </w:rPr>
        <w:t>年  月  日                签订日期：202</w:t>
      </w:r>
      <w:r>
        <w:rPr>
          <w:rFonts w:ascii="宋体" w:hAnsi="宋体" w:cs="宋体"/>
          <w:szCs w:val="21"/>
        </w:rPr>
        <w:t xml:space="preserve"> </w:t>
      </w:r>
      <w:r>
        <w:rPr>
          <w:rFonts w:hint="eastAsia" w:ascii="宋体" w:hAnsi="宋体" w:cs="宋体"/>
          <w:szCs w:val="21"/>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BFC"/>
    <w:rsid w:val="00020F5F"/>
    <w:rsid w:val="001B3C61"/>
    <w:rsid w:val="002B0BFC"/>
    <w:rsid w:val="002B76C9"/>
    <w:rsid w:val="00446C33"/>
    <w:rsid w:val="00623B20"/>
    <w:rsid w:val="00663999"/>
    <w:rsid w:val="006971C9"/>
    <w:rsid w:val="007159B4"/>
    <w:rsid w:val="00891EF0"/>
    <w:rsid w:val="008B2187"/>
    <w:rsid w:val="008B2DA9"/>
    <w:rsid w:val="009A3D49"/>
    <w:rsid w:val="00AD230F"/>
    <w:rsid w:val="00C56E57"/>
    <w:rsid w:val="00D761DA"/>
    <w:rsid w:val="00FD0FBD"/>
    <w:rsid w:val="025057C1"/>
    <w:rsid w:val="02C40CF8"/>
    <w:rsid w:val="03B72D94"/>
    <w:rsid w:val="0A2B3282"/>
    <w:rsid w:val="0BBE1670"/>
    <w:rsid w:val="13A94EAA"/>
    <w:rsid w:val="16ED1BE3"/>
    <w:rsid w:val="1B33736D"/>
    <w:rsid w:val="22E75FFD"/>
    <w:rsid w:val="28A56AF2"/>
    <w:rsid w:val="29FF0355"/>
    <w:rsid w:val="307D1EBE"/>
    <w:rsid w:val="32E81240"/>
    <w:rsid w:val="339A3EA3"/>
    <w:rsid w:val="3C0B27D6"/>
    <w:rsid w:val="3E476FD7"/>
    <w:rsid w:val="437431C6"/>
    <w:rsid w:val="44462A0B"/>
    <w:rsid w:val="5A85670A"/>
    <w:rsid w:val="64DF1F12"/>
    <w:rsid w:val="6C617BED"/>
    <w:rsid w:val="6FBC035A"/>
    <w:rsid w:val="71D8659D"/>
    <w:rsid w:val="74BB2A23"/>
    <w:rsid w:val="74E909C8"/>
    <w:rsid w:val="7A893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10"/>
    <w:qFormat/>
    <w:uiPriority w:val="0"/>
    <w:pPr>
      <w:keepNext/>
      <w:keepLines/>
      <w:spacing w:before="340" w:after="330" w:line="576" w:lineRule="auto"/>
      <w:outlineLvl w:val="0"/>
    </w:pPr>
    <w:rPr>
      <w:kern w:val="44"/>
      <w:sz w:val="36"/>
    </w:rPr>
  </w:style>
  <w:style w:type="paragraph" w:styleId="3">
    <w:name w:val="heading 2"/>
    <w:basedOn w:val="1"/>
    <w:next w:val="1"/>
    <w:link w:val="1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0"/>
    <w:rPr>
      <w:sz w:val="18"/>
      <w:szCs w:val="18"/>
    </w:rPr>
  </w:style>
  <w:style w:type="character" w:customStyle="1" w:styleId="10">
    <w:name w:val="标题 1 Char"/>
    <w:basedOn w:val="7"/>
    <w:link w:val="2"/>
    <w:qFormat/>
    <w:uiPriority w:val="0"/>
    <w:rPr>
      <w:rFonts w:ascii="Times New Roman" w:hAnsi="Times New Roman" w:eastAsia="宋体" w:cs="Times New Roman"/>
      <w:kern w:val="44"/>
      <w:sz w:val="36"/>
      <w:szCs w:val="20"/>
    </w:rPr>
  </w:style>
  <w:style w:type="character" w:customStyle="1" w:styleId="11">
    <w:name w:val="标题 2 Char"/>
    <w:basedOn w:val="7"/>
    <w:link w:val="3"/>
    <w:semiHidden/>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2570</Words>
  <Characters>2681</Characters>
  <Lines>20</Lines>
  <Paragraphs>5</Paragraphs>
  <TotalTime>13</TotalTime>
  <ScaleCrop>false</ScaleCrop>
  <LinksUpToDate>false</LinksUpToDate>
  <CharactersWithSpaces>2890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2024-01-23T10:54:00Z</dcterms:created>
  <dc:creator>Administrator</dc:creator>
  <cp:lastModifiedBy>WPS_1646190872</cp:lastModifiedBy>
  <dcterms:modified xsi:type="dcterms:W3CDTF">2026-08-31T11:53:36Z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eyJoZGlkIjoiMGJiZjlkYThiNWIxMTczOThlMGQ2Y2VhMmVjNTExNGQiLCJ1c2VySWQiOiIxMzM0MjkzODc0In0=</vt:lpwstr>
  </property>
  <property fmtid="{D5CDD505-2E9C-101B-9397-08002B2CF9AE}" pid="3" name="KSOProductBuildVer">
    <vt:lpwstr>2052-12.1.0.28505</vt:lpwstr>
  </property>
  <property fmtid="{D5CDD505-2E9C-101B-9397-08002B2CF9AE}" pid="4" name="ICV">
    <vt:lpwstr>ECA99DD9365443269B659A5EFFBB0A8E_12</vt:lpwstr>
  </property>
</Properties>
</file>