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版本号：SXHC2026-07220260702001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2026年度公路养护专业力量指导帮扶技术服务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SXHC2026-072</w:t>
      </w:r>
      <w:r>
        <w:br/>
      </w:r>
      <w:r>
        <w:br/>
      </w:r>
      <w:r>
        <w:br/>
      </w:r>
    </w:p>
    <w:p>
      <w:pPr>
        <w:pStyle w:val="null3"/>
        <w:jc w:val="center"/>
        <w:outlineLvl w:val="2"/>
      </w:pPr>
      <w:r>
        <w:rPr>
          <w:rFonts w:ascii="仿宋_GB2312" w:hAnsi="仿宋_GB2312" w:cs="仿宋_GB2312" w:eastAsia="仿宋_GB2312"/>
          <w:sz w:val="28"/>
          <w:b/>
        </w:rPr>
        <w:t>陕西省交通运输厅机关</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2026年度公路养护专业力量指导帮扶技术服务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2026年度公路养护专业力量指导帮扶技术服务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围绕公路风险隐患排查整治工作要求，统筹开展陕西省公路运营领域养护管理、风险管控等方面的全过程技术帮扶工作。通过组织专家及技术团队，制定帮扶方案、开展分片区技术培训、抽查核查各类台账、现场联合排查高风险路段及隐患点、提供风险管控与隐患整治技术建议、支持应急处突等工作，提升基层排查人员技术能力，规范全省风险隐患排查与整治工作，保质保量完成陕西省交通运输厅交办的其他各项工作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029-88869624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照《国家计委关于印发〈招标代理服务收费管理暂行办法〉的通知》（计价格〔2002〕1980号）规定标准的90%收取。2、招标代理服务费可以采取现金、支票、银行汇票、电汇、网银等方式缴纳。3、代理服务费缴纳信息：银行户名：陕西华采招标有限公司开户银行：招商银行陕西自贸试验区西安高新科技支行账号：129905942210666联系人：韩工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（一）本项目所涉及到的所有成果的知识产权归甲方所有。 （二）乙方无论出于任何目的如在其他地方使用该成果，必须经甲方同意方可使用。否则，甲方有权要求终止涉及到该知识产权的任何使用活动并保留追究乙方相应的法律责任的权利。 （三）乙方为执行本合同而提供的技术资料使用权归甲方所有。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（一）项目实施完成后，由甲方组织对项目服务的执行结果进行验收，主要针对乙方的合同履行情况及结果进行检验、核实和评估，以确认其提供的服务是否符合政府采购合同约定标准和要求。 （二）采购合同和乙方投标响应文件是履约验收工作的基本依据。补充合同视同采购合同组成部分。甲方和乙方应当全面、真实、有效地履行采购合同约定，任何一方当事人不得擅自变更、中止或者终止。对采购合同中约定的权利和义务，任何一方不得擅自放弃或者让渡。 （三）初次验收不合格，乙方须在甲方规定期限内无偿整改，费用自理。逾期不改或两次整改仍不达标，甲方有权单方解除合同，乙方全额退还甲方已付款项并承担合同约定全部违约金及实际损失。</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围绕公路风险隐患排查整治工作要求，统筹开展陕西省公路运营领域养护管理、风险管控等方面的全过程技术帮扶工作。通过组织专家及技术团队，制定帮扶方案、开展分片区技术培训、抽查核查各类台账、现场联合排查高风险路段及隐患点、提供风险管控与隐患整治技术建议、支持应急处突等工作，提升基层排查人员技术能力，规范全省风险隐患排查与整治工作，保质保量完成陕西省交通运输厅交办的其他各项工作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2026年度公路养护专业力量指导帮扶技术服务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标的名称：2026年度公路养护专业力量指导帮扶技术服务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8"/>
                <w:b/>
                <w:color w:val="000000"/>
              </w:rPr>
              <w:t>1.项目概况</w:t>
            </w:r>
          </w:p>
          <w:p>
            <w:pPr>
              <w:pStyle w:val="null3"/>
              <w:ind w:firstLine="480"/>
              <w:jc w:val="left"/>
            </w:pPr>
            <w:r>
              <w:rPr>
                <w:rFonts w:ascii="仿宋_GB2312" w:hAnsi="仿宋_GB2312" w:cs="仿宋_GB2312" w:eastAsia="仿宋_GB2312"/>
                <w:sz w:val="28"/>
                <w:color w:val="000000"/>
              </w:rPr>
              <w:t>本项目围绕公路风险隐患排查整治工作</w:t>
            </w:r>
            <w:r>
              <w:rPr>
                <w:rFonts w:ascii="仿宋_GB2312" w:hAnsi="仿宋_GB2312" w:cs="仿宋_GB2312" w:eastAsia="仿宋_GB2312"/>
                <w:sz w:val="28"/>
                <w:color w:val="000000"/>
              </w:rPr>
              <w:t>要求</w:t>
            </w:r>
            <w:r>
              <w:rPr>
                <w:rFonts w:ascii="仿宋_GB2312" w:hAnsi="仿宋_GB2312" w:cs="仿宋_GB2312" w:eastAsia="仿宋_GB2312"/>
                <w:sz w:val="28"/>
                <w:color w:val="000000"/>
              </w:rPr>
              <w:t>，统筹</w:t>
            </w:r>
            <w:r>
              <w:rPr>
                <w:rFonts w:ascii="仿宋_GB2312" w:hAnsi="仿宋_GB2312" w:cs="仿宋_GB2312" w:eastAsia="仿宋_GB2312"/>
                <w:sz w:val="28"/>
                <w:color w:val="000000"/>
              </w:rPr>
              <w:t>开展陕西省公路运营领域养护管理、风险管控等方面的全过程</w:t>
            </w:r>
            <w:r>
              <w:rPr>
                <w:rFonts w:ascii="仿宋_GB2312" w:hAnsi="仿宋_GB2312" w:cs="仿宋_GB2312" w:eastAsia="仿宋_GB2312"/>
                <w:sz w:val="28"/>
                <w:color w:val="000000"/>
              </w:rPr>
              <w:t>技术帮扶工作。通过组织专家及技术团队，制定帮扶方案、开展分片区技术培训、抽查核查各类台账、现场联合排查高风险路段及隐患点、提供风险管控与隐患整治技术建议、支持应急处突等工作，提升基层排查人员技术能力，规范</w:t>
            </w:r>
            <w:r>
              <w:rPr>
                <w:rFonts w:ascii="仿宋_GB2312" w:hAnsi="仿宋_GB2312" w:cs="仿宋_GB2312" w:eastAsia="仿宋_GB2312"/>
                <w:sz w:val="28"/>
                <w:color w:val="000000"/>
              </w:rPr>
              <w:t>全省</w:t>
            </w:r>
            <w:r>
              <w:rPr>
                <w:rFonts w:ascii="仿宋_GB2312" w:hAnsi="仿宋_GB2312" w:cs="仿宋_GB2312" w:eastAsia="仿宋_GB2312"/>
                <w:sz w:val="28"/>
                <w:color w:val="000000"/>
              </w:rPr>
              <w:t>风险隐患排查与整治工作，保质保量完成</w:t>
            </w:r>
            <w:r>
              <w:rPr>
                <w:rFonts w:ascii="仿宋_GB2312" w:hAnsi="仿宋_GB2312" w:cs="仿宋_GB2312" w:eastAsia="仿宋_GB2312"/>
                <w:sz w:val="28"/>
                <w:color w:val="000000"/>
              </w:rPr>
              <w:t>陕西省交通运输厅</w:t>
            </w:r>
            <w:r>
              <w:rPr>
                <w:rFonts w:ascii="仿宋_GB2312" w:hAnsi="仿宋_GB2312" w:cs="仿宋_GB2312" w:eastAsia="仿宋_GB2312"/>
                <w:sz w:val="28"/>
                <w:color w:val="000000"/>
              </w:rPr>
              <w:t>交办的其他各项工作任务。</w:t>
            </w:r>
          </w:p>
          <w:p>
            <w:pPr>
              <w:pStyle w:val="null3"/>
              <w:ind w:firstLine="480"/>
              <w:jc w:val="left"/>
            </w:pPr>
            <w:r>
              <w:rPr>
                <w:rFonts w:ascii="仿宋_GB2312" w:hAnsi="仿宋_GB2312" w:cs="仿宋_GB2312" w:eastAsia="仿宋_GB2312"/>
                <w:sz w:val="28"/>
                <w:b/>
                <w:color w:val="000000"/>
              </w:rPr>
              <w:t>2.</w:t>
            </w:r>
            <w:r>
              <w:rPr>
                <w:rFonts w:ascii="仿宋_GB2312" w:hAnsi="仿宋_GB2312" w:cs="仿宋_GB2312" w:eastAsia="仿宋_GB2312"/>
                <w:sz w:val="28"/>
                <w:b/>
                <w:color w:val="000000"/>
              </w:rPr>
              <w:t>项目目标</w:t>
            </w:r>
          </w:p>
          <w:p>
            <w:pPr>
              <w:pStyle w:val="null3"/>
              <w:ind w:firstLine="480"/>
              <w:jc w:val="left"/>
            </w:pPr>
            <w:r>
              <w:rPr>
                <w:rFonts w:ascii="仿宋_GB2312" w:hAnsi="仿宋_GB2312" w:cs="仿宋_GB2312" w:eastAsia="仿宋_GB2312"/>
                <w:sz w:val="28"/>
                <w:color w:val="000000"/>
              </w:rPr>
              <w:t>通过开展公路风险隐患排查技术帮扶，提升基层一线风险隐患排查人员的技术能力和专业水平，推进灾害风险隐患排查和风险管控、隐患整治工作的有序、规范开展。</w:t>
            </w:r>
          </w:p>
          <w:p>
            <w:pPr>
              <w:pStyle w:val="null3"/>
              <w:ind w:firstLine="480"/>
              <w:jc w:val="left"/>
            </w:pPr>
            <w:r>
              <w:rPr>
                <w:rFonts w:ascii="仿宋_GB2312" w:hAnsi="仿宋_GB2312" w:cs="仿宋_GB2312" w:eastAsia="仿宋_GB2312"/>
                <w:sz w:val="28"/>
                <w:b/>
                <w:color w:val="000000"/>
              </w:rPr>
              <w:t>3.项目内容</w:t>
            </w:r>
          </w:p>
          <w:p>
            <w:pPr>
              <w:pStyle w:val="null3"/>
              <w:ind w:firstLine="480"/>
              <w:jc w:val="left"/>
            </w:pPr>
            <w:r>
              <w:rPr>
                <w:rFonts w:ascii="仿宋_GB2312" w:hAnsi="仿宋_GB2312" w:cs="仿宋_GB2312" w:eastAsia="仿宋_GB2312"/>
                <w:sz w:val="28"/>
                <w:color w:val="000000"/>
              </w:rPr>
              <w:t>根据陕西省交通运输厅关于公路风险隐患排查的工作要求，组织相关专业的专家和技术服务团队成员开展公路风险隐患排查技术帮扶工作。技术帮扶工作应包括但不限于下述几个方面的内容：</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1）根据工作开展需要，制定公路风险隐患排查技术帮扶工作方案，细化技术帮扶工作内容，并确定工作推进计划，明确沟通反馈机制。</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2）组织专家对灾害风险隐患排查人员开展技术培训，并就风险隐患排查工作开展情况进行交流，对现场排查、台账建立、风险管控、隐患整治过程中存在的问题进行沟通和答疑。</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根据各公路管理单位建立的风险路段台账、涉灾隐患点台账等资料，按15%的比例进行抽查，根据排查期间收集的有关资料对风险路段范围、风险等级及各类隐患点等级进行核查，并对存疑的路段或隐患进行现场核查。</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4）对灾害风险隐患排查过程中发现的全部高风险路段、重大隐患点及15%的较高风险路段、较高隐患点，与管理单位开展现场联合排查工作，开展联合排查工作的管理单位数量不少于10个。</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5）根据风险隐患台账对风险管控和隐患整治情况进行调查，对风险管控措施、隐患整治方案、应急预案、工作进度计划等提出有关的技术建议。</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6）根据全省各地涉路突发事件和灾情发生情况，配合开展应急处突和灾情处置的有关工作，应急处突和灾情处置期间配备满足工作需要的技术专家全程提供技术支持，全年技术支持不少于20人次。</w:t>
            </w:r>
          </w:p>
          <w:p>
            <w:pPr>
              <w:pStyle w:val="null3"/>
              <w:ind w:firstLine="480"/>
              <w:jc w:val="left"/>
            </w:pPr>
            <w:r>
              <w:rPr>
                <w:rFonts w:ascii="仿宋_GB2312" w:hAnsi="仿宋_GB2312" w:cs="仿宋_GB2312" w:eastAsia="仿宋_GB2312"/>
                <w:sz w:val="28"/>
                <w:b/>
                <w:color w:val="000000"/>
              </w:rPr>
              <w:t>4.成果要求</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1）公路灾害风险隐患排查技术帮扶实施方案；</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2）公路灾害风险隐患排查培训课件；</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3）风险隐患排查台账核查报告；</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4）较高以上风险点联合排查工作报告；</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5）风险管控和隐患整治技术建议报告；</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6）应急处突和灾情处治专家意见汇编；</w:t>
            </w:r>
          </w:p>
          <w:p>
            <w:pPr>
              <w:pStyle w:val="null3"/>
              <w:ind w:firstLine="48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7）公路灾害风险隐患排查技术帮扶总结报告。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▲1.专家力量：配备具有高级职称的养护技术专家不少于10人。▲ 2.技术服务团队：配备的项目负责人应具有高级职称，且具有5年以上从业经验；配备具有中级以上职称的养护技术团队服务成员不少于6人。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（一）项目实施完成后，由甲方组织对项目服务的执行结果进行验收，主要针对乙方的合同履行情况及结果进行检验、核实和评估，以确认其提供的服务是否符合政府采购合同约定标准和要求。 （二）采购合同和乙方投标响应文件是履约验收工作的基本依据。补充合同视同采购合同组成部分。甲方和乙方应当全面、真实、有效地履行采购合同约定，任何一方当事人不得擅自变更、中止或者终止。对采购合同中约定的权利和义务，任何一方不得擅自放弃或者让渡。 （三）初次验收不合格，乙方须在甲方规定期限内无偿整改，费用自理。逾期不改或两次整改仍不达标，甲方有权单方解除合同，乙方全额退还甲方已付款项并承担合同约定全部违约金及实际损失。</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其他补充事宜： 1、本项目所属行业为：其他未列明行业。 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3、磋商保证金相关说明： （1）本项目须缴纳磋商保证金额详见第二章 供应商须知，磋商保证金须在响应文件递交截止时间前到账。 （2）以银行转账缴纳保证金的，应从其公户转出，必须写明“SXHC2026-072项目磋商保证金”，便于财务部查询登记。 （3）未成交供应商的磋商保证金，在成交通知书发出之日起5个工作日内退还；成交供应商的磋商保证金在合同签订之日5个工作日内退还。 （4）下列情况发生，磋商保证金将不予退还： ①供应商在递交响应文件截止时间后撤回响应文件的； ②供应商在响应文件中提供虚假材料的； ③除因不可抗力或磋商文件认可的情形以外，成交供应商不与采购人签订合同的； ④成交供应商将成交项目转让给他人，或者在响应文件中未说明且未经采购人同意将成交项目分包给他人的； ⑤供应商相互串通投标或者与采购人串通投标的，向采购人或者磋商小组成员行贿谋取成交的，以他人名义投标或者以其他方式弄虚作假骗取成交的。 4、采购人应按照磋商文件和成交供应商的响应文件，在成交通知书发出之日起25日内签订合同。 5、支付约定因系统格式问题，合同款项支付以拟签订合同文本体现为准。 6、如磋商文件中融资相关内容与新政策要求有出入，按照最新要求执行。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响应文件中的项目名称、项目编号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对本项目的总体服务</w:t>
            </w:r>
          </w:p>
        </w:tc>
        <w:tc>
          <w:tcPr>
            <w:tcW w:type="dxa" w:w="2492"/>
          </w:tcPr>
          <w:p>
            <w:pPr>
              <w:pStyle w:val="null3"/>
            </w:pPr>
            <w:r>
              <w:rPr>
                <w:rFonts w:ascii="仿宋_GB2312" w:hAnsi="仿宋_GB2312" w:cs="仿宋_GB2312" w:eastAsia="仿宋_GB2312"/>
              </w:rPr>
              <w:t>包括但不限于①项目背景②服务目标③服务内容及标准④服务理念及特色⑤服务计划。 以上内容专门针对本项目，且符合本项目实际需求的得10分（每项2分），每缺一项扣2分，评审内容有缺陷的根据情况扣分，扣完为止。 注：“缺陷”是指：内容粗略、逻辑混乱、描述过于简单、与项目特点不匹配、逻辑漏洞、出现常识性错误、存在不适用项目实际情况的情形或只有标题没有实质性内容等。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对本项目的主要任务</w:t>
            </w:r>
          </w:p>
        </w:tc>
        <w:tc>
          <w:tcPr>
            <w:tcW w:type="dxa" w:w="2492"/>
          </w:tcPr>
          <w:p>
            <w:pPr>
              <w:pStyle w:val="null3"/>
            </w:pPr>
            <w:r>
              <w:rPr>
                <w:rFonts w:ascii="仿宋_GB2312" w:hAnsi="仿宋_GB2312" w:cs="仿宋_GB2312" w:eastAsia="仿宋_GB2312"/>
              </w:rPr>
              <w:t>包括但不限于①需求分析②调研方案③分析思路④对策建议。 以上内容专门针对本项目，且符合本项目实际需求的得8分（每项2分），每缺一项扣2分，评审内容有缺陷的根据情况扣分，扣完为止。 注：“缺陷”是指：内容粗略、逻辑混乱、描述过于简单、与项目特点不匹配、逻辑漏洞、出现常识性错误、存在不适用项目实际情况的情形或只有标题没有实质性内容等。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对本项目的质量管理</w:t>
            </w:r>
          </w:p>
        </w:tc>
        <w:tc>
          <w:tcPr>
            <w:tcW w:type="dxa" w:w="2492"/>
          </w:tcPr>
          <w:p>
            <w:pPr>
              <w:pStyle w:val="null3"/>
            </w:pPr>
            <w:r>
              <w:rPr>
                <w:rFonts w:ascii="仿宋_GB2312" w:hAnsi="仿宋_GB2312" w:cs="仿宋_GB2312" w:eastAsia="仿宋_GB2312"/>
              </w:rPr>
              <w:t>包括但不限于：①重难点分析②风险管控③质量控制④质量检查验收。 以上内容专门针对本项目，且符合本项目实际需求的得8分（每项2分），每缺一项扣2分，评审内容有缺陷的根据情况扣分，扣完为止。 注：“缺陷”是指：内容粗略、逻辑混乱、描述过于简单、与项目特点不匹配、逻辑漏洞、出现常识性错误、存在不适用项目实际情况的情形或只有标题没有实质性内容等。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对本项目的进度管理</w:t>
            </w:r>
          </w:p>
        </w:tc>
        <w:tc>
          <w:tcPr>
            <w:tcW w:type="dxa" w:w="2492"/>
          </w:tcPr>
          <w:p>
            <w:pPr>
              <w:pStyle w:val="null3"/>
            </w:pPr>
            <w:r>
              <w:rPr>
                <w:rFonts w:ascii="仿宋_GB2312" w:hAnsi="仿宋_GB2312" w:cs="仿宋_GB2312" w:eastAsia="仿宋_GB2312"/>
              </w:rPr>
              <w:t>包括但不限于：①实施进度②培训进度③成果提交④隐患处置。 以上内容专门针对本项目，且符合本项目实际需求的得8分（每项2分），每缺一项扣2分，评审内容有缺陷的根据情况扣分，扣完为止。 注：“缺陷”是指：内容粗略、逻辑混乱、描述过于简单、与项目特点不匹配、逻辑漏洞、出现常识性错误、存在不适用项目实际情况的情形或只有标题没有实质性内容等。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对本项目的安全保密</w:t>
            </w:r>
          </w:p>
        </w:tc>
        <w:tc>
          <w:tcPr>
            <w:tcW w:type="dxa" w:w="2492"/>
          </w:tcPr>
          <w:p>
            <w:pPr>
              <w:pStyle w:val="null3"/>
            </w:pPr>
            <w:r>
              <w:rPr>
                <w:rFonts w:ascii="仿宋_GB2312" w:hAnsi="仿宋_GB2312" w:cs="仿宋_GB2312" w:eastAsia="仿宋_GB2312"/>
              </w:rPr>
              <w:t>包括但不限于：①制度建设②人员管理③设备管理。 以上内容专门针对本项目，且符合本项目实际需求的得6分（每项2分），每缺一项扣2分，评审内容有缺陷的根据情况扣分，扣完为止。 注：“缺陷”是指：内容粗略、逻辑混乱、描述过于简单、与项目特点不匹配、逻辑漏洞、出现常识性错误、存在不适用项目实际情况的情形或只有标题没有实质性内容等。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1.项⽬负责⼈具有相关⾏业5年从业经验得1分，5年以上从业经验得3分，评审时以提供的劳动合同或社保缴纳证明或就职人员出具的从业证明材料为准。 2.项⽬负责⼈具有相关专业⾼级（副⾼级）职称的得1分，具有相关专业正⾼级职称的得3分，评审时以提供的职称证书为准。 3.项目负责人具有2023年06月01日至今（以合同签订时间为准），对应的风险隐患排查项目或灾害处治设计项目业绩（体现项目负责人名字），每提供1个得1分，最多得6分。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专家及技术服务团队配置</w:t>
            </w:r>
          </w:p>
        </w:tc>
        <w:tc>
          <w:tcPr>
            <w:tcW w:type="dxa" w:w="2492"/>
          </w:tcPr>
          <w:p>
            <w:pPr>
              <w:pStyle w:val="null3"/>
            </w:pPr>
            <w:r>
              <w:rPr>
                <w:rFonts w:ascii="仿宋_GB2312" w:hAnsi="仿宋_GB2312" w:cs="仿宋_GB2312" w:eastAsia="仿宋_GB2312"/>
              </w:rPr>
              <w:t>1.供应商为本项目配备具有高级职称的养护专家10人，得3分，每增加1人得1分，本项总分6分，不足10人得0分； 2.专家专业领域包括地质（岩土）工程专业、道路工程专业、桥梁工程专业或隧道工程专业，专家团队的专业领域每满足1个专业得1分 ，最高得3分； 3.供应商为本项目配备具有中级以上职称的技术服务人员6人，得3分，每增加1人得1分，本项总分6分，不足6人得0分； 4.技术服务人员专业领域包括地质（岩土）工程专业、道路工程专业、桥梁工程专业或隧道工程专业，技术服务人员团队的专业领域每满足1个专业得1分，最高得3分。 注：评审时以提供上述人员的职称证书、毕业证等相关证明。</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具有2023年06月01日至今同类项目业绩（如：风险隐患排查类项目或灾害处治设计类项目）业绩，每提供1个得2分，最高得10分。 注：业绩证明材料需提供合同复印件主要部分并加盖公章，未提供不得分。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满足磋商文件要求且磋商报价价格最低的磋商报价为评审基准价，其价格分为满分。其他供应商的价格分统一按照下列公式计算：磋商报价得分=(评审基准价／磋商报价)×价格权值×100。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