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E92F03">
      <w:pPr>
        <w:spacing w:line="360" w:lineRule="auto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一、招标要求</w:t>
      </w:r>
    </w:p>
    <w:p w14:paraId="5D60F1CD">
      <w:pPr>
        <w:spacing w:line="360" w:lineRule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1.项目名称：咸阳市公共文化数字化服务平台建设项目</w:t>
      </w:r>
      <w:r>
        <w:rPr>
          <w:rFonts w:hint="eastAsia" w:ascii="宋体" w:hAnsi="宋体" w:cs="宋体"/>
          <w:sz w:val="24"/>
          <w:lang w:eastAsia="zh-CN"/>
        </w:rPr>
        <w:t>（</w:t>
      </w:r>
      <w:r>
        <w:rPr>
          <w:rFonts w:hint="eastAsia" w:ascii="宋体" w:hAnsi="宋体" w:cs="宋体"/>
          <w:sz w:val="24"/>
          <w:lang w:val="en-US" w:eastAsia="zh-CN"/>
        </w:rPr>
        <w:t>二次</w:t>
      </w:r>
      <w:r>
        <w:rPr>
          <w:rFonts w:hint="eastAsia" w:ascii="宋体" w:hAnsi="宋体" w:cs="宋体"/>
          <w:sz w:val="24"/>
          <w:lang w:eastAsia="zh-CN"/>
        </w:rPr>
        <w:t>）</w:t>
      </w:r>
    </w:p>
    <w:p w14:paraId="46E61B8E">
      <w:pPr>
        <w:spacing w:line="360" w:lineRule="auto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2</w:t>
      </w:r>
      <w:r>
        <w:rPr>
          <w:rFonts w:hint="eastAsia" w:ascii="宋体" w:hAnsi="宋体" w:cs="宋体"/>
          <w:sz w:val="24"/>
          <w:lang w:eastAsia="zh-CN"/>
        </w:rPr>
        <w:t>.交付期：合同签订后3个月内</w:t>
      </w:r>
    </w:p>
    <w:p w14:paraId="35E5E504">
      <w:pPr>
        <w:spacing w:line="360" w:lineRule="auto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 w:ascii="宋体" w:hAnsi="宋体" w:cs="宋体"/>
          <w:sz w:val="24"/>
          <w:lang w:eastAsia="zh-CN"/>
        </w:rPr>
        <w:t>质保期：3年</w:t>
      </w:r>
    </w:p>
    <w:p w14:paraId="043058F6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4</w:t>
      </w:r>
      <w:r>
        <w:rPr>
          <w:rFonts w:hint="eastAsia" w:ascii="宋体" w:hAnsi="宋体" w:cs="宋体"/>
          <w:sz w:val="24"/>
          <w:lang w:eastAsia="zh-CN"/>
        </w:rPr>
        <w:t>.</w:t>
      </w:r>
      <w:r>
        <w:rPr>
          <w:rFonts w:hint="eastAsia" w:ascii="宋体" w:hAnsi="宋体" w:cs="宋体"/>
          <w:sz w:val="24"/>
        </w:rPr>
        <w:t>服务地点：</w:t>
      </w:r>
      <w:r>
        <w:rPr>
          <w:rFonts w:hint="eastAsia" w:ascii="宋体" w:hAnsi="宋体" w:cs="宋体"/>
          <w:sz w:val="24"/>
          <w:lang w:val="en-US" w:eastAsia="zh-CN"/>
        </w:rPr>
        <w:t>采购人</w:t>
      </w:r>
      <w:r>
        <w:rPr>
          <w:rFonts w:hint="eastAsia" w:ascii="宋体" w:hAnsi="宋体" w:cs="宋体"/>
          <w:sz w:val="24"/>
        </w:rPr>
        <w:t>指定地点</w:t>
      </w:r>
    </w:p>
    <w:p w14:paraId="75218224">
      <w:pPr>
        <w:spacing w:line="360" w:lineRule="auto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二</w:t>
      </w:r>
      <w:r>
        <w:rPr>
          <w:rFonts w:hint="eastAsia" w:ascii="宋体" w:hAnsi="宋体" w:cs="宋体"/>
          <w:b/>
          <w:bCs/>
          <w:sz w:val="24"/>
        </w:rPr>
        <w:t>、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招标内容</w:t>
      </w:r>
    </w:p>
    <w:tbl>
      <w:tblPr>
        <w:tblStyle w:val="13"/>
        <w:tblW w:w="9259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1233"/>
        <w:gridCol w:w="783"/>
        <w:gridCol w:w="6536"/>
      </w:tblGrid>
      <w:tr w14:paraId="48C16E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707" w:type="dxa"/>
            <w:vAlign w:val="center"/>
          </w:tcPr>
          <w:p w14:paraId="50FB53A1">
            <w:pPr>
              <w:pStyle w:val="17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1233" w:type="dxa"/>
            <w:vAlign w:val="center"/>
          </w:tcPr>
          <w:p w14:paraId="353BB8FF">
            <w:pPr>
              <w:pStyle w:val="17"/>
              <w:jc w:val="center"/>
              <w:rPr>
                <w:rFonts w:hint="default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服务内容</w:t>
            </w:r>
          </w:p>
        </w:tc>
        <w:tc>
          <w:tcPr>
            <w:tcW w:w="783" w:type="dxa"/>
            <w:vAlign w:val="center"/>
          </w:tcPr>
          <w:p w14:paraId="2BB327A2">
            <w:pPr>
              <w:pStyle w:val="17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6536" w:type="dxa"/>
            <w:vAlign w:val="center"/>
          </w:tcPr>
          <w:p w14:paraId="428D325C">
            <w:pPr>
              <w:pStyle w:val="17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  <w:t xml:space="preserve"> 技术参数与性能指标</w:t>
            </w:r>
          </w:p>
        </w:tc>
      </w:tr>
      <w:tr w14:paraId="7C5BEC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07" w:type="dxa"/>
            <w:vAlign w:val="center"/>
          </w:tcPr>
          <w:p w14:paraId="625CB272">
            <w:pPr>
              <w:pStyle w:val="17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1233" w:type="dxa"/>
            <w:vAlign w:val="center"/>
          </w:tcPr>
          <w:p w14:paraId="5F47F18C">
            <w:pPr>
              <w:pStyle w:val="17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陕西公共文化云咸阳站开发升级</w:t>
            </w:r>
          </w:p>
        </w:tc>
        <w:tc>
          <w:tcPr>
            <w:tcW w:w="783" w:type="dxa"/>
            <w:vAlign w:val="center"/>
          </w:tcPr>
          <w:p w14:paraId="0B5A6EAF">
            <w:pP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6536" w:type="dxa"/>
            <w:shd w:val="clear" w:color="auto" w:fill="auto"/>
            <w:vAlign w:val="center"/>
          </w:tcPr>
          <w:p w14:paraId="593727FD">
            <w:pPr>
              <w:pStyle w:val="17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" w:bidi="ar-SA"/>
              </w:rPr>
              <w:t>在陕西省公共文化云平台现有架构内，新增“咸阳站”专属入口模块，界面设计融合咸阳文化元素与核心视觉符号；开发13个区县独立子页面，各子页面突出地域文化特色内容，完成系统开发、调试与部署。严格遵循陕西省公共文化云平台官方数据接口规范，完成用户、内容、统计三大类数据互通；2. 验收时交付API 接口文档、用户操作手册等；3. 系统连续 72 小时无故障运行，页面响应时间≤2 秒，并发支持≥1000 人。</w:t>
            </w:r>
          </w:p>
        </w:tc>
      </w:tr>
      <w:tr w14:paraId="350144E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07" w:type="dxa"/>
            <w:vAlign w:val="center"/>
          </w:tcPr>
          <w:p w14:paraId="2F25A131">
            <w:pPr>
              <w:pStyle w:val="17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1233" w:type="dxa"/>
            <w:vAlign w:val="center"/>
          </w:tcPr>
          <w:p w14:paraId="0F89A0E9">
            <w:pPr>
              <w:pStyle w:val="17"/>
              <w:jc w:val="left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陕西公共文化云艺术画屏采购</w:t>
            </w:r>
          </w:p>
        </w:tc>
        <w:tc>
          <w:tcPr>
            <w:tcW w:w="783" w:type="dxa"/>
            <w:vAlign w:val="center"/>
          </w:tcPr>
          <w:p w14:paraId="1F7853AA">
            <w:pPr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16</w:t>
            </w:r>
          </w:p>
        </w:tc>
        <w:tc>
          <w:tcPr>
            <w:tcW w:w="6536" w:type="dxa"/>
            <w:vAlign w:val="center"/>
          </w:tcPr>
          <w:p w14:paraId="1DF424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16套艺术画屏设备，设备支持与陕西公共文化云数据同步；整体配置：16 套设备配置完全统一，包含设备本体、标准壁挂支架、电源线、网线及现场安装调试、陕西省公共文化云数据同步适配服务。 屏幕尺寸：86 英寸，物理分辨率：3840×2160（4K 超高清），背光类型：直下式 DLED，显示亮度：≥350cd/㎡，对比度：1200:1，刷新率：60Hz，响应时间：8ms，可视角度：178° 全视角，显示色彩：1.07B 色，屏幕防护：3.2mm 全钢化高防爆防眩光玻璃，莫氏硬度 7 级，芯片组：V100 八核 A55 处理器，操作系统：Android 14.0 及以上，内存 / 存储：4GB DDR+32GB eMMC，网络连接：支持 2.4GHz+5GHz 双频 WiFi、BT5.0 蓝牙、RJ45 有线网络，音频系统：内置 2×8W 立体声喇叭；OPS 扩展：支持标准 80 针 OPS 电脑接口，可选配 I3/I5/I7 OPS 模块（本项目标配不含）；触控方式：高精度电容触控框；触控点数：支持 20 点同时触控；触控响应速度：&lt;6ms；触控精度：90% 以上区域为 ±2mm；最小触摸物体直径：≥3mm</w:t>
            </w:r>
          </w:p>
          <w:p w14:paraId="03B110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  <w:t>；触控寿命：理论点击次数无限次；输入输出接口：至少包含 RJ45 网口 ×1、HDMI IN×1、USB2.0×2、RS232×1、3.5mm 耳机输出 ×1、Touch USB×1；电源输入：100V-240VAC 50/60Hz 宽电压输入；功耗：最大功耗≤400W，待机功耗≤0.5W；控制方式：支持遥控开关机、远程控制开关机；护眼技术：支持 DC 调光无频闪、低蓝光、智能感光自动调节亮度；色彩表现：专业色准调校，多屏拼接显示色彩一致无色差；投屏功能：支持手机 / 电脑无线投屏、多分屏显示、反向操作，兼容主流投屏协议；信息发布系统：内置商用画屏信息发布系统，支持 web 端 / 手机端内容推送、多设备分组管理、远程控制、在线编辑、实时监控、定时开关机、分时段播放；支持公有云 / 私有云部署、USB 离线节目即插即播；平台兼容性：完全兼容陕西省公共文化云平台数据标准，支持与省级平台实时数据同步、内容统一推送与管理；整机尺寸：≥1998mm×1169mm×66mm（长 × 高 × 厚）；重量：净重 82kg±1kg / 台，毛重 87kg±2kg / 台；环境适应性：工作温度 0℃-40℃，工作湿度 10%-90% 无凝结；贮存温度 - 20℃-60℃，贮存湿度 10%-90% 无凝结。</w:t>
            </w:r>
          </w:p>
        </w:tc>
      </w:tr>
    </w:tbl>
    <w:p w14:paraId="21213EC1">
      <w:pPr>
        <w:pStyle w:val="17"/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-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9B717">
    <w:pPr>
      <w:pStyle w:val="10"/>
      <w:ind w:right="360" w:firstLine="90" w:firstLineChars="5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728273">
                          <w:pPr>
                            <w:pStyle w:val="10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9728273">
                    <w:pPr>
                      <w:pStyle w:val="10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4C29CA">
    <w:pPr>
      <w:pStyle w:val="11"/>
      <w:pBdr>
        <w:bottom w:val="single" w:color="auto" w:sz="6" w:space="2"/>
      </w:pBdr>
      <w:jc w:val="left"/>
    </w:pPr>
    <w:r>
      <w:rPr>
        <w:rFonts w:hint="eastAsia"/>
        <w:lang w:val="en-US" w:eastAsia="zh-CN"/>
      </w:rP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UzNTgxYzEzYTRhMWM4ODc2MTE5ZjVmNzIzNDEifQ=="/>
  </w:docVars>
  <w:rsids>
    <w:rsidRoot w:val="00000000"/>
    <w:rsid w:val="0067008A"/>
    <w:rsid w:val="00B24485"/>
    <w:rsid w:val="025D1695"/>
    <w:rsid w:val="03124449"/>
    <w:rsid w:val="035C6062"/>
    <w:rsid w:val="03E1456A"/>
    <w:rsid w:val="06EF5394"/>
    <w:rsid w:val="095A1470"/>
    <w:rsid w:val="0A9E23BD"/>
    <w:rsid w:val="0DBC5E01"/>
    <w:rsid w:val="108E0B4A"/>
    <w:rsid w:val="12120B1B"/>
    <w:rsid w:val="12814146"/>
    <w:rsid w:val="160C74E6"/>
    <w:rsid w:val="179C1CBE"/>
    <w:rsid w:val="1C7F6FB0"/>
    <w:rsid w:val="1E786385"/>
    <w:rsid w:val="1ECA384D"/>
    <w:rsid w:val="21685574"/>
    <w:rsid w:val="22C87245"/>
    <w:rsid w:val="22E00E2D"/>
    <w:rsid w:val="25F86AF1"/>
    <w:rsid w:val="37FF2D77"/>
    <w:rsid w:val="3B1038C1"/>
    <w:rsid w:val="3EFA5C6C"/>
    <w:rsid w:val="40F82EF9"/>
    <w:rsid w:val="469F763F"/>
    <w:rsid w:val="49105DC9"/>
    <w:rsid w:val="49B76F52"/>
    <w:rsid w:val="4C977055"/>
    <w:rsid w:val="4F406CC7"/>
    <w:rsid w:val="51150C7F"/>
    <w:rsid w:val="550A1873"/>
    <w:rsid w:val="56A4373E"/>
    <w:rsid w:val="5A612985"/>
    <w:rsid w:val="5D2E4085"/>
    <w:rsid w:val="672226E7"/>
    <w:rsid w:val="68993E8A"/>
    <w:rsid w:val="68FB4800"/>
    <w:rsid w:val="6CCC3552"/>
    <w:rsid w:val="6D415667"/>
    <w:rsid w:val="706439B2"/>
    <w:rsid w:val="723956D2"/>
    <w:rsid w:val="728B13DD"/>
    <w:rsid w:val="765F6058"/>
    <w:rsid w:val="76D17E0A"/>
    <w:rsid w:val="79DB4340"/>
    <w:rsid w:val="7B140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600" w:lineRule="exact"/>
      <w:outlineLvl w:val="1"/>
    </w:pPr>
    <w:rPr>
      <w:rFonts w:ascii="Arial" w:hAnsi="Arial" w:eastAsia="黑体" w:cs="Times New Roman"/>
      <w:bCs/>
      <w:sz w:val="24"/>
      <w:szCs w:val="32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szCs w:val="20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next w:val="1"/>
    <w:qFormat/>
    <w:uiPriority w:val="0"/>
    <w:pPr>
      <w:spacing w:after="120"/>
    </w:pPr>
  </w:style>
  <w:style w:type="paragraph" w:styleId="7">
    <w:name w:val="Body Text Indent"/>
    <w:basedOn w:val="1"/>
    <w:next w:val="8"/>
    <w:qFormat/>
    <w:uiPriority w:val="0"/>
    <w:pPr>
      <w:tabs>
        <w:tab w:val="left" w:pos="480"/>
      </w:tabs>
      <w:spacing w:line="540" w:lineRule="exact"/>
      <w:ind w:firstLine="480" w:firstLineChars="200"/>
    </w:pPr>
    <w:rPr>
      <w:sz w:val="24"/>
    </w:rPr>
  </w:style>
  <w:style w:type="paragraph" w:styleId="8">
    <w:name w:val="Body Text First Indent 2"/>
    <w:basedOn w:val="7"/>
    <w:qFormat/>
    <w:uiPriority w:val="0"/>
    <w:pPr>
      <w:spacing w:after="120" w:line="240" w:lineRule="auto"/>
      <w:ind w:left="420" w:leftChars="200" w:firstLine="420"/>
    </w:pPr>
    <w:rPr>
      <w:sz w:val="21"/>
    </w:rPr>
  </w:style>
  <w:style w:type="paragraph" w:styleId="9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2">
    <w:name w:val="Normal (Web)"/>
    <w:basedOn w:val="1"/>
    <w:qFormat/>
    <w:uiPriority w:val="0"/>
    <w:pPr>
      <w:widowControl/>
      <w:spacing w:beforeAutospacing="1" w:after="0" w:afterAutospacing="1"/>
      <w:jc w:val="left"/>
    </w:pPr>
    <w:rPr>
      <w:rFonts w:ascii="宋体" w:hAnsi="宋体"/>
      <w:kern w:val="0"/>
      <w:sz w:val="24"/>
      <w:szCs w:val="24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6">
    <w:name w:val="列出段落1"/>
    <w:basedOn w:val="1"/>
    <w:qFormat/>
    <w:uiPriority w:val="99"/>
    <w:pPr>
      <w:ind w:firstLine="420" w:firstLineChars="200"/>
    </w:pPr>
    <w:rPr>
      <w:rFonts w:ascii="Calibri" w:hAnsi="Calibri" w:cs="Calibri"/>
    </w:rPr>
  </w:style>
  <w:style w:type="paragraph" w:customStyle="1" w:styleId="17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styleId="18">
    <w:name w:val="List Paragraph"/>
    <w:basedOn w:val="1"/>
    <w:autoRedefine/>
    <w:qFormat/>
    <w:uiPriority w:val="34"/>
    <w:pPr>
      <w:ind w:firstLine="420"/>
    </w:pPr>
  </w:style>
  <w:style w:type="character" w:customStyle="1" w:styleId="19">
    <w:name w:val="font71"/>
    <w:basedOn w:val="1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0">
    <w:name w:val="font91"/>
    <w:basedOn w:val="15"/>
    <w:qFormat/>
    <w:uiPriority w:val="0"/>
    <w:rPr>
      <w:rFonts w:ascii="宋体-简" w:hAnsi="宋体-简" w:eastAsia="宋体-简" w:cs="宋体-简"/>
      <w:color w:val="000000"/>
      <w:sz w:val="22"/>
      <w:szCs w:val="22"/>
      <w:u w:val="none"/>
    </w:rPr>
  </w:style>
  <w:style w:type="character" w:customStyle="1" w:styleId="21">
    <w:name w:val="font21"/>
    <w:basedOn w:val="1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22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3">
    <w:name w:val="font11"/>
    <w:basedOn w:val="1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4">
    <w:name w:val="标题 1 Char"/>
    <w:link w:val="2"/>
    <w:qFormat/>
    <w:uiPriority w:val="0"/>
    <w:rPr>
      <w:b/>
      <w:kern w:val="44"/>
      <w:sz w:val="44"/>
    </w:rPr>
  </w:style>
  <w:style w:type="paragraph" w:customStyle="1" w:styleId="25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2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列表段落1"/>
    <w:basedOn w:val="1"/>
    <w:qFormat/>
    <w:uiPriority w:val="0"/>
    <w:pPr>
      <w:spacing w:after="0"/>
      <w:ind w:firstLine="420" w:firstLineChars="200"/>
    </w:pPr>
    <w:rPr>
      <w:szCs w:val="21"/>
    </w:rPr>
  </w:style>
  <w:style w:type="paragraph" w:customStyle="1" w:styleId="28">
    <w:name w:val="正文_段"/>
    <w:qFormat/>
    <w:uiPriority w:val="0"/>
    <w:pPr>
      <w:adjustRightInd w:val="0"/>
      <w:snapToGrid w:val="0"/>
      <w:spacing w:line="360" w:lineRule="auto"/>
      <w:ind w:firstLine="200" w:firstLineChars="200"/>
    </w:pPr>
    <w:rPr>
      <w:rFonts w:ascii="Times New Roman" w:hAnsi="Times New Roman" w:eastAsia="宋体" w:cs="Times New Roman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18082</Words>
  <Characters>22845</Characters>
  <Lines>0</Lines>
  <Paragraphs>0</Paragraphs>
  <TotalTime>0</TotalTime>
  <ScaleCrop>false</ScaleCrop>
  <LinksUpToDate>false</LinksUpToDate>
  <CharactersWithSpaces>23210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2024-11-07T06:12:00Z</dcterms:created>
  <dc:creator>Administrator</dc:creator>
  <cp:lastModifiedBy>国创招标</cp:lastModifiedBy>
  <dcterms:modified xsi:type="dcterms:W3CDTF">2026-06-26T07:50:52Z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93527D60A6C247DCA3BA1443F2DA3974_12</vt:lpwstr>
  </property>
  <property fmtid="{D5CDD505-2E9C-101B-9397-08002B2CF9AE}" pid="4" name="KSOTemplateDocerSaveRecord">
    <vt:lpwstr>eyJoZGlkIjoiNzFmZTUzNTgxYzEzYTRhMWM4ODc2MTE5ZjVmNzIzNDEiLCJ1c2VySWQiOiIxMTQ2NDU0OTA0In0=</vt:lpwstr>
  </property>
</Properties>
</file>