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F78F2E">
      <w:pPr>
        <w:ind w:left="-210" w:leftChars="-100" w:right="-210" w:rightChars="-100"/>
        <w:jc w:val="center"/>
        <w:rPr>
          <w:rFonts w:hint="eastAsia" w:ascii="宋体" w:hAnsi="宋体" w:eastAsia="宋体" w:cs="宋体"/>
          <w:b/>
          <w:sz w:val="36"/>
          <w:szCs w:val="36"/>
          <w:highlight w:val="none"/>
        </w:rPr>
      </w:pPr>
      <w:r>
        <w:rPr>
          <w:rFonts w:hint="eastAsia" w:ascii="宋体" w:hAnsi="宋体" w:eastAsia="宋体" w:cs="宋体"/>
          <w:b/>
          <w:sz w:val="36"/>
          <w:szCs w:val="36"/>
          <w:highlight w:val="none"/>
        </w:rPr>
        <w:t>档案寄存服务合同</w:t>
      </w:r>
    </w:p>
    <w:p w14:paraId="6F8CAF29">
      <w:pPr>
        <w:ind w:left="-210" w:leftChars="-100" w:right="-210" w:rightChars="-100"/>
        <w:jc w:val="center"/>
        <w:rPr>
          <w:rFonts w:hint="eastAsia" w:ascii="宋体" w:hAnsi="宋体" w:eastAsia="宋体" w:cs="宋体"/>
          <w:b/>
          <w:sz w:val="32"/>
          <w:highlight w:val="none"/>
        </w:rPr>
      </w:pPr>
    </w:p>
    <w:p w14:paraId="33B3397E">
      <w:pPr>
        <w:spacing w:line="360" w:lineRule="auto"/>
        <w:ind w:firstLine="422" w:firstLineChars="200"/>
        <w:rPr>
          <w:rFonts w:hint="eastAsia" w:asciiTheme="majorEastAsia" w:hAnsiTheme="majorEastAsia" w:eastAsiaTheme="majorEastAsia" w:cstheme="majorEastAsia"/>
          <w:sz w:val="21"/>
          <w:szCs w:val="21"/>
          <w:highlight w:val="none"/>
          <w:u w:val="single"/>
        </w:rPr>
      </w:pPr>
      <w:r>
        <w:rPr>
          <w:rFonts w:hint="eastAsia" w:asciiTheme="majorEastAsia" w:hAnsiTheme="majorEastAsia" w:eastAsiaTheme="majorEastAsia" w:cstheme="majorEastAsia"/>
          <w:b/>
          <w:sz w:val="21"/>
          <w:szCs w:val="21"/>
          <w:highlight w:val="none"/>
        </w:rPr>
        <w:t>甲  方</w:t>
      </w:r>
      <w:r>
        <w:rPr>
          <w:rFonts w:hint="eastAsia" w:asciiTheme="majorEastAsia" w:hAnsiTheme="majorEastAsia" w:eastAsiaTheme="majorEastAsia" w:cstheme="majorEastAsia"/>
          <w:sz w:val="21"/>
          <w:szCs w:val="21"/>
          <w:highlight w:val="none"/>
        </w:rPr>
        <w:t xml:space="preserve">：西安住房公积金管理中心     </w:t>
      </w:r>
    </w:p>
    <w:p w14:paraId="238CD4CC">
      <w:pPr>
        <w:spacing w:line="360" w:lineRule="auto"/>
        <w:ind w:firstLine="422" w:firstLineChars="200"/>
        <w:rPr>
          <w:rFonts w:hint="eastAsia" w:asciiTheme="majorEastAsia" w:hAnsiTheme="majorEastAsia" w:eastAsiaTheme="majorEastAsia" w:cstheme="majorEastAsia"/>
          <w:b/>
          <w:color w:val="auto"/>
          <w:sz w:val="21"/>
          <w:szCs w:val="21"/>
          <w:highlight w:val="none"/>
          <w:lang w:eastAsia="zh-CN"/>
        </w:rPr>
      </w:pPr>
      <w:r>
        <w:rPr>
          <w:rFonts w:hint="eastAsia" w:asciiTheme="majorEastAsia" w:hAnsiTheme="majorEastAsia" w:eastAsiaTheme="majorEastAsia" w:cstheme="majorEastAsia"/>
          <w:b/>
          <w:sz w:val="21"/>
          <w:szCs w:val="21"/>
          <w:highlight w:val="none"/>
        </w:rPr>
        <w:t>乙  方</w:t>
      </w:r>
      <w:r>
        <w:rPr>
          <w:rFonts w:hint="eastAsia" w:asciiTheme="majorEastAsia" w:hAnsiTheme="majorEastAsia" w:eastAsiaTheme="majorEastAsia" w:cstheme="majorEastAsia"/>
          <w:color w:val="auto"/>
          <w:sz w:val="21"/>
          <w:szCs w:val="21"/>
          <w:highlight w:val="none"/>
        </w:rPr>
        <w:t>：</w:t>
      </w:r>
      <w:r>
        <w:rPr>
          <w:rFonts w:hint="eastAsia" w:asciiTheme="majorEastAsia" w:hAnsiTheme="majorEastAsia" w:eastAsiaTheme="majorEastAsia" w:cstheme="majorEastAsia"/>
          <w:color w:val="auto"/>
          <w:sz w:val="21"/>
          <w:szCs w:val="21"/>
          <w:highlight w:val="none"/>
          <w:lang w:eastAsia="zh-CN"/>
        </w:rPr>
        <w:t xml:space="preserve">    </w:t>
      </w:r>
    </w:p>
    <w:p w14:paraId="1BB9786A">
      <w:pPr>
        <w:spacing w:line="360" w:lineRule="auto"/>
        <w:ind w:firstLine="420" w:firstLineChars="200"/>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根据《中华人民共和国民法典》及相关法律法规，甲乙双方就</w:t>
      </w:r>
      <w:r>
        <w:rPr>
          <w:rFonts w:hint="eastAsia" w:asciiTheme="majorEastAsia" w:hAnsiTheme="majorEastAsia" w:eastAsiaTheme="majorEastAsia" w:cstheme="majorEastAsia"/>
          <w:color w:val="auto"/>
          <w:sz w:val="21"/>
          <w:szCs w:val="21"/>
          <w:highlight w:val="none"/>
          <w:lang w:eastAsia="zh-CN"/>
        </w:rPr>
        <w:t>西安住房公积金管理中心2026年档案托管寄存服务项目</w:t>
      </w:r>
      <w:r>
        <w:rPr>
          <w:rFonts w:hint="eastAsia" w:asciiTheme="majorEastAsia" w:hAnsiTheme="majorEastAsia" w:eastAsiaTheme="majorEastAsia" w:cstheme="majorEastAsia"/>
          <w:color w:val="auto"/>
          <w:sz w:val="21"/>
          <w:szCs w:val="21"/>
          <w:highlight w:val="none"/>
          <w:u w:val="single"/>
        </w:rPr>
        <w:t>（项目编号：</w:t>
      </w:r>
      <w:r>
        <w:rPr>
          <w:rFonts w:hint="eastAsia" w:asciiTheme="majorEastAsia" w:hAnsiTheme="majorEastAsia" w:eastAsiaTheme="majorEastAsia" w:cstheme="majorEastAsia"/>
          <w:color w:val="auto"/>
          <w:sz w:val="21"/>
          <w:szCs w:val="21"/>
          <w:highlight w:val="none"/>
          <w:u w:val="single"/>
          <w:lang w:val="en-US" w:eastAsia="zh-CN"/>
        </w:rPr>
        <w:t xml:space="preserve"> </w:t>
      </w:r>
      <w:r>
        <w:rPr>
          <w:rFonts w:hint="eastAsia" w:asciiTheme="majorEastAsia" w:hAnsiTheme="majorEastAsia" w:eastAsiaTheme="majorEastAsia" w:cstheme="majorEastAsia"/>
          <w:color w:val="auto"/>
          <w:sz w:val="21"/>
          <w:szCs w:val="21"/>
          <w:highlight w:val="none"/>
          <w:u w:val="single"/>
        </w:rPr>
        <w:t>）</w:t>
      </w:r>
      <w:r>
        <w:rPr>
          <w:rFonts w:hint="eastAsia" w:asciiTheme="majorEastAsia" w:hAnsiTheme="majorEastAsia" w:eastAsiaTheme="majorEastAsia" w:cstheme="majorEastAsia"/>
          <w:color w:val="auto"/>
          <w:sz w:val="21"/>
          <w:szCs w:val="21"/>
          <w:highlight w:val="none"/>
        </w:rPr>
        <w:t>事项协商一致，共同订立本合同，以明确双方的权利与义务。</w:t>
      </w:r>
    </w:p>
    <w:p w14:paraId="19749B65">
      <w:pPr>
        <w:adjustRightInd w:val="0"/>
        <w:snapToGrid w:val="0"/>
        <w:spacing w:line="360" w:lineRule="auto"/>
        <w:jc w:val="left"/>
        <w:rPr>
          <w:rFonts w:hint="eastAsia" w:asciiTheme="majorEastAsia" w:hAnsiTheme="majorEastAsia" w:eastAsiaTheme="majorEastAsia" w:cstheme="majorEastAsia"/>
          <w:b/>
          <w:color w:val="auto"/>
          <w:spacing w:val="30"/>
          <w:sz w:val="21"/>
          <w:szCs w:val="21"/>
          <w:highlight w:val="none"/>
        </w:rPr>
      </w:pPr>
      <w:r>
        <w:rPr>
          <w:rFonts w:hint="eastAsia" w:asciiTheme="majorEastAsia" w:hAnsiTheme="majorEastAsia" w:eastAsiaTheme="majorEastAsia" w:cstheme="majorEastAsia"/>
          <w:b/>
          <w:color w:val="auto"/>
          <w:spacing w:val="30"/>
          <w:sz w:val="21"/>
          <w:szCs w:val="21"/>
          <w:highlight w:val="none"/>
        </w:rPr>
        <w:t>一、释义</w:t>
      </w:r>
    </w:p>
    <w:p w14:paraId="7E2E3EC0">
      <w:pPr>
        <w:spacing w:line="360" w:lineRule="auto"/>
        <w:ind w:firstLine="420" w:firstLineChars="200"/>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1、档案寄存：是指具有档案保管外包服务能力和条件的企业法人，受委托方（法人及自然人）委托，对档案进行保管及相关服务的民事行为。</w:t>
      </w:r>
    </w:p>
    <w:p w14:paraId="7FD42359">
      <w:pPr>
        <w:spacing w:line="360" w:lineRule="auto"/>
        <w:ind w:firstLine="420" w:firstLineChars="200"/>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2、档案利用：是指档案保管外包服务机构为委托方提供档案利用服务，满足利用者的需求。非委托方调阅、查阅相关档案资料的应征得委托方同意，并提供委托方单位公章（或委托人签名）的书面证明。</w:t>
      </w:r>
    </w:p>
    <w:p w14:paraId="7859066C">
      <w:pPr>
        <w:spacing w:line="360" w:lineRule="auto"/>
        <w:ind w:firstLine="420" w:firstLineChars="200"/>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 xml:space="preserve">3、不可抗力：指自然灾害（如地震、雷电、洪水）或不可抗拒因素（如战争）等原因，造成寄存档案受损的突发事件。 </w:t>
      </w:r>
    </w:p>
    <w:p w14:paraId="541FD321">
      <w:pPr>
        <w:adjustRightInd w:val="0"/>
        <w:snapToGrid w:val="0"/>
        <w:spacing w:line="360" w:lineRule="auto"/>
        <w:jc w:val="left"/>
        <w:rPr>
          <w:rFonts w:hint="eastAsia" w:asciiTheme="majorEastAsia" w:hAnsiTheme="majorEastAsia" w:eastAsiaTheme="majorEastAsia" w:cstheme="majorEastAsia"/>
          <w:b/>
          <w:color w:val="auto"/>
          <w:spacing w:val="30"/>
          <w:sz w:val="21"/>
          <w:szCs w:val="21"/>
          <w:highlight w:val="none"/>
        </w:rPr>
      </w:pPr>
      <w:r>
        <w:rPr>
          <w:rFonts w:hint="eastAsia" w:asciiTheme="majorEastAsia" w:hAnsiTheme="majorEastAsia" w:eastAsiaTheme="majorEastAsia" w:cstheme="majorEastAsia"/>
          <w:b/>
          <w:color w:val="auto"/>
          <w:spacing w:val="30"/>
          <w:sz w:val="21"/>
          <w:szCs w:val="21"/>
          <w:highlight w:val="none"/>
        </w:rPr>
        <w:t>二、服务内容</w:t>
      </w:r>
    </w:p>
    <w:p w14:paraId="117D7707">
      <w:pPr>
        <w:spacing w:line="360" w:lineRule="auto"/>
        <w:ind w:firstLine="420" w:firstLineChars="2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（一）乙方为甲方的档案管理提供以下服务：</w:t>
      </w:r>
    </w:p>
    <w:p w14:paraId="5861DDEC">
      <w:pPr>
        <w:spacing w:line="360" w:lineRule="auto"/>
        <w:ind w:firstLine="420" w:firstLineChars="2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1、乙方为甲方提供档案寄存服务，包括对寄存的档案下架、清点、装箱、搬运，应使用仓储货架按区域摆放档案，并按规范编制寄存档案检索工具，能根据甲方的需要取出所需档案进行利用。在合同期限内，乙方要接收并安全保管甲方档案，数量以实际移交数量为准。</w:t>
      </w:r>
    </w:p>
    <w:p w14:paraId="36184541">
      <w:pPr>
        <w:spacing w:line="360" w:lineRule="auto"/>
        <w:ind w:firstLine="420" w:firstLineChars="2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2、服务范围：乙方在对甲方寄存档案提供日常妥善保管、安全维护服务的同时，还应对甲方提出的调阅档案请求提供调阅、借阅服务，包括收取档案、档案复印、档案查询等。借阅档案服务分为现场调阅、上门送达调阅两种服务。</w:t>
      </w:r>
    </w:p>
    <w:p w14:paraId="63D52193">
      <w:pPr>
        <w:widowControl/>
        <w:spacing w:line="360" w:lineRule="auto"/>
        <w:ind w:firstLine="420" w:firstLineChars="2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（二）提供档案管理信息服务：</w:t>
      </w:r>
    </w:p>
    <w:p w14:paraId="1ABCB58C">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1、为甲方提供舒适、整洁的查阅场所，提供更多的便利条件。</w:t>
      </w:r>
    </w:p>
    <w:p w14:paraId="0E03BE56">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2、乙方负责工作沟通联系。根据需要及时向甲方反馈档案工作情况及其它信息。</w:t>
      </w:r>
    </w:p>
    <w:p w14:paraId="59846AAB">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3、乙方提供来人来电、信函、网络、传真等多种查阅形式的服务；提供打印、复印、扫描等多种输出服务。</w:t>
      </w:r>
    </w:p>
    <w:p w14:paraId="7071CDAB">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4、乙方协助甲方对公安、司法、检察机关等法律、法规授权部门因处理案件或特殊需要时查阅档案资料（查阅时必须持有执行公务公函、介绍信、本人工作证件并经档案所有者单位领导同意后，由档案人员陪同查阅）。</w:t>
      </w:r>
    </w:p>
    <w:p w14:paraId="6C3BAB6F">
      <w:pPr>
        <w:widowControl/>
        <w:spacing w:line="360" w:lineRule="auto"/>
        <w:ind w:firstLine="420" w:firstLineChars="2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 xml:space="preserve">（三）双方定期核对 </w:t>
      </w:r>
    </w:p>
    <w:p w14:paraId="44941B29">
      <w:pPr>
        <w:widowControl/>
        <w:spacing w:line="360" w:lineRule="auto"/>
        <w:ind w:firstLine="420" w:firstLineChars="2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对委托（寄存）档案的数量和保管质量</w:t>
      </w:r>
      <w:r>
        <w:rPr>
          <w:rFonts w:hint="eastAsia" w:asciiTheme="majorEastAsia" w:hAnsiTheme="majorEastAsia" w:eastAsiaTheme="majorEastAsia" w:cstheme="majorEastAsia"/>
          <w:color w:val="auto"/>
          <w:sz w:val="21"/>
          <w:szCs w:val="21"/>
          <w:highlight w:val="none"/>
          <w:lang w:val="en-US" w:eastAsia="zh-CN"/>
        </w:rPr>
        <w:t>定期</w:t>
      </w:r>
      <w:r>
        <w:rPr>
          <w:rFonts w:hint="eastAsia" w:asciiTheme="majorEastAsia" w:hAnsiTheme="majorEastAsia" w:eastAsiaTheme="majorEastAsia" w:cstheme="majorEastAsia"/>
          <w:color w:val="auto"/>
          <w:sz w:val="21"/>
          <w:szCs w:val="21"/>
          <w:highlight w:val="none"/>
        </w:rPr>
        <w:t>进行一次核对。</w:t>
      </w:r>
    </w:p>
    <w:p w14:paraId="70A313BD">
      <w:pPr>
        <w:adjustRightInd w:val="0"/>
        <w:snapToGrid w:val="0"/>
        <w:spacing w:line="360" w:lineRule="auto"/>
        <w:jc w:val="left"/>
        <w:rPr>
          <w:rFonts w:hint="eastAsia" w:asciiTheme="majorEastAsia" w:hAnsiTheme="majorEastAsia" w:eastAsiaTheme="majorEastAsia" w:cstheme="majorEastAsia"/>
          <w:b/>
          <w:color w:val="auto"/>
          <w:spacing w:val="30"/>
          <w:sz w:val="21"/>
          <w:szCs w:val="21"/>
          <w:highlight w:val="none"/>
        </w:rPr>
      </w:pPr>
      <w:r>
        <w:rPr>
          <w:rFonts w:hint="eastAsia" w:asciiTheme="majorEastAsia" w:hAnsiTheme="majorEastAsia" w:eastAsiaTheme="majorEastAsia" w:cstheme="majorEastAsia"/>
          <w:b/>
          <w:color w:val="auto"/>
          <w:spacing w:val="30"/>
          <w:sz w:val="21"/>
          <w:szCs w:val="21"/>
          <w:highlight w:val="none"/>
        </w:rPr>
        <w:t>三、服务价格</w:t>
      </w:r>
    </w:p>
    <w:p w14:paraId="0C72C7FE">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甲方所寄存的档案资料按照档案专用保管箱体积计算，具体</w:t>
      </w:r>
      <w:r>
        <w:rPr>
          <w:rFonts w:hint="eastAsia" w:asciiTheme="majorEastAsia" w:hAnsiTheme="majorEastAsia" w:eastAsiaTheme="majorEastAsia" w:cstheme="majorEastAsia"/>
          <w:color w:val="auto"/>
          <w:sz w:val="21"/>
          <w:szCs w:val="21"/>
          <w:highlight w:val="none"/>
        </w:rPr>
        <w:t>为</w:t>
      </w:r>
      <w:r>
        <w:rPr>
          <w:rFonts w:hint="eastAsia" w:asciiTheme="majorEastAsia" w:hAnsiTheme="majorEastAsia" w:eastAsiaTheme="majorEastAsia" w:cstheme="majorEastAsia"/>
          <w:color w:val="auto"/>
          <w:sz w:val="21"/>
          <w:szCs w:val="21"/>
          <w:highlight w:val="none"/>
          <w:u w:val="single"/>
        </w:rPr>
        <w:t xml:space="preserve"> </w:t>
      </w:r>
      <w:r>
        <w:rPr>
          <w:rFonts w:hint="eastAsia" w:asciiTheme="majorEastAsia" w:hAnsiTheme="majorEastAsia" w:eastAsiaTheme="majorEastAsia" w:cstheme="majorEastAsia"/>
          <w:color w:val="auto"/>
          <w:sz w:val="21"/>
          <w:szCs w:val="21"/>
          <w:highlight w:val="none"/>
          <w:u w:val="single"/>
          <w:lang w:val="en-US" w:eastAsia="zh-CN"/>
        </w:rPr>
        <w:t xml:space="preserve">    </w:t>
      </w:r>
      <w:r>
        <w:rPr>
          <w:rFonts w:hint="eastAsia" w:asciiTheme="majorEastAsia" w:hAnsiTheme="majorEastAsia" w:eastAsiaTheme="majorEastAsia" w:cstheme="majorEastAsia"/>
          <w:color w:val="auto"/>
          <w:sz w:val="21"/>
          <w:szCs w:val="21"/>
          <w:highlight w:val="none"/>
          <w:u w:val="single"/>
        </w:rPr>
        <w:t xml:space="preserve"> </w:t>
      </w:r>
      <w:r>
        <w:rPr>
          <w:rFonts w:hint="eastAsia" w:asciiTheme="majorEastAsia" w:hAnsiTheme="majorEastAsia" w:eastAsiaTheme="majorEastAsia" w:cstheme="majorEastAsia"/>
          <w:color w:val="auto"/>
          <w:sz w:val="21"/>
          <w:szCs w:val="21"/>
          <w:highlight w:val="none"/>
        </w:rPr>
        <w:t>元/箱/年的标准收费。</w:t>
      </w:r>
    </w:p>
    <w:p w14:paraId="778061DC">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档案专用保管箱的规格为：长43㎝*33㎝*26㎝。</w:t>
      </w:r>
    </w:p>
    <w:p w14:paraId="56485CD5">
      <w:pPr>
        <w:adjustRightInd w:val="0"/>
        <w:snapToGrid w:val="0"/>
        <w:spacing w:line="360" w:lineRule="auto"/>
        <w:jc w:val="left"/>
        <w:rPr>
          <w:rFonts w:hint="eastAsia" w:asciiTheme="majorEastAsia" w:hAnsiTheme="majorEastAsia" w:eastAsiaTheme="majorEastAsia" w:cstheme="majorEastAsia"/>
          <w:b/>
          <w:color w:val="auto"/>
          <w:spacing w:val="30"/>
          <w:sz w:val="21"/>
          <w:szCs w:val="21"/>
          <w:highlight w:val="none"/>
        </w:rPr>
      </w:pPr>
      <w:r>
        <w:rPr>
          <w:rFonts w:hint="eastAsia" w:asciiTheme="majorEastAsia" w:hAnsiTheme="majorEastAsia" w:eastAsiaTheme="majorEastAsia" w:cstheme="majorEastAsia"/>
          <w:b/>
          <w:color w:val="auto"/>
          <w:spacing w:val="30"/>
          <w:sz w:val="21"/>
          <w:szCs w:val="21"/>
          <w:highlight w:val="none"/>
        </w:rPr>
        <w:t>四、付款方式</w:t>
      </w:r>
    </w:p>
    <w:p w14:paraId="4F425595">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1、甲方委托乙方寄存的每批档案的所属年度、档案数量等档案信息以每次的交接清单为准。</w:t>
      </w:r>
    </w:p>
    <w:p w14:paraId="1F0DC931">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2、甲方委托乙方寄存的每批档案寄存期及档案数量的计算，以交接清单的数量为准，并于签字（盖章）后的次月开始计算费用。</w:t>
      </w:r>
    </w:p>
    <w:p w14:paraId="0E0B70ED">
      <w:pPr>
        <w:adjustRightInd w:val="0"/>
        <w:snapToGrid w:val="0"/>
        <w:spacing w:line="360" w:lineRule="auto"/>
        <w:ind w:firstLine="57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3、甲方与乙方</w:t>
      </w:r>
      <w:r>
        <w:rPr>
          <w:rFonts w:hint="eastAsia" w:asciiTheme="majorEastAsia" w:hAnsiTheme="majorEastAsia" w:eastAsiaTheme="majorEastAsia" w:cstheme="majorEastAsia"/>
          <w:color w:val="auto"/>
          <w:sz w:val="21"/>
          <w:szCs w:val="21"/>
          <w:highlight w:val="none"/>
          <w:lang w:eastAsia="zh-CN"/>
        </w:rPr>
        <w:t>每半年</w:t>
      </w:r>
      <w:r>
        <w:rPr>
          <w:rFonts w:hint="eastAsia" w:asciiTheme="majorEastAsia" w:hAnsiTheme="majorEastAsia" w:eastAsiaTheme="majorEastAsia" w:cstheme="majorEastAsia"/>
          <w:color w:val="auto"/>
          <w:sz w:val="21"/>
          <w:szCs w:val="21"/>
          <w:highlight w:val="none"/>
        </w:rPr>
        <w:t>统一集中支付档案寄存服务费。</w:t>
      </w:r>
    </w:p>
    <w:p w14:paraId="3EC42169">
      <w:pPr>
        <w:adjustRightInd w:val="0"/>
        <w:snapToGrid w:val="0"/>
        <w:spacing w:line="360" w:lineRule="auto"/>
        <w:ind w:firstLine="57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4、乙方要求甲方将档案寄存服务费支付到其以下银行账户：</w:t>
      </w:r>
    </w:p>
    <w:p w14:paraId="29AF68EB">
      <w:pPr>
        <w:adjustRightInd w:val="0"/>
        <w:snapToGrid w:val="0"/>
        <w:spacing w:line="360" w:lineRule="auto"/>
        <w:ind w:firstLine="570"/>
        <w:jc w:val="left"/>
        <w:rPr>
          <w:rFonts w:hint="eastAsia" w:asciiTheme="majorEastAsia" w:hAnsiTheme="majorEastAsia" w:eastAsiaTheme="majorEastAsia" w:cstheme="majorEastAsia"/>
          <w:color w:val="auto"/>
          <w:sz w:val="21"/>
          <w:szCs w:val="21"/>
          <w:highlight w:val="none"/>
          <w:lang w:eastAsia="zh-CN"/>
        </w:rPr>
      </w:pPr>
      <w:r>
        <w:rPr>
          <w:rFonts w:hint="eastAsia" w:asciiTheme="majorEastAsia" w:hAnsiTheme="majorEastAsia" w:eastAsiaTheme="majorEastAsia" w:cstheme="majorEastAsia"/>
          <w:color w:val="auto"/>
          <w:sz w:val="21"/>
          <w:szCs w:val="21"/>
          <w:highlight w:val="none"/>
        </w:rPr>
        <w:t>户  名：</w:t>
      </w:r>
      <w:r>
        <w:rPr>
          <w:rFonts w:hint="eastAsia" w:asciiTheme="majorEastAsia" w:hAnsiTheme="majorEastAsia" w:eastAsiaTheme="majorEastAsia" w:cstheme="majorEastAsia"/>
          <w:color w:val="auto"/>
          <w:sz w:val="21"/>
          <w:szCs w:val="21"/>
          <w:highlight w:val="none"/>
          <w:lang w:eastAsia="zh-CN"/>
        </w:rPr>
        <w:t xml:space="preserve">    </w:t>
      </w:r>
    </w:p>
    <w:p w14:paraId="01E203DD">
      <w:pPr>
        <w:adjustRightInd w:val="0"/>
        <w:snapToGrid w:val="0"/>
        <w:spacing w:line="360" w:lineRule="auto"/>
        <w:ind w:firstLine="570"/>
        <w:jc w:val="left"/>
        <w:rPr>
          <w:rFonts w:hint="eastAsia" w:asciiTheme="majorEastAsia" w:hAnsiTheme="majorEastAsia" w:eastAsiaTheme="majorEastAsia" w:cstheme="majorEastAsia"/>
          <w:color w:val="auto"/>
          <w:sz w:val="21"/>
          <w:szCs w:val="21"/>
          <w:highlight w:val="none"/>
          <w:lang w:eastAsia="zh-CN"/>
        </w:rPr>
      </w:pPr>
      <w:r>
        <w:rPr>
          <w:rFonts w:hint="eastAsia" w:asciiTheme="majorEastAsia" w:hAnsiTheme="majorEastAsia" w:eastAsiaTheme="majorEastAsia" w:cstheme="majorEastAsia"/>
          <w:color w:val="auto"/>
          <w:sz w:val="21"/>
          <w:szCs w:val="21"/>
          <w:highlight w:val="none"/>
        </w:rPr>
        <w:t>开户行：</w:t>
      </w:r>
      <w:r>
        <w:rPr>
          <w:rFonts w:hint="eastAsia" w:asciiTheme="majorEastAsia" w:hAnsiTheme="majorEastAsia" w:eastAsiaTheme="majorEastAsia" w:cstheme="majorEastAsia"/>
          <w:color w:val="auto"/>
          <w:sz w:val="21"/>
          <w:szCs w:val="21"/>
          <w:highlight w:val="none"/>
          <w:lang w:val="en-US" w:eastAsia="zh-CN"/>
        </w:rPr>
        <w:t xml:space="preserve"> </w:t>
      </w:r>
    </w:p>
    <w:p w14:paraId="5FCF0A1C">
      <w:pPr>
        <w:adjustRightInd w:val="0"/>
        <w:snapToGrid w:val="0"/>
        <w:spacing w:line="360" w:lineRule="auto"/>
        <w:ind w:firstLine="570"/>
        <w:jc w:val="left"/>
        <w:rPr>
          <w:rFonts w:hint="eastAsia" w:asciiTheme="majorEastAsia" w:hAnsiTheme="majorEastAsia" w:eastAsiaTheme="majorEastAsia" w:cstheme="majorEastAsia"/>
          <w:color w:val="auto"/>
          <w:sz w:val="21"/>
          <w:szCs w:val="21"/>
          <w:highlight w:val="none"/>
          <w:lang w:eastAsia="zh-CN"/>
        </w:rPr>
      </w:pPr>
      <w:r>
        <w:rPr>
          <w:rFonts w:hint="eastAsia" w:asciiTheme="majorEastAsia" w:hAnsiTheme="majorEastAsia" w:eastAsiaTheme="majorEastAsia" w:cstheme="majorEastAsia"/>
          <w:color w:val="auto"/>
          <w:sz w:val="21"/>
          <w:szCs w:val="21"/>
          <w:highlight w:val="none"/>
        </w:rPr>
        <w:t>账  号：</w:t>
      </w:r>
      <w:r>
        <w:rPr>
          <w:rFonts w:hint="eastAsia" w:asciiTheme="majorEastAsia" w:hAnsiTheme="majorEastAsia" w:eastAsiaTheme="majorEastAsia" w:cstheme="majorEastAsia"/>
          <w:color w:val="auto"/>
          <w:sz w:val="21"/>
          <w:szCs w:val="21"/>
          <w:highlight w:val="none"/>
          <w:lang w:val="en-US" w:eastAsia="zh-CN"/>
        </w:rPr>
        <w:t xml:space="preserve"> </w:t>
      </w:r>
      <w:bookmarkStart w:id="0" w:name="_GoBack"/>
      <w:bookmarkEnd w:id="0"/>
    </w:p>
    <w:p w14:paraId="70400F6A">
      <w:pPr>
        <w:adjustRightInd w:val="0"/>
        <w:snapToGrid w:val="0"/>
        <w:spacing w:line="360" w:lineRule="auto"/>
        <w:ind w:firstLine="57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甲方将档案寄存服务费支付到上述账户后即为支付成功。若乙方账户变更，乙方需将加盖其公章的书面通知送达给甲方。若因乙方变更账户未及通知导致的一切后果由乙方自行承担，与甲方无关。</w:t>
      </w:r>
    </w:p>
    <w:p w14:paraId="4BA65395">
      <w:pPr>
        <w:pStyle w:val="3"/>
        <w:spacing w:line="360" w:lineRule="auto"/>
        <w:ind w:firstLine="0" w:firstLineChars="0"/>
        <w:jc w:val="left"/>
        <w:rPr>
          <w:rFonts w:hint="eastAsia" w:asciiTheme="majorEastAsia" w:hAnsiTheme="majorEastAsia" w:eastAsiaTheme="majorEastAsia" w:cstheme="majorEastAsia"/>
          <w:b/>
          <w:color w:val="auto"/>
          <w:spacing w:val="30"/>
          <w:sz w:val="21"/>
          <w:szCs w:val="21"/>
          <w:highlight w:val="none"/>
        </w:rPr>
      </w:pPr>
      <w:r>
        <w:rPr>
          <w:rFonts w:hint="eastAsia" w:asciiTheme="majorEastAsia" w:hAnsiTheme="majorEastAsia" w:eastAsiaTheme="majorEastAsia" w:cstheme="majorEastAsia"/>
          <w:b/>
          <w:color w:val="auto"/>
          <w:spacing w:val="30"/>
          <w:sz w:val="21"/>
          <w:szCs w:val="21"/>
          <w:highlight w:val="none"/>
        </w:rPr>
        <w:t>五、本合同期限</w:t>
      </w:r>
    </w:p>
    <w:p w14:paraId="061EC4EF">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本合同期限为</w:t>
      </w:r>
      <w:r>
        <w:rPr>
          <w:rFonts w:hint="eastAsia" w:asciiTheme="majorEastAsia" w:hAnsiTheme="majorEastAsia" w:eastAsiaTheme="majorEastAsia" w:cstheme="majorEastAsia"/>
          <w:color w:val="auto"/>
          <w:sz w:val="21"/>
          <w:szCs w:val="21"/>
          <w:highlight w:val="none"/>
          <w:u w:val="single"/>
        </w:rPr>
        <w:t xml:space="preserve">  壹  </w:t>
      </w:r>
      <w:r>
        <w:rPr>
          <w:rFonts w:hint="eastAsia" w:asciiTheme="majorEastAsia" w:hAnsiTheme="majorEastAsia" w:eastAsiaTheme="majorEastAsia" w:cstheme="majorEastAsia"/>
          <w:color w:val="auto"/>
          <w:sz w:val="21"/>
          <w:szCs w:val="21"/>
          <w:highlight w:val="none"/>
        </w:rPr>
        <w:t>年，从</w:t>
      </w:r>
      <w:r>
        <w:rPr>
          <w:rFonts w:hint="eastAsia" w:asciiTheme="majorEastAsia" w:hAnsiTheme="majorEastAsia" w:eastAsiaTheme="majorEastAsia" w:cstheme="majorEastAsia"/>
          <w:color w:val="auto"/>
          <w:sz w:val="21"/>
          <w:szCs w:val="21"/>
          <w:highlight w:val="none"/>
          <w:u w:val="single"/>
        </w:rPr>
        <w:t xml:space="preserve"> 202</w:t>
      </w:r>
      <w:r>
        <w:rPr>
          <w:rFonts w:hint="eastAsia" w:asciiTheme="majorEastAsia" w:hAnsiTheme="majorEastAsia" w:eastAsiaTheme="majorEastAsia" w:cstheme="majorEastAsia"/>
          <w:color w:val="auto"/>
          <w:sz w:val="21"/>
          <w:szCs w:val="21"/>
          <w:highlight w:val="none"/>
          <w:u w:val="single"/>
          <w:lang w:val="en-US" w:eastAsia="zh-CN"/>
        </w:rPr>
        <w:t>6</w:t>
      </w:r>
      <w:r>
        <w:rPr>
          <w:rFonts w:hint="eastAsia" w:asciiTheme="majorEastAsia" w:hAnsiTheme="majorEastAsia" w:eastAsiaTheme="majorEastAsia" w:cstheme="majorEastAsia"/>
          <w:color w:val="auto"/>
          <w:sz w:val="21"/>
          <w:szCs w:val="21"/>
          <w:highlight w:val="none"/>
          <w:u w:val="single"/>
        </w:rPr>
        <w:t xml:space="preserve"> </w:t>
      </w:r>
      <w:r>
        <w:rPr>
          <w:rFonts w:hint="eastAsia" w:asciiTheme="majorEastAsia" w:hAnsiTheme="majorEastAsia" w:eastAsiaTheme="majorEastAsia" w:cstheme="majorEastAsia"/>
          <w:color w:val="auto"/>
          <w:sz w:val="21"/>
          <w:szCs w:val="21"/>
          <w:highlight w:val="none"/>
        </w:rPr>
        <w:t>年</w:t>
      </w:r>
      <w:r>
        <w:rPr>
          <w:rFonts w:hint="eastAsia" w:asciiTheme="majorEastAsia" w:hAnsiTheme="majorEastAsia" w:eastAsiaTheme="majorEastAsia" w:cstheme="majorEastAsia"/>
          <w:color w:val="auto"/>
          <w:sz w:val="21"/>
          <w:szCs w:val="21"/>
          <w:highlight w:val="none"/>
          <w:u w:val="single"/>
        </w:rPr>
        <w:t xml:space="preserve"> </w:t>
      </w:r>
      <w:r>
        <w:rPr>
          <w:rFonts w:hint="eastAsia" w:asciiTheme="majorEastAsia" w:hAnsiTheme="majorEastAsia" w:eastAsiaTheme="majorEastAsia" w:cstheme="majorEastAsia"/>
          <w:color w:val="auto"/>
          <w:sz w:val="21"/>
          <w:szCs w:val="21"/>
          <w:highlight w:val="none"/>
          <w:u w:val="single"/>
          <w:lang w:val="en-US" w:eastAsia="zh-CN"/>
        </w:rPr>
        <w:t xml:space="preserve">  </w:t>
      </w:r>
      <w:r>
        <w:rPr>
          <w:rFonts w:hint="eastAsia" w:asciiTheme="majorEastAsia" w:hAnsiTheme="majorEastAsia" w:eastAsiaTheme="majorEastAsia" w:cstheme="majorEastAsia"/>
          <w:color w:val="auto"/>
          <w:sz w:val="21"/>
          <w:szCs w:val="21"/>
          <w:highlight w:val="none"/>
        </w:rPr>
        <w:t>月</w:t>
      </w:r>
      <w:r>
        <w:rPr>
          <w:rFonts w:hint="eastAsia" w:asciiTheme="majorEastAsia" w:hAnsiTheme="majorEastAsia" w:eastAsiaTheme="majorEastAsia" w:cstheme="majorEastAsia"/>
          <w:color w:val="auto"/>
          <w:sz w:val="21"/>
          <w:szCs w:val="21"/>
          <w:highlight w:val="none"/>
          <w:u w:val="single"/>
        </w:rPr>
        <w:t xml:space="preserve"> </w:t>
      </w:r>
      <w:r>
        <w:rPr>
          <w:rFonts w:hint="eastAsia" w:asciiTheme="majorEastAsia" w:hAnsiTheme="majorEastAsia" w:eastAsiaTheme="majorEastAsia" w:cstheme="majorEastAsia"/>
          <w:color w:val="auto"/>
          <w:sz w:val="21"/>
          <w:szCs w:val="21"/>
          <w:highlight w:val="none"/>
          <w:u w:val="single"/>
          <w:lang w:val="en-US" w:eastAsia="zh-CN"/>
        </w:rPr>
        <w:t xml:space="preserve">  </w:t>
      </w:r>
      <w:r>
        <w:rPr>
          <w:rFonts w:hint="eastAsia" w:asciiTheme="majorEastAsia" w:hAnsiTheme="majorEastAsia" w:eastAsiaTheme="majorEastAsia" w:cstheme="majorEastAsia"/>
          <w:color w:val="auto"/>
          <w:sz w:val="21"/>
          <w:szCs w:val="21"/>
          <w:highlight w:val="none"/>
          <w:u w:val="single"/>
        </w:rPr>
        <w:t xml:space="preserve"> </w:t>
      </w:r>
      <w:r>
        <w:rPr>
          <w:rFonts w:hint="eastAsia" w:asciiTheme="majorEastAsia" w:hAnsiTheme="majorEastAsia" w:eastAsiaTheme="majorEastAsia" w:cstheme="majorEastAsia"/>
          <w:color w:val="auto"/>
          <w:sz w:val="21"/>
          <w:szCs w:val="21"/>
          <w:highlight w:val="none"/>
        </w:rPr>
        <w:t>日起至</w:t>
      </w:r>
      <w:r>
        <w:rPr>
          <w:rFonts w:hint="eastAsia" w:asciiTheme="majorEastAsia" w:hAnsiTheme="majorEastAsia" w:eastAsiaTheme="majorEastAsia" w:cstheme="majorEastAsia"/>
          <w:color w:val="auto"/>
          <w:sz w:val="21"/>
          <w:szCs w:val="21"/>
          <w:highlight w:val="none"/>
          <w:u w:val="single"/>
        </w:rPr>
        <w:t xml:space="preserve"> 202</w:t>
      </w:r>
      <w:r>
        <w:rPr>
          <w:rFonts w:hint="eastAsia" w:asciiTheme="majorEastAsia" w:hAnsiTheme="majorEastAsia" w:eastAsiaTheme="majorEastAsia" w:cstheme="majorEastAsia"/>
          <w:color w:val="auto"/>
          <w:sz w:val="21"/>
          <w:szCs w:val="21"/>
          <w:highlight w:val="none"/>
          <w:u w:val="single"/>
          <w:lang w:val="en-US" w:eastAsia="zh-CN"/>
        </w:rPr>
        <w:t>7</w:t>
      </w:r>
      <w:r>
        <w:rPr>
          <w:rFonts w:hint="eastAsia" w:asciiTheme="majorEastAsia" w:hAnsiTheme="majorEastAsia" w:eastAsiaTheme="majorEastAsia" w:cstheme="majorEastAsia"/>
          <w:color w:val="auto"/>
          <w:sz w:val="21"/>
          <w:szCs w:val="21"/>
          <w:highlight w:val="none"/>
          <w:u w:val="single"/>
        </w:rPr>
        <w:t xml:space="preserve"> </w:t>
      </w:r>
      <w:r>
        <w:rPr>
          <w:rFonts w:hint="eastAsia" w:asciiTheme="majorEastAsia" w:hAnsiTheme="majorEastAsia" w:eastAsiaTheme="majorEastAsia" w:cstheme="majorEastAsia"/>
          <w:color w:val="auto"/>
          <w:sz w:val="21"/>
          <w:szCs w:val="21"/>
          <w:highlight w:val="none"/>
        </w:rPr>
        <w:t>年</w:t>
      </w:r>
      <w:r>
        <w:rPr>
          <w:rFonts w:hint="eastAsia" w:asciiTheme="majorEastAsia" w:hAnsiTheme="majorEastAsia" w:eastAsiaTheme="majorEastAsia" w:cstheme="majorEastAsia"/>
          <w:color w:val="auto"/>
          <w:sz w:val="21"/>
          <w:szCs w:val="21"/>
          <w:highlight w:val="none"/>
          <w:u w:val="single"/>
        </w:rPr>
        <w:t xml:space="preserve"> </w:t>
      </w:r>
      <w:r>
        <w:rPr>
          <w:rFonts w:hint="eastAsia" w:asciiTheme="majorEastAsia" w:hAnsiTheme="majorEastAsia" w:eastAsiaTheme="majorEastAsia" w:cstheme="majorEastAsia"/>
          <w:color w:val="auto"/>
          <w:sz w:val="21"/>
          <w:szCs w:val="21"/>
          <w:highlight w:val="none"/>
          <w:u w:val="single"/>
          <w:lang w:val="en-US" w:eastAsia="zh-CN"/>
        </w:rPr>
        <w:t xml:space="preserve">  </w:t>
      </w:r>
      <w:r>
        <w:rPr>
          <w:rFonts w:hint="eastAsia" w:asciiTheme="majorEastAsia" w:hAnsiTheme="majorEastAsia" w:eastAsiaTheme="majorEastAsia" w:cstheme="majorEastAsia"/>
          <w:color w:val="auto"/>
          <w:sz w:val="21"/>
          <w:szCs w:val="21"/>
          <w:highlight w:val="none"/>
          <w:u w:val="single"/>
        </w:rPr>
        <w:t xml:space="preserve"> </w:t>
      </w:r>
      <w:r>
        <w:rPr>
          <w:rFonts w:hint="eastAsia" w:asciiTheme="majorEastAsia" w:hAnsiTheme="majorEastAsia" w:eastAsiaTheme="majorEastAsia" w:cstheme="majorEastAsia"/>
          <w:color w:val="auto"/>
          <w:sz w:val="21"/>
          <w:szCs w:val="21"/>
          <w:highlight w:val="none"/>
        </w:rPr>
        <w:t>月</w:t>
      </w:r>
      <w:r>
        <w:rPr>
          <w:rFonts w:hint="eastAsia" w:asciiTheme="majorEastAsia" w:hAnsiTheme="majorEastAsia" w:eastAsiaTheme="majorEastAsia" w:cstheme="majorEastAsia"/>
          <w:color w:val="auto"/>
          <w:sz w:val="21"/>
          <w:szCs w:val="21"/>
          <w:highlight w:val="none"/>
          <w:u w:val="single"/>
        </w:rPr>
        <w:t xml:space="preserve"> </w:t>
      </w:r>
      <w:r>
        <w:rPr>
          <w:rFonts w:hint="eastAsia" w:asciiTheme="majorEastAsia" w:hAnsiTheme="majorEastAsia" w:eastAsiaTheme="majorEastAsia" w:cstheme="majorEastAsia"/>
          <w:color w:val="auto"/>
          <w:sz w:val="21"/>
          <w:szCs w:val="21"/>
          <w:highlight w:val="none"/>
          <w:u w:val="single"/>
          <w:lang w:val="en-US" w:eastAsia="zh-CN"/>
        </w:rPr>
        <w:t xml:space="preserve">  </w:t>
      </w:r>
      <w:r>
        <w:rPr>
          <w:rFonts w:hint="eastAsia" w:asciiTheme="majorEastAsia" w:hAnsiTheme="majorEastAsia" w:eastAsiaTheme="majorEastAsia" w:cstheme="majorEastAsia"/>
          <w:color w:val="auto"/>
          <w:sz w:val="21"/>
          <w:szCs w:val="21"/>
          <w:highlight w:val="none"/>
          <w:u w:val="single"/>
        </w:rPr>
        <w:t xml:space="preserve"> </w:t>
      </w:r>
      <w:r>
        <w:rPr>
          <w:rFonts w:hint="eastAsia" w:asciiTheme="majorEastAsia" w:hAnsiTheme="majorEastAsia" w:eastAsiaTheme="majorEastAsia" w:cstheme="majorEastAsia"/>
          <w:color w:val="auto"/>
          <w:sz w:val="21"/>
          <w:szCs w:val="21"/>
          <w:highlight w:val="none"/>
        </w:rPr>
        <w:t>日止。</w:t>
      </w:r>
    </w:p>
    <w:p w14:paraId="501F4EE8">
      <w:pPr>
        <w:adjustRightInd w:val="0"/>
        <w:snapToGrid w:val="0"/>
        <w:spacing w:line="360" w:lineRule="auto"/>
        <w:jc w:val="left"/>
        <w:rPr>
          <w:rFonts w:hint="eastAsia" w:asciiTheme="majorEastAsia" w:hAnsiTheme="majorEastAsia" w:eastAsiaTheme="majorEastAsia" w:cstheme="majorEastAsia"/>
          <w:b/>
          <w:color w:val="auto"/>
          <w:spacing w:val="30"/>
          <w:sz w:val="21"/>
          <w:szCs w:val="21"/>
          <w:highlight w:val="none"/>
        </w:rPr>
      </w:pPr>
      <w:r>
        <w:rPr>
          <w:rFonts w:hint="eastAsia" w:asciiTheme="majorEastAsia" w:hAnsiTheme="majorEastAsia" w:eastAsiaTheme="majorEastAsia" w:cstheme="majorEastAsia"/>
          <w:b/>
          <w:color w:val="auto"/>
          <w:spacing w:val="30"/>
          <w:sz w:val="21"/>
          <w:szCs w:val="21"/>
          <w:highlight w:val="none"/>
        </w:rPr>
        <w:t>六、档案寄存风险防范</w:t>
      </w:r>
    </w:p>
    <w:p w14:paraId="63271CA8">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1、档案寄存单位如需调阅档案时，必须持有单位公函（介绍信）、本人工作证件或身份证件、调阅申请单并经档案所有者单位领导同意（可双方约定）后，由乙方陪同查阅与调阅申请单相符的调阅内容，不得任意翻阅其他档案资料。</w:t>
      </w:r>
    </w:p>
    <w:p w14:paraId="08AA3EE7">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2、甲方档案移交给乙方后，乙方应按照档案管理规定，做好档案管理工作。甲方对寄存的档案具有知情权和监督权。如遇重大事件和特殊情况危害档案情况，乙方可采取紧急措施，先保护档案资料的安全及完整，再实行报告。</w:t>
      </w:r>
    </w:p>
    <w:p w14:paraId="32CD747B">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3、甲方可随时提出解除本合同。甲方解除合同的书面通知发出后15天以内，乙方应向甲方或甲方指定机构移交寄存的档案。双方根据本合同约定的计费标准及寄存期间结算费用。</w:t>
      </w:r>
    </w:p>
    <w:p w14:paraId="02E9F6FC">
      <w:pPr>
        <w:adjustRightInd w:val="0"/>
        <w:snapToGrid w:val="0"/>
        <w:spacing w:line="360" w:lineRule="auto"/>
        <w:jc w:val="left"/>
        <w:rPr>
          <w:rFonts w:hint="eastAsia" w:asciiTheme="majorEastAsia" w:hAnsiTheme="majorEastAsia" w:eastAsiaTheme="majorEastAsia" w:cstheme="majorEastAsia"/>
          <w:b/>
          <w:color w:val="auto"/>
          <w:spacing w:val="30"/>
          <w:sz w:val="21"/>
          <w:szCs w:val="21"/>
          <w:highlight w:val="none"/>
        </w:rPr>
      </w:pPr>
      <w:r>
        <w:rPr>
          <w:rFonts w:hint="eastAsia" w:asciiTheme="majorEastAsia" w:hAnsiTheme="majorEastAsia" w:eastAsiaTheme="majorEastAsia" w:cstheme="majorEastAsia"/>
          <w:b/>
          <w:color w:val="auto"/>
          <w:spacing w:val="30"/>
          <w:sz w:val="21"/>
          <w:szCs w:val="21"/>
          <w:highlight w:val="none"/>
        </w:rPr>
        <w:t>七、甲方的权利义务</w:t>
      </w:r>
    </w:p>
    <w:p w14:paraId="17480412">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1、 甲方寄存档案应具有保存价值，移交清册信息真实有效，档案符合乙方入库寄存标准。</w:t>
      </w:r>
    </w:p>
    <w:p w14:paraId="33D518A0">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2、甲方应根据乙方收费标准、收费方式向乙方支付服务费用。</w:t>
      </w:r>
    </w:p>
    <w:p w14:paraId="1C7AD572">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3、甲方指定专人负责执行本合同，支持和配合乙方工作，并为乙方完成本合同规定服务提供必要的条件。</w:t>
      </w:r>
    </w:p>
    <w:p w14:paraId="1AE63D27">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4、甲方的委托行为及其他相关档案管理行为，须遵守国家法律法规规定。由于甲方违法违规操作造成的损失，责任由甲方承担。</w:t>
      </w:r>
    </w:p>
    <w:p w14:paraId="25C7EE74">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5、甲方须尊重并保护乙方的商业秘密和知识产权。</w:t>
      </w:r>
    </w:p>
    <w:p w14:paraId="3C7E8720">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6、甲方对所寄存的档案拥有调取、查询、使用的权利。</w:t>
      </w:r>
    </w:p>
    <w:p w14:paraId="563D7B0A">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7、甲方查阅寄存的档案应出示有效证明（单位介绍信及身份证或工作证）。甲方查阅其所寄存档案不再收取档案查阅费。</w:t>
      </w:r>
    </w:p>
    <w:p w14:paraId="4F7DEFF1">
      <w:pPr>
        <w:pStyle w:val="3"/>
        <w:spacing w:line="360" w:lineRule="auto"/>
        <w:ind w:firstLine="600"/>
        <w:jc w:val="left"/>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rPr>
        <w:t>8、甲方对寄存的档案拥有所有权。寄存期满，如不继续寄存须在期满后60天内取走所寄存的档案。</w:t>
      </w:r>
      <w:r>
        <w:rPr>
          <w:rFonts w:hint="eastAsia" w:asciiTheme="majorEastAsia" w:hAnsiTheme="majorEastAsia" w:eastAsiaTheme="majorEastAsia" w:cstheme="majorEastAsia"/>
          <w:color w:val="auto"/>
          <w:sz w:val="21"/>
          <w:szCs w:val="21"/>
          <w:highlight w:val="none"/>
          <w:lang w:val="en-US" w:eastAsia="zh-CN"/>
        </w:rPr>
        <w:t>甲方</w:t>
      </w:r>
      <w:r>
        <w:rPr>
          <w:rFonts w:hint="eastAsia" w:asciiTheme="majorEastAsia" w:hAnsiTheme="majorEastAsia" w:eastAsiaTheme="majorEastAsia" w:cstheme="majorEastAsia"/>
          <w:color w:val="auto"/>
          <w:sz w:val="21"/>
          <w:szCs w:val="21"/>
          <w:highlight w:val="none"/>
        </w:rPr>
        <w:t>逾期不取的，除按本协议继续支付</w:t>
      </w:r>
      <w:r>
        <w:rPr>
          <w:rFonts w:hint="eastAsia" w:asciiTheme="majorEastAsia" w:hAnsiTheme="majorEastAsia" w:eastAsiaTheme="majorEastAsia" w:cstheme="majorEastAsia"/>
          <w:color w:val="auto"/>
          <w:sz w:val="21"/>
          <w:szCs w:val="21"/>
          <w:highlight w:val="none"/>
          <w:lang w:val="en-US" w:eastAsia="zh-CN"/>
        </w:rPr>
        <w:t>服务费</w:t>
      </w:r>
      <w:r>
        <w:rPr>
          <w:rFonts w:hint="eastAsia" w:asciiTheme="majorEastAsia" w:hAnsiTheme="majorEastAsia" w:eastAsiaTheme="majorEastAsia" w:cstheme="majorEastAsia"/>
          <w:color w:val="auto"/>
          <w:sz w:val="21"/>
          <w:szCs w:val="21"/>
          <w:highlight w:val="none"/>
        </w:rPr>
        <w:t>外，每逾期一日，</w:t>
      </w:r>
      <w:r>
        <w:rPr>
          <w:rFonts w:hint="eastAsia" w:asciiTheme="majorEastAsia" w:hAnsiTheme="majorEastAsia" w:eastAsiaTheme="majorEastAsia" w:cstheme="majorEastAsia"/>
          <w:color w:val="auto"/>
          <w:sz w:val="21"/>
          <w:szCs w:val="21"/>
          <w:highlight w:val="none"/>
          <w:lang w:val="en-US" w:eastAsia="zh-CN"/>
        </w:rPr>
        <w:t>还</w:t>
      </w:r>
      <w:r>
        <w:rPr>
          <w:rFonts w:hint="eastAsia" w:asciiTheme="majorEastAsia" w:hAnsiTheme="majorEastAsia" w:eastAsiaTheme="majorEastAsia" w:cstheme="majorEastAsia"/>
          <w:color w:val="auto"/>
          <w:sz w:val="21"/>
          <w:szCs w:val="21"/>
          <w:highlight w:val="none"/>
        </w:rPr>
        <w:t>应按照本协议</w:t>
      </w:r>
      <w:r>
        <w:rPr>
          <w:rFonts w:hint="eastAsia" w:asciiTheme="majorEastAsia" w:hAnsiTheme="majorEastAsia" w:eastAsiaTheme="majorEastAsia" w:cstheme="majorEastAsia"/>
          <w:color w:val="auto"/>
          <w:sz w:val="21"/>
          <w:szCs w:val="21"/>
          <w:highlight w:val="none"/>
          <w:lang w:val="en-US" w:eastAsia="zh-CN"/>
        </w:rPr>
        <w:t>总金额的万分之五乘以逾期天数</w:t>
      </w:r>
      <w:r>
        <w:rPr>
          <w:rFonts w:hint="eastAsia" w:asciiTheme="majorEastAsia" w:hAnsiTheme="majorEastAsia" w:eastAsiaTheme="majorEastAsia" w:cstheme="majorEastAsia"/>
          <w:color w:val="auto"/>
          <w:sz w:val="21"/>
          <w:szCs w:val="21"/>
          <w:highlight w:val="none"/>
        </w:rPr>
        <w:t>向</w:t>
      </w:r>
      <w:r>
        <w:rPr>
          <w:rFonts w:hint="eastAsia" w:asciiTheme="majorEastAsia" w:hAnsiTheme="majorEastAsia" w:eastAsiaTheme="majorEastAsia" w:cstheme="majorEastAsia"/>
          <w:color w:val="auto"/>
          <w:sz w:val="21"/>
          <w:szCs w:val="21"/>
          <w:highlight w:val="none"/>
          <w:lang w:val="en-US" w:eastAsia="zh-CN"/>
        </w:rPr>
        <w:t>乙方</w:t>
      </w:r>
      <w:r>
        <w:rPr>
          <w:rFonts w:hint="eastAsia" w:asciiTheme="majorEastAsia" w:hAnsiTheme="majorEastAsia" w:eastAsiaTheme="majorEastAsia" w:cstheme="majorEastAsia"/>
          <w:color w:val="auto"/>
          <w:sz w:val="21"/>
          <w:szCs w:val="21"/>
          <w:highlight w:val="none"/>
        </w:rPr>
        <w:t>支付违约金</w:t>
      </w:r>
      <w:r>
        <w:rPr>
          <w:rFonts w:hint="eastAsia" w:asciiTheme="majorEastAsia" w:hAnsiTheme="majorEastAsia" w:eastAsiaTheme="majorEastAsia" w:cstheme="majorEastAsia"/>
          <w:color w:val="auto"/>
          <w:sz w:val="21"/>
          <w:szCs w:val="21"/>
          <w:highlight w:val="none"/>
          <w:lang w:eastAsia="zh-CN"/>
        </w:rPr>
        <w:t>。</w:t>
      </w:r>
    </w:p>
    <w:p w14:paraId="56AE3AF2">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9、寄存期满甲方如需延长寄存期，应在寄存期满前60天内与乙方重新签订合同。</w:t>
      </w:r>
    </w:p>
    <w:p w14:paraId="7DA82156">
      <w:pPr>
        <w:adjustRightInd w:val="0"/>
        <w:snapToGrid w:val="0"/>
        <w:spacing w:line="360" w:lineRule="auto"/>
        <w:jc w:val="left"/>
        <w:rPr>
          <w:rFonts w:hint="eastAsia" w:asciiTheme="majorEastAsia" w:hAnsiTheme="majorEastAsia" w:eastAsiaTheme="majorEastAsia" w:cstheme="majorEastAsia"/>
          <w:b/>
          <w:color w:val="auto"/>
          <w:spacing w:val="30"/>
          <w:sz w:val="21"/>
          <w:szCs w:val="21"/>
          <w:highlight w:val="none"/>
        </w:rPr>
      </w:pPr>
      <w:r>
        <w:rPr>
          <w:rFonts w:hint="eastAsia" w:asciiTheme="majorEastAsia" w:hAnsiTheme="majorEastAsia" w:eastAsiaTheme="majorEastAsia" w:cstheme="majorEastAsia"/>
          <w:b/>
          <w:color w:val="auto"/>
          <w:spacing w:val="30"/>
          <w:sz w:val="21"/>
          <w:szCs w:val="21"/>
          <w:highlight w:val="none"/>
        </w:rPr>
        <w:t>八、乙方的权利义务</w:t>
      </w:r>
    </w:p>
    <w:p w14:paraId="552CDBC7">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1、乙方已获取并持有提供本合同规定服务所必须具备的营业执照及相关资质。</w:t>
      </w:r>
    </w:p>
    <w:p w14:paraId="447593E9">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2、乙方负责向甲方提供寄存档案存放的场地、技术设备、管理人员，并严格按照乙方档案仓储部有关制度规定工作。</w:t>
      </w:r>
    </w:p>
    <w:p w14:paraId="46C5AC66">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3、乙方负责寄存档案的实体安全和信息安全，保护甲方商业秘密和知识产权。</w:t>
      </w:r>
    </w:p>
    <w:p w14:paraId="7B807F13">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4、乙方严格按照国家法律法规及甲方约定的档案保管条件、业务操作程序、服务质量标准，开展档案服务。</w:t>
      </w:r>
    </w:p>
    <w:p w14:paraId="4713A6BE">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5、乙方接受并配合档案行政管理部门、保密行政管理部门、甲方上级主管部门及甲方的业务指导、监督和检查。</w:t>
      </w:r>
    </w:p>
    <w:p w14:paraId="6FAEC305">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6、乙方应将可能接触到甲方档案内容或数据的员工名单向甲方备案，未向甲方备案的员工不得接触到甲方档案内容和数据，原已备案员工离职也应及时书面告知甲方。</w:t>
      </w:r>
    </w:p>
    <w:p w14:paraId="29A9F426">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7、乙方负责寄存档案的管理、统计、查询、检索，及提供档案的利用工作。</w:t>
      </w:r>
    </w:p>
    <w:p w14:paraId="2DD5D37A">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8、乙方免费为甲方提供上门收取档案。</w:t>
      </w:r>
    </w:p>
    <w:p w14:paraId="434F8E10">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9、未经甲方书面授权，乙方不得将本合同服务内容转包给第三方公司。如发现乙方擅自转包行为，甲方有权解除合同，并要求乙方承担违约责任。</w:t>
      </w:r>
    </w:p>
    <w:p w14:paraId="27813F05">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10、乙方拥有甲方档案的管理权，有权查验利用者的身份证明；负有对甲方档案资料的保密义务，未经甲方的书面同意，不得擅自利用、查阅所寄存的任何档案，亦不得泄漏甲方寄存档案的任何书面，电子信息、资料等，否则乙方应向甲方承担相应的赔偿责任。</w:t>
      </w:r>
    </w:p>
    <w:p w14:paraId="19ADEC0C">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11、寄存期内甲方因特殊情况须提前退回寄存档案的，乙方不退还寄存费。</w:t>
      </w:r>
    </w:p>
    <w:p w14:paraId="2CFE1B3A">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12、因不可抗力，包括自然灾害（如地震、雷电、洪水）或不可抗拒因素（如战争、国家政策）等原因，造成寄存档案受损的突发事件，乙方按相关应急方案采取相应措施，避免甲方损失扩大的，乙方不承担赔偿责任；但在不可抗力发生之前或之后，乙方违约或未尽合理措施避免损失扩大的，对甲方该部分或全部损失承担赔偿责任。</w:t>
      </w:r>
    </w:p>
    <w:p w14:paraId="726E345F">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lang w:val="en-US" w:eastAsia="zh-CN"/>
        </w:rPr>
        <w:t>13、</w:t>
      </w:r>
      <w:r>
        <w:rPr>
          <w:rFonts w:hint="eastAsia" w:asciiTheme="majorEastAsia" w:hAnsiTheme="majorEastAsia" w:eastAsiaTheme="majorEastAsia" w:cstheme="majorEastAsia"/>
          <w:color w:val="auto"/>
          <w:sz w:val="21"/>
          <w:szCs w:val="21"/>
          <w:highlight w:val="none"/>
        </w:rPr>
        <w:t>乙方可提出解除合同，但应提前15天向甲方发出通知，在甲方做好接收准备后，向甲方移交寄存档案，双方据本合同的标准及实际期间结算费用。</w:t>
      </w:r>
    </w:p>
    <w:p w14:paraId="55F8B353">
      <w:pPr>
        <w:pStyle w:val="3"/>
        <w:spacing w:line="360" w:lineRule="auto"/>
        <w:ind w:firstLine="0" w:firstLineChars="0"/>
        <w:jc w:val="left"/>
        <w:rPr>
          <w:rFonts w:hint="eastAsia" w:asciiTheme="majorEastAsia" w:hAnsiTheme="majorEastAsia" w:eastAsiaTheme="majorEastAsia" w:cstheme="majorEastAsia"/>
          <w:b/>
          <w:color w:val="auto"/>
          <w:spacing w:val="30"/>
          <w:sz w:val="21"/>
          <w:szCs w:val="21"/>
          <w:highlight w:val="none"/>
        </w:rPr>
      </w:pPr>
      <w:r>
        <w:rPr>
          <w:rFonts w:hint="eastAsia" w:asciiTheme="majorEastAsia" w:hAnsiTheme="majorEastAsia" w:eastAsiaTheme="majorEastAsia" w:cstheme="majorEastAsia"/>
          <w:b/>
          <w:color w:val="auto"/>
          <w:spacing w:val="30"/>
          <w:sz w:val="21"/>
          <w:szCs w:val="21"/>
          <w:highlight w:val="none"/>
        </w:rPr>
        <w:t>九、保密要求</w:t>
      </w:r>
    </w:p>
    <w:p w14:paraId="5F8C94F1">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1、乙方应取得完成本合同服务所必需的相关保密资质。</w:t>
      </w:r>
    </w:p>
    <w:p w14:paraId="39551976">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2、乙方须与员工签订保密协议或要求员工签订保密承诺，确保员工保守国家秘密、甲方商业秘密或相关个人隐私。</w:t>
      </w:r>
    </w:p>
    <w:p w14:paraId="1DEE175C">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3、对于甲方因本合同提供乙方持有或处理的档案（及其他涉密或敏感信息），乙方须采取必要的安全措施，确保其不被损伤、销毁、丢弃、窃取、删除、更改、摘抄、公布、出版，不被未经甲方同意或授权的组织或个人接触、复制、使用。</w:t>
      </w:r>
    </w:p>
    <w:p w14:paraId="4A09AE3B">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4、乙方保证在收集、寄存和调阅甲方档案（及其他涉密或敏感信息）时，只用于完成本合同规定的服务。</w:t>
      </w:r>
    </w:p>
    <w:p w14:paraId="1B0D944E">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5、乙方未经甲方事先书面许可不得向任何第三方技露甲方档案（及其他涉密信息或敏感信息）；若被国家司法机关、国家行政管理机关依法要求披露该档案（及其他涉密或敏感信息），须立即通知甲方。</w:t>
      </w:r>
    </w:p>
    <w:p w14:paraId="47C885B2">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6、乙方不得擅自存留甲方的任何档案（及其他涉密或敏感信息）或其任何形式的复制件。</w:t>
      </w:r>
    </w:p>
    <w:p w14:paraId="22C674EC">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7、甲方有义务保守乙方的商业秘密，包括但不限于服务内容、服务价格标准、操作流程、技术方法、软件系统、仪器设备等。</w:t>
      </w:r>
    </w:p>
    <w:p w14:paraId="6846F9A2">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8、在得知双方员工违反保密规定或协议，导致对方秘密被泄露时，甲方或乙方应立即采取补救措施，丼及时通知对方</w:t>
      </w:r>
      <w:r>
        <w:rPr>
          <w:rFonts w:hint="eastAsia" w:asciiTheme="majorEastAsia" w:hAnsiTheme="majorEastAsia" w:eastAsiaTheme="majorEastAsia" w:cstheme="majorEastAsia"/>
          <w:color w:val="auto"/>
          <w:sz w:val="21"/>
          <w:szCs w:val="21"/>
          <w:highlight w:val="none"/>
          <w:lang w:eastAsia="zh-CN"/>
        </w:rPr>
        <w:t>。</w:t>
      </w:r>
    </w:p>
    <w:p w14:paraId="2A46DF49">
      <w:pPr>
        <w:pStyle w:val="3"/>
        <w:spacing w:line="360" w:lineRule="auto"/>
        <w:ind w:firstLine="6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9、甲方和乙方均应主动接受、积极配合保密行政管理部门、档案行政管理部门及其他有关部门的保密监督检查和泚露事件调查取证。</w:t>
      </w:r>
    </w:p>
    <w:p w14:paraId="2A23856C">
      <w:pPr>
        <w:pStyle w:val="3"/>
        <w:spacing w:line="360" w:lineRule="auto"/>
        <w:ind w:firstLine="0" w:firstLineChars="0"/>
        <w:jc w:val="left"/>
        <w:rPr>
          <w:rFonts w:hint="eastAsia" w:asciiTheme="majorEastAsia" w:hAnsiTheme="majorEastAsia" w:eastAsiaTheme="majorEastAsia" w:cstheme="majorEastAsia"/>
          <w:b/>
          <w:color w:val="auto"/>
          <w:spacing w:val="30"/>
          <w:sz w:val="21"/>
          <w:szCs w:val="21"/>
          <w:highlight w:val="none"/>
        </w:rPr>
      </w:pPr>
      <w:r>
        <w:rPr>
          <w:rFonts w:hint="eastAsia" w:asciiTheme="majorEastAsia" w:hAnsiTheme="majorEastAsia" w:eastAsiaTheme="majorEastAsia" w:cstheme="majorEastAsia"/>
          <w:b/>
          <w:color w:val="auto"/>
          <w:spacing w:val="30"/>
          <w:sz w:val="21"/>
          <w:szCs w:val="21"/>
          <w:highlight w:val="none"/>
        </w:rPr>
        <w:t>十、违约责任</w:t>
      </w:r>
    </w:p>
    <w:p w14:paraId="43EE3852">
      <w:pPr>
        <w:adjustRightInd w:val="0"/>
        <w:snapToGrid w:val="0"/>
        <w:spacing w:line="360" w:lineRule="auto"/>
        <w:ind w:firstLine="420" w:firstLineChars="2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1、乙方未按照合同规定提供服务或服务质量未达要求而导致甲方蒙受经济损失的，乙方应向甲方赔偿直接经济损失。</w:t>
      </w:r>
    </w:p>
    <w:p w14:paraId="3D60F06A">
      <w:pPr>
        <w:adjustRightInd w:val="0"/>
        <w:snapToGrid w:val="0"/>
        <w:spacing w:line="360" w:lineRule="auto"/>
        <w:ind w:firstLine="420" w:firstLineChars="2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2、因乙方原因造成甲方档案被损毁、丢失、泄密或甲方知识产权被侵害的，乙方应向甲方赔偿由此导致的直接经济损失和相应间接经济损失。间接经济损失难以估量的，经双方友好协商确定，或提交法院判决。</w:t>
      </w:r>
    </w:p>
    <w:p w14:paraId="255CE62F">
      <w:pPr>
        <w:adjustRightInd w:val="0"/>
        <w:snapToGrid w:val="0"/>
        <w:spacing w:line="360" w:lineRule="auto"/>
        <w:ind w:firstLine="420" w:firstLineChars="2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lang w:val="en-US" w:eastAsia="zh-CN"/>
        </w:rPr>
        <w:t>3</w:t>
      </w:r>
      <w:r>
        <w:rPr>
          <w:rFonts w:hint="eastAsia" w:asciiTheme="majorEastAsia" w:hAnsiTheme="majorEastAsia" w:eastAsiaTheme="majorEastAsia" w:cstheme="majorEastAsia"/>
          <w:color w:val="auto"/>
          <w:sz w:val="21"/>
          <w:szCs w:val="21"/>
          <w:highlight w:val="none"/>
        </w:rPr>
        <w:t>、由甲方原因造成甲方档案丢失、损毁或泄密的，由甲方承担相应责任，乙方配合甲方开展调查取证。</w:t>
      </w:r>
    </w:p>
    <w:p w14:paraId="4435FF53">
      <w:pPr>
        <w:adjustRightInd w:val="0"/>
        <w:snapToGrid w:val="0"/>
        <w:spacing w:line="360" w:lineRule="auto"/>
        <w:ind w:firstLine="420" w:firstLineChars="2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lang w:val="en-US" w:eastAsia="zh-CN"/>
        </w:rPr>
        <w:t>4</w:t>
      </w:r>
      <w:r>
        <w:rPr>
          <w:rFonts w:hint="eastAsia" w:asciiTheme="majorEastAsia" w:hAnsiTheme="majorEastAsia" w:eastAsiaTheme="majorEastAsia" w:cstheme="majorEastAsia"/>
          <w:color w:val="auto"/>
          <w:sz w:val="21"/>
          <w:szCs w:val="21"/>
          <w:highlight w:val="none"/>
        </w:rPr>
        <w:t>、因乙方原因造成甲方档案被损毁、丢失或泄密的重大事件，或使甲方档案面临严重威胁时，甲方有权解除合同，并要求乙方承担违约责任。</w:t>
      </w:r>
    </w:p>
    <w:p w14:paraId="0848161B">
      <w:pPr>
        <w:adjustRightInd w:val="0"/>
        <w:snapToGrid w:val="0"/>
        <w:spacing w:line="360" w:lineRule="auto"/>
        <w:ind w:firstLine="420" w:firstLineChars="200"/>
        <w:jc w:val="left"/>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5、甲方应当严格按照本合同约定的时间和金额向乙方付款，甲方逾期付款的，每逾期一日，按照应付未付金额的万分之五向乙方支付违约金。甲方逾期三十日未支付的，乙方有权解除本合同。</w:t>
      </w:r>
    </w:p>
    <w:p w14:paraId="65948951">
      <w:pPr>
        <w:adjustRightInd w:val="0"/>
        <w:snapToGrid w:val="0"/>
        <w:spacing w:line="360" w:lineRule="auto"/>
        <w:jc w:val="left"/>
        <w:rPr>
          <w:rFonts w:hint="eastAsia" w:asciiTheme="majorEastAsia" w:hAnsiTheme="majorEastAsia" w:eastAsiaTheme="majorEastAsia" w:cstheme="majorEastAsia"/>
          <w:b/>
          <w:color w:val="auto"/>
          <w:spacing w:val="30"/>
          <w:sz w:val="21"/>
          <w:szCs w:val="21"/>
          <w:highlight w:val="none"/>
        </w:rPr>
      </w:pPr>
      <w:r>
        <w:rPr>
          <w:rFonts w:hint="eastAsia" w:asciiTheme="majorEastAsia" w:hAnsiTheme="majorEastAsia" w:eastAsiaTheme="majorEastAsia" w:cstheme="majorEastAsia"/>
          <w:b/>
          <w:color w:val="auto"/>
          <w:spacing w:val="30"/>
          <w:sz w:val="21"/>
          <w:szCs w:val="21"/>
          <w:highlight w:val="none"/>
        </w:rPr>
        <w:t>十一、争议解决</w:t>
      </w:r>
    </w:p>
    <w:p w14:paraId="6AB0FE0A">
      <w:pPr>
        <w:adjustRightInd w:val="0"/>
        <w:snapToGrid w:val="0"/>
        <w:spacing w:line="360" w:lineRule="auto"/>
        <w:ind w:firstLine="420" w:firstLineChars="2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1、在求助于外部争议解决机制前，合同双方应试图通过友好协商解决与本合同相关的争议。</w:t>
      </w:r>
    </w:p>
    <w:p w14:paraId="593E97FD">
      <w:pPr>
        <w:adjustRightInd w:val="0"/>
        <w:snapToGrid w:val="0"/>
        <w:spacing w:line="360" w:lineRule="auto"/>
        <w:ind w:firstLine="420" w:firstLineChars="2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2、协商不成，任何一方可向有管辖权的人民法院提起诉讼。</w:t>
      </w:r>
    </w:p>
    <w:p w14:paraId="4804B55E">
      <w:pPr>
        <w:adjustRightInd w:val="0"/>
        <w:snapToGrid w:val="0"/>
        <w:spacing w:line="360" w:lineRule="auto"/>
        <w:ind w:firstLine="420" w:firstLineChars="2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3、即使存在争议，双方应继续最大程度地履行各自在本合同下的义务。</w:t>
      </w:r>
    </w:p>
    <w:p w14:paraId="5D683C19">
      <w:pPr>
        <w:adjustRightInd w:val="0"/>
        <w:snapToGrid w:val="0"/>
        <w:spacing w:line="360" w:lineRule="auto"/>
        <w:jc w:val="left"/>
        <w:rPr>
          <w:rFonts w:hint="eastAsia" w:asciiTheme="majorEastAsia" w:hAnsiTheme="majorEastAsia" w:eastAsiaTheme="majorEastAsia" w:cstheme="majorEastAsia"/>
          <w:b/>
          <w:color w:val="auto"/>
          <w:spacing w:val="30"/>
          <w:sz w:val="21"/>
          <w:szCs w:val="21"/>
          <w:highlight w:val="none"/>
        </w:rPr>
      </w:pPr>
      <w:r>
        <w:rPr>
          <w:rFonts w:hint="eastAsia" w:asciiTheme="majorEastAsia" w:hAnsiTheme="majorEastAsia" w:eastAsiaTheme="majorEastAsia" w:cstheme="majorEastAsia"/>
          <w:b/>
          <w:color w:val="auto"/>
          <w:spacing w:val="30"/>
          <w:sz w:val="21"/>
          <w:szCs w:val="21"/>
          <w:highlight w:val="none"/>
        </w:rPr>
        <w:t>十二、其他</w:t>
      </w:r>
    </w:p>
    <w:p w14:paraId="631217E0">
      <w:pPr>
        <w:adjustRightInd w:val="0"/>
        <w:snapToGrid w:val="0"/>
        <w:spacing w:line="360" w:lineRule="auto"/>
        <w:ind w:firstLine="420" w:firstLineChars="2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1、本合同受中华人民共和国法律约束，并依据中华人民共和国法律进行解释。本合同未尽事宜，依照有关法律法规执行；法律法规未作规定的，甲乙双方可以达成书面补充协议。</w:t>
      </w:r>
    </w:p>
    <w:p w14:paraId="1540310E">
      <w:pPr>
        <w:adjustRightInd w:val="0"/>
        <w:snapToGrid w:val="0"/>
        <w:spacing w:line="360" w:lineRule="auto"/>
        <w:ind w:firstLine="420" w:firstLineChars="2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2、本合同的附录和补充协议均为本合同不可分割的组成部分，与本合同具有同等的法律效力。</w:t>
      </w:r>
    </w:p>
    <w:p w14:paraId="7BAC35C8">
      <w:pPr>
        <w:spacing w:line="360" w:lineRule="auto"/>
        <w:ind w:firstLine="336" w:firstLineChars="160"/>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3、本合同经双方法定代表人或委托代理人签字并加盖公章后生效。</w:t>
      </w:r>
    </w:p>
    <w:p w14:paraId="101B3546">
      <w:pPr>
        <w:adjustRightInd w:val="0"/>
        <w:snapToGrid w:val="0"/>
        <w:spacing w:line="360" w:lineRule="auto"/>
        <w:ind w:firstLine="420" w:firstLineChars="200"/>
        <w:jc w:val="left"/>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4、本合同一式陆份，双方各执叁份，对双方均具有同等法律效力。</w:t>
      </w:r>
    </w:p>
    <w:p w14:paraId="3A4A11CE">
      <w:pPr>
        <w:adjustRightInd w:val="0"/>
        <w:snapToGrid w:val="0"/>
        <w:spacing w:line="360" w:lineRule="auto"/>
        <w:ind w:firstLine="420" w:firstLineChars="200"/>
        <w:jc w:val="left"/>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以下无正文</w:t>
      </w:r>
    </w:p>
    <w:p w14:paraId="6F755A8F">
      <w:pPr>
        <w:spacing w:line="360" w:lineRule="auto"/>
        <w:rPr>
          <w:rFonts w:hint="eastAsia" w:asciiTheme="majorEastAsia" w:hAnsiTheme="majorEastAsia" w:eastAsiaTheme="majorEastAsia" w:cstheme="majorEastAsia"/>
          <w:color w:val="auto"/>
          <w:sz w:val="21"/>
          <w:szCs w:val="21"/>
          <w:highlight w:val="none"/>
        </w:rPr>
      </w:pPr>
    </w:p>
    <w:p w14:paraId="4D055511">
      <w:pPr>
        <w:spacing w:line="360" w:lineRule="auto"/>
        <w:rPr>
          <w:rFonts w:hint="eastAsia" w:asciiTheme="majorEastAsia" w:hAnsiTheme="majorEastAsia" w:eastAsiaTheme="majorEastAsia" w:cstheme="majorEastAsia"/>
          <w:color w:val="auto"/>
          <w:sz w:val="21"/>
          <w:szCs w:val="21"/>
          <w:highlight w:val="none"/>
        </w:rPr>
      </w:pPr>
    </w:p>
    <w:p w14:paraId="3FD84448">
      <w:pPr>
        <w:spacing w:line="360" w:lineRule="auto"/>
        <w:rPr>
          <w:rFonts w:hint="eastAsia" w:asciiTheme="majorEastAsia" w:hAnsiTheme="majorEastAsia" w:eastAsiaTheme="majorEastAsia" w:cstheme="majorEastAsia"/>
          <w:color w:val="auto"/>
          <w:sz w:val="21"/>
          <w:szCs w:val="21"/>
          <w:highlight w:val="none"/>
        </w:rPr>
      </w:pPr>
    </w:p>
    <w:p w14:paraId="38F46FAB">
      <w:pPr>
        <w:spacing w:line="360" w:lineRule="auto"/>
        <w:rPr>
          <w:rFonts w:hint="eastAsia" w:asciiTheme="majorEastAsia" w:hAnsiTheme="majorEastAsia" w:eastAsiaTheme="majorEastAsia" w:cstheme="majorEastAsia"/>
          <w:color w:val="auto"/>
          <w:sz w:val="21"/>
          <w:szCs w:val="21"/>
          <w:highlight w:val="none"/>
        </w:rPr>
      </w:pPr>
    </w:p>
    <w:p w14:paraId="5CD5F1D7">
      <w:pPr>
        <w:spacing w:line="360" w:lineRule="auto"/>
        <w:rPr>
          <w:rFonts w:hint="eastAsia" w:asciiTheme="majorEastAsia" w:hAnsiTheme="majorEastAsia" w:eastAsiaTheme="majorEastAsia" w:cstheme="majorEastAsia"/>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签字页</w:t>
      </w:r>
    </w:p>
    <w:p w14:paraId="03ACC4CA">
      <w:pPr>
        <w:spacing w:line="360" w:lineRule="auto"/>
        <w:rPr>
          <w:rFonts w:hint="eastAsia" w:asciiTheme="majorEastAsia" w:hAnsiTheme="majorEastAsia" w:eastAsiaTheme="majorEastAsia" w:cstheme="majorEastAsia"/>
          <w:color w:val="auto"/>
          <w:sz w:val="21"/>
          <w:szCs w:val="21"/>
          <w:highlight w:val="none"/>
        </w:rPr>
      </w:pPr>
    </w:p>
    <w:p w14:paraId="6D6BE4C2">
      <w:pPr>
        <w:spacing w:line="360" w:lineRule="auto"/>
        <w:rPr>
          <w:rFonts w:hint="eastAsia" w:asciiTheme="majorEastAsia" w:hAnsiTheme="majorEastAsia" w:eastAsiaTheme="majorEastAsia" w:cstheme="majorEastAsia"/>
          <w:color w:val="auto"/>
          <w:spacing w:val="30"/>
          <w:sz w:val="21"/>
          <w:szCs w:val="21"/>
          <w:highlight w:val="none"/>
        </w:rPr>
      </w:pPr>
      <w:r>
        <w:rPr>
          <w:rFonts w:hint="eastAsia" w:asciiTheme="majorEastAsia" w:hAnsiTheme="majorEastAsia" w:eastAsiaTheme="majorEastAsia" w:cstheme="majorEastAsia"/>
          <w:color w:val="auto"/>
          <w:sz w:val="21"/>
          <w:szCs w:val="21"/>
          <w:highlight w:val="none"/>
        </w:rPr>
        <w:t>西安住房公积金管理中心</w:t>
      </w:r>
      <w:r>
        <w:rPr>
          <w:rFonts w:hint="eastAsia" w:asciiTheme="majorEastAsia" w:hAnsiTheme="majorEastAsia" w:eastAsiaTheme="majorEastAsia" w:cstheme="majorEastAsia"/>
          <w:color w:val="auto"/>
          <w:spacing w:val="30"/>
          <w:sz w:val="21"/>
          <w:szCs w:val="21"/>
          <w:highlight w:val="none"/>
        </w:rPr>
        <w:t xml:space="preserve">（盖章） </w:t>
      </w:r>
      <w:r>
        <w:rPr>
          <w:rFonts w:hint="eastAsia" w:asciiTheme="majorEastAsia" w:hAnsiTheme="majorEastAsia" w:eastAsiaTheme="majorEastAsia" w:cstheme="majorEastAsia"/>
          <w:color w:val="auto"/>
          <w:sz w:val="21"/>
          <w:szCs w:val="21"/>
          <w:highlight w:val="none"/>
          <w:lang w:eastAsia="zh-CN"/>
        </w:rPr>
        <w:t xml:space="preserve">    </w:t>
      </w:r>
      <w:r>
        <w:rPr>
          <w:rFonts w:hint="eastAsia" w:asciiTheme="majorEastAsia" w:hAnsiTheme="majorEastAsia" w:eastAsiaTheme="majorEastAsia" w:cstheme="majorEastAsia"/>
          <w:color w:val="auto"/>
          <w:spacing w:val="30"/>
          <w:sz w:val="21"/>
          <w:szCs w:val="21"/>
          <w:highlight w:val="none"/>
        </w:rPr>
        <w:t>（盖章）</w:t>
      </w:r>
    </w:p>
    <w:p w14:paraId="0EBC76E3">
      <w:pPr>
        <w:spacing w:line="360" w:lineRule="auto"/>
        <w:jc w:val="left"/>
        <w:rPr>
          <w:rFonts w:hint="eastAsia" w:asciiTheme="majorEastAsia" w:hAnsiTheme="majorEastAsia" w:eastAsiaTheme="majorEastAsia" w:cstheme="majorEastAsia"/>
          <w:color w:val="auto"/>
          <w:spacing w:val="30"/>
          <w:sz w:val="21"/>
          <w:szCs w:val="21"/>
          <w:highlight w:val="none"/>
        </w:rPr>
      </w:pPr>
      <w:r>
        <w:rPr>
          <w:rFonts w:hint="eastAsia" w:asciiTheme="majorEastAsia" w:hAnsiTheme="majorEastAsia" w:eastAsiaTheme="majorEastAsia" w:cstheme="majorEastAsia"/>
          <w:color w:val="auto"/>
          <w:spacing w:val="30"/>
          <w:sz w:val="21"/>
          <w:szCs w:val="21"/>
          <w:highlight w:val="none"/>
        </w:rPr>
        <w:t>法定代表人：            法定代表人：</w:t>
      </w:r>
    </w:p>
    <w:p w14:paraId="4019B384">
      <w:pPr>
        <w:spacing w:line="360" w:lineRule="auto"/>
        <w:jc w:val="left"/>
        <w:rPr>
          <w:rFonts w:hint="eastAsia" w:asciiTheme="majorEastAsia" w:hAnsiTheme="majorEastAsia" w:eastAsiaTheme="majorEastAsia" w:cstheme="majorEastAsia"/>
          <w:color w:val="auto"/>
          <w:spacing w:val="30"/>
          <w:sz w:val="21"/>
          <w:szCs w:val="21"/>
          <w:highlight w:val="none"/>
        </w:rPr>
      </w:pPr>
      <w:r>
        <w:rPr>
          <w:rFonts w:hint="eastAsia" w:asciiTheme="majorEastAsia" w:hAnsiTheme="majorEastAsia" w:eastAsiaTheme="majorEastAsia" w:cstheme="majorEastAsia"/>
          <w:color w:val="auto"/>
          <w:spacing w:val="30"/>
          <w:sz w:val="21"/>
          <w:szCs w:val="21"/>
          <w:highlight w:val="none"/>
        </w:rPr>
        <w:t>（或委托代理人）         （或委托代理人）</w:t>
      </w:r>
    </w:p>
    <w:p w14:paraId="3597733E">
      <w:pPr>
        <w:spacing w:line="360" w:lineRule="auto"/>
        <w:jc w:val="left"/>
        <w:rPr>
          <w:rFonts w:hint="eastAsia" w:asciiTheme="majorEastAsia" w:hAnsiTheme="majorEastAsia" w:eastAsiaTheme="majorEastAsia" w:cstheme="majorEastAsia"/>
          <w:color w:val="auto"/>
          <w:spacing w:val="30"/>
          <w:sz w:val="21"/>
          <w:szCs w:val="21"/>
          <w:highlight w:val="none"/>
        </w:rPr>
      </w:pPr>
      <w:r>
        <w:rPr>
          <w:rFonts w:hint="eastAsia" w:asciiTheme="majorEastAsia" w:hAnsiTheme="majorEastAsia" w:eastAsiaTheme="majorEastAsia" w:cstheme="majorEastAsia"/>
          <w:color w:val="auto"/>
          <w:spacing w:val="30"/>
          <w:sz w:val="21"/>
          <w:szCs w:val="21"/>
          <w:highlight w:val="none"/>
        </w:rPr>
        <w:t>签订时间：              签订时间：</w:t>
      </w:r>
    </w:p>
    <w:p w14:paraId="6EEBB204">
      <w:pPr>
        <w:spacing w:line="360" w:lineRule="auto"/>
        <w:ind w:firstLine="270" w:firstLineChars="100"/>
        <w:jc w:val="left"/>
        <w:rPr>
          <w:rFonts w:hint="eastAsia" w:asciiTheme="majorEastAsia" w:hAnsiTheme="majorEastAsia" w:eastAsiaTheme="majorEastAsia" w:cstheme="majorEastAsia"/>
          <w:spacing w:val="30"/>
          <w:sz w:val="21"/>
          <w:szCs w:val="21"/>
          <w:highlight w:val="none"/>
        </w:rPr>
      </w:pPr>
      <w:r>
        <w:rPr>
          <w:rFonts w:hint="eastAsia" w:asciiTheme="majorEastAsia" w:hAnsiTheme="majorEastAsia" w:eastAsiaTheme="majorEastAsia" w:cstheme="majorEastAsia"/>
          <w:color w:val="auto"/>
          <w:spacing w:val="30"/>
          <w:sz w:val="21"/>
          <w:szCs w:val="21"/>
          <w:highlight w:val="none"/>
        </w:rPr>
        <w:t xml:space="preserve">年  月  日              年  月  </w:t>
      </w:r>
      <w:r>
        <w:rPr>
          <w:rFonts w:hint="eastAsia" w:asciiTheme="majorEastAsia" w:hAnsiTheme="majorEastAsia" w:eastAsiaTheme="majorEastAsia" w:cstheme="majorEastAsia"/>
          <w:spacing w:val="30"/>
          <w:sz w:val="21"/>
          <w:szCs w:val="21"/>
          <w:highlight w:val="none"/>
        </w:rPr>
        <w:t>日</w:t>
      </w:r>
    </w:p>
    <w:p w14:paraId="3A64562E">
      <w:pPr>
        <w:rPr>
          <w:rFonts w:hint="eastAsia" w:ascii="宋体" w:hAnsi="宋体" w:eastAsia="宋体" w:cs="宋体"/>
          <w:highlight w:val="none"/>
        </w:rPr>
      </w:pPr>
    </w:p>
    <w:p w14:paraId="0BB972A8">
      <w:pPr>
        <w:pStyle w:val="6"/>
        <w:spacing w:line="360" w:lineRule="auto"/>
        <w:rPr>
          <w:rFonts w:hint="eastAsia" w:asciiTheme="majorEastAsia" w:hAnsiTheme="majorEastAsia" w:eastAsiaTheme="majorEastAsia" w:cstheme="majorEastAsia"/>
          <w:highlight w:val="none"/>
          <w:lang w:val="en-US" w:eastAsia="zh-Hans"/>
        </w:rPr>
      </w:pPr>
    </w:p>
    <w:p w14:paraId="5DAB27A4">
      <w:pPr>
        <w:rPr>
          <w:b/>
          <w:bCs/>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046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sz w:val="2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2026-06-29T02:48:34Z</dcterms:created>
  <dc:creator>Administrator</dc:creator>
  <cp:lastModifiedBy>开心聪father</cp:lastModifiedBy>
  <dcterms:modified xsi:type="dcterms:W3CDTF">2026-06-29T02:48:45Z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eyJoZGlkIjoiNDA1ZjEwOTFmNGExMmNlNTk1Y2VlMzljYTdjMDg4YmMiLCJ1c2VySWQiOiIzOTE4MjQzNDgifQ==</vt:lpwstr>
  </property>
  <property fmtid="{D5CDD505-2E9C-101B-9397-08002B2CF9AE}" pid="4" name="ICV">
    <vt:lpwstr>FD65EFB2C3534BD38BC77D83866328B0_12</vt:lpwstr>
  </property>
</Properties>
</file>