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版本号：FSGL-2026-00620260716002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商洛市镇安县金台山体育运动公园边坡支护工程设计项目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FSGL-2026-006</w:t>
      </w:r>
      <w:r>
        <w:br/>
      </w:r>
      <w:r>
        <w:br/>
      </w:r>
      <w:r>
        <w:br/>
      </w:r>
    </w:p>
    <w:p>
      <w:pPr>
        <w:pStyle w:val="null3"/>
        <w:jc w:val="center"/>
        <w:outlineLvl w:val="2"/>
      </w:pPr>
      <w:r>
        <w:rPr>
          <w:rFonts w:ascii="仿宋_GB2312" w:hAnsi="仿宋_GB2312" w:cs="仿宋_GB2312" w:eastAsia="仿宋_GB2312"/>
          <w:sz w:val="28"/>
          <w:b/>
        </w:rPr>
        <w:t>镇安县体育运动中心</w:t>
      </w:r>
    </w:p>
    <w:p>
      <w:pPr>
        <w:pStyle w:val="null3"/>
        <w:jc w:val="center"/>
        <w:outlineLvl w:val="2"/>
      </w:pPr>
      <w:r>
        <w:rPr>
          <w:rFonts w:ascii="仿宋_GB2312" w:hAnsi="仿宋_GB2312" w:cs="仿宋_GB2312" w:eastAsia="仿宋_GB2312"/>
          <w:sz w:val="28"/>
          <w:b/>
        </w:rPr>
        <w:t>凡硕工程管理咨询有限公司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凡硕工程管理咨询有限公司</w:t>
      </w:r>
      <w:r>
        <w:rPr>
          <w:rFonts w:ascii="仿宋_GB2312" w:hAnsi="仿宋_GB2312" w:cs="仿宋_GB2312" w:eastAsia="仿宋_GB2312"/>
        </w:rPr>
        <w:t>（以下简称“代理机构”）受</w:t>
      </w:r>
      <w:r>
        <w:rPr>
          <w:rFonts w:ascii="仿宋_GB2312" w:hAnsi="仿宋_GB2312" w:cs="仿宋_GB2312" w:eastAsia="仿宋_GB2312"/>
        </w:rPr>
        <w:t>镇安县体育运动中心</w:t>
      </w:r>
      <w:r>
        <w:rPr>
          <w:rFonts w:ascii="仿宋_GB2312" w:hAnsi="仿宋_GB2312" w:cs="仿宋_GB2312" w:eastAsia="仿宋_GB2312"/>
        </w:rPr>
        <w:t>委托，拟对</w:t>
      </w:r>
      <w:r>
        <w:rPr>
          <w:rFonts w:ascii="仿宋_GB2312" w:hAnsi="仿宋_GB2312" w:cs="仿宋_GB2312" w:eastAsia="仿宋_GB2312"/>
        </w:rPr>
        <w:t>商洛市镇安县金台山体育运动公园边坡支护工程设计项目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FSGL-2026-006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商洛市镇安县金台山体育运动公园边坡支护工程设计项目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1、新建观光健身步道整体呈西北-东南走向，长2151m,宽5.5m(净宽5.0m)。新建观光健身步道和栈桥2部分，其中K0+000~K0+850是步道部分，KO+850~K2+151是栈桥部分。 2、本次设计治理的观光健身步道路基边坡主要位于里程K0+080~K1+050段。路基两侧存在不同规模的挖方边坡和填方边坡，边坡稳定性较差，边坡尚未采取加固治理措施，挖方边坡存在落石、掉块现象，填方边坡坡顶出现张拉裂缝，边坡稳定性不足，需加固治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w:t>
      </w:r>
    </w:p>
    <w:p>
      <w:pPr>
        <w:pStyle w:val="null3"/>
      </w:pPr>
      <w:r>
        <w:rPr>
          <w:rFonts w:ascii="仿宋_GB2312" w:hAnsi="仿宋_GB2312" w:cs="仿宋_GB2312" w:eastAsia="仿宋_GB2312"/>
        </w:rPr>
        <w:t>2、供应商资质：具备住房和城乡建设主管部门核发有效的工程勘察专业类（岩土工程设计）乙级及以上资质或工程勘察专业类(岩土工程)乙级及以上资质或工程勘察综合甲级资质。</w:t>
      </w:r>
    </w:p>
    <w:p>
      <w:pPr>
        <w:pStyle w:val="null3"/>
      </w:pPr>
      <w:r>
        <w:rPr>
          <w:rFonts w:ascii="仿宋_GB2312" w:hAnsi="仿宋_GB2312" w:cs="仿宋_GB2312" w:eastAsia="仿宋_GB2312"/>
        </w:rPr>
        <w:t>3、项目负责人资格：拟派本项目设计负责人须持有注册土木工程师（岩土）执业证书，并在本单位登记注册。</w:t>
      </w:r>
    </w:p>
    <w:p>
      <w:pPr>
        <w:pStyle w:val="null3"/>
      </w:pPr>
      <w:r>
        <w:rPr>
          <w:rFonts w:ascii="仿宋_GB2312" w:hAnsi="仿宋_GB2312" w:cs="仿宋_GB2312" w:eastAsia="仿宋_GB2312"/>
        </w:rPr>
        <w:t>4、财务要求：提供2024年度或2025年度的财务审计报告或响应文件截止时间前六个月内其基本账户开户银行出具的资信证明（附基本存款账户信息）。</w:t>
      </w:r>
    </w:p>
    <w:p>
      <w:pPr>
        <w:pStyle w:val="null3"/>
      </w:pPr>
      <w:r>
        <w:rPr>
          <w:rFonts w:ascii="仿宋_GB2312" w:hAnsi="仿宋_GB2312" w:cs="仿宋_GB2312" w:eastAsia="仿宋_GB2312"/>
        </w:rPr>
        <w:t>5、纳税要求：提供响应文件递交截止时间前近一年任意一个月已缴纳完税凭证或税务机关开具的完税证明；依法免税的应提供相关文件证明。</w:t>
      </w:r>
    </w:p>
    <w:p>
      <w:pPr>
        <w:pStyle w:val="null3"/>
      </w:pPr>
      <w:r>
        <w:rPr>
          <w:rFonts w:ascii="仿宋_GB2312" w:hAnsi="仿宋_GB2312" w:cs="仿宋_GB2312" w:eastAsia="仿宋_GB2312"/>
        </w:rPr>
        <w:t>6、社保要求：提供响应文件递交截止时间前近一年任意一个月已缴纳的社会保障资金缴存单据或社保机构开具的社会保险参保缴费情况证明；依法不需要缴纳社会保障资金的应提供相关文件证明。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7、具备履行合同所必需的设备和专业技术能力承诺：具备履行合同所必需的设备和专业技术能力承诺。</w:t>
      </w:r>
    </w:p>
    <w:p>
      <w:pPr>
        <w:pStyle w:val="null3"/>
      </w:pPr>
      <w:r>
        <w:rPr>
          <w:rFonts w:ascii="仿宋_GB2312" w:hAnsi="仿宋_GB2312" w:cs="仿宋_GB2312" w:eastAsia="仿宋_GB2312"/>
        </w:rPr>
        <w:t>8、没有重大违法记录书面声明：参加政府采购活动前3年内，在经营活动中没有重大违法记录书面声明。</w:t>
      </w:r>
    </w:p>
    <w:p>
      <w:pPr>
        <w:pStyle w:val="null3"/>
      </w:pPr>
      <w:r>
        <w:rPr>
          <w:rFonts w:ascii="仿宋_GB2312" w:hAnsi="仿宋_GB2312" w:cs="仿宋_GB2312" w:eastAsia="仿宋_GB2312"/>
        </w:rPr>
        <w:t>9、信用要求：供应商不得为“信用中国”网站（www.creditchina.gov.cn）中列入失信被执行人（中国执行信息公开网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11、法人授权委托书或法人身份证明：提供法定代表人授权书（附法定代表人、被授权人身份证复印件及被授权人磋商前三个月内任意一个月在本单位的社保缴纳证明），法定代表人直接参加磋商，须提供法定代表人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镇安县岭南路176号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镇安县体育运动中心经办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5325641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凡硕工程管理咨询有限公司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西安市高新区汇鑫中心A座2204室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17349134683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采购包1：497,456.00元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标段中标金额为基数参考《国家计委关于印发&lt;招标代理服务收费管理暂行办法&gt;的通知》（计价格〔2002〕1980号）及《国家发改委关于降低部分建设项目收费标准规范收费行为等有关问题的通知》（发改价格〔2011〕534号）规定按标准收取。 2、招标代理服务费可以采取现金、支票、银行汇票、电汇、网银等方式缴纳。 3、招标代理服务费缴纳信息： 银行户名：凡硕工程管理咨询有限公司 开户银行：中国民生银行股份有限公司西安分行营业部 账号：170511405 联系人：郭伟 联系电话：17349134683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镇安县体育运动中心</w:t>
      </w:r>
      <w:r>
        <w:rPr>
          <w:rFonts w:ascii="仿宋_GB2312" w:hAnsi="仿宋_GB2312" w:cs="仿宋_GB2312" w:eastAsia="仿宋_GB2312"/>
        </w:rPr>
        <w:t>和</w:t>
      </w:r>
      <w:r>
        <w:rPr>
          <w:rFonts w:ascii="仿宋_GB2312" w:hAnsi="仿宋_GB2312" w:cs="仿宋_GB2312" w:eastAsia="仿宋_GB2312"/>
        </w:rPr>
        <w:t>凡硕工程管理咨询有限公司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凡硕工程管理咨询有限公司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凡硕工程管理咨询有限公司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采购人在中华人民共和国境内使用成交人提供的服务时免受第三方提出的侵犯其专利权或其他知识产权的起诉。如果第三方提出侵权指控，成交人应承担由此而引起的一切法律责任和费用。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联系人：郭伟</w:t>
      </w:r>
    </w:p>
    <w:p>
      <w:pPr>
        <w:pStyle w:val="null3"/>
      </w:pPr>
      <w:r>
        <w:rPr>
          <w:rFonts w:ascii="仿宋_GB2312" w:hAnsi="仿宋_GB2312" w:cs="仿宋_GB2312" w:eastAsia="仿宋_GB2312"/>
        </w:rPr>
        <w:t>联系电话：17349134683</w:t>
      </w:r>
    </w:p>
    <w:p>
      <w:pPr>
        <w:pStyle w:val="null3"/>
      </w:pPr>
      <w:r>
        <w:rPr>
          <w:rFonts w:ascii="仿宋_GB2312" w:hAnsi="仿宋_GB2312" w:cs="仿宋_GB2312" w:eastAsia="仿宋_GB2312"/>
        </w:rPr>
        <w:t>地址：西安市高新区汇鑫中心A座2204室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1、新建观光健身步道整体呈西北-东南走向，长2151m,宽5.5m(净宽5.0m)。新建观光健身步道和栈桥2部分，其中K0+000~K0+850是步道部分，KO+850~K2+151是栈桥部分。 2、本次设计治理的观光健身步道路基边坡主要位于里程K0+080~K1+050段。路基两侧存在不同规模的挖方边坡和填方边坡，边坡稳定性较差，边坡尚未采取加固治理措施，挖方边坡存在落石、掉块现象，填方边坡坡顶出现张拉裂缝，边坡稳定性不足，需加固治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497,456.00</w:t>
      </w:r>
    </w:p>
    <w:p>
      <w:pPr>
        <w:pStyle w:val="null3"/>
      </w:pPr>
      <w:r>
        <w:rPr>
          <w:rFonts w:ascii="仿宋_GB2312" w:hAnsi="仿宋_GB2312" w:cs="仿宋_GB2312" w:eastAsia="仿宋_GB2312"/>
        </w:rPr>
        <w:t>采购包最高限价（元）: 497,456.00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商洛市镇安县金台山体育运动公园边坡支护工程设计项目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497,456.00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标的名称：商洛市镇安县金台山体育运动公园边坡支护工程设计项目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、工程概况</w:t>
            </w:r>
          </w:p>
          <w:p>
            <w:pPr>
              <w:pStyle w:val="null3"/>
            </w:pPr>
            <w:r>
              <w:rPr>
                <w:rFonts w:ascii="仿宋_GB2312" w:hAnsi="仿宋_GB2312" w:cs="仿宋_GB2312" w:eastAsia="仿宋_GB2312"/>
                <w:sz w:val="21"/>
              </w:rPr>
              <w:t>工程名称： 商洛市镇安县金台山体育运动公园边坡支护工程设计项目</w:t>
            </w:r>
          </w:p>
          <w:p>
            <w:pPr>
              <w:pStyle w:val="null3"/>
            </w:pPr>
            <w:r>
              <w:rPr>
                <w:rFonts w:ascii="仿宋_GB2312" w:hAnsi="仿宋_GB2312" w:cs="仿宋_GB2312" w:eastAsia="仿宋_GB2312"/>
                <w:sz w:val="21"/>
              </w:rPr>
              <w:t>工程地点： 陕西省商洛市镇安县金台山</w:t>
            </w:r>
          </w:p>
          <w:p>
            <w:pPr>
              <w:pStyle w:val="null3"/>
            </w:pPr>
            <w:r>
              <w:rPr>
                <w:rFonts w:ascii="仿宋_GB2312" w:hAnsi="仿宋_GB2312" w:cs="仿宋_GB2312" w:eastAsia="仿宋_GB2312"/>
                <w:sz w:val="21"/>
              </w:rPr>
              <w:t>建设单位： 镇安县体育运动中心</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工程规模与特征</w:t>
            </w:r>
          </w:p>
          <w:p>
            <w:pPr>
              <w:pStyle w:val="null3"/>
            </w:pPr>
            <w:r>
              <w:rPr>
                <w:rFonts w:ascii="仿宋_GB2312" w:hAnsi="仿宋_GB2312" w:cs="仿宋_GB2312" w:eastAsia="仿宋_GB2312"/>
                <w:sz w:val="21"/>
              </w:rPr>
              <w:t>商洛市金台山体育运动公园地处半山腰，受连续强降雨影响，公园内部出现多处滑坡、落石、掉块、局部崩塌及张拉裂缝等现象，存在重大安全隐患。本次灾害治理范围为公园新建健身步道路基，路基两侧分布有不同规模的挖方边坡和填方边坡，边坡高度介于2～30m之间。受项目区复杂地质条件影响，当前边坡稳定性较差，已严重威胁道路通行安全及周边群众生命财产安全，亟需开展加固治理工作。</w:t>
            </w:r>
          </w:p>
          <w:p>
            <w:pPr>
              <w:pStyle w:val="null3"/>
            </w:pPr>
            <w:r>
              <w:rPr>
                <w:rFonts w:ascii="仿宋_GB2312" w:hAnsi="仿宋_GB2312" w:cs="仿宋_GB2312" w:eastAsia="仿宋_GB2312"/>
                <w:sz w:val="21"/>
              </w:rPr>
              <w:t>该项目边坡工程为永久性边坡，安全等级分为一级和二级。</w:t>
            </w:r>
          </w:p>
          <w:p>
            <w:pPr>
              <w:pStyle w:val="null3"/>
            </w:pPr>
            <w:r>
              <w:rPr>
                <w:rFonts w:ascii="仿宋_GB2312" w:hAnsi="仿宋_GB2312" w:cs="仿宋_GB2312" w:eastAsia="仿宋_GB2312"/>
                <w:sz w:val="21"/>
                <w:b/>
              </w:rPr>
              <w:t>三、设计依据</w:t>
            </w:r>
          </w:p>
          <w:p>
            <w:pPr>
              <w:pStyle w:val="null3"/>
            </w:pPr>
            <w:r>
              <w:rPr>
                <w:rFonts w:ascii="仿宋_GB2312" w:hAnsi="仿宋_GB2312" w:cs="仿宋_GB2312" w:eastAsia="仿宋_GB2312"/>
                <w:sz w:val="21"/>
              </w:rPr>
              <w:t>设计单位进行施工图设计时，应严格执行国家现行的有关规范、标准及规程，主要包括但不限于：</w:t>
            </w:r>
          </w:p>
          <w:p>
            <w:pPr>
              <w:pStyle w:val="null3"/>
            </w:pPr>
            <w:r>
              <w:rPr>
                <w:rFonts w:ascii="仿宋_GB2312" w:hAnsi="仿宋_GB2312" w:cs="仿宋_GB2312" w:eastAsia="仿宋_GB2312"/>
                <w:sz w:val="21"/>
              </w:rPr>
              <w:t>1、《建筑边坡工程技术规范》GB50330-2013；</w:t>
            </w:r>
          </w:p>
          <w:p>
            <w:pPr>
              <w:pStyle w:val="null3"/>
            </w:pPr>
            <w:r>
              <w:rPr>
                <w:rFonts w:ascii="仿宋_GB2312" w:hAnsi="仿宋_GB2312" w:cs="仿宋_GB2312" w:eastAsia="仿宋_GB2312"/>
                <w:sz w:val="21"/>
              </w:rPr>
              <w:t>2、《建筑地基处理技术规范》JGJ79-2012；</w:t>
            </w:r>
          </w:p>
          <w:p>
            <w:pPr>
              <w:pStyle w:val="null3"/>
            </w:pPr>
            <w:r>
              <w:rPr>
                <w:rFonts w:ascii="仿宋_GB2312" w:hAnsi="仿宋_GB2312" w:cs="仿宋_GB2312" w:eastAsia="仿宋_GB2312"/>
                <w:sz w:val="21"/>
              </w:rPr>
              <w:t>3、《建筑抗震设计规范》GB50011-2010（2016年版）；</w:t>
            </w:r>
          </w:p>
          <w:p>
            <w:pPr>
              <w:pStyle w:val="null3"/>
            </w:pPr>
            <w:r>
              <w:rPr>
                <w:rFonts w:ascii="仿宋_GB2312" w:hAnsi="仿宋_GB2312" w:cs="仿宋_GB2312" w:eastAsia="仿宋_GB2312"/>
                <w:sz w:val="21"/>
              </w:rPr>
              <w:t>4、《建筑地基基础设计规范》GB50007-2011；</w:t>
            </w:r>
          </w:p>
          <w:p>
            <w:pPr>
              <w:pStyle w:val="null3"/>
            </w:pPr>
            <w:r>
              <w:rPr>
                <w:rFonts w:ascii="仿宋_GB2312" w:hAnsi="仿宋_GB2312" w:cs="仿宋_GB2312" w:eastAsia="仿宋_GB2312"/>
                <w:sz w:val="21"/>
              </w:rPr>
              <w:t>5、《混凝土结构设计规范》GB50010-2010（2015修订版）；</w:t>
            </w:r>
          </w:p>
          <w:p>
            <w:pPr>
              <w:pStyle w:val="null3"/>
            </w:pPr>
            <w:r>
              <w:rPr>
                <w:rFonts w:ascii="仿宋_GB2312" w:hAnsi="仿宋_GB2312" w:cs="仿宋_GB2312" w:eastAsia="仿宋_GB2312"/>
                <w:sz w:val="21"/>
              </w:rPr>
              <w:t>6、《建筑结构荷载规范》GB50009-2012；</w:t>
            </w:r>
          </w:p>
          <w:p>
            <w:pPr>
              <w:pStyle w:val="null3"/>
            </w:pPr>
            <w:r>
              <w:rPr>
                <w:rFonts w:ascii="仿宋_GB2312" w:hAnsi="仿宋_GB2312" w:cs="仿宋_GB2312" w:eastAsia="仿宋_GB2312"/>
                <w:sz w:val="21"/>
              </w:rPr>
              <w:t>7、《混凝土结构工程施工质量验收规范》GB50204-2015；</w:t>
            </w:r>
          </w:p>
          <w:p>
            <w:pPr>
              <w:pStyle w:val="null3"/>
            </w:pPr>
            <w:r>
              <w:rPr>
                <w:rFonts w:ascii="仿宋_GB2312" w:hAnsi="仿宋_GB2312" w:cs="仿宋_GB2312" w:eastAsia="仿宋_GB2312"/>
                <w:sz w:val="21"/>
              </w:rPr>
              <w:t>8、《建筑地基基础工程施工质量验收标准》GB50202-2018；</w:t>
            </w:r>
          </w:p>
          <w:p>
            <w:pPr>
              <w:pStyle w:val="null3"/>
            </w:pPr>
            <w:r>
              <w:rPr>
                <w:rFonts w:ascii="仿宋_GB2312" w:hAnsi="仿宋_GB2312" w:cs="仿宋_GB2312" w:eastAsia="仿宋_GB2312"/>
                <w:sz w:val="21"/>
              </w:rPr>
              <w:t>9、《建筑与市政地基基础通用规范》GB55003-2021；</w:t>
            </w:r>
          </w:p>
          <w:p>
            <w:pPr>
              <w:pStyle w:val="null3"/>
            </w:pPr>
            <w:r>
              <w:rPr>
                <w:rFonts w:ascii="仿宋_GB2312" w:hAnsi="仿宋_GB2312" w:cs="仿宋_GB2312" w:eastAsia="仿宋_GB2312"/>
                <w:sz w:val="21"/>
              </w:rPr>
              <w:t>10、《建筑与市政工程抗震通用规范》GB55002-2021；</w:t>
            </w:r>
          </w:p>
          <w:p>
            <w:pPr>
              <w:pStyle w:val="null3"/>
            </w:pPr>
            <w:r>
              <w:rPr>
                <w:rFonts w:ascii="仿宋_GB2312" w:hAnsi="仿宋_GB2312" w:cs="仿宋_GB2312" w:eastAsia="仿宋_GB2312"/>
                <w:sz w:val="21"/>
              </w:rPr>
              <w:t>11、《砌体结构工程施工质量验收规范》GB50203-2011；</w:t>
            </w:r>
          </w:p>
          <w:p>
            <w:pPr>
              <w:pStyle w:val="null3"/>
            </w:pPr>
            <w:r>
              <w:rPr>
                <w:rFonts w:ascii="仿宋_GB2312" w:hAnsi="仿宋_GB2312" w:cs="仿宋_GB2312" w:eastAsia="仿宋_GB2312"/>
                <w:sz w:val="21"/>
              </w:rPr>
              <w:t>12、《建筑工程质量验收统一标准》GB50300-2013；</w:t>
            </w:r>
          </w:p>
          <w:p>
            <w:pPr>
              <w:pStyle w:val="null3"/>
            </w:pPr>
            <w:r>
              <w:rPr>
                <w:rFonts w:ascii="仿宋_GB2312" w:hAnsi="仿宋_GB2312" w:cs="仿宋_GB2312" w:eastAsia="仿宋_GB2312"/>
                <w:sz w:val="21"/>
              </w:rPr>
              <w:t>13、《岩土锚杆（索）技术规程》CECS22:2018；</w:t>
            </w:r>
          </w:p>
          <w:p>
            <w:pPr>
              <w:pStyle w:val="null3"/>
            </w:pPr>
            <w:r>
              <w:rPr>
                <w:rFonts w:ascii="仿宋_GB2312" w:hAnsi="仿宋_GB2312" w:cs="仿宋_GB2312" w:eastAsia="仿宋_GB2312"/>
                <w:sz w:val="21"/>
              </w:rPr>
              <w:t>14、《挡土墙（重力式、衡重式、悬臂式）》（国家建筑标准设计图集17J008）；</w:t>
            </w:r>
          </w:p>
          <w:p>
            <w:pPr>
              <w:pStyle w:val="null3"/>
            </w:pPr>
            <w:r>
              <w:rPr>
                <w:rFonts w:ascii="仿宋_GB2312" w:hAnsi="仿宋_GB2312" w:cs="仿宋_GB2312" w:eastAsia="仿宋_GB2312"/>
                <w:sz w:val="21"/>
              </w:rPr>
              <w:t>15、《护坡桩治理工程设计规范（试行）》T/CAGHP03-2018等。</w:t>
            </w:r>
          </w:p>
          <w:p>
            <w:pPr>
              <w:pStyle w:val="null3"/>
            </w:pPr>
            <w:r>
              <w:rPr>
                <w:rFonts w:ascii="仿宋_GB2312" w:hAnsi="仿宋_GB2312" w:cs="仿宋_GB2312" w:eastAsia="仿宋_GB2312"/>
                <w:sz w:val="21"/>
                <w:b/>
              </w:rPr>
              <w:t>四、设计内容及要求</w:t>
            </w:r>
          </w:p>
          <w:p>
            <w:pPr>
              <w:pStyle w:val="null3"/>
            </w:pPr>
            <w:r>
              <w:rPr>
                <w:rFonts w:ascii="仿宋_GB2312" w:hAnsi="仿宋_GB2312" w:cs="仿宋_GB2312" w:eastAsia="仿宋_GB2312"/>
                <w:sz w:val="21"/>
              </w:rPr>
              <w:t>本项目位于镇安县金台山景区以西南门坡部分区域。对满足镇安县人民群众日益增长的体育健身需求，改善群众生活品质，以治理生态为主，打造市民健身好去处，以绿色生态为基底，健身设施与自然景观和谐相融，形成空间多样的观景廊道与健身跑道，满足不同年龄，不同人群的健身需求。使整个体育公园具备改善生态，美化环境、体育健身、运动休闲、娱乐休憩等多功能的绿色空间。新建观光健身步道整体呈西北-东南走向，长2151m，宽5.5m（净宽5.0m）。新建观光健身步道分布步道和栈桥2部分，其中K0+000～K0+850是步道部分，K0+850～K2+151是栈桥部分。</w:t>
            </w:r>
          </w:p>
          <w:p>
            <w:pPr>
              <w:pStyle w:val="null3"/>
            </w:pPr>
            <w:r>
              <w:rPr>
                <w:rFonts w:ascii="仿宋_GB2312" w:hAnsi="仿宋_GB2312" w:cs="仿宋_GB2312" w:eastAsia="仿宋_GB2312"/>
                <w:sz w:val="21"/>
              </w:rPr>
              <w:t>本次设计治理的观光健身步道路基边坡主要位于里程K0+080～K1+050段。路基两侧存在不同规模的挖方边坡和填方边坡，边坡稳定性较差，挖方边坡存在落石、掉块现象，填方边坡坡顶出现张拉裂缝，边坡稳定性不足，须加固治理。</w:t>
            </w:r>
          </w:p>
          <w:p>
            <w:pPr>
              <w:pStyle w:val="null3"/>
            </w:pPr>
            <w:r>
              <w:rPr>
                <w:rFonts w:ascii="仿宋_GB2312" w:hAnsi="仿宋_GB2312" w:cs="仿宋_GB2312" w:eastAsia="仿宋_GB2312"/>
                <w:sz w:val="21"/>
                <w:b/>
              </w:rPr>
              <w:t>五、设计深度及成果要求</w:t>
            </w:r>
          </w:p>
          <w:p>
            <w:pPr>
              <w:pStyle w:val="null3"/>
            </w:pPr>
            <w:r>
              <w:rPr>
                <w:rFonts w:ascii="仿宋_GB2312" w:hAnsi="仿宋_GB2312" w:cs="仿宋_GB2312" w:eastAsia="仿宋_GB2312"/>
                <w:sz w:val="21"/>
              </w:rPr>
              <w:t>设计深度应满足国家及地方有关施工图设计深度的规定，确保施工图设计文件能够直接用于指导施工。</w:t>
            </w:r>
          </w:p>
          <w:p>
            <w:pPr>
              <w:pStyle w:val="null3"/>
            </w:pPr>
            <w:r>
              <w:rPr>
                <w:rFonts w:ascii="仿宋_GB2312" w:hAnsi="仿宋_GB2312" w:cs="仿宋_GB2312" w:eastAsia="仿宋_GB2312"/>
                <w:sz w:val="21"/>
              </w:rPr>
              <w:t>设计成果应包括：设计说明书、施工图设计图纸（含平面图、立面图、剖面图、大样图等）及相关计算书。</w:t>
            </w:r>
          </w:p>
          <w:p>
            <w:pPr>
              <w:pStyle w:val="null3"/>
            </w:pPr>
            <w:r>
              <w:rPr>
                <w:rFonts w:ascii="仿宋_GB2312" w:hAnsi="仿宋_GB2312" w:cs="仿宋_GB2312" w:eastAsia="仿宋_GB2312"/>
                <w:sz w:val="21"/>
              </w:rPr>
              <w:t>设计文件应内容完整、数据准确、图纸清晰，符合国家现行规范标准要求。</w:t>
            </w:r>
          </w:p>
          <w:p>
            <w:pPr>
              <w:pStyle w:val="null3"/>
            </w:pPr>
            <w:r>
              <w:rPr>
                <w:rFonts w:ascii="仿宋_GB2312" w:hAnsi="仿宋_GB2312" w:cs="仿宋_GB2312" w:eastAsia="仿宋_GB2312"/>
                <w:sz w:val="21"/>
                <w:b/>
              </w:rPr>
              <w:t>六、其他事项</w:t>
            </w:r>
          </w:p>
          <w:p>
            <w:pPr>
              <w:pStyle w:val="null3"/>
            </w:pPr>
            <w:r>
              <w:rPr>
                <w:rFonts w:ascii="仿宋_GB2312" w:hAnsi="仿宋_GB2312" w:cs="仿宋_GB2312" w:eastAsia="仿宋_GB2312"/>
                <w:sz w:val="21"/>
              </w:rPr>
              <w:t>设计单位应根据现场实际情况及地质勘察资料，在确保边坡稳定的前提下，优化设计方案，做到安全可靠、技术可行、经济合理。</w:t>
            </w:r>
          </w:p>
          <w:p>
            <w:pPr>
              <w:pStyle w:val="null3"/>
            </w:pPr>
            <w:r>
              <w:rPr>
                <w:rFonts w:ascii="仿宋_GB2312" w:hAnsi="仿宋_GB2312" w:cs="仿宋_GB2312" w:eastAsia="仿宋_GB2312"/>
                <w:sz w:val="21"/>
              </w:rPr>
              <w:t>设计周期：自合同签订之日起30天内。</w:t>
            </w:r>
          </w:p>
          <w:p>
            <w:pPr>
              <w:pStyle w:val="null3"/>
            </w:pPr>
            <w:r>
              <w:rPr>
                <w:rFonts w:ascii="仿宋_GB2312" w:hAnsi="仿宋_GB2312" w:cs="仿宋_GB2312" w:eastAsia="仿宋_GB2312"/>
                <w:sz w:val="21"/>
              </w:rPr>
              <w:t>设计过程中如需进一步明确技术问题或补充相关资料，请及时与我单位联系。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专业技术人员配置合理，对工作有有效支撑、岗位职责明确清晰，满足项目需求。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1.根据采购人要求完成与项目有关的其他事项。 2.报价要求：供应商在充分考虑本项目的实际工作量、技术含量、难易程度、复杂性及市场风险等因素的基础上按竞争性磋商文件中的报价格式要求填报总价，包括但不限于：施工图设计、相关审批手续办理、配合费、以及其他完成本竞争性磋商文件规定的义务以及供应商认为有必要计入的其他费用等全部费用，除合同约定的奖罚规定之外，采购人不因任何原因调整结算价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商洛市镇安县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进度款，合同签订完成施工图设计后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具备住房和城乡建设主管部门核发有效的工程勘察专业类（岩土工程设计）乙级及以上资质或工程勘察专业类(岩土工程)乙级及以上资质或工程勘察综合甲级资质。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拟派本项目设计负责人须持有注册土木工程师（岩土）执业证书，并在本单位登记注册。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提供2024年度或2025年度的财务审计报告或响应文件截止时间前六个月内其基本账户开户银行出具的资信证明（附基本存款账户信息）。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提供响应文件递交截止时间前近一年任意一个月已缴纳完税凭证或税务机关开具的完税证明；依法免税的应提供相关文件证明。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提供响应文件递交截止时间前近一年任意一个月已缴纳的社会保障资金缴存单据或社保机构开具的社会保险参保缴费情况证明；依法不需要缴纳社会保障资金的应提供相关文件证明。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具备履行合同所必需的设备和专业技术能力承诺</w:t>
            </w:r>
          </w:p>
        </w:tc>
        <w:tc>
          <w:tcPr>
            <w:tcW w:type="dxa" w:w="3322"/>
          </w:tcPr>
          <w:p>
            <w:pPr>
              <w:pStyle w:val="null3"/>
            </w:pPr>
            <w:r>
              <w:rPr>
                <w:rFonts w:ascii="仿宋_GB2312" w:hAnsi="仿宋_GB2312" w:cs="仿宋_GB2312" w:eastAsia="仿宋_GB2312"/>
              </w:rPr>
              <w:t>具备履行合同所必需的设备和专业技术能力承诺。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法人授权委托书或法人身份证明</w:t>
            </w:r>
          </w:p>
        </w:tc>
        <w:tc>
          <w:tcPr>
            <w:tcW w:type="dxa" w:w="3322"/>
          </w:tcPr>
          <w:p>
            <w:pPr>
              <w:pStyle w:val="null3"/>
            </w:pPr>
            <w:r>
              <w:rPr>
                <w:rFonts w:ascii="仿宋_GB2312" w:hAnsi="仿宋_GB2312" w:cs="仿宋_GB2312" w:eastAsia="仿宋_GB2312"/>
              </w:rPr>
              <w:t>提供法定代表人授权书（附法定代表人、被授权人身份证复印件及被授权人磋商前三个月内任意一个月在本单位的社保缴纳证明），法定代表人直接参加磋商，须提供法定代表人身份证明；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合同主要条款偏离表.docx 项目业绩一览表.docx 中小企业声明函 残疾人福利性单位声明函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响应文件符合竞争性磋商文件签署盖章要求</w:t>
            </w:r>
          </w:p>
        </w:tc>
        <w:tc>
          <w:tcPr>
            <w:tcW w:type="dxa" w:w="1661"/>
          </w:tcPr>
          <w:p>
            <w:pPr>
              <w:pStyle w:val="null3"/>
            </w:pPr>
            <w:r>
              <w:rPr>
                <w:rFonts w:ascii="仿宋_GB2312" w:hAnsi="仿宋_GB2312" w:cs="仿宋_GB2312" w:eastAsia="仿宋_GB2312"/>
              </w:rPr>
              <w:t>响应文件封面 供应商应提交的相关资格证明材料.docx 合同主要条款偏离表.docx 项目业绩一览表.docx 中小企业声明函 残疾人福利性单位声明函 标的清单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合同主要条款偏离表.docx 项目业绩一览表.docx 中小企业声明函 残疾人福利性单位声明函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评审标准：各部分内容全面详细、阐述条理清晰详尽、符合本项目采购需求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提供针对本项目的编制思路及工作方案，包括①整体工作目标及工作思路；②设计方案；③进度计划；④内容重点及成果资料。 评审标准：各部分内容全面详细、阐述条理清晰详尽、符合本项目采购需求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供应商出具加盖公章的书面增值服务承诺书，服务内容须与本项目履约相关；每提供 1 项有效承诺得 2分，累计最高 8 分。成交后承诺内容纳入采购合同，未履约将按合同约定追责。无书面承诺书不得分。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目标及整体质量管控措施；②成果文件的质量保证措施。评审标准：各部分内容全面详细、阐述条理清晰详尽、符合本项目采购需求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提供针对本项目设计阶段的工程造价控制措施：包含①造价控制常见问题梳理；②造价控制措施；评审标准：各部分内容全面详细、阐述条理清晰详尽、符合本项目采购需求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①拟派项目负责人具备相关专业中级职称的得 3分，具备相关专业高级及以上职称的得 5分。最高得5分。 ②供应商针对本项目提供科学合理的团队，人员结构合理、职责明确。人员配备充足，配置合理全面，能全面高效地完成本项目，拟提供团队人数在 3-5 人（含5人），得 4分； 6-10人（含10人）得5分，10人以上得6分。最高得6分。 ③供应商拟投入本项目的团队人员(项目负责人除外)，每具有 1 名相关专业中级职称的得1 分；每具有 1 名相关专业高级及以上职称得2.5分，最高得 10 分，需提供清晰的人员证书扫描件加盖单位公章。 未提供的不得分。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针对本项目具有明确的服务保证措施及承诺：包含①服务承诺及保证措施；②进度控制措施及承诺。 评审标准：各部分内容全面详细、阐述条理清晰详尽、符合本项目采购需求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提供针对本项目的重点、难点分析及合理化建议，包括①项目的重点、难点分析；②合理化建议。 评审标准：各部分内容全面详细、阐述条理清晰详尽、符合本项目采购需求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2023年7月1日以来承接过类似项目的合同证明（以合同的签订日期为准）（每提供一个得4分，满分16分）。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