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472FF6">
      <w:pPr>
        <w:tabs>
          <w:tab w:val="center" w:pos="4535"/>
          <w:tab w:val="left" w:pos="6521"/>
        </w:tabs>
        <w:autoSpaceDE w:val="0"/>
        <w:autoSpaceDN w:val="0"/>
        <w:adjustRightInd w:val="0"/>
        <w:snapToGrid w:val="0"/>
        <w:spacing w:line="360" w:lineRule="auto"/>
        <w:jc w:val="center"/>
        <w:rPr>
          <w:rFonts w:hint="eastAsia" w:ascii="仿宋_GB2312" w:hAnsi="仿宋_GB2312" w:eastAsia="仿宋_GB2312" w:cs="仿宋_GB2312"/>
          <w:b/>
          <w:bCs/>
          <w:sz w:val="40"/>
          <w:szCs w:val="40"/>
          <w:lang w:val="zh-CN"/>
        </w:rPr>
      </w:pPr>
      <w:r>
        <w:rPr>
          <w:rFonts w:hint="eastAsia" w:ascii="仿宋_GB2312" w:hAnsi="仿宋_GB2312" w:eastAsia="仿宋_GB2312" w:cs="仿宋_GB2312"/>
          <w:b/>
          <w:bCs/>
          <w:sz w:val="40"/>
          <w:szCs w:val="40"/>
          <w:lang w:val="zh-CN"/>
        </w:rPr>
        <w:t>合同主要条款偏离表</w:t>
      </w:r>
    </w:p>
    <w:tbl>
      <w:tblPr>
        <w:tblStyle w:val="6"/>
        <w:tblW w:w="8500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19"/>
        <w:gridCol w:w="2735"/>
        <w:gridCol w:w="2573"/>
        <w:gridCol w:w="2073"/>
      </w:tblGrid>
      <w:tr w14:paraId="1FEF72C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2" w:hRule="atLeast"/>
          <w:jc w:val="center"/>
        </w:trPr>
        <w:tc>
          <w:tcPr>
            <w:tcW w:w="1119" w:type="dxa"/>
            <w:vAlign w:val="center"/>
          </w:tcPr>
          <w:p w14:paraId="167E6B10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23"/>
              <w:jc w:val="center"/>
              <w:rPr>
                <w:rFonts w:hint="eastAsia" w:ascii="仿宋_GB2312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szCs w:val="28"/>
              </w:rPr>
              <w:t>序号</w:t>
            </w:r>
          </w:p>
        </w:tc>
        <w:tc>
          <w:tcPr>
            <w:tcW w:w="2735" w:type="dxa"/>
            <w:vAlign w:val="center"/>
          </w:tcPr>
          <w:p w14:paraId="359BF9A5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23"/>
              <w:jc w:val="center"/>
              <w:rPr>
                <w:rFonts w:hint="eastAsia" w:ascii="仿宋_GB2312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szCs w:val="28"/>
                <w:lang w:val="en-US" w:eastAsia="zh-CN"/>
              </w:rPr>
              <w:t>磋商文件</w:t>
            </w:r>
          </w:p>
          <w:p w14:paraId="361DBE07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23"/>
              <w:jc w:val="center"/>
              <w:rPr>
                <w:rFonts w:hint="eastAsia" w:ascii="仿宋_GB2312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szCs w:val="28"/>
              </w:rPr>
              <w:t>合同主要条款要求</w:t>
            </w:r>
          </w:p>
        </w:tc>
        <w:tc>
          <w:tcPr>
            <w:tcW w:w="2573" w:type="dxa"/>
            <w:vAlign w:val="center"/>
          </w:tcPr>
          <w:p w14:paraId="08DEE170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23"/>
              <w:jc w:val="center"/>
              <w:rPr>
                <w:rFonts w:hint="eastAsia" w:ascii="仿宋_GB2312" w:eastAsia="仿宋_GB2312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szCs w:val="28"/>
                <w:lang w:eastAsia="zh-CN"/>
              </w:rPr>
              <w:t>响应文件</w:t>
            </w:r>
          </w:p>
          <w:p w14:paraId="4C55FFE1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23"/>
              <w:jc w:val="center"/>
              <w:rPr>
                <w:rFonts w:hint="eastAsia" w:ascii="仿宋_GB2312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szCs w:val="28"/>
              </w:rPr>
              <w:t>合同主要条款响应</w:t>
            </w:r>
          </w:p>
        </w:tc>
        <w:tc>
          <w:tcPr>
            <w:tcW w:w="2073" w:type="dxa"/>
            <w:vAlign w:val="center"/>
          </w:tcPr>
          <w:p w14:paraId="2B897378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23"/>
              <w:jc w:val="center"/>
              <w:rPr>
                <w:rFonts w:hint="eastAsia" w:ascii="仿宋_GB2312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szCs w:val="28"/>
              </w:rPr>
              <w:t>偏离</w:t>
            </w:r>
          </w:p>
          <w:p w14:paraId="2545A124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23"/>
              <w:jc w:val="center"/>
              <w:rPr>
                <w:rFonts w:hint="eastAsia" w:ascii="仿宋_GB2312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szCs w:val="28"/>
              </w:rPr>
              <w:t>及其影响</w:t>
            </w:r>
          </w:p>
        </w:tc>
      </w:tr>
      <w:tr w14:paraId="29D01B6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19" w:type="dxa"/>
            <w:vAlign w:val="top"/>
          </w:tcPr>
          <w:p w14:paraId="0CA00E92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2735" w:type="dxa"/>
            <w:vAlign w:val="top"/>
          </w:tcPr>
          <w:p w14:paraId="7E24BAD3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2573" w:type="dxa"/>
            <w:vAlign w:val="top"/>
          </w:tcPr>
          <w:p w14:paraId="07720787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2073" w:type="dxa"/>
            <w:vAlign w:val="top"/>
          </w:tcPr>
          <w:p w14:paraId="56BF50B6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</w:tr>
      <w:tr w14:paraId="61460D6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19" w:type="dxa"/>
            <w:vAlign w:val="top"/>
          </w:tcPr>
          <w:p w14:paraId="047CD733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2735" w:type="dxa"/>
            <w:vAlign w:val="top"/>
          </w:tcPr>
          <w:p w14:paraId="1B060A35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2573" w:type="dxa"/>
            <w:vAlign w:val="top"/>
          </w:tcPr>
          <w:p w14:paraId="013E561F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2073" w:type="dxa"/>
            <w:vAlign w:val="top"/>
          </w:tcPr>
          <w:p w14:paraId="0AA65F01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</w:tr>
      <w:tr w14:paraId="737A160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19" w:type="dxa"/>
            <w:vAlign w:val="top"/>
          </w:tcPr>
          <w:p w14:paraId="6CC87475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2735" w:type="dxa"/>
            <w:vAlign w:val="top"/>
          </w:tcPr>
          <w:p w14:paraId="17E96DA7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2573" w:type="dxa"/>
            <w:vAlign w:val="top"/>
          </w:tcPr>
          <w:p w14:paraId="3E274FD1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2073" w:type="dxa"/>
            <w:vAlign w:val="top"/>
          </w:tcPr>
          <w:p w14:paraId="5E8F51AF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</w:tr>
      <w:tr w14:paraId="47A1913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19" w:type="dxa"/>
            <w:vAlign w:val="top"/>
          </w:tcPr>
          <w:p w14:paraId="634854DE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2735" w:type="dxa"/>
            <w:vAlign w:val="top"/>
          </w:tcPr>
          <w:p w14:paraId="6FCCA26C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2573" w:type="dxa"/>
            <w:vAlign w:val="top"/>
          </w:tcPr>
          <w:p w14:paraId="072CB403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2073" w:type="dxa"/>
            <w:vAlign w:val="top"/>
          </w:tcPr>
          <w:p w14:paraId="52333ECA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</w:tr>
      <w:tr w14:paraId="2D7C700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19" w:type="dxa"/>
            <w:vAlign w:val="top"/>
          </w:tcPr>
          <w:p w14:paraId="07B9EFD1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2735" w:type="dxa"/>
            <w:vAlign w:val="top"/>
          </w:tcPr>
          <w:p w14:paraId="4194C541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2573" w:type="dxa"/>
            <w:vAlign w:val="top"/>
          </w:tcPr>
          <w:p w14:paraId="5518FFA5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2073" w:type="dxa"/>
            <w:vAlign w:val="top"/>
          </w:tcPr>
          <w:p w14:paraId="624F76CD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</w:tr>
    </w:tbl>
    <w:p w14:paraId="7C6EBDC0">
      <w:pPr>
        <w:snapToGrid w:val="0"/>
        <w:spacing w:line="360" w:lineRule="auto"/>
        <w:ind w:right="-197" w:rightChars="-94" w:firstLine="560" w:firstLineChars="200"/>
        <w:jc w:val="left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说明：1、本表只填写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响应文件</w:t>
      </w:r>
      <w:r>
        <w:rPr>
          <w:rFonts w:hint="eastAsia" w:ascii="仿宋_GB2312" w:hAnsi="仿宋_GB2312" w:eastAsia="仿宋_GB2312" w:cs="仿宋_GB2312"/>
          <w:sz w:val="28"/>
          <w:szCs w:val="28"/>
        </w:rPr>
        <w:t>中与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磋商文件</w:t>
      </w:r>
      <w:r>
        <w:rPr>
          <w:rFonts w:hint="eastAsia" w:ascii="仿宋_GB2312" w:hAnsi="仿宋_GB2312" w:eastAsia="仿宋_GB2312" w:cs="仿宋_GB2312"/>
          <w:sz w:val="28"/>
          <w:szCs w:val="28"/>
        </w:rPr>
        <w:t>有偏离（包括正偏离和负偏离）的内容，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响应文件</w:t>
      </w:r>
      <w:r>
        <w:rPr>
          <w:rFonts w:hint="eastAsia" w:ascii="仿宋_GB2312" w:hAnsi="仿宋_GB2312" w:eastAsia="仿宋_GB2312" w:cs="仿宋_GB2312"/>
          <w:sz w:val="28"/>
          <w:szCs w:val="28"/>
        </w:rPr>
        <w:t>中合同条款响应与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磋商文件</w:t>
      </w:r>
      <w:r>
        <w:rPr>
          <w:rFonts w:hint="eastAsia" w:ascii="仿宋_GB2312" w:hAnsi="仿宋_GB2312" w:eastAsia="仿宋_GB2312" w:cs="仿宋_GB2312"/>
          <w:sz w:val="28"/>
          <w:szCs w:val="28"/>
        </w:rPr>
        <w:t>拟签订的合同条款文本中的内容完全一致的，不用在此表中列出，但必须提供空白表。</w:t>
      </w:r>
    </w:p>
    <w:p w14:paraId="07DDF86B">
      <w:pPr>
        <w:snapToGrid w:val="0"/>
        <w:spacing w:line="360" w:lineRule="auto"/>
        <w:ind w:right="-197" w:rightChars="-94" w:firstLine="560" w:firstLineChars="200"/>
        <w:jc w:val="left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2、偏离填写：正偏离、负偏离、相同。</w:t>
      </w:r>
    </w:p>
    <w:p w14:paraId="2979AEFE">
      <w:pPr>
        <w:snapToGrid w:val="0"/>
        <w:spacing w:line="360" w:lineRule="auto"/>
        <w:ind w:right="-197" w:rightChars="-94" w:firstLine="560" w:firstLineChars="200"/>
        <w:jc w:val="left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3、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供应商</w:t>
      </w:r>
      <w:r>
        <w:rPr>
          <w:rFonts w:hint="eastAsia" w:ascii="仿宋_GB2312" w:hAnsi="仿宋_GB2312" w:eastAsia="仿宋_GB2312" w:cs="仿宋_GB2312"/>
          <w:sz w:val="28"/>
          <w:szCs w:val="28"/>
        </w:rPr>
        <w:t>必须据实填写不得虚假响应，如若虚假响应，将取消其投标或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成交</w:t>
      </w:r>
      <w:r>
        <w:rPr>
          <w:rFonts w:hint="eastAsia" w:ascii="仿宋_GB2312" w:hAnsi="仿宋_GB2312" w:eastAsia="仿宋_GB2312" w:cs="仿宋_GB2312"/>
          <w:sz w:val="28"/>
          <w:szCs w:val="28"/>
        </w:rPr>
        <w:t>资格，并按有关规定进行处罚。</w:t>
      </w:r>
    </w:p>
    <w:p w14:paraId="7609F34C">
      <w:pPr>
        <w:spacing w:line="360" w:lineRule="auto"/>
        <w:ind w:firstLine="560" w:firstLineChars="200"/>
        <w:rPr>
          <w:rFonts w:hint="eastAsia" w:ascii="仿宋_GB2312" w:hAnsi="宋体" w:eastAsia="仿宋_GB2312"/>
          <w:sz w:val="28"/>
          <w:szCs w:val="28"/>
        </w:rPr>
      </w:pPr>
    </w:p>
    <w:p w14:paraId="679EE194">
      <w:pPr>
        <w:spacing w:line="360" w:lineRule="auto"/>
        <w:ind w:firstLine="1680" w:firstLineChars="6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供应商名称</w:t>
      </w:r>
      <w:r>
        <w:rPr>
          <w:rFonts w:hint="eastAsia" w:ascii="仿宋_GB2312" w:hAnsi="宋体" w:eastAsia="仿宋_GB2312"/>
          <w:sz w:val="28"/>
          <w:szCs w:val="28"/>
        </w:rPr>
        <w:t>（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盖</w:t>
      </w:r>
      <w:r>
        <w:rPr>
          <w:rFonts w:hint="eastAsia" w:ascii="仿宋_GB2312" w:hAnsi="宋体" w:eastAsia="仿宋_GB2312"/>
          <w:sz w:val="28"/>
          <w:szCs w:val="28"/>
        </w:rPr>
        <w:t>章）：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                     </w:t>
      </w:r>
    </w:p>
    <w:p w14:paraId="4ED693FE">
      <w:pPr>
        <w:adjustRightInd w:val="0"/>
        <w:snapToGrid w:val="0"/>
        <w:spacing w:line="360" w:lineRule="auto"/>
        <w:ind w:firstLine="1680" w:firstLineChars="600"/>
        <w:rPr>
          <w:rFonts w:ascii="仿宋_GB2312" w:hAnsi="宋体" w:eastAsia="仿宋_GB2312"/>
          <w:sz w:val="28"/>
          <w:szCs w:val="28"/>
          <w:u w:val="single"/>
        </w:rPr>
      </w:pPr>
      <w:r>
        <w:rPr>
          <w:rFonts w:hint="eastAsia" w:ascii="仿宋_GB2312" w:hAnsi="宋体" w:eastAsia="仿宋_GB2312"/>
          <w:sz w:val="28"/>
          <w:szCs w:val="28"/>
        </w:rPr>
        <w:t>法定代表人或授权代表（签字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或盖章</w:t>
      </w:r>
      <w:r>
        <w:rPr>
          <w:rFonts w:hint="eastAsia" w:ascii="仿宋_GB2312" w:hAnsi="宋体" w:eastAsia="仿宋_GB2312"/>
          <w:sz w:val="28"/>
          <w:szCs w:val="28"/>
        </w:rPr>
        <w:t>）：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  <w:u w:val="single"/>
          <w:lang w:val="en-US" w:eastAsia="zh-CN"/>
        </w:rPr>
        <w:t xml:space="preserve">    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</w:t>
      </w:r>
    </w:p>
    <w:p w14:paraId="6350D214">
      <w:pPr>
        <w:adjustRightInd w:val="0"/>
        <w:snapToGrid w:val="0"/>
        <w:spacing w:line="360" w:lineRule="auto"/>
        <w:ind w:firstLine="1680" w:firstLineChars="600"/>
        <w:rPr>
          <w:rFonts w:hint="default" w:ascii="仿宋_GB2312" w:hAnsi="宋体" w:eastAsia="仿宋_GB2312"/>
          <w:sz w:val="28"/>
          <w:szCs w:val="28"/>
          <w:u w:val="single"/>
          <w:lang w:val="en-US" w:eastAsia="zh-CN"/>
        </w:rPr>
      </w:pPr>
      <w:r>
        <w:rPr>
          <w:rFonts w:hint="eastAsia" w:ascii="仿宋_GB2312" w:hAnsi="宋体" w:eastAsia="仿宋_GB2312"/>
          <w:sz w:val="28"/>
          <w:szCs w:val="28"/>
        </w:rPr>
        <w:t>日    期：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                         </w:t>
      </w:r>
      <w:r>
        <w:rPr>
          <w:rFonts w:hint="eastAsia" w:ascii="仿宋_GB2312" w:hAnsi="宋体" w:eastAsia="仿宋_GB2312"/>
          <w:sz w:val="28"/>
          <w:szCs w:val="28"/>
          <w:u w:val="single"/>
          <w:lang w:val="en-US" w:eastAsia="zh-CN"/>
        </w:rPr>
        <w:t xml:space="preserve">    </w:t>
      </w:r>
    </w:p>
    <w:p w14:paraId="53FC2B27"/>
    <w:p w14:paraId="0D499DAB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5037FD3"/>
    <w:rsid w:val="3A9335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99"/>
    <w:pPr>
      <w:ind w:firstLine="420"/>
    </w:pPr>
    <w:rPr>
      <w:szCs w:val="20"/>
    </w:rPr>
  </w:style>
  <w:style w:type="paragraph" w:styleId="3">
    <w:name w:val="Body Text"/>
    <w:basedOn w:val="1"/>
    <w:qFormat/>
    <w:uiPriority w:val="0"/>
    <w:rPr>
      <w:rFonts w:ascii="宋体" w:hAnsi="宋体" w:eastAsia="宋体" w:cs="宋体"/>
      <w:sz w:val="18"/>
      <w:szCs w:val="18"/>
    </w:rPr>
  </w:style>
  <w:style w:type="paragraph" w:styleId="4">
    <w:name w:val="Plain Text"/>
    <w:basedOn w:val="1"/>
    <w:qFormat/>
    <w:uiPriority w:val="0"/>
    <w:pPr>
      <w:spacing w:line="324" w:lineRule="auto"/>
    </w:pPr>
    <w:rPr>
      <w:rFonts w:ascii="宋体" w:hAnsi="Courier New" w:cs="Courier New"/>
    </w:rPr>
  </w:style>
  <w:style w:type="paragraph" w:styleId="5">
    <w:name w:val="Body Text First Indent"/>
    <w:basedOn w:val="3"/>
    <w:unhideWhenUsed/>
    <w:qFormat/>
    <w:uiPriority w:val="99"/>
    <w:pPr>
      <w:ind w:firstLine="420" w:firstLineChars="100"/>
    </w:pPr>
    <w:rPr>
      <w:rFonts w:ascii="Times New Roman" w:hAnsi="Times New Roma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320</Words>
  <Characters>320</Characters>
  <Lines>0</Lines>
  <Paragraphs>0</Paragraphs>
  <TotalTime>0</TotalTime>
  <ScaleCrop>false</ScaleCrop>
  <LinksUpToDate>false</LinksUpToDate>
  <CharactersWithSpaces>340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2026-07-14T07:35:00Z</dcterms:created>
  <dc:creator>Administrator</dc:creator>
  <cp:lastModifiedBy>北猫</cp:lastModifiedBy>
  <dcterms:modified xsi:type="dcterms:W3CDTF">2026-07-14T07:38:37Z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eyJoZGlkIjoiN2ExNTk0ZWZlM2EyODk3MDExZDk1N2E1NjAzMzcxYjkiLCJ1c2VySWQiOiI1MDI4MDY1ODgifQ==</vt:lpwstr>
  </property>
  <property fmtid="{D5CDD505-2E9C-101B-9397-08002B2CF9AE}" pid="4" name="ICV">
    <vt:lpwstr>8D4338CCEC074A0F88BA08B2FF979004_12</vt:lpwstr>
  </property>
</Properties>
</file>