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98C5A">
      <w:pPr>
        <w:pStyle w:val="8"/>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 w:hAnsi="仿宋" w:cs="仿宋"/>
          <w:b/>
          <w:sz w:val="47"/>
          <w:szCs w:val="47"/>
          <w:highlight w:val="none"/>
          <w:lang w:eastAsia="zh-CN"/>
        </w:rPr>
      </w:pPr>
    </w:p>
    <w:p w14:paraId="00409B8E">
      <w:pPr>
        <w:pStyle w:val="8"/>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 w:hAnsi="仿宋" w:cs="仿宋"/>
          <w:b/>
          <w:sz w:val="47"/>
          <w:szCs w:val="47"/>
          <w:highlight w:val="none"/>
          <w:lang w:eastAsia="zh-CN"/>
        </w:rPr>
      </w:pPr>
    </w:p>
    <w:p w14:paraId="6FDD553E">
      <w:pPr>
        <w:pStyle w:val="20"/>
        <w:spacing w:before="0" w:after="0"/>
        <w:ind w:firstLine="0"/>
        <w:jc w:val="center"/>
        <w:rPr>
          <w:rFonts w:hint="eastAsia" w:ascii="仿宋" w:hAnsi="仿宋" w:eastAsia="仿宋" w:cs="仿宋"/>
          <w:b/>
          <w:color w:val="auto"/>
          <w:sz w:val="49"/>
          <w:szCs w:val="49"/>
          <w:highlight w:val="none"/>
          <w:lang w:eastAsia="zh-CN"/>
        </w:rPr>
      </w:pPr>
      <w:r>
        <w:rPr>
          <w:rFonts w:hint="eastAsia" w:ascii="仿宋" w:hAnsi="仿宋" w:eastAsia="仿宋" w:cs="仿宋"/>
          <w:b/>
          <w:color w:val="auto"/>
          <w:sz w:val="49"/>
          <w:szCs w:val="49"/>
          <w:highlight w:val="none"/>
          <w:lang w:val="en-US" w:eastAsia="zh-CN"/>
        </w:rPr>
        <w:t>陕西省财政厅陕西省道路交通事故社会救助基金管理服务项目</w:t>
      </w:r>
    </w:p>
    <w:p w14:paraId="1247B076">
      <w:pPr>
        <w:pStyle w:val="20"/>
        <w:spacing w:before="0" w:after="0"/>
        <w:ind w:firstLine="0"/>
        <w:jc w:val="center"/>
        <w:rPr>
          <w:rFonts w:hint="eastAsia" w:ascii="仿宋" w:hAnsi="仿宋" w:eastAsia="仿宋" w:cs="仿宋"/>
          <w:b/>
          <w:color w:val="auto"/>
          <w:szCs w:val="28"/>
          <w:highlight w:val="none"/>
        </w:rPr>
      </w:pPr>
      <w:r>
        <w:rPr>
          <w:rFonts w:hint="eastAsia" w:ascii="仿宋" w:hAnsi="仿宋" w:eastAsia="仿宋" w:cs="仿宋"/>
          <w:b/>
          <w:color w:val="auto"/>
          <w:sz w:val="49"/>
          <w:szCs w:val="49"/>
          <w:highlight w:val="none"/>
          <w:lang w:eastAsia="zh-CN"/>
        </w:rPr>
        <w:t>项目</w:t>
      </w:r>
    </w:p>
    <w:p w14:paraId="1FD9F53E">
      <w:pPr>
        <w:rPr>
          <w:rFonts w:hint="eastAsia"/>
          <w:color w:val="auto"/>
          <w:highlight w:val="none"/>
        </w:rPr>
      </w:pPr>
    </w:p>
    <w:p w14:paraId="20FE58AE">
      <w:pPr>
        <w:pStyle w:val="23"/>
        <w:rPr>
          <w:rFonts w:hint="eastAsia"/>
          <w:color w:val="auto"/>
          <w:highlight w:val="none"/>
        </w:rPr>
      </w:pPr>
      <w:bookmarkStart w:id="0" w:name="_GoBack"/>
      <w:bookmarkEnd w:id="0"/>
    </w:p>
    <w:p w14:paraId="0709C349">
      <w:pPr>
        <w:pStyle w:val="23"/>
        <w:rPr>
          <w:rFonts w:hint="eastAsia"/>
          <w:color w:val="auto"/>
          <w:highlight w:val="none"/>
        </w:rPr>
      </w:pPr>
    </w:p>
    <w:p w14:paraId="4D5A0001">
      <w:pPr>
        <w:pStyle w:val="23"/>
        <w:rPr>
          <w:rFonts w:hint="eastAsia"/>
          <w:color w:val="auto"/>
          <w:highlight w:val="none"/>
        </w:rPr>
      </w:pPr>
    </w:p>
    <w:p w14:paraId="3D6A905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 w:hAnsi="仿宋" w:eastAsia="仿宋" w:cs="仿宋"/>
          <w:b/>
          <w:color w:val="auto"/>
          <w:kern w:val="0"/>
          <w:sz w:val="52"/>
          <w:szCs w:val="52"/>
          <w:highlight w:val="none"/>
        </w:rPr>
      </w:pPr>
      <w:r>
        <w:rPr>
          <w:rFonts w:hint="eastAsia" w:ascii="仿宋" w:hAnsi="仿宋" w:eastAsia="仿宋" w:cs="仿宋"/>
          <w:b/>
          <w:color w:val="auto"/>
          <w:kern w:val="0"/>
          <w:sz w:val="52"/>
          <w:szCs w:val="52"/>
          <w:highlight w:val="none"/>
        </w:rPr>
        <w:t>合 同 书</w:t>
      </w:r>
    </w:p>
    <w:p w14:paraId="35ECB2A4">
      <w:pPr>
        <w:spacing w:line="560" w:lineRule="exact"/>
        <w:jc w:val="center"/>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28"/>
          <w:szCs w:val="28"/>
          <w:highlight w:val="none"/>
        </w:rPr>
        <w:t>（本格式条款为合同基本条款，甲乙双方可根据项目实际情况增加条款和内容）</w:t>
      </w:r>
    </w:p>
    <w:p w14:paraId="7DAC4D5D">
      <w:pPr>
        <w:pStyle w:val="8"/>
        <w:rPr>
          <w:rFonts w:hint="eastAsia" w:ascii="仿宋" w:hAnsi="仿宋" w:eastAsia="仿宋" w:cs="仿宋"/>
          <w:b/>
          <w:color w:val="auto"/>
          <w:kern w:val="0"/>
          <w:sz w:val="36"/>
          <w:szCs w:val="36"/>
          <w:highlight w:val="none"/>
        </w:rPr>
      </w:pPr>
    </w:p>
    <w:p w14:paraId="3EE2CF82">
      <w:pPr>
        <w:pStyle w:val="8"/>
        <w:rPr>
          <w:rFonts w:hint="eastAsia" w:ascii="仿宋" w:hAnsi="仿宋" w:eastAsia="仿宋" w:cs="仿宋"/>
          <w:b/>
          <w:color w:val="auto"/>
          <w:kern w:val="0"/>
          <w:sz w:val="36"/>
          <w:szCs w:val="36"/>
          <w:highlight w:val="none"/>
        </w:rPr>
      </w:pPr>
    </w:p>
    <w:p w14:paraId="3EB438DF">
      <w:pPr>
        <w:pStyle w:val="8"/>
        <w:rPr>
          <w:rFonts w:hint="eastAsia" w:ascii="仿宋" w:hAnsi="仿宋" w:eastAsia="仿宋" w:cs="仿宋"/>
          <w:b/>
          <w:color w:val="auto"/>
          <w:kern w:val="0"/>
          <w:sz w:val="36"/>
          <w:szCs w:val="36"/>
          <w:highlight w:val="none"/>
        </w:rPr>
      </w:pPr>
    </w:p>
    <w:p w14:paraId="0DAFFD2C">
      <w:pPr>
        <w:spacing w:line="560" w:lineRule="exact"/>
        <w:jc w:val="center"/>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合同编号：XXXX</w:t>
      </w:r>
    </w:p>
    <w:p w14:paraId="0DA5B23D">
      <w:pPr>
        <w:rPr>
          <w:color w:val="auto"/>
          <w:highlight w:val="none"/>
        </w:rPr>
      </w:pPr>
    </w:p>
    <w:p w14:paraId="6E88A8BD">
      <w:pPr>
        <w:pStyle w:val="6"/>
        <w:rPr>
          <w:color w:val="auto"/>
          <w:highlight w:val="none"/>
        </w:rPr>
      </w:pPr>
    </w:p>
    <w:p w14:paraId="1ECDB951">
      <w:pPr>
        <w:pStyle w:val="9"/>
        <w:rPr>
          <w:color w:val="auto"/>
          <w:highlight w:val="none"/>
        </w:rPr>
      </w:pPr>
    </w:p>
    <w:p w14:paraId="0A44C54A">
      <w:pPr>
        <w:rPr>
          <w:color w:val="auto"/>
          <w:highlight w:val="none"/>
        </w:rPr>
      </w:pPr>
    </w:p>
    <w:p w14:paraId="5FDC7617">
      <w:pPr>
        <w:pStyle w:val="10"/>
        <w:rPr>
          <w:color w:val="auto"/>
          <w:highlight w:val="none"/>
        </w:rPr>
      </w:pPr>
    </w:p>
    <w:p w14:paraId="5AFC74A7">
      <w:pPr>
        <w:pStyle w:val="10"/>
        <w:rPr>
          <w:color w:val="auto"/>
          <w:highlight w:val="none"/>
        </w:rPr>
      </w:pPr>
    </w:p>
    <w:p w14:paraId="292DAD75">
      <w:pPr>
        <w:rPr>
          <w:color w:val="auto"/>
          <w:highlight w:val="none"/>
        </w:rPr>
      </w:pPr>
    </w:p>
    <w:p w14:paraId="4A6679C3">
      <w:pPr>
        <w:spacing w:line="560" w:lineRule="exact"/>
        <w:ind w:left="1469" w:hanging="1469" w:hangingChars="400"/>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 xml:space="preserve">          甲方（</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15"/>
          <w:rFonts w:hint="default"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w:t>
      </w:r>
      <w:r>
        <w:rPr>
          <w:rFonts w:hint="eastAsia" w:ascii="仿宋" w:hAnsi="仿宋" w:eastAsia="仿宋" w:cs="仿宋"/>
          <w:b/>
          <w:color w:val="auto"/>
          <w:spacing w:val="23"/>
          <w:sz w:val="32"/>
          <w:szCs w:val="32"/>
          <w:highlight w:val="none"/>
          <w:u w:val="single"/>
          <w:lang w:bidi="ar"/>
        </w:rPr>
        <w:t xml:space="preserve">           .</w:t>
      </w:r>
    </w:p>
    <w:p w14:paraId="7B07B833">
      <w:pPr>
        <w:spacing w:line="560" w:lineRule="exact"/>
        <w:ind w:left="1469" w:hanging="1469" w:hangingChars="400"/>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 xml:space="preserve">          </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15"/>
          <w:rFonts w:hint="default"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（供应商）：</w:t>
      </w:r>
      <w:r>
        <w:rPr>
          <w:rFonts w:hint="eastAsia" w:ascii="仿宋" w:hAnsi="仿宋" w:eastAsia="仿宋" w:cs="仿宋"/>
          <w:b/>
          <w:color w:val="auto"/>
          <w:spacing w:val="23"/>
          <w:sz w:val="32"/>
          <w:szCs w:val="32"/>
          <w:highlight w:val="none"/>
          <w:u w:val="single"/>
          <w:lang w:bidi="ar"/>
        </w:rPr>
        <w:t xml:space="preserve">           .</w:t>
      </w:r>
    </w:p>
    <w:p w14:paraId="74FC6ABA">
      <w:pPr>
        <w:pStyle w:val="11"/>
        <w:adjustRightInd w:val="0"/>
        <w:spacing w:line="560" w:lineRule="exact"/>
        <w:rPr>
          <w:rFonts w:hint="eastAsia" w:ascii="仿宋" w:hAnsi="仿宋" w:eastAsia="仿宋" w:cs="仿宋"/>
          <w:b/>
          <w:color w:val="auto"/>
          <w:sz w:val="36"/>
          <w:szCs w:val="36"/>
          <w:highlight w:val="none"/>
          <w:lang w:bidi="ar"/>
        </w:rPr>
      </w:pPr>
      <w:r>
        <w:rPr>
          <w:rFonts w:hint="eastAsia" w:ascii="仿宋" w:hAnsi="仿宋" w:eastAsia="仿宋" w:cs="仿宋"/>
          <w:b/>
          <w:color w:val="auto"/>
          <w:spacing w:val="23"/>
          <w:kern w:val="0"/>
          <w:sz w:val="32"/>
          <w:szCs w:val="32"/>
          <w:highlight w:val="none"/>
          <w:lang w:bidi="ar"/>
        </w:rPr>
        <w:t xml:space="preserve">          签订时间：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u w:val="single"/>
          <w:lang w:val="en-US" w:eastAsia="zh-CN" w:bidi="ar"/>
        </w:rPr>
        <w:t xml:space="preserve"> </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月</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日</w:t>
      </w:r>
    </w:p>
    <w:p w14:paraId="7F0E4AC1">
      <w:pPr>
        <w:keepNext w:val="0"/>
        <w:keepLines w:val="0"/>
        <w:pageBreakBefore w:val="0"/>
        <w:widowControl w:val="0"/>
        <w:kinsoku/>
        <w:wordWrap/>
        <w:overflowPunct/>
        <w:topLinePunct w:val="0"/>
        <w:autoSpaceDE/>
        <w:autoSpaceDN/>
        <w:bidi w:val="0"/>
        <w:spacing w:line="480" w:lineRule="exact"/>
        <w:ind w:left="0" w:leftChars="0" w:firstLine="562" w:firstLineChars="200"/>
        <w:jc w:val="left"/>
        <w:outlineLvl w:val="9"/>
        <w:rPr>
          <w:rFonts w:hint="eastAsia" w:ascii="仿宋" w:hAnsi="仿宋" w:eastAsia="仿宋" w:cs="仿宋"/>
          <w:b/>
          <w:bCs/>
          <w:color w:val="000000"/>
          <w:sz w:val="28"/>
          <w:szCs w:val="28"/>
        </w:rPr>
      </w:pPr>
      <w:r>
        <w:rPr>
          <w:rFonts w:hint="eastAsia" w:ascii="仿宋" w:hAnsi="仿宋" w:eastAsia="仿宋" w:cs="仿宋"/>
          <w:b/>
          <w:bCs/>
          <w:color w:val="000000"/>
          <w:sz w:val="28"/>
          <w:szCs w:val="28"/>
        </w:rPr>
        <w:t>甲方：</w:t>
      </w:r>
    </w:p>
    <w:p w14:paraId="2C84FF56">
      <w:pPr>
        <w:keepNext w:val="0"/>
        <w:keepLines w:val="0"/>
        <w:pageBreakBefore w:val="0"/>
        <w:widowControl w:val="0"/>
        <w:kinsoku/>
        <w:wordWrap/>
        <w:overflowPunct/>
        <w:topLinePunct w:val="0"/>
        <w:autoSpaceDE/>
        <w:autoSpaceDN/>
        <w:bidi w:val="0"/>
        <w:spacing w:line="480" w:lineRule="exact"/>
        <w:ind w:left="0" w:leftChars="0" w:firstLine="562" w:firstLineChars="200"/>
        <w:jc w:val="left"/>
        <w:outlineLvl w:val="9"/>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乙方：</w:t>
      </w:r>
    </w:p>
    <w:p w14:paraId="092273D0">
      <w:pPr>
        <w:keepNext w:val="0"/>
        <w:keepLines w:val="0"/>
        <w:pageBreakBefore w:val="0"/>
        <w:widowControl w:val="0"/>
        <w:kinsoku/>
        <w:wordWrap/>
        <w:overflowPunct/>
        <w:topLinePunct w:val="0"/>
        <w:autoSpaceDE/>
        <w:autoSpaceDN/>
        <w:bidi w:val="0"/>
        <w:spacing w:line="480" w:lineRule="exact"/>
        <w:ind w:left="0" w:leftChars="0" w:firstLine="560" w:firstLineChars="200"/>
        <w:jc w:val="left"/>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根据《中华人民共和国民法典》《中华人民共和国政府采购法》等法律、法规规定，按照文件规定条款和乙方</w:t>
      </w:r>
      <w:r>
        <w:rPr>
          <w:rFonts w:hint="eastAsia" w:ascii="仿宋" w:hAnsi="仿宋" w:eastAsia="仿宋" w:cs="仿宋"/>
          <w:bCs/>
          <w:color w:val="000000"/>
          <w:sz w:val="28"/>
          <w:szCs w:val="28"/>
          <w:lang w:eastAsia="zh-CN"/>
        </w:rPr>
        <w:t>服务</w:t>
      </w:r>
      <w:r>
        <w:rPr>
          <w:rFonts w:hint="eastAsia" w:ascii="仿宋" w:hAnsi="仿宋" w:eastAsia="仿宋" w:cs="仿宋"/>
          <w:bCs/>
          <w:color w:val="000000"/>
          <w:sz w:val="28"/>
          <w:szCs w:val="28"/>
        </w:rPr>
        <w:t>承诺，甲乙双方在平等、自愿、协商一致的基础上，就陕西省道路交通事故社会救助基金</w:t>
      </w:r>
      <w:r>
        <w:rPr>
          <w:rFonts w:hint="eastAsia" w:ascii="仿宋" w:hAnsi="仿宋" w:eastAsia="仿宋" w:cs="仿宋"/>
          <w:bCs/>
          <w:color w:val="000000"/>
          <w:sz w:val="28"/>
          <w:szCs w:val="28"/>
          <w:lang w:val="en-US" w:eastAsia="zh-CN"/>
        </w:rPr>
        <w:t>服务</w:t>
      </w:r>
      <w:r>
        <w:rPr>
          <w:rFonts w:hint="eastAsia" w:ascii="仿宋" w:hAnsi="仿宋" w:eastAsia="仿宋" w:cs="仿宋"/>
          <w:bCs/>
          <w:color w:val="000000"/>
          <w:sz w:val="28"/>
          <w:szCs w:val="28"/>
        </w:rPr>
        <w:t>项目（以下简称“救助基金”）有关事宜签署本合同，具体内容如下：</w:t>
      </w:r>
    </w:p>
    <w:p w14:paraId="1CE003E7">
      <w:pPr>
        <w:keepNext w:val="0"/>
        <w:keepLines w:val="0"/>
        <w:pageBreakBefore w:val="0"/>
        <w:widowControl w:val="0"/>
        <w:kinsoku/>
        <w:wordWrap/>
        <w:overflowPunct/>
        <w:topLinePunct w:val="0"/>
        <w:autoSpaceDE/>
        <w:autoSpaceDN/>
        <w:bidi w:val="0"/>
        <w:spacing w:line="480" w:lineRule="exact"/>
        <w:jc w:val="left"/>
        <w:outlineLvl w:val="9"/>
        <w:rPr>
          <w:rFonts w:hint="eastAsia" w:ascii="仿宋" w:hAnsi="仿宋" w:eastAsia="仿宋" w:cs="仿宋"/>
          <w:b/>
          <w:color w:val="000000"/>
          <w:sz w:val="28"/>
          <w:szCs w:val="28"/>
          <w:highlight w:val="none"/>
          <w:lang w:eastAsia="zh-CN"/>
        </w:rPr>
      </w:pPr>
      <w:r>
        <w:rPr>
          <w:rFonts w:hint="eastAsia" w:ascii="仿宋" w:hAnsi="仿宋" w:eastAsia="仿宋" w:cs="仿宋"/>
          <w:b/>
          <w:color w:val="000000"/>
          <w:sz w:val="28"/>
          <w:szCs w:val="28"/>
        </w:rPr>
        <w:t>一、</w:t>
      </w:r>
      <w:r>
        <w:rPr>
          <w:rFonts w:hint="eastAsia" w:ascii="仿宋" w:hAnsi="仿宋" w:eastAsia="仿宋" w:cs="仿宋"/>
          <w:b/>
          <w:color w:val="000000"/>
          <w:sz w:val="28"/>
          <w:szCs w:val="28"/>
          <w:highlight w:val="none"/>
          <w:lang w:eastAsia="zh-CN"/>
        </w:rPr>
        <w:t>服务项目内容</w:t>
      </w:r>
    </w:p>
    <w:p w14:paraId="6CBBC7A2">
      <w:pPr>
        <w:keepNext w:val="0"/>
        <w:keepLines w:val="0"/>
        <w:pageBreakBefore w:val="0"/>
        <w:widowControl w:val="0"/>
        <w:kinsoku/>
        <w:wordWrap/>
        <w:overflowPunct/>
        <w:topLinePunct w:val="0"/>
        <w:autoSpaceDE/>
        <w:autoSpaceDN/>
        <w:bidi w:val="0"/>
        <w:spacing w:line="480" w:lineRule="exact"/>
        <w:ind w:left="0" w:leftChars="0" w:firstLine="560" w:firstLineChars="200"/>
        <w:jc w:val="left"/>
        <w:outlineLvl w:val="9"/>
        <w:rPr>
          <w:rFonts w:hint="eastAsia" w:ascii="仿宋" w:hAnsi="仿宋" w:eastAsia="仿宋" w:cs="仿宋"/>
          <w:color w:val="000000"/>
          <w:sz w:val="28"/>
          <w:szCs w:val="28"/>
          <w:highlight w:val="none"/>
          <w:shd w:val="clear" w:color="auto" w:fill="FFFFFF"/>
          <w:lang w:eastAsia="zh-CN"/>
        </w:rPr>
      </w:pPr>
      <w:r>
        <w:rPr>
          <w:rFonts w:hint="eastAsia" w:ascii="仿宋" w:hAnsi="仿宋" w:eastAsia="仿宋" w:cs="仿宋"/>
          <w:color w:val="000000"/>
          <w:sz w:val="28"/>
          <w:szCs w:val="28"/>
          <w:highlight w:val="none"/>
          <w:shd w:val="clear" w:color="auto" w:fill="FFFFFF"/>
        </w:rPr>
        <w:t>救助基金管理机构负责救助基金日常运营管理，健全完善工作机制和管理制度，</w:t>
      </w:r>
      <w:r>
        <w:rPr>
          <w:rFonts w:hint="eastAsia" w:ascii="仿宋" w:hAnsi="仿宋" w:eastAsia="仿宋" w:cs="仿宋"/>
          <w:color w:val="000000"/>
          <w:sz w:val="28"/>
          <w:szCs w:val="28"/>
          <w:highlight w:val="none"/>
          <w:shd w:val="clear" w:color="auto" w:fill="FFFFFF"/>
          <w:lang w:eastAsia="zh-CN"/>
        </w:rPr>
        <w:t>遵照《陕西省道路交通事故社会救助基金管理实施细则》</w:t>
      </w:r>
      <w:r>
        <w:rPr>
          <w:rFonts w:hint="eastAsia" w:ascii="仿宋" w:hAnsi="仿宋" w:eastAsia="仿宋" w:cs="仿宋"/>
          <w:bCs/>
          <w:color w:val="000000"/>
          <w:sz w:val="28"/>
          <w:szCs w:val="28"/>
          <w:highlight w:val="none"/>
          <w:lang w:eastAsia="zh-CN"/>
        </w:rPr>
        <w:t>（陕财办</w:t>
      </w:r>
      <w:r>
        <w:rPr>
          <w:rFonts w:hint="eastAsia" w:ascii="仿宋" w:hAnsi="仿宋" w:eastAsia="仿宋" w:cs="仿宋"/>
          <w:bCs/>
          <w:color w:val="000000"/>
          <w:sz w:val="28"/>
          <w:szCs w:val="28"/>
          <w:highlight w:val="none"/>
          <w:lang w:val="en-US" w:eastAsia="zh-CN"/>
        </w:rPr>
        <w:t>〔2022〕32号</w:t>
      </w:r>
      <w:r>
        <w:rPr>
          <w:rFonts w:hint="eastAsia" w:ascii="仿宋" w:hAnsi="仿宋" w:eastAsia="仿宋" w:cs="仿宋"/>
          <w:bCs/>
          <w:color w:val="000000"/>
          <w:sz w:val="28"/>
          <w:szCs w:val="28"/>
          <w:highlight w:val="none"/>
          <w:lang w:eastAsia="zh-CN"/>
        </w:rPr>
        <w:t>）</w:t>
      </w:r>
      <w:r>
        <w:rPr>
          <w:rFonts w:hint="eastAsia" w:ascii="仿宋" w:hAnsi="仿宋" w:eastAsia="仿宋" w:cs="仿宋"/>
          <w:color w:val="000000"/>
          <w:sz w:val="28"/>
          <w:szCs w:val="28"/>
          <w:highlight w:val="none"/>
          <w:shd w:val="clear" w:color="auto" w:fill="FFFFFF"/>
        </w:rPr>
        <w:t>对</w:t>
      </w:r>
      <w:r>
        <w:rPr>
          <w:rFonts w:hint="eastAsia" w:ascii="仿宋" w:hAnsi="仿宋" w:eastAsia="仿宋" w:cs="仿宋"/>
          <w:color w:val="000000"/>
          <w:sz w:val="28"/>
          <w:szCs w:val="28"/>
          <w:highlight w:val="none"/>
          <w:shd w:val="clear" w:color="auto" w:fill="FFFFFF"/>
          <w:lang w:eastAsia="zh-CN"/>
        </w:rPr>
        <w:t>已申请救助</w:t>
      </w:r>
      <w:r>
        <w:rPr>
          <w:rFonts w:hint="eastAsia" w:ascii="仿宋" w:hAnsi="仿宋" w:eastAsia="仿宋" w:cs="仿宋"/>
          <w:color w:val="000000"/>
          <w:sz w:val="28"/>
          <w:szCs w:val="28"/>
          <w:highlight w:val="none"/>
          <w:shd w:val="clear" w:color="auto" w:fill="FFFFFF"/>
        </w:rPr>
        <w:t>案件进行受理、审批，对所有垫付案件进行审核、垫付、追偿</w:t>
      </w:r>
      <w:r>
        <w:rPr>
          <w:rFonts w:hint="eastAsia" w:ascii="仿宋" w:hAnsi="仿宋" w:eastAsia="仿宋" w:cs="仿宋"/>
          <w:color w:val="000000"/>
          <w:sz w:val="28"/>
          <w:szCs w:val="28"/>
          <w:highlight w:val="none"/>
          <w:shd w:val="clear" w:color="auto" w:fill="FFFFFF"/>
          <w:lang w:eastAsia="zh-CN"/>
        </w:rPr>
        <w:t>；依规开展社会宣传及基金管理办法规定的、省联席会议和联席会议办公室交办的其他事项等。</w:t>
      </w:r>
    </w:p>
    <w:p w14:paraId="2D4FF519">
      <w:pPr>
        <w:pStyle w:val="4"/>
        <w:keepNext w:val="0"/>
        <w:keepLines w:val="0"/>
        <w:pageBreakBefore w:val="0"/>
        <w:widowControl w:val="0"/>
        <w:numPr>
          <w:ilvl w:val="0"/>
          <w:numId w:val="0"/>
        </w:numPr>
        <w:kinsoku/>
        <w:wordWrap/>
        <w:overflowPunct/>
        <w:topLinePunct w:val="0"/>
        <w:autoSpaceDE/>
        <w:autoSpaceDN/>
        <w:bidi w:val="0"/>
        <w:spacing w:line="480" w:lineRule="exact"/>
        <w:outlineLvl w:val="9"/>
        <w:rPr>
          <w:rFonts w:hint="default" w:ascii="仿宋" w:hAnsi="仿宋" w:eastAsia="仿宋" w:cs="仿宋"/>
          <w:b/>
          <w:color w:val="000000"/>
          <w:kern w:val="2"/>
          <w:sz w:val="28"/>
          <w:szCs w:val="28"/>
          <w:highlight w:val="none"/>
          <w:lang w:val="en-US" w:eastAsia="zh-CN" w:bidi="ar-SA"/>
        </w:rPr>
      </w:pPr>
      <w:r>
        <w:rPr>
          <w:rFonts w:hint="eastAsia" w:ascii="仿宋" w:hAnsi="仿宋" w:eastAsia="仿宋" w:cs="仿宋"/>
          <w:b/>
          <w:color w:val="000000"/>
          <w:kern w:val="2"/>
          <w:sz w:val="28"/>
          <w:szCs w:val="28"/>
          <w:highlight w:val="none"/>
          <w:lang w:val="en-US" w:eastAsia="zh-CN" w:bidi="ar-SA"/>
        </w:rPr>
        <w:t>二、中标金额</w:t>
      </w:r>
    </w:p>
    <w:p w14:paraId="6D260D5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val="en-US" w:eastAsia="zh-CN" w:bidi="ar"/>
        </w:rPr>
        <w:t>中标</w:t>
      </w:r>
      <w:r>
        <w:rPr>
          <w:rFonts w:hint="eastAsia" w:ascii="仿宋" w:hAnsi="仿宋" w:eastAsia="仿宋" w:cs="仿宋"/>
          <w:b w:val="0"/>
          <w:bCs/>
          <w:color w:val="auto"/>
          <w:sz w:val="28"/>
          <w:szCs w:val="28"/>
          <w:highlight w:val="none"/>
          <w:lang w:eastAsia="zh-CN" w:bidi="ar"/>
        </w:rPr>
        <w:t>价格（含税）：</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(金额单位：人民币元)</w:t>
      </w:r>
    </w:p>
    <w:p w14:paraId="2149936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161796BA">
      <w:pPr>
        <w:keepNext w:val="0"/>
        <w:keepLines w:val="0"/>
        <w:pageBreakBefore w:val="0"/>
        <w:widowControl w:val="0"/>
        <w:numPr>
          <w:ilvl w:val="0"/>
          <w:numId w:val="0"/>
        </w:numPr>
        <w:kinsoku/>
        <w:wordWrap/>
        <w:overflowPunct/>
        <w:topLinePunct w:val="0"/>
        <w:autoSpaceDE/>
        <w:autoSpaceDN/>
        <w:bidi w:val="0"/>
        <w:spacing w:line="480" w:lineRule="exact"/>
        <w:ind w:left="0" w:leftChars="0" w:firstLine="560" w:firstLineChars="200"/>
        <w:outlineLvl w:val="9"/>
        <w:rPr>
          <w:rFonts w:hint="eastAsia" w:ascii="仿宋" w:hAnsi="仿宋" w:eastAsia="仿宋" w:cs="仿宋"/>
          <w:color w:val="000000"/>
          <w:kern w:val="2"/>
          <w:sz w:val="28"/>
          <w:szCs w:val="28"/>
          <w:highlight w:val="green"/>
          <w:shd w:val="clear" w:color="auto" w:fill="FFFFFF"/>
          <w:lang w:val="en-US" w:eastAsia="zh-CN" w:bidi="ar-SA"/>
        </w:rPr>
      </w:pPr>
      <w:r>
        <w:rPr>
          <w:rFonts w:hint="eastAsia" w:ascii="仿宋" w:hAnsi="仿宋" w:eastAsia="仿宋" w:cs="仿宋"/>
          <w:b w:val="0"/>
          <w:bCs/>
          <w:color w:val="auto"/>
          <w:sz w:val="28"/>
          <w:szCs w:val="28"/>
          <w:highlight w:val="none"/>
          <w:lang w:eastAsia="zh-CN" w:bidi="ar"/>
        </w:rPr>
        <w:t>拟派本项目负责人姓名：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p>
    <w:p w14:paraId="5FF5F2F8">
      <w:pPr>
        <w:keepNext w:val="0"/>
        <w:keepLines w:val="0"/>
        <w:pageBreakBefore w:val="0"/>
        <w:widowControl w:val="0"/>
        <w:kinsoku/>
        <w:wordWrap/>
        <w:overflowPunct/>
        <w:topLinePunct w:val="0"/>
        <w:autoSpaceDE/>
        <w:autoSpaceDN/>
        <w:bidi w:val="0"/>
        <w:spacing w:line="480" w:lineRule="exact"/>
        <w:jc w:val="left"/>
        <w:outlineLvl w:val="9"/>
        <w:rPr>
          <w:rFonts w:hint="eastAsia" w:ascii="仿宋" w:hAnsi="仿宋" w:eastAsia="仿宋" w:cs="仿宋"/>
          <w:b/>
          <w:color w:val="000000"/>
          <w:sz w:val="28"/>
          <w:szCs w:val="28"/>
          <w:highlight w:val="none"/>
          <w:lang w:eastAsia="zh-CN"/>
        </w:rPr>
      </w:pPr>
      <w:r>
        <w:rPr>
          <w:rFonts w:hint="eastAsia" w:ascii="仿宋" w:hAnsi="仿宋" w:eastAsia="仿宋" w:cs="仿宋"/>
          <w:b/>
          <w:color w:val="000000"/>
          <w:sz w:val="28"/>
          <w:szCs w:val="28"/>
          <w:highlight w:val="none"/>
          <w:lang w:eastAsia="zh-CN"/>
        </w:rPr>
        <w:t>三</w:t>
      </w:r>
      <w:r>
        <w:rPr>
          <w:rFonts w:hint="eastAsia" w:ascii="仿宋" w:hAnsi="仿宋" w:eastAsia="仿宋" w:cs="仿宋"/>
          <w:b/>
          <w:color w:val="000000"/>
          <w:sz w:val="28"/>
          <w:szCs w:val="28"/>
          <w:highlight w:val="none"/>
        </w:rPr>
        <w:t>、</w:t>
      </w:r>
      <w:r>
        <w:rPr>
          <w:rFonts w:hint="eastAsia" w:ascii="仿宋" w:hAnsi="仿宋" w:eastAsia="仿宋" w:cs="仿宋"/>
          <w:b/>
          <w:color w:val="000000"/>
          <w:sz w:val="28"/>
          <w:szCs w:val="28"/>
          <w:highlight w:val="none"/>
          <w:lang w:eastAsia="zh-CN"/>
        </w:rPr>
        <w:t>服务项目经费使用原则及绩效评估</w:t>
      </w:r>
    </w:p>
    <w:p w14:paraId="6497967E">
      <w:pPr>
        <w:keepNext w:val="0"/>
        <w:keepLines w:val="0"/>
        <w:pageBreakBefore w:val="0"/>
        <w:widowControl w:val="0"/>
        <w:kinsoku/>
        <w:wordWrap/>
        <w:overflowPunct/>
        <w:topLinePunct w:val="0"/>
        <w:autoSpaceDE/>
        <w:autoSpaceDN/>
        <w:bidi w:val="0"/>
        <w:spacing w:line="480" w:lineRule="exact"/>
        <w:ind w:left="0" w:leftChars="0" w:firstLine="560" w:firstLineChars="200"/>
        <w:jc w:val="left"/>
        <w:outlineLvl w:val="9"/>
        <w:rPr>
          <w:rFonts w:hint="eastAsia" w:ascii="仿宋" w:hAnsi="仿宋" w:eastAsia="仿宋" w:cs="仿宋"/>
          <w:sz w:val="28"/>
          <w:szCs w:val="28"/>
          <w:highlight w:val="none"/>
        </w:rPr>
      </w:pPr>
      <w:r>
        <w:rPr>
          <w:rFonts w:hint="eastAsia" w:ascii="仿宋" w:hAnsi="仿宋" w:eastAsia="仿宋" w:cs="仿宋"/>
          <w:color w:val="000000"/>
          <w:sz w:val="28"/>
          <w:szCs w:val="28"/>
          <w:highlight w:val="none"/>
          <w:lang w:val="en-US" w:eastAsia="zh-CN"/>
        </w:rPr>
        <w:t>1、使用原则：</w:t>
      </w:r>
      <w:r>
        <w:rPr>
          <w:rFonts w:hint="eastAsia" w:ascii="仿宋" w:hAnsi="仿宋" w:eastAsia="仿宋" w:cs="仿宋"/>
          <w:sz w:val="28"/>
          <w:szCs w:val="28"/>
          <w:highlight w:val="none"/>
        </w:rPr>
        <w:t>根据</w:t>
      </w:r>
      <w:r>
        <w:rPr>
          <w:rFonts w:hint="eastAsia" w:ascii="仿宋" w:hAnsi="仿宋" w:eastAsia="仿宋" w:cs="仿宋"/>
          <w:sz w:val="28"/>
          <w:szCs w:val="28"/>
          <w:highlight w:val="none"/>
          <w:lang w:eastAsia="zh-CN"/>
        </w:rPr>
        <w:t>项目</w:t>
      </w:r>
      <w:r>
        <w:rPr>
          <w:rFonts w:hint="eastAsia" w:ascii="仿宋" w:hAnsi="仿宋" w:eastAsia="仿宋" w:cs="仿宋"/>
          <w:sz w:val="28"/>
          <w:szCs w:val="28"/>
          <w:highlight w:val="none"/>
        </w:rPr>
        <w:t>要求，</w:t>
      </w:r>
      <w:r>
        <w:rPr>
          <w:rFonts w:hint="eastAsia" w:ascii="仿宋" w:hAnsi="仿宋" w:eastAsia="仿宋" w:cs="仿宋"/>
          <w:sz w:val="28"/>
          <w:szCs w:val="28"/>
          <w:highlight w:val="none"/>
          <w:lang w:eastAsia="zh-CN"/>
        </w:rPr>
        <w:t>乙方承接甲方的服务项目经费，专款专用，不得挪作他用。</w:t>
      </w:r>
    </w:p>
    <w:p w14:paraId="30B75513">
      <w:pPr>
        <w:pStyle w:val="4"/>
        <w:keepNext w:val="0"/>
        <w:keepLines w:val="0"/>
        <w:pageBreakBefore w:val="0"/>
        <w:widowControl w:val="0"/>
        <w:kinsoku/>
        <w:wordWrap/>
        <w:overflowPunct/>
        <w:topLinePunct w:val="0"/>
        <w:autoSpaceDE/>
        <w:autoSpaceDN/>
        <w:bidi w:val="0"/>
        <w:spacing w:line="480" w:lineRule="exact"/>
        <w:ind w:left="0" w:leftChars="0" w:firstLine="560" w:firstLineChars="200"/>
        <w:outlineLvl w:val="9"/>
        <w:rPr>
          <w:rFonts w:hint="eastAsia" w:ascii="仿宋" w:hAnsi="仿宋" w:eastAsia="仿宋" w:cs="仿宋"/>
          <w:kern w:val="2"/>
          <w:sz w:val="28"/>
          <w:szCs w:val="28"/>
          <w:highlight w:val="none"/>
          <w:lang w:val="en-US" w:eastAsia="zh-CN" w:bidi="ar-SA"/>
        </w:rPr>
      </w:pPr>
      <w:r>
        <w:rPr>
          <w:rFonts w:hint="eastAsia" w:ascii="仿宋" w:hAnsi="仿宋" w:eastAsia="仿宋" w:cs="仿宋"/>
          <w:kern w:val="2"/>
          <w:sz w:val="28"/>
          <w:szCs w:val="28"/>
          <w:highlight w:val="none"/>
          <w:lang w:val="en-US" w:eastAsia="zh-CN" w:bidi="ar-SA"/>
        </w:rPr>
        <w:t>2、绩效评估：乙方承接项目后，由甲方和有关部门对服务实施情况进行全程跟踪和监督。甲方对乙方制定具体的考评意见，服务完成后，甲方会同相关部门依据考评意见对管理机构服务的工作绩效、服务对象受益情况、公众满足等进行评估并对资金使用情况进行绩效评价。</w:t>
      </w:r>
    </w:p>
    <w:p w14:paraId="316EE29D">
      <w:pPr>
        <w:keepNext w:val="0"/>
        <w:keepLines w:val="0"/>
        <w:pageBreakBefore w:val="0"/>
        <w:widowControl w:val="0"/>
        <w:kinsoku/>
        <w:wordWrap/>
        <w:overflowPunct/>
        <w:topLinePunct w:val="0"/>
        <w:autoSpaceDE/>
        <w:autoSpaceDN/>
        <w:bidi w:val="0"/>
        <w:spacing w:line="480" w:lineRule="exact"/>
        <w:jc w:val="left"/>
        <w:outlineLvl w:val="9"/>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lang w:eastAsia="zh-CN"/>
        </w:rPr>
        <w:t>四</w:t>
      </w:r>
      <w:r>
        <w:rPr>
          <w:rFonts w:hint="eastAsia" w:ascii="仿宋" w:hAnsi="仿宋" w:eastAsia="仿宋" w:cs="仿宋"/>
          <w:b/>
          <w:color w:val="000000"/>
          <w:sz w:val="28"/>
          <w:szCs w:val="28"/>
          <w:highlight w:val="none"/>
        </w:rPr>
        <w:t>、</w:t>
      </w:r>
      <w:r>
        <w:rPr>
          <w:rFonts w:hint="eastAsia" w:ascii="仿宋" w:hAnsi="仿宋" w:eastAsia="仿宋" w:cs="仿宋"/>
          <w:b/>
          <w:color w:val="000000"/>
          <w:sz w:val="28"/>
          <w:szCs w:val="28"/>
          <w:highlight w:val="none"/>
          <w:lang w:val="en-US" w:eastAsia="zh-CN"/>
        </w:rPr>
        <w:t>服务期限及</w:t>
      </w:r>
      <w:r>
        <w:rPr>
          <w:rFonts w:hint="eastAsia" w:ascii="仿宋" w:hAnsi="仿宋" w:eastAsia="仿宋" w:cs="仿宋"/>
          <w:b/>
          <w:color w:val="000000"/>
          <w:sz w:val="28"/>
          <w:szCs w:val="28"/>
          <w:highlight w:val="none"/>
        </w:rPr>
        <w:t>付款方式</w:t>
      </w:r>
    </w:p>
    <w:p w14:paraId="4487C85A">
      <w:pPr>
        <w:keepNext w:val="0"/>
        <w:keepLines w:val="0"/>
        <w:pageBreakBefore w:val="0"/>
        <w:widowControl w:val="0"/>
        <w:kinsoku/>
        <w:wordWrap/>
        <w:overflowPunct/>
        <w:topLinePunct w:val="0"/>
        <w:autoSpaceDE/>
        <w:autoSpaceDN/>
        <w:bidi w:val="0"/>
        <w:spacing w:line="480" w:lineRule="exact"/>
        <w:ind w:left="0" w:leftChars="0" w:firstLine="560" w:firstLineChars="200"/>
        <w:jc w:val="left"/>
        <w:outlineLvl w:val="9"/>
        <w:rPr>
          <w:rFonts w:hint="eastAsia" w:ascii="仿宋" w:hAnsi="仿宋" w:eastAsia="仿宋" w:cs="仿宋"/>
          <w:color w:val="000000"/>
          <w:sz w:val="28"/>
          <w:szCs w:val="28"/>
          <w:highlight w:val="none"/>
          <w:lang w:eastAsia="zh-CN"/>
        </w:rPr>
      </w:pPr>
      <w:r>
        <w:rPr>
          <w:rFonts w:hint="eastAsia" w:ascii="仿宋" w:hAnsi="仿宋" w:eastAsia="仿宋" w:cs="仿宋"/>
          <w:color w:val="000000"/>
          <w:sz w:val="28"/>
          <w:szCs w:val="28"/>
          <w:highlight w:val="none"/>
        </w:rPr>
        <w:t>1、</w:t>
      </w:r>
      <w:r>
        <w:rPr>
          <w:rFonts w:hint="eastAsia" w:ascii="仿宋" w:hAnsi="仿宋" w:eastAsia="仿宋" w:cs="仿宋"/>
          <w:color w:val="000000"/>
          <w:sz w:val="28"/>
          <w:szCs w:val="28"/>
          <w:highlight w:val="none"/>
          <w:lang w:val="en-US" w:eastAsia="zh-CN"/>
        </w:rPr>
        <w:t>付款方式：年度</w:t>
      </w:r>
      <w:r>
        <w:rPr>
          <w:rFonts w:hint="eastAsia" w:ascii="仿宋" w:hAnsi="仿宋" w:eastAsia="仿宋" w:cs="仿宋"/>
          <w:sz w:val="28"/>
          <w:szCs w:val="28"/>
          <w:lang w:val="en-US" w:eastAsia="zh-CN"/>
        </w:rPr>
        <w:t>财政预算执行时限内</w:t>
      </w:r>
      <w:r>
        <w:rPr>
          <w:rFonts w:hint="eastAsia" w:ascii="仿宋" w:hAnsi="仿宋" w:eastAsia="仿宋" w:cs="仿宋"/>
          <w:sz w:val="28"/>
          <w:szCs w:val="28"/>
        </w:rPr>
        <w:t>，达到付款条件起30日内，支付合同总金额的</w:t>
      </w:r>
      <w:r>
        <w:rPr>
          <w:rFonts w:hint="eastAsia" w:ascii="仿宋" w:hAnsi="仿宋" w:eastAsia="仿宋" w:cs="仿宋"/>
          <w:sz w:val="28"/>
          <w:szCs w:val="28"/>
          <w:lang w:val="en-US" w:eastAsia="zh-CN"/>
        </w:rPr>
        <w:t>100</w:t>
      </w:r>
      <w:r>
        <w:rPr>
          <w:rFonts w:hint="eastAsia" w:ascii="仿宋" w:hAnsi="仿宋" w:eastAsia="仿宋" w:cs="仿宋"/>
          <w:sz w:val="28"/>
          <w:szCs w:val="28"/>
        </w:rPr>
        <w:t>%。</w:t>
      </w:r>
    </w:p>
    <w:p w14:paraId="5190A1B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9"/>
        <w:rPr>
          <w:rFonts w:hint="eastAsia" w:ascii="仿宋" w:hAnsi="仿宋" w:eastAsia="仿宋" w:cs="仿宋"/>
          <w:b w:val="0"/>
          <w:bCs w:val="0"/>
          <w:color w:val="auto"/>
          <w:kern w:val="0"/>
          <w:sz w:val="28"/>
          <w:szCs w:val="28"/>
          <w:highlight w:val="none"/>
          <w:lang w:val="en-US" w:eastAsia="zh-CN" w:bidi="ar-SA"/>
        </w:rPr>
      </w:pPr>
      <w:r>
        <w:rPr>
          <w:rFonts w:hint="eastAsia" w:ascii="仿宋" w:hAnsi="仿宋" w:eastAsia="仿宋" w:cs="仿宋"/>
          <w:color w:val="000000"/>
          <w:sz w:val="28"/>
          <w:szCs w:val="28"/>
          <w:highlight w:val="none"/>
        </w:rPr>
        <w:t>2、</w:t>
      </w:r>
      <w:r>
        <w:rPr>
          <w:rFonts w:hint="eastAsia" w:ascii="仿宋" w:hAnsi="仿宋" w:eastAsia="仿宋" w:cs="仿宋"/>
          <w:color w:val="auto"/>
          <w:sz w:val="28"/>
          <w:szCs w:val="28"/>
          <w:highlight w:val="none"/>
          <w:u w:val="none"/>
        </w:rPr>
        <w:t>服务</w:t>
      </w:r>
      <w:r>
        <w:rPr>
          <w:rFonts w:hint="eastAsia" w:ascii="仿宋" w:hAnsi="仿宋" w:eastAsia="仿宋" w:cs="仿宋"/>
          <w:color w:val="auto"/>
          <w:sz w:val="28"/>
          <w:szCs w:val="28"/>
          <w:highlight w:val="none"/>
          <w:u w:val="none"/>
          <w:lang w:val="en-US" w:eastAsia="zh-CN"/>
        </w:rPr>
        <w:t>期限：</w:t>
      </w:r>
      <w:r>
        <w:rPr>
          <w:rFonts w:hint="eastAsia" w:ascii="仿宋" w:hAnsi="仿宋" w:eastAsia="仿宋" w:cs="仿宋"/>
          <w:b w:val="0"/>
          <w:bCs w:val="0"/>
          <w:color w:val="auto"/>
          <w:kern w:val="0"/>
          <w:sz w:val="28"/>
          <w:szCs w:val="28"/>
          <w:highlight w:val="none"/>
          <w:lang w:val="en-US" w:eastAsia="zh-CN" w:bidi="ar-SA"/>
        </w:rPr>
        <w:t>自合同签订之日起1年</w:t>
      </w:r>
    </w:p>
    <w:p w14:paraId="2932CB3B">
      <w:pPr>
        <w:pStyle w:val="21"/>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outlineLvl w:val="9"/>
        <w:rPr>
          <w:rFonts w:hint="eastAsia" w:ascii="仿宋" w:hAnsi="仿宋" w:eastAsia="仿宋" w:cs="仿宋"/>
          <w:b/>
          <w:bCs/>
          <w:color w:val="auto"/>
          <w:sz w:val="28"/>
          <w:szCs w:val="28"/>
          <w:highlight w:val="none"/>
          <w:u w:val="single"/>
        </w:rPr>
      </w:pPr>
      <w:r>
        <w:rPr>
          <w:rFonts w:hint="eastAsia" w:ascii="仿宋" w:hAnsi="仿宋" w:eastAsia="仿宋" w:cs="仿宋"/>
          <w:b/>
          <w:bCs/>
          <w:color w:val="auto"/>
          <w:kern w:val="0"/>
          <w:sz w:val="28"/>
          <w:szCs w:val="28"/>
          <w:highlight w:val="none"/>
          <w:lang w:val="en-US" w:eastAsia="zh-CN" w:bidi="ar-SA"/>
        </w:rPr>
        <w:t>注：根据《政府购买服务管理办法》（中华人民共和国财政部令第102号），本次服务采用一次采购，两年沿用，合同一年一签，服务到期后续签合同</w:t>
      </w:r>
      <w:r>
        <w:rPr>
          <w:rFonts w:hint="eastAsia" w:ascii="仿宋" w:hAnsi="仿宋" w:eastAsia="仿宋" w:cs="仿宋"/>
          <w:b/>
          <w:bCs/>
          <w:color w:val="auto"/>
          <w:sz w:val="28"/>
          <w:szCs w:val="28"/>
          <w:highlight w:val="none"/>
          <w:u w:val="none"/>
        </w:rPr>
        <w:t>。</w:t>
      </w:r>
    </w:p>
    <w:p w14:paraId="62F4F92F">
      <w:pPr>
        <w:keepNext w:val="0"/>
        <w:keepLines w:val="0"/>
        <w:pageBreakBefore w:val="0"/>
        <w:widowControl w:val="0"/>
        <w:kinsoku/>
        <w:wordWrap/>
        <w:overflowPunct/>
        <w:topLinePunct w:val="0"/>
        <w:autoSpaceDE/>
        <w:autoSpaceDN/>
        <w:bidi w:val="0"/>
        <w:spacing w:line="480" w:lineRule="exact"/>
        <w:ind w:left="0" w:leftChars="0"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highlight w:val="none"/>
        </w:rPr>
        <w:t>3、如未发生终止合同条款的事项，甲乙双方</w:t>
      </w:r>
      <w:r>
        <w:rPr>
          <w:rFonts w:hint="eastAsia" w:ascii="仿宋" w:hAnsi="仿宋" w:eastAsia="仿宋" w:cs="仿宋"/>
          <w:color w:val="000000"/>
          <w:sz w:val="28"/>
          <w:szCs w:val="28"/>
          <w:highlight w:val="none"/>
          <w:lang w:val="en-US" w:eastAsia="zh-CN"/>
        </w:rPr>
        <w:t>服务年度终止前</w:t>
      </w:r>
      <w:r>
        <w:rPr>
          <w:rFonts w:hint="eastAsia" w:ascii="仿宋" w:hAnsi="仿宋" w:eastAsia="仿宋" w:cs="仿宋"/>
          <w:color w:val="000000"/>
          <w:sz w:val="28"/>
          <w:szCs w:val="28"/>
          <w:highlight w:val="none"/>
        </w:rPr>
        <w:t>签署</w:t>
      </w:r>
      <w:r>
        <w:rPr>
          <w:rFonts w:hint="eastAsia" w:ascii="仿宋" w:hAnsi="仿宋" w:eastAsia="仿宋" w:cs="仿宋"/>
          <w:color w:val="000000"/>
          <w:sz w:val="28"/>
          <w:szCs w:val="28"/>
          <w:highlight w:val="none"/>
          <w:lang w:eastAsia="zh-CN"/>
        </w:rPr>
        <w:t>下一年度合同</w:t>
      </w:r>
      <w:r>
        <w:rPr>
          <w:rFonts w:hint="eastAsia" w:ascii="仿宋" w:hAnsi="仿宋" w:eastAsia="仿宋" w:cs="仿宋"/>
          <w:color w:val="000000"/>
          <w:sz w:val="28"/>
          <w:szCs w:val="28"/>
          <w:highlight w:val="none"/>
        </w:rPr>
        <w:t>，甲方在参照</w:t>
      </w:r>
      <w:r>
        <w:rPr>
          <w:rFonts w:hint="eastAsia" w:ascii="仿宋" w:hAnsi="仿宋" w:eastAsia="仿宋" w:cs="仿宋"/>
          <w:color w:val="000000"/>
          <w:sz w:val="28"/>
          <w:szCs w:val="28"/>
          <w:highlight w:val="none"/>
          <w:lang w:eastAsia="zh-CN"/>
        </w:rPr>
        <w:t>本</w:t>
      </w:r>
      <w:r>
        <w:rPr>
          <w:rFonts w:hint="eastAsia" w:ascii="仿宋" w:hAnsi="仿宋" w:eastAsia="仿宋" w:cs="仿宋"/>
          <w:color w:val="000000"/>
          <w:sz w:val="28"/>
          <w:szCs w:val="28"/>
          <w:highlight w:val="none"/>
        </w:rPr>
        <w:t>年度救助基金</w:t>
      </w:r>
      <w:r>
        <w:rPr>
          <w:rFonts w:hint="eastAsia" w:ascii="仿宋" w:hAnsi="仿宋" w:eastAsia="仿宋" w:cs="仿宋"/>
          <w:color w:val="000000"/>
          <w:sz w:val="28"/>
          <w:szCs w:val="28"/>
        </w:rPr>
        <w:t>管理机构</w:t>
      </w:r>
      <w:r>
        <w:rPr>
          <w:rFonts w:hint="eastAsia" w:ascii="仿宋" w:hAnsi="仿宋" w:eastAsia="仿宋" w:cs="仿宋"/>
          <w:color w:val="000000"/>
          <w:sz w:val="28"/>
          <w:szCs w:val="28"/>
          <w:lang w:eastAsia="zh-CN"/>
        </w:rPr>
        <w:t>开展</w:t>
      </w: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基金管理</w:t>
      </w:r>
      <w:r>
        <w:rPr>
          <w:rFonts w:hint="eastAsia" w:ascii="仿宋" w:hAnsi="仿宋" w:eastAsia="仿宋" w:cs="仿宋"/>
          <w:color w:val="000000"/>
          <w:sz w:val="28"/>
          <w:szCs w:val="28"/>
        </w:rPr>
        <w:t>等）</w:t>
      </w:r>
      <w:r>
        <w:rPr>
          <w:rFonts w:hint="eastAsia" w:ascii="仿宋" w:hAnsi="仿宋" w:eastAsia="仿宋" w:cs="仿宋"/>
          <w:color w:val="000000"/>
          <w:sz w:val="28"/>
          <w:szCs w:val="28"/>
          <w:lang w:eastAsia="zh-CN"/>
        </w:rPr>
        <w:t>工作</w:t>
      </w:r>
      <w:r>
        <w:rPr>
          <w:rFonts w:hint="eastAsia" w:ascii="仿宋" w:hAnsi="仿宋" w:eastAsia="仿宋" w:cs="仿宋"/>
          <w:color w:val="000000"/>
          <w:sz w:val="28"/>
          <w:szCs w:val="28"/>
        </w:rPr>
        <w:t>情况</w:t>
      </w:r>
      <w:r>
        <w:rPr>
          <w:rFonts w:hint="eastAsia" w:ascii="仿宋" w:hAnsi="仿宋" w:eastAsia="仿宋" w:cs="仿宋"/>
          <w:color w:val="000000"/>
          <w:sz w:val="28"/>
          <w:szCs w:val="28"/>
          <w:lang w:eastAsia="zh-CN"/>
        </w:rPr>
        <w:t>核</w:t>
      </w:r>
      <w:r>
        <w:rPr>
          <w:rFonts w:hint="eastAsia" w:ascii="仿宋" w:hAnsi="仿宋" w:eastAsia="仿宋" w:cs="仿宋"/>
          <w:color w:val="000000"/>
          <w:sz w:val="28"/>
          <w:szCs w:val="28"/>
        </w:rPr>
        <w:t>定下一年度的管理费用</w:t>
      </w:r>
      <w:r>
        <w:rPr>
          <w:rFonts w:hint="eastAsia" w:ascii="仿宋" w:hAnsi="仿宋" w:eastAsia="仿宋" w:cs="仿宋"/>
          <w:color w:val="000000"/>
          <w:sz w:val="28"/>
          <w:szCs w:val="28"/>
          <w:lang w:eastAsia="zh-CN"/>
        </w:rPr>
        <w:t>，并</w:t>
      </w:r>
      <w:r>
        <w:rPr>
          <w:rFonts w:hint="eastAsia" w:ascii="仿宋" w:hAnsi="仿宋" w:eastAsia="仿宋" w:cs="仿宋"/>
          <w:color w:val="000000"/>
          <w:sz w:val="28"/>
          <w:szCs w:val="28"/>
          <w:lang w:val="en-US" w:eastAsia="zh-CN"/>
        </w:rPr>
        <w:t>据实</w:t>
      </w:r>
      <w:r>
        <w:rPr>
          <w:rFonts w:hint="eastAsia" w:ascii="仿宋" w:hAnsi="仿宋" w:eastAsia="仿宋" w:cs="仿宋"/>
          <w:color w:val="000000"/>
          <w:sz w:val="28"/>
          <w:szCs w:val="28"/>
        </w:rPr>
        <w:t>结算。</w:t>
      </w:r>
    </w:p>
    <w:p w14:paraId="6C97C0A3">
      <w:pPr>
        <w:keepNext w:val="0"/>
        <w:keepLines w:val="0"/>
        <w:pageBreakBefore w:val="0"/>
        <w:widowControl w:val="0"/>
        <w:kinsoku/>
        <w:wordWrap/>
        <w:overflowPunct/>
        <w:topLinePunct w:val="0"/>
        <w:autoSpaceDE/>
        <w:autoSpaceDN/>
        <w:bidi w:val="0"/>
        <w:spacing w:line="480" w:lineRule="exact"/>
        <w:ind w:left="0" w:leftChars="0" w:firstLine="560" w:firstLineChars="20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4、乙方收入账户信息：</w:t>
      </w:r>
    </w:p>
    <w:p w14:paraId="0DD09E9D">
      <w:pPr>
        <w:keepNext w:val="0"/>
        <w:keepLines w:val="0"/>
        <w:pageBreakBefore w:val="0"/>
        <w:widowControl w:val="0"/>
        <w:kinsoku/>
        <w:wordWrap/>
        <w:overflowPunct/>
        <w:topLinePunct w:val="0"/>
        <w:autoSpaceDE/>
        <w:autoSpaceDN/>
        <w:bidi w:val="0"/>
        <w:spacing w:line="480" w:lineRule="exact"/>
        <w:ind w:left="559" w:leftChars="266" w:firstLine="0" w:firstLineChars="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户名:</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银行账号:</w:t>
      </w:r>
    </w:p>
    <w:p w14:paraId="4FF4CD65">
      <w:pPr>
        <w:keepNext w:val="0"/>
        <w:keepLines w:val="0"/>
        <w:pageBreakBefore w:val="0"/>
        <w:widowControl w:val="0"/>
        <w:kinsoku/>
        <w:wordWrap/>
        <w:overflowPunct/>
        <w:topLinePunct w:val="0"/>
        <w:autoSpaceDE/>
        <w:autoSpaceDN/>
        <w:bidi w:val="0"/>
        <w:spacing w:line="480" w:lineRule="exact"/>
        <w:ind w:left="559" w:leftChars="266" w:firstLine="0" w:firstLineChars="0"/>
        <w:jc w:val="left"/>
        <w:outlineLvl w:val="9"/>
        <w:rPr>
          <w:rFonts w:hint="eastAsia" w:ascii="仿宋" w:hAnsi="仿宋" w:eastAsia="仿宋" w:cs="仿宋"/>
          <w:color w:val="000000"/>
          <w:sz w:val="28"/>
          <w:szCs w:val="28"/>
        </w:rPr>
      </w:pPr>
      <w:r>
        <w:rPr>
          <w:rFonts w:hint="eastAsia" w:ascii="仿宋" w:hAnsi="仿宋" w:eastAsia="仿宋" w:cs="仿宋"/>
          <w:color w:val="000000"/>
          <w:sz w:val="28"/>
          <w:szCs w:val="28"/>
        </w:rPr>
        <w:t>开户行:</w:t>
      </w:r>
    </w:p>
    <w:p w14:paraId="2918E13A">
      <w:pPr>
        <w:keepNext w:val="0"/>
        <w:keepLines w:val="0"/>
        <w:pageBreakBefore w:val="0"/>
        <w:widowControl w:val="0"/>
        <w:kinsoku/>
        <w:wordWrap/>
        <w:overflowPunct/>
        <w:topLinePunct w:val="0"/>
        <w:autoSpaceDE/>
        <w:autoSpaceDN/>
        <w:bidi w:val="0"/>
        <w:spacing w:line="480" w:lineRule="exact"/>
        <w:ind w:left="0" w:leftChars="0" w:firstLine="560" w:firstLineChars="200"/>
        <w:jc w:val="left"/>
        <w:outlineLvl w:val="9"/>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sz w:val="28"/>
          <w:szCs w:val="28"/>
          <w:lang w:val="en-US" w:eastAsia="zh-CN"/>
        </w:rPr>
        <w:t>5、鉴于甲方资金拨付受制与政府财政资金拨付流程限制，乙方充分知晓并理解甲方内部费用审批流程的相关规定，因甲方执行流程而导致延迟付款的，乙方不追究甲方的任何责任。</w:t>
      </w:r>
    </w:p>
    <w:p w14:paraId="00C6ACB6">
      <w:pPr>
        <w:keepNext w:val="0"/>
        <w:keepLines w:val="0"/>
        <w:pageBreakBefore w:val="0"/>
        <w:widowControl w:val="0"/>
        <w:tabs>
          <w:tab w:val="left" w:pos="1980"/>
        </w:tabs>
        <w:kinsoku/>
        <w:wordWrap/>
        <w:overflowPunct/>
        <w:topLinePunct w:val="0"/>
        <w:autoSpaceDE/>
        <w:autoSpaceDN/>
        <w:bidi w:val="0"/>
        <w:snapToGrid w:val="0"/>
        <w:spacing w:line="480" w:lineRule="exact"/>
        <w:outlineLvl w:val="9"/>
        <w:rPr>
          <w:rFonts w:hint="eastAsia" w:ascii="仿宋" w:hAnsi="仿宋" w:eastAsia="仿宋" w:cs="仿宋"/>
          <w:b/>
          <w:color w:val="000000"/>
          <w:sz w:val="28"/>
          <w:szCs w:val="28"/>
        </w:rPr>
      </w:pPr>
      <w:r>
        <w:rPr>
          <w:rFonts w:hint="eastAsia" w:ascii="仿宋" w:hAnsi="仿宋" w:eastAsia="仿宋" w:cs="仿宋"/>
          <w:b/>
          <w:color w:val="000000"/>
          <w:sz w:val="28"/>
          <w:szCs w:val="28"/>
          <w:lang w:eastAsia="zh-CN"/>
        </w:rPr>
        <w:t>五</w:t>
      </w:r>
      <w:r>
        <w:rPr>
          <w:rFonts w:hint="eastAsia" w:ascii="仿宋" w:hAnsi="仿宋" w:eastAsia="仿宋" w:cs="仿宋"/>
          <w:b/>
          <w:color w:val="000000"/>
          <w:sz w:val="28"/>
          <w:szCs w:val="28"/>
        </w:rPr>
        <w:t>、甲方的权利、义务</w:t>
      </w:r>
    </w:p>
    <w:p w14:paraId="1812BA3B">
      <w:pPr>
        <w:keepNext w:val="0"/>
        <w:keepLines w:val="0"/>
        <w:pageBreakBefore w:val="0"/>
        <w:widowControl w:val="0"/>
        <w:tabs>
          <w:tab w:val="left" w:pos="1980"/>
        </w:tabs>
        <w:kinsoku/>
        <w:wordWrap/>
        <w:overflowPunct/>
        <w:topLinePunct w:val="0"/>
        <w:autoSpaceDE/>
        <w:autoSpaceDN/>
        <w:bidi w:val="0"/>
        <w:snapToGrid w:val="0"/>
        <w:spacing w:line="480" w:lineRule="exact"/>
        <w:ind w:left="0" w:leftChars="0"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1、甲方有权对乙方承办事项完成情况进行监督、检查，并根据垫付、追偿、服务、宣传等工作指标制定考核标准，对乙方进行考核。</w:t>
      </w:r>
    </w:p>
    <w:p w14:paraId="5B47EF5F">
      <w:pPr>
        <w:keepNext w:val="0"/>
        <w:keepLines w:val="0"/>
        <w:pageBreakBefore w:val="0"/>
        <w:widowControl w:val="0"/>
        <w:tabs>
          <w:tab w:val="left" w:pos="1980"/>
        </w:tabs>
        <w:kinsoku/>
        <w:wordWrap/>
        <w:overflowPunct/>
        <w:topLinePunct w:val="0"/>
        <w:autoSpaceDE/>
        <w:autoSpaceDN/>
        <w:bidi w:val="0"/>
        <w:snapToGrid w:val="0"/>
        <w:spacing w:line="480" w:lineRule="exact"/>
        <w:ind w:left="0" w:leftChars="0"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2、甲方有权对乙方违约行为进行核实</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对核实确认的违约行为向乙方追究责任并主张赔偿。</w:t>
      </w:r>
    </w:p>
    <w:p w14:paraId="3146C944">
      <w:pPr>
        <w:keepNext w:val="0"/>
        <w:keepLines w:val="0"/>
        <w:pageBreakBefore w:val="0"/>
        <w:widowControl w:val="0"/>
        <w:tabs>
          <w:tab w:val="left" w:pos="1980"/>
        </w:tabs>
        <w:kinsoku/>
        <w:wordWrap/>
        <w:overflowPunct/>
        <w:topLinePunct w:val="0"/>
        <w:autoSpaceDE/>
        <w:autoSpaceDN/>
        <w:bidi w:val="0"/>
        <w:snapToGrid w:val="0"/>
        <w:spacing w:line="480" w:lineRule="exact"/>
        <w:ind w:left="0" w:leftChars="0"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3、甲方</w:t>
      </w:r>
      <w:r>
        <w:rPr>
          <w:rFonts w:hint="eastAsia" w:ascii="仿宋" w:hAnsi="仿宋" w:eastAsia="仿宋" w:cs="仿宋"/>
          <w:bCs/>
          <w:color w:val="000000"/>
          <w:sz w:val="28"/>
          <w:szCs w:val="28"/>
          <w:lang w:eastAsia="zh-CN"/>
        </w:rPr>
        <w:t>有权</w:t>
      </w:r>
      <w:r>
        <w:rPr>
          <w:rFonts w:hint="eastAsia" w:ascii="仿宋" w:hAnsi="仿宋" w:eastAsia="仿宋" w:cs="仿宋"/>
          <w:bCs/>
          <w:color w:val="000000"/>
          <w:sz w:val="28"/>
          <w:szCs w:val="28"/>
        </w:rPr>
        <w:t>按照《</w:t>
      </w:r>
      <w:r>
        <w:rPr>
          <w:rFonts w:hint="eastAsia" w:ascii="仿宋" w:hAnsi="仿宋" w:eastAsia="仿宋" w:cs="仿宋"/>
          <w:bCs/>
          <w:color w:val="000000"/>
          <w:sz w:val="28"/>
          <w:szCs w:val="28"/>
          <w:lang w:eastAsia="zh-CN"/>
        </w:rPr>
        <w:t>陕西</w:t>
      </w:r>
      <w:r>
        <w:rPr>
          <w:rFonts w:hint="eastAsia" w:ascii="仿宋" w:hAnsi="仿宋" w:eastAsia="仿宋" w:cs="仿宋"/>
          <w:bCs/>
          <w:color w:val="000000"/>
          <w:sz w:val="28"/>
          <w:szCs w:val="28"/>
        </w:rPr>
        <w:t>省道路交通事故社会救助基金管理实施</w:t>
      </w:r>
      <w:r>
        <w:rPr>
          <w:rFonts w:hint="eastAsia" w:ascii="仿宋" w:hAnsi="仿宋" w:eastAsia="仿宋" w:cs="仿宋"/>
          <w:bCs/>
          <w:color w:val="000000"/>
          <w:sz w:val="28"/>
          <w:szCs w:val="28"/>
          <w:lang w:eastAsia="zh-CN"/>
        </w:rPr>
        <w:t>细则</w:t>
      </w:r>
      <w:r>
        <w:rPr>
          <w:rFonts w:hint="eastAsia" w:ascii="仿宋" w:hAnsi="仿宋" w:eastAsia="仿宋" w:cs="仿宋"/>
          <w:bCs/>
          <w:color w:val="000000"/>
          <w:sz w:val="28"/>
          <w:szCs w:val="28"/>
        </w:rPr>
        <w:t>》</w:t>
      </w:r>
      <w:r>
        <w:rPr>
          <w:rFonts w:hint="eastAsia" w:ascii="仿宋" w:hAnsi="仿宋" w:eastAsia="仿宋" w:cs="仿宋"/>
          <w:bCs/>
          <w:color w:val="000000"/>
          <w:sz w:val="28"/>
          <w:szCs w:val="28"/>
          <w:lang w:eastAsia="zh-CN"/>
        </w:rPr>
        <w:t>（陕财办</w:t>
      </w:r>
      <w:r>
        <w:rPr>
          <w:rFonts w:hint="eastAsia" w:ascii="仿宋" w:hAnsi="仿宋" w:eastAsia="仿宋" w:cs="仿宋"/>
          <w:bCs/>
          <w:color w:val="000000"/>
          <w:sz w:val="28"/>
          <w:szCs w:val="28"/>
          <w:lang w:val="en-US" w:eastAsia="zh-CN"/>
        </w:rPr>
        <w:t>〔2022〕32号</w:t>
      </w:r>
      <w:r>
        <w:rPr>
          <w:rFonts w:hint="eastAsia" w:ascii="仿宋" w:hAnsi="仿宋" w:eastAsia="仿宋" w:cs="仿宋"/>
          <w:bCs/>
          <w:color w:val="000000"/>
          <w:sz w:val="28"/>
          <w:szCs w:val="28"/>
          <w:lang w:eastAsia="zh-CN"/>
        </w:rPr>
        <w:t>）等相关文件要求</w:t>
      </w:r>
      <w:r>
        <w:rPr>
          <w:rFonts w:hint="eastAsia" w:ascii="仿宋" w:hAnsi="仿宋" w:eastAsia="仿宋" w:cs="仿宋"/>
          <w:bCs/>
          <w:color w:val="000000"/>
          <w:sz w:val="28"/>
          <w:szCs w:val="28"/>
        </w:rPr>
        <w:t>对乙方提交的抢救费用、丧葬费用垫付申请进行</w:t>
      </w:r>
      <w:r>
        <w:rPr>
          <w:rFonts w:hint="eastAsia" w:ascii="仿宋" w:hAnsi="仿宋" w:eastAsia="仿宋" w:cs="仿宋"/>
          <w:bCs/>
          <w:color w:val="000000"/>
          <w:sz w:val="28"/>
          <w:szCs w:val="28"/>
          <w:lang w:eastAsia="zh-CN"/>
        </w:rPr>
        <w:t>审计</w:t>
      </w:r>
      <w:r>
        <w:rPr>
          <w:rFonts w:hint="eastAsia" w:ascii="仿宋" w:hAnsi="仿宋" w:eastAsia="仿宋" w:cs="仿宋"/>
          <w:bCs/>
          <w:color w:val="000000"/>
          <w:sz w:val="28"/>
          <w:szCs w:val="28"/>
        </w:rPr>
        <w:t>。</w:t>
      </w:r>
    </w:p>
    <w:p w14:paraId="425D7018">
      <w:pPr>
        <w:keepNext w:val="0"/>
        <w:keepLines w:val="0"/>
        <w:pageBreakBefore w:val="0"/>
        <w:widowControl w:val="0"/>
        <w:tabs>
          <w:tab w:val="left" w:pos="1980"/>
        </w:tabs>
        <w:kinsoku/>
        <w:wordWrap/>
        <w:overflowPunct/>
        <w:topLinePunct w:val="0"/>
        <w:autoSpaceDE/>
        <w:autoSpaceDN/>
        <w:bidi w:val="0"/>
        <w:snapToGrid w:val="0"/>
        <w:spacing w:line="480" w:lineRule="exact"/>
        <w:ind w:left="0" w:leftChars="0"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4、若乙方行为产生违约金或给甲方造成损失，甲方有权向乙方追偿。</w:t>
      </w:r>
    </w:p>
    <w:p w14:paraId="1B6343B3">
      <w:pPr>
        <w:keepNext w:val="0"/>
        <w:keepLines w:val="0"/>
        <w:pageBreakBefore w:val="0"/>
        <w:widowControl w:val="0"/>
        <w:tabs>
          <w:tab w:val="left" w:pos="1980"/>
        </w:tabs>
        <w:kinsoku/>
        <w:wordWrap/>
        <w:overflowPunct/>
        <w:topLinePunct w:val="0"/>
        <w:autoSpaceDE/>
        <w:autoSpaceDN/>
        <w:bidi w:val="0"/>
        <w:snapToGrid w:val="0"/>
        <w:spacing w:line="480" w:lineRule="exact"/>
        <w:ind w:left="0" w:leftChars="0"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rPr>
        <w:t>5、甲方有权在对乙方</w:t>
      </w:r>
      <w:r>
        <w:rPr>
          <w:rFonts w:hint="eastAsia" w:ascii="仿宋" w:hAnsi="仿宋" w:eastAsia="仿宋" w:cs="仿宋"/>
          <w:bCs/>
          <w:color w:val="000000"/>
          <w:sz w:val="28"/>
          <w:szCs w:val="28"/>
          <w:lang w:eastAsia="zh-CN"/>
        </w:rPr>
        <w:t>本</w:t>
      </w:r>
      <w:r>
        <w:rPr>
          <w:rFonts w:hint="eastAsia" w:ascii="仿宋" w:hAnsi="仿宋" w:eastAsia="仿宋" w:cs="仿宋"/>
          <w:bCs/>
          <w:color w:val="000000"/>
          <w:sz w:val="28"/>
          <w:szCs w:val="28"/>
        </w:rPr>
        <w:t>年度的考核情况及乙方完成工作的任务量，综合考虑后适时调整乙方</w:t>
      </w:r>
      <w:r>
        <w:rPr>
          <w:rFonts w:hint="eastAsia" w:ascii="仿宋" w:hAnsi="仿宋" w:eastAsia="仿宋" w:cs="仿宋"/>
          <w:bCs/>
          <w:color w:val="000000"/>
          <w:sz w:val="28"/>
          <w:szCs w:val="28"/>
          <w:highlight w:val="none"/>
          <w:lang w:eastAsia="zh-CN"/>
        </w:rPr>
        <w:t>下一年度的</w:t>
      </w:r>
      <w:r>
        <w:rPr>
          <w:rFonts w:hint="eastAsia" w:ascii="仿宋" w:hAnsi="仿宋" w:eastAsia="仿宋" w:cs="仿宋"/>
          <w:bCs/>
          <w:color w:val="000000"/>
          <w:sz w:val="28"/>
          <w:szCs w:val="28"/>
        </w:rPr>
        <w:t>管理费用，并征求乙方意见，若乙方未能在约定期限内提供充足依据的，甲方有权按核定金额拨付</w:t>
      </w:r>
      <w:r>
        <w:rPr>
          <w:rFonts w:hint="eastAsia" w:ascii="仿宋" w:hAnsi="仿宋" w:eastAsia="仿宋" w:cs="仿宋"/>
          <w:bCs/>
          <w:color w:val="000000"/>
          <w:sz w:val="28"/>
          <w:szCs w:val="28"/>
          <w:lang w:eastAsia="zh-CN"/>
        </w:rPr>
        <w:t>下一年度</w:t>
      </w:r>
      <w:r>
        <w:rPr>
          <w:rFonts w:hint="eastAsia" w:ascii="仿宋" w:hAnsi="仿宋" w:eastAsia="仿宋" w:cs="仿宋"/>
          <w:bCs/>
          <w:color w:val="000000"/>
          <w:sz w:val="28"/>
          <w:szCs w:val="28"/>
        </w:rPr>
        <w:t>工作经费，乙方按照甲方调整后的管理费用继续履行合同。</w:t>
      </w:r>
    </w:p>
    <w:p w14:paraId="20C3C27A">
      <w:pPr>
        <w:keepNext w:val="0"/>
        <w:keepLines w:val="0"/>
        <w:pageBreakBefore w:val="0"/>
        <w:widowControl w:val="0"/>
        <w:tabs>
          <w:tab w:val="left" w:pos="1980"/>
        </w:tabs>
        <w:kinsoku/>
        <w:wordWrap/>
        <w:overflowPunct/>
        <w:topLinePunct w:val="0"/>
        <w:autoSpaceDE/>
        <w:autoSpaceDN/>
        <w:bidi w:val="0"/>
        <w:snapToGrid w:val="0"/>
        <w:spacing w:line="480" w:lineRule="exact"/>
        <w:outlineLvl w:val="9"/>
        <w:rPr>
          <w:rFonts w:hint="eastAsia" w:ascii="仿宋" w:hAnsi="仿宋" w:eastAsia="仿宋" w:cs="仿宋"/>
          <w:b/>
          <w:color w:val="000000"/>
          <w:sz w:val="28"/>
          <w:szCs w:val="28"/>
        </w:rPr>
      </w:pPr>
      <w:r>
        <w:rPr>
          <w:rFonts w:hint="eastAsia" w:ascii="仿宋" w:hAnsi="仿宋" w:eastAsia="仿宋" w:cs="仿宋"/>
          <w:b/>
          <w:color w:val="000000"/>
          <w:sz w:val="28"/>
          <w:szCs w:val="28"/>
          <w:lang w:eastAsia="zh-CN"/>
        </w:rPr>
        <w:t>六</w:t>
      </w:r>
      <w:r>
        <w:rPr>
          <w:rFonts w:hint="eastAsia" w:ascii="仿宋" w:hAnsi="仿宋" w:eastAsia="仿宋" w:cs="仿宋"/>
          <w:b/>
          <w:color w:val="000000"/>
          <w:sz w:val="28"/>
          <w:szCs w:val="28"/>
        </w:rPr>
        <w:t>、乙方的权利、义务</w:t>
      </w:r>
    </w:p>
    <w:p w14:paraId="31893FAF">
      <w:pPr>
        <w:keepNext w:val="0"/>
        <w:keepLines w:val="0"/>
        <w:pageBreakBefore w:val="0"/>
        <w:widowControl w:val="0"/>
        <w:tabs>
          <w:tab w:val="left" w:pos="1980"/>
        </w:tabs>
        <w:kinsoku/>
        <w:wordWrap/>
        <w:overflowPunct/>
        <w:topLinePunct w:val="0"/>
        <w:autoSpaceDE/>
        <w:autoSpaceDN/>
        <w:bidi w:val="0"/>
        <w:snapToGrid w:val="0"/>
        <w:spacing w:line="480" w:lineRule="exact"/>
        <w:ind w:left="0" w:leftChars="0" w:firstLine="548" w:firstLineChars="196"/>
        <w:outlineLvl w:val="9"/>
        <w:rPr>
          <w:rFonts w:hint="eastAsia" w:ascii="仿宋" w:hAnsi="仿宋" w:eastAsia="仿宋" w:cs="仿宋"/>
          <w:bCs/>
          <w:color w:val="000000"/>
          <w:sz w:val="28"/>
          <w:szCs w:val="28"/>
        </w:rPr>
      </w:pPr>
      <w:r>
        <w:rPr>
          <w:rFonts w:hint="eastAsia" w:ascii="仿宋" w:hAnsi="仿宋" w:eastAsia="仿宋" w:cs="仿宋"/>
          <w:bCs/>
          <w:color w:val="000000"/>
          <w:sz w:val="28"/>
          <w:szCs w:val="28"/>
          <w:lang w:val="en-US" w:eastAsia="zh-CN"/>
        </w:rPr>
        <w:t>1、</w:t>
      </w:r>
      <w:r>
        <w:rPr>
          <w:rFonts w:hint="eastAsia" w:ascii="仿宋" w:hAnsi="仿宋" w:eastAsia="仿宋" w:cs="仿宋"/>
          <w:bCs/>
          <w:color w:val="000000"/>
          <w:sz w:val="28"/>
          <w:szCs w:val="28"/>
          <w:highlight w:val="none"/>
        </w:rPr>
        <w:t>乙方必须按照相关法规、管理制度规定的要求和救助基金管理机构</w:t>
      </w:r>
      <w:r>
        <w:rPr>
          <w:rFonts w:hint="eastAsia" w:ascii="仿宋" w:hAnsi="仿宋" w:eastAsia="仿宋" w:cs="仿宋"/>
          <w:bCs/>
          <w:color w:val="000000"/>
          <w:sz w:val="28"/>
          <w:szCs w:val="28"/>
          <w:highlight w:val="none"/>
          <w:lang w:eastAsia="zh-CN"/>
        </w:rPr>
        <w:t>应尽职责</w:t>
      </w:r>
      <w:r>
        <w:rPr>
          <w:rFonts w:hint="eastAsia" w:ascii="仿宋" w:hAnsi="仿宋" w:eastAsia="仿宋" w:cs="仿宋"/>
          <w:bCs/>
          <w:color w:val="000000"/>
          <w:sz w:val="28"/>
          <w:szCs w:val="28"/>
          <w:highlight w:val="none"/>
        </w:rPr>
        <w:t>，及时受理、审核救助基金垫付申请、并及时出具审核意见</w:t>
      </w:r>
      <w:r>
        <w:rPr>
          <w:rFonts w:hint="eastAsia" w:ascii="仿宋" w:hAnsi="仿宋" w:eastAsia="仿宋" w:cs="仿宋"/>
          <w:bCs/>
          <w:color w:val="000000"/>
          <w:sz w:val="28"/>
          <w:szCs w:val="28"/>
          <w:highlight w:val="none"/>
          <w:lang w:eastAsia="zh-CN"/>
        </w:rPr>
        <w:t>同时做好救助基金的垫付、追偿等相关工作</w:t>
      </w:r>
      <w:r>
        <w:rPr>
          <w:rFonts w:hint="eastAsia" w:ascii="仿宋" w:hAnsi="仿宋" w:eastAsia="仿宋" w:cs="仿宋"/>
          <w:bCs/>
          <w:color w:val="000000"/>
          <w:sz w:val="28"/>
          <w:szCs w:val="28"/>
          <w:highlight w:val="none"/>
        </w:rPr>
        <w:t>。</w:t>
      </w:r>
    </w:p>
    <w:p w14:paraId="6B311E24">
      <w:pPr>
        <w:keepNext w:val="0"/>
        <w:keepLines w:val="0"/>
        <w:pageBreakBefore w:val="0"/>
        <w:widowControl w:val="0"/>
        <w:tabs>
          <w:tab w:val="left" w:pos="1980"/>
        </w:tabs>
        <w:kinsoku/>
        <w:wordWrap/>
        <w:overflowPunct/>
        <w:topLinePunct w:val="0"/>
        <w:autoSpaceDE/>
        <w:autoSpaceDN/>
        <w:bidi w:val="0"/>
        <w:snapToGrid w:val="0"/>
        <w:spacing w:line="480" w:lineRule="exact"/>
        <w:ind w:left="0" w:leftChars="0" w:firstLine="560" w:firstLineChars="200"/>
        <w:outlineLvl w:val="9"/>
        <w:rPr>
          <w:rFonts w:hint="eastAsia" w:ascii="仿宋" w:hAnsi="仿宋" w:eastAsia="仿宋" w:cs="仿宋"/>
          <w:sz w:val="28"/>
          <w:szCs w:val="28"/>
        </w:rPr>
      </w:pPr>
      <w:r>
        <w:rPr>
          <w:rFonts w:hint="eastAsia" w:ascii="仿宋" w:hAnsi="仿宋" w:eastAsia="仿宋" w:cs="仿宋"/>
          <w:bCs/>
          <w:color w:val="000000"/>
          <w:sz w:val="28"/>
          <w:szCs w:val="28"/>
          <w:lang w:val="en-US" w:eastAsia="zh-CN"/>
        </w:rPr>
        <w:t>2、</w:t>
      </w:r>
      <w:r>
        <w:rPr>
          <w:rFonts w:hint="eastAsia" w:ascii="仿宋" w:hAnsi="仿宋" w:eastAsia="仿宋" w:cs="仿宋"/>
          <w:bCs/>
          <w:color w:val="000000"/>
          <w:sz w:val="28"/>
          <w:szCs w:val="28"/>
        </w:rPr>
        <w:t>乙方在提供服务过程中所涉及的人工、设备、管理、系统等全部成本、利润及税费已全部包含在购买服务总费用中，乙方不得另行主张额外费用；明确用于道路救助基金管理相关，但超出约定金额的服务，</w:t>
      </w:r>
      <w:r>
        <w:rPr>
          <w:rFonts w:hint="eastAsia" w:ascii="仿宋" w:hAnsi="仿宋" w:eastAsia="仿宋" w:cs="仿宋"/>
          <w:bCs/>
          <w:color w:val="000000"/>
          <w:sz w:val="28"/>
          <w:szCs w:val="28"/>
          <w:lang w:val="en-US" w:eastAsia="zh-CN"/>
        </w:rPr>
        <w:t>乙方可向甲方申请，甲方核对无误的，可以另行签订书面补充协议</w:t>
      </w:r>
      <w:r>
        <w:rPr>
          <w:rFonts w:hint="eastAsia" w:ascii="仿宋" w:hAnsi="仿宋" w:eastAsia="仿宋" w:cs="仿宋"/>
          <w:bCs/>
          <w:color w:val="000000"/>
          <w:sz w:val="28"/>
          <w:szCs w:val="28"/>
        </w:rPr>
        <w:t>。</w:t>
      </w:r>
    </w:p>
    <w:p w14:paraId="339DAEFE">
      <w:pPr>
        <w:keepNext w:val="0"/>
        <w:keepLines w:val="0"/>
        <w:pageBreakBefore w:val="0"/>
        <w:widowControl w:val="0"/>
        <w:tabs>
          <w:tab w:val="left" w:pos="1980"/>
        </w:tabs>
        <w:kinsoku/>
        <w:wordWrap/>
        <w:overflowPunct/>
        <w:topLinePunct w:val="0"/>
        <w:autoSpaceDE/>
        <w:autoSpaceDN/>
        <w:bidi w:val="0"/>
        <w:snapToGrid w:val="0"/>
        <w:spacing w:line="480" w:lineRule="exact"/>
        <w:ind w:left="0" w:leftChars="0" w:firstLine="548" w:firstLineChars="196"/>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lang w:val="en-US" w:eastAsia="zh-CN"/>
        </w:rPr>
        <w:t>3、</w:t>
      </w:r>
      <w:r>
        <w:rPr>
          <w:rFonts w:hint="eastAsia" w:ascii="仿宋" w:hAnsi="仿宋" w:eastAsia="仿宋" w:cs="仿宋"/>
          <w:bCs/>
          <w:color w:val="000000"/>
          <w:sz w:val="28"/>
          <w:szCs w:val="28"/>
          <w:highlight w:val="none"/>
          <w:lang w:eastAsia="zh-CN"/>
        </w:rPr>
        <w:t>乙</w:t>
      </w:r>
      <w:r>
        <w:rPr>
          <w:rFonts w:hint="eastAsia" w:ascii="仿宋" w:hAnsi="仿宋" w:eastAsia="仿宋" w:cs="仿宋"/>
          <w:bCs/>
          <w:color w:val="000000"/>
          <w:sz w:val="28"/>
          <w:szCs w:val="28"/>
          <w:highlight w:val="none"/>
        </w:rPr>
        <w:t>方应在省级设立救助基金管理</w:t>
      </w:r>
      <w:r>
        <w:rPr>
          <w:rFonts w:hint="eastAsia" w:ascii="仿宋" w:hAnsi="仿宋" w:eastAsia="仿宋" w:cs="仿宋"/>
          <w:bCs/>
          <w:color w:val="000000"/>
          <w:sz w:val="28"/>
          <w:szCs w:val="28"/>
          <w:highlight w:val="none"/>
          <w:lang w:eastAsia="zh-CN"/>
        </w:rPr>
        <w:t>办公室</w:t>
      </w:r>
      <w:r>
        <w:rPr>
          <w:rFonts w:hint="eastAsia" w:ascii="仿宋" w:hAnsi="仿宋" w:eastAsia="仿宋" w:cs="仿宋"/>
          <w:bCs/>
          <w:color w:val="000000"/>
          <w:sz w:val="28"/>
          <w:szCs w:val="28"/>
          <w:highlight w:val="none"/>
        </w:rPr>
        <w:t>，负责对全省垫付申请的集中审核、统一垫付、追偿资金返还及全省承办业务的协调、指导与监管，财务管理应当符合财政部和</w:t>
      </w:r>
      <w:r>
        <w:rPr>
          <w:rFonts w:hint="eastAsia" w:ascii="仿宋" w:hAnsi="仿宋" w:eastAsia="仿宋" w:cs="仿宋"/>
          <w:bCs/>
          <w:color w:val="000000"/>
          <w:sz w:val="28"/>
          <w:szCs w:val="28"/>
          <w:highlight w:val="none"/>
          <w:lang w:eastAsia="zh-CN"/>
        </w:rPr>
        <w:t>陕</w:t>
      </w:r>
      <w:r>
        <w:rPr>
          <w:rFonts w:hint="eastAsia" w:ascii="仿宋" w:hAnsi="仿宋" w:eastAsia="仿宋" w:cs="仿宋"/>
          <w:bCs/>
          <w:color w:val="000000"/>
          <w:sz w:val="28"/>
          <w:szCs w:val="28"/>
          <w:highlight w:val="none"/>
        </w:rPr>
        <w:t>西省财政厅的相关规定。</w:t>
      </w:r>
    </w:p>
    <w:p w14:paraId="223E16D3">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4、</w:t>
      </w:r>
      <w:r>
        <w:rPr>
          <w:rFonts w:hint="eastAsia" w:ascii="仿宋" w:hAnsi="仿宋" w:eastAsia="仿宋" w:cs="仿宋"/>
          <w:bCs/>
          <w:color w:val="000000"/>
          <w:sz w:val="28"/>
          <w:szCs w:val="28"/>
          <w:highlight w:val="none"/>
          <w:lang w:eastAsia="zh-CN"/>
        </w:rPr>
        <w:t>乙</w:t>
      </w:r>
      <w:r>
        <w:rPr>
          <w:rFonts w:hint="eastAsia" w:ascii="仿宋" w:hAnsi="仿宋" w:eastAsia="仿宋" w:cs="仿宋"/>
          <w:bCs/>
          <w:color w:val="000000"/>
          <w:sz w:val="28"/>
          <w:szCs w:val="28"/>
          <w:highlight w:val="none"/>
        </w:rPr>
        <w:t>方省级</w:t>
      </w:r>
      <w:r>
        <w:rPr>
          <w:rFonts w:hint="eastAsia" w:ascii="仿宋" w:hAnsi="仿宋" w:eastAsia="仿宋" w:cs="仿宋"/>
          <w:bCs/>
          <w:color w:val="000000"/>
          <w:sz w:val="28"/>
          <w:szCs w:val="28"/>
          <w:highlight w:val="none"/>
          <w:lang w:eastAsia="zh-CN"/>
        </w:rPr>
        <w:t>管理办公室</w:t>
      </w:r>
      <w:r>
        <w:rPr>
          <w:rFonts w:hint="eastAsia" w:ascii="仿宋" w:hAnsi="仿宋" w:eastAsia="仿宋" w:cs="仿宋"/>
          <w:bCs/>
          <w:color w:val="000000"/>
          <w:sz w:val="28"/>
          <w:szCs w:val="28"/>
          <w:highlight w:val="none"/>
        </w:rPr>
        <w:t>应组织有临床医学、法律、保险、财务、信息技术等资质或专业背景的运营队伍，按照《</w:t>
      </w:r>
      <w:r>
        <w:rPr>
          <w:rFonts w:hint="eastAsia" w:ascii="仿宋" w:hAnsi="仿宋" w:eastAsia="仿宋" w:cs="仿宋"/>
          <w:bCs/>
          <w:color w:val="000000"/>
          <w:sz w:val="28"/>
          <w:szCs w:val="28"/>
          <w:highlight w:val="none"/>
          <w:lang w:eastAsia="zh-CN"/>
        </w:rPr>
        <w:t>陕</w:t>
      </w:r>
      <w:r>
        <w:rPr>
          <w:rFonts w:hint="eastAsia" w:ascii="仿宋" w:hAnsi="仿宋" w:eastAsia="仿宋" w:cs="仿宋"/>
          <w:bCs/>
          <w:color w:val="000000"/>
          <w:sz w:val="28"/>
          <w:szCs w:val="28"/>
          <w:highlight w:val="none"/>
        </w:rPr>
        <w:t>西省道路交通事故社会救助基金管理办法》</w:t>
      </w:r>
      <w:r>
        <w:rPr>
          <w:rFonts w:hint="eastAsia" w:ascii="仿宋" w:hAnsi="仿宋" w:eastAsia="仿宋" w:cs="仿宋"/>
          <w:bCs/>
          <w:color w:val="000000"/>
          <w:sz w:val="28"/>
          <w:szCs w:val="28"/>
          <w:highlight w:val="none"/>
          <w:lang w:eastAsia="zh-CN"/>
        </w:rPr>
        <w:t>（陕财办</w:t>
      </w:r>
      <w:r>
        <w:rPr>
          <w:rFonts w:hint="eastAsia" w:ascii="仿宋" w:hAnsi="仿宋" w:eastAsia="仿宋" w:cs="仿宋"/>
          <w:bCs/>
          <w:color w:val="000000"/>
          <w:sz w:val="28"/>
          <w:szCs w:val="28"/>
          <w:highlight w:val="none"/>
          <w:lang w:val="en-US" w:eastAsia="zh-CN"/>
        </w:rPr>
        <w:t>〔2022〕32号</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rPr>
        <w:t>文件内容，统一政策、标准及流程开展全省救助基金垫付、追偿、救助等日常管理工作。要求财务人员、法务人员及医疗审核人员均不低于2名。同时，</w:t>
      </w:r>
      <w:r>
        <w:rPr>
          <w:rFonts w:hint="eastAsia" w:ascii="仿宋" w:hAnsi="仿宋" w:eastAsia="仿宋" w:cs="仿宋"/>
          <w:bCs/>
          <w:color w:val="000000"/>
          <w:sz w:val="28"/>
          <w:szCs w:val="28"/>
          <w:highlight w:val="none"/>
          <w:lang w:eastAsia="zh-CN"/>
        </w:rPr>
        <w:t>乙</w:t>
      </w:r>
      <w:r>
        <w:rPr>
          <w:rFonts w:hint="eastAsia" w:ascii="仿宋" w:hAnsi="仿宋" w:eastAsia="仿宋" w:cs="仿宋"/>
          <w:bCs/>
          <w:color w:val="000000"/>
          <w:sz w:val="28"/>
          <w:szCs w:val="28"/>
          <w:highlight w:val="none"/>
        </w:rPr>
        <w:t>方应当储备、锻炼后备人才力量，保证基金管理运营工作具有连续性。</w:t>
      </w:r>
    </w:p>
    <w:p w14:paraId="086E471A">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firstLine="560" w:firstLineChars="200"/>
        <w:textAlignment w:val="auto"/>
        <w:outlineLvl w:val="9"/>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lang w:val="en-US" w:eastAsia="zh-CN"/>
        </w:rPr>
        <w:t>5、乙</w:t>
      </w:r>
      <w:r>
        <w:rPr>
          <w:rFonts w:hint="eastAsia" w:ascii="仿宋" w:hAnsi="仿宋" w:eastAsia="仿宋" w:cs="仿宋"/>
          <w:bCs/>
          <w:color w:val="000000"/>
          <w:sz w:val="28"/>
          <w:szCs w:val="28"/>
          <w:highlight w:val="none"/>
        </w:rPr>
        <w:t>方应当在全省1</w:t>
      </w:r>
      <w:r>
        <w:rPr>
          <w:rFonts w:hint="eastAsia" w:ascii="仿宋" w:hAnsi="仿宋" w:eastAsia="仿宋" w:cs="仿宋"/>
          <w:bCs/>
          <w:color w:val="000000"/>
          <w:sz w:val="28"/>
          <w:szCs w:val="28"/>
          <w:highlight w:val="none"/>
          <w:lang w:val="en-US" w:eastAsia="zh-CN"/>
        </w:rPr>
        <w:t>0</w:t>
      </w:r>
      <w:r>
        <w:rPr>
          <w:rFonts w:hint="eastAsia" w:ascii="仿宋" w:hAnsi="仿宋" w:eastAsia="仿宋" w:cs="仿宋"/>
          <w:bCs/>
          <w:color w:val="000000"/>
          <w:sz w:val="28"/>
          <w:szCs w:val="28"/>
          <w:highlight w:val="none"/>
        </w:rPr>
        <w:t>个地市设立与救助基金日常运营服务相匹配的服务网点，并在各地市配备</w:t>
      </w:r>
      <w:r>
        <w:rPr>
          <w:rFonts w:hint="eastAsia" w:ascii="仿宋" w:hAnsi="仿宋" w:eastAsia="仿宋" w:cs="仿宋"/>
          <w:bCs/>
          <w:color w:val="000000"/>
          <w:sz w:val="28"/>
          <w:szCs w:val="28"/>
          <w:highlight w:val="none"/>
          <w:lang w:eastAsia="zh-CN"/>
        </w:rPr>
        <w:t>至少</w:t>
      </w:r>
      <w:r>
        <w:rPr>
          <w:rFonts w:hint="eastAsia" w:ascii="仿宋" w:hAnsi="仿宋" w:eastAsia="仿宋" w:cs="仿宋"/>
          <w:bCs/>
          <w:color w:val="000000"/>
          <w:sz w:val="28"/>
          <w:szCs w:val="28"/>
          <w:highlight w:val="none"/>
          <w:lang w:val="en-US" w:eastAsia="zh-CN"/>
        </w:rPr>
        <w:t>1</w:t>
      </w:r>
      <w:r>
        <w:rPr>
          <w:rFonts w:hint="eastAsia" w:ascii="仿宋" w:hAnsi="仿宋" w:eastAsia="仿宋" w:cs="仿宋"/>
          <w:bCs/>
          <w:color w:val="000000"/>
          <w:sz w:val="28"/>
          <w:szCs w:val="28"/>
          <w:highlight w:val="none"/>
        </w:rPr>
        <w:t>名专职人员从事基金管理事宜</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rPr>
        <w:t>各地市行政区域办公地点及配备人数可根据辖区地域大小和案件量多少科学分配设置。</w:t>
      </w:r>
    </w:p>
    <w:p w14:paraId="24BE1EE4">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6、乙方按照服务承诺事项做好救助基金管理工作。</w:t>
      </w:r>
      <w:r>
        <w:rPr>
          <w:rFonts w:hint="eastAsia" w:ascii="仿宋" w:hAnsi="仿宋" w:eastAsia="仿宋" w:cs="仿宋"/>
          <w:bCs/>
          <w:color w:val="000000"/>
          <w:sz w:val="28"/>
          <w:szCs w:val="28"/>
          <w:highlight w:val="none"/>
        </w:rPr>
        <w:t>应当在全省所有的县、市、区行政区域均设有办公机构和固定的办公人员，应当配备必要的桌椅、电脑、打印机等办公设备和耗材，服务能力要做到全省行政区域内全部覆盖，同时服务效能要及时、便捷和高效。</w:t>
      </w:r>
    </w:p>
    <w:p w14:paraId="2BBD8246">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7</w:t>
      </w:r>
      <w:r>
        <w:rPr>
          <w:rFonts w:hint="eastAsia" w:ascii="仿宋" w:hAnsi="仿宋" w:eastAsia="仿宋" w:cs="仿宋"/>
          <w:bCs/>
          <w:color w:val="000000"/>
          <w:sz w:val="28"/>
          <w:szCs w:val="28"/>
          <w:highlight w:val="none"/>
        </w:rPr>
        <w:t>、乙方在提供服务过程中需要甲方予以协助的事项，可向甲方提出申请。</w:t>
      </w:r>
    </w:p>
    <w:p w14:paraId="5CAA2C40">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8</w:t>
      </w:r>
      <w:r>
        <w:rPr>
          <w:rFonts w:hint="eastAsia" w:ascii="仿宋" w:hAnsi="仿宋" w:eastAsia="仿宋" w:cs="仿宋"/>
          <w:bCs/>
          <w:color w:val="000000"/>
          <w:sz w:val="28"/>
          <w:szCs w:val="28"/>
          <w:highlight w:val="none"/>
        </w:rPr>
        <w:t>、</w:t>
      </w:r>
      <w:r>
        <w:rPr>
          <w:rFonts w:hint="eastAsia" w:ascii="仿宋" w:hAnsi="仿宋" w:eastAsia="仿宋" w:cs="仿宋"/>
          <w:bCs/>
          <w:color w:val="000000"/>
          <w:sz w:val="28"/>
          <w:szCs w:val="28"/>
          <w:highlight w:val="none"/>
          <w:lang w:eastAsia="zh-CN"/>
        </w:rPr>
        <w:t>乙</w:t>
      </w:r>
      <w:r>
        <w:rPr>
          <w:rFonts w:hint="eastAsia" w:ascii="仿宋" w:hAnsi="仿宋" w:eastAsia="仿宋" w:cs="仿宋"/>
          <w:bCs/>
          <w:color w:val="000000"/>
          <w:sz w:val="28"/>
          <w:szCs w:val="28"/>
          <w:highlight w:val="none"/>
        </w:rPr>
        <w:t>方应当积极落实省联席会议及其办公室交办的其他事项。</w:t>
      </w:r>
    </w:p>
    <w:p w14:paraId="344E09C3">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9</w:t>
      </w:r>
      <w:r>
        <w:rPr>
          <w:rFonts w:hint="eastAsia" w:ascii="仿宋" w:hAnsi="仿宋" w:eastAsia="仿宋" w:cs="仿宋"/>
          <w:bCs/>
          <w:color w:val="000000"/>
          <w:sz w:val="28"/>
          <w:szCs w:val="28"/>
          <w:highlight w:val="none"/>
        </w:rPr>
        <w:t>、乙方应及时依法向机动车道路事故责任人或相关赔偿义务人进行追偿，并督促责任人及时将相应款项缴入救助基金专户。</w:t>
      </w:r>
      <w:r>
        <w:rPr>
          <w:rFonts w:hint="eastAsia" w:ascii="仿宋" w:hAnsi="仿宋" w:eastAsia="仿宋" w:cs="仿宋"/>
          <w:bCs/>
          <w:color w:val="000000"/>
          <w:sz w:val="28"/>
          <w:szCs w:val="28"/>
          <w:highlight w:val="none"/>
          <w:lang w:eastAsia="zh-CN"/>
        </w:rPr>
        <w:t>乙</w:t>
      </w:r>
      <w:r>
        <w:rPr>
          <w:rFonts w:hint="eastAsia" w:ascii="仿宋" w:hAnsi="仿宋" w:eastAsia="仿宋" w:cs="仿宋"/>
          <w:bCs/>
          <w:color w:val="000000"/>
          <w:sz w:val="28"/>
          <w:szCs w:val="28"/>
          <w:highlight w:val="none"/>
        </w:rPr>
        <w:t>方应当本着“应追尽追”的原则，在垫付完成后，</w:t>
      </w:r>
      <w:r>
        <w:rPr>
          <w:rFonts w:hint="eastAsia" w:ascii="仿宋" w:hAnsi="仿宋" w:eastAsia="仿宋" w:cs="仿宋"/>
          <w:bCs/>
          <w:color w:val="000000"/>
          <w:sz w:val="28"/>
          <w:szCs w:val="28"/>
          <w:highlight w:val="none"/>
          <w:lang w:eastAsia="zh-CN"/>
        </w:rPr>
        <w:t>乙</w:t>
      </w:r>
      <w:r>
        <w:rPr>
          <w:rFonts w:hint="eastAsia" w:ascii="仿宋" w:hAnsi="仿宋" w:eastAsia="仿宋" w:cs="仿宋"/>
          <w:bCs/>
          <w:color w:val="000000"/>
          <w:sz w:val="28"/>
          <w:szCs w:val="28"/>
          <w:highlight w:val="none"/>
        </w:rPr>
        <w:t>方应当根据已生效的交通事故责任认定书向赔偿义务人发起追偿，及时送达协助追偿通知书。同时，应当及时向相关保险公司送达协助追偿通知书，督促保险公司理赔时优先偿还救助基金垫付款。对有能力但拒不偿还救助基金的赔偿义务人直接提起诉讼。追偿动作完成率应当达到100％。</w:t>
      </w:r>
    </w:p>
    <w:p w14:paraId="557C7A60">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10</w:t>
      </w:r>
      <w:r>
        <w:rPr>
          <w:rFonts w:hint="eastAsia" w:ascii="仿宋" w:hAnsi="仿宋" w:eastAsia="仿宋" w:cs="仿宋"/>
          <w:bCs/>
          <w:color w:val="000000"/>
          <w:sz w:val="28"/>
          <w:szCs w:val="28"/>
          <w:highlight w:val="none"/>
        </w:rPr>
        <w:t>、乙方应于每季度结束</w:t>
      </w:r>
      <w:r>
        <w:rPr>
          <w:rFonts w:hint="eastAsia" w:ascii="仿宋" w:hAnsi="仿宋" w:eastAsia="仿宋" w:cs="仿宋"/>
          <w:bCs/>
          <w:color w:val="000000"/>
          <w:sz w:val="28"/>
          <w:szCs w:val="28"/>
          <w:highlight w:val="none"/>
          <w:lang w:val="en-US" w:eastAsia="zh-CN"/>
        </w:rPr>
        <w:t>15</w:t>
      </w:r>
      <w:r>
        <w:rPr>
          <w:rFonts w:hint="eastAsia" w:ascii="仿宋" w:hAnsi="仿宋" w:eastAsia="仿宋" w:cs="仿宋"/>
          <w:bCs/>
          <w:color w:val="000000"/>
          <w:sz w:val="28"/>
          <w:szCs w:val="28"/>
          <w:highlight w:val="none"/>
        </w:rPr>
        <w:t>个工作日内，将上季度相关救助基金垫付、追偿、宣传</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lang w:val="en-US" w:eastAsia="zh-CN"/>
        </w:rPr>
        <w:t>管理经费使用等情况及财务会计报告</w:t>
      </w:r>
      <w:r>
        <w:rPr>
          <w:rFonts w:hint="eastAsia" w:ascii="仿宋" w:hAnsi="仿宋" w:eastAsia="仿宋" w:cs="仿宋"/>
          <w:bCs/>
          <w:color w:val="000000"/>
          <w:sz w:val="28"/>
          <w:szCs w:val="28"/>
          <w:highlight w:val="none"/>
        </w:rPr>
        <w:t>报送甲方。</w:t>
      </w:r>
    </w:p>
    <w:p w14:paraId="41827384">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11</w:t>
      </w:r>
      <w:r>
        <w:rPr>
          <w:rFonts w:hint="eastAsia" w:ascii="仿宋" w:hAnsi="仿宋" w:eastAsia="仿宋" w:cs="仿宋"/>
          <w:bCs/>
          <w:color w:val="000000"/>
          <w:sz w:val="28"/>
          <w:szCs w:val="28"/>
          <w:highlight w:val="none"/>
        </w:rPr>
        <w:t>、乙方应建立档案管理规章制度，妥善保管垫付和追偿相关的档案和有关资料。省级、地市级需配备救助基金的抢救费用垫付、丧葬费用垫付、已垫付费用追偿、救助基金宣传等上述各项工作中形成业务材料的专设独立的档案室。</w:t>
      </w:r>
    </w:p>
    <w:p w14:paraId="2791C81D">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12</w:t>
      </w:r>
      <w:r>
        <w:rPr>
          <w:rFonts w:hint="eastAsia" w:ascii="仿宋" w:hAnsi="仿宋" w:eastAsia="仿宋" w:cs="仿宋"/>
          <w:bCs/>
          <w:color w:val="000000"/>
          <w:sz w:val="28"/>
          <w:szCs w:val="28"/>
          <w:highlight w:val="none"/>
        </w:rPr>
        <w:t>、乙方加强内部管理，提高工作人员业务水平、职业操守、法纪意识和综合素质，严格财务管理，防控风险，保障救助基金安全运行。</w:t>
      </w:r>
    </w:p>
    <w:p w14:paraId="5058BD0E">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13</w:t>
      </w:r>
      <w:r>
        <w:rPr>
          <w:rFonts w:hint="eastAsia" w:ascii="仿宋" w:hAnsi="仿宋" w:eastAsia="仿宋" w:cs="仿宋"/>
          <w:bCs/>
          <w:color w:val="000000"/>
          <w:sz w:val="28"/>
          <w:szCs w:val="28"/>
          <w:highlight w:val="none"/>
        </w:rPr>
        <w:t>、乙方在承办救助基金受托业务应加强政策宣传，树立服务意识，不断提升救助基金社会影响力。</w:t>
      </w:r>
    </w:p>
    <w:p w14:paraId="2CE9CAD1">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14</w:t>
      </w:r>
      <w:r>
        <w:rPr>
          <w:rFonts w:hint="eastAsia" w:ascii="仿宋" w:hAnsi="仿宋" w:eastAsia="仿宋" w:cs="仿宋"/>
          <w:bCs/>
          <w:color w:val="000000"/>
          <w:sz w:val="28"/>
          <w:szCs w:val="28"/>
          <w:highlight w:val="none"/>
        </w:rPr>
        <w:t>、乙方对项目所涉及的全部资料应妥善保管，并尽保密之责任</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rPr>
        <w:t>非经甲方同意不得擅自公开。本保密义务在本合同期满、解除或终止后仍然有效。</w:t>
      </w:r>
    </w:p>
    <w:p w14:paraId="5637BC5D">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w:t>
      </w:r>
      <w:r>
        <w:rPr>
          <w:rFonts w:hint="eastAsia" w:ascii="仿宋" w:hAnsi="仿宋" w:eastAsia="仿宋" w:cs="仿宋"/>
          <w:bCs/>
          <w:color w:val="000000"/>
          <w:sz w:val="28"/>
          <w:szCs w:val="28"/>
          <w:highlight w:val="none"/>
          <w:lang w:val="en-US" w:eastAsia="zh-CN"/>
        </w:rPr>
        <w:t>5</w:t>
      </w:r>
      <w:r>
        <w:rPr>
          <w:rFonts w:hint="eastAsia" w:ascii="仿宋" w:hAnsi="仿宋" w:eastAsia="仿宋" w:cs="仿宋"/>
          <w:bCs/>
          <w:color w:val="000000"/>
          <w:sz w:val="28"/>
          <w:szCs w:val="28"/>
          <w:highlight w:val="none"/>
        </w:rPr>
        <w:t>、无论任何原因导致乙方未能继续为甲方提供服务的，乙方应当全面交接，不涉及乙方独立知识产权的内容、设备设施、技术方案等与本项目相关的一切均应完整的移交甲方，确保甲方业务不受影响。</w:t>
      </w:r>
      <w:r>
        <w:rPr>
          <w:rFonts w:hint="eastAsia" w:ascii="仿宋" w:hAnsi="仿宋" w:eastAsia="仿宋" w:cs="仿宋"/>
          <w:bCs/>
          <w:color w:val="000000"/>
          <w:sz w:val="28"/>
          <w:szCs w:val="28"/>
          <w:highlight w:val="none"/>
          <w:lang w:eastAsia="zh-CN"/>
        </w:rPr>
        <w:t>同时，</w:t>
      </w:r>
      <w:r>
        <w:rPr>
          <w:rFonts w:hint="eastAsia" w:ascii="仿宋" w:hAnsi="仿宋" w:eastAsia="仿宋" w:cs="仿宋"/>
          <w:bCs/>
          <w:color w:val="000000"/>
          <w:sz w:val="28"/>
          <w:szCs w:val="28"/>
          <w:highlight w:val="none"/>
        </w:rPr>
        <w:t>为保证全省救助基金历史数据安全、完整，救助基金管理系统的软件著作权及救助过程中形成的数据、资料、</w:t>
      </w:r>
    </w:p>
    <w:p w14:paraId="55ABBF89">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档案等归甲方所有。购买服务合同终止时，基金管理人应当将软件及其原代码，管理过程中形成的数据资料、档案等一并移交甲方。</w:t>
      </w:r>
    </w:p>
    <w:p w14:paraId="0BE41922">
      <w:pPr>
        <w:keepNext w:val="0"/>
        <w:keepLines w:val="0"/>
        <w:pageBreakBefore w:val="0"/>
        <w:widowControl w:val="0"/>
        <w:tabs>
          <w:tab w:val="left" w:pos="1980"/>
        </w:tabs>
        <w:kinsoku/>
        <w:wordWrap/>
        <w:overflowPunct/>
        <w:topLinePunct w:val="0"/>
        <w:autoSpaceDE/>
        <w:autoSpaceDN/>
        <w:bidi w:val="0"/>
        <w:adjustRightInd/>
        <w:snapToGrid w:val="0"/>
        <w:spacing w:line="480" w:lineRule="exact"/>
        <w:textAlignment w:val="auto"/>
        <w:outlineLvl w:val="9"/>
        <w:rPr>
          <w:rFonts w:hint="eastAsia" w:ascii="仿宋" w:hAnsi="仿宋" w:eastAsia="仿宋" w:cs="仿宋"/>
          <w:b/>
          <w:bCs w:val="0"/>
          <w:color w:val="000000"/>
          <w:sz w:val="28"/>
          <w:szCs w:val="28"/>
          <w:highlight w:val="none"/>
        </w:rPr>
      </w:pPr>
      <w:r>
        <w:rPr>
          <w:rFonts w:hint="eastAsia" w:ascii="仿宋" w:hAnsi="仿宋" w:eastAsia="仿宋" w:cs="仿宋"/>
          <w:b/>
          <w:bCs w:val="0"/>
          <w:color w:val="000000"/>
          <w:sz w:val="28"/>
          <w:szCs w:val="28"/>
          <w:highlight w:val="none"/>
          <w:lang w:eastAsia="zh-CN"/>
        </w:rPr>
        <w:t>七</w:t>
      </w:r>
      <w:r>
        <w:rPr>
          <w:rFonts w:hint="eastAsia" w:ascii="仿宋" w:hAnsi="仿宋" w:eastAsia="仿宋" w:cs="仿宋"/>
          <w:b/>
          <w:bCs w:val="0"/>
          <w:color w:val="000000"/>
          <w:sz w:val="28"/>
          <w:szCs w:val="28"/>
          <w:highlight w:val="none"/>
        </w:rPr>
        <w:t>、合同</w:t>
      </w:r>
      <w:r>
        <w:rPr>
          <w:rFonts w:hint="eastAsia" w:ascii="仿宋" w:hAnsi="仿宋" w:eastAsia="仿宋" w:cs="仿宋"/>
          <w:b/>
          <w:bCs w:val="0"/>
          <w:color w:val="000000"/>
          <w:sz w:val="28"/>
          <w:szCs w:val="28"/>
          <w:highlight w:val="none"/>
          <w:lang w:eastAsia="zh-CN"/>
        </w:rPr>
        <w:t>违约及</w:t>
      </w:r>
      <w:r>
        <w:rPr>
          <w:rFonts w:hint="eastAsia" w:ascii="仿宋" w:hAnsi="仿宋" w:eastAsia="仿宋" w:cs="仿宋"/>
          <w:b/>
          <w:bCs w:val="0"/>
          <w:color w:val="000000"/>
          <w:sz w:val="28"/>
          <w:szCs w:val="28"/>
          <w:highlight w:val="none"/>
        </w:rPr>
        <w:t>终止</w:t>
      </w:r>
    </w:p>
    <w:p w14:paraId="5EA24AD2">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甲方对乙方服务事项进行检查或考核过程中，发现乙方有以下情形之一的，</w:t>
      </w:r>
      <w:r>
        <w:rPr>
          <w:rFonts w:hint="eastAsia" w:ascii="仿宋" w:hAnsi="仿宋" w:eastAsia="仿宋" w:cs="仿宋"/>
          <w:bCs/>
          <w:color w:val="000000"/>
          <w:sz w:val="28"/>
          <w:szCs w:val="28"/>
          <w:highlight w:val="none"/>
          <w:lang w:eastAsia="zh-CN"/>
        </w:rPr>
        <w:t>均属重大失职行为，甲方视情形有权</w:t>
      </w:r>
      <w:r>
        <w:rPr>
          <w:rFonts w:hint="eastAsia" w:ascii="仿宋" w:hAnsi="仿宋" w:eastAsia="仿宋" w:cs="仿宋"/>
          <w:bCs/>
          <w:color w:val="000000"/>
          <w:sz w:val="28"/>
          <w:szCs w:val="28"/>
          <w:highlight w:val="none"/>
          <w:lang w:val="en-US" w:eastAsia="zh-CN"/>
        </w:rPr>
        <w:t>单方</w:t>
      </w:r>
      <w:r>
        <w:rPr>
          <w:rFonts w:hint="eastAsia" w:ascii="仿宋" w:hAnsi="仿宋" w:eastAsia="仿宋" w:cs="仿宋"/>
          <w:bCs/>
          <w:color w:val="000000"/>
          <w:sz w:val="28"/>
          <w:szCs w:val="28"/>
          <w:highlight w:val="none"/>
          <w:lang w:eastAsia="zh-CN"/>
        </w:rPr>
        <w:t>解除合同</w:t>
      </w:r>
      <w:r>
        <w:rPr>
          <w:rFonts w:hint="eastAsia" w:ascii="仿宋" w:hAnsi="仿宋" w:eastAsia="仿宋" w:cs="仿宋"/>
          <w:bCs/>
          <w:color w:val="000000"/>
          <w:sz w:val="28"/>
          <w:szCs w:val="28"/>
          <w:highlight w:val="none"/>
        </w:rPr>
        <w:t>：</w:t>
      </w:r>
    </w:p>
    <w:p w14:paraId="47A7176F">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1、未按救助基金法律法规、相关管理制度和时效要求受理、审核救助基金垫付申请并进行垫付，经甲方通知乙方整改未果，给甲方造成严重影响的。</w:t>
      </w:r>
    </w:p>
    <w:p w14:paraId="62D99771">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lang w:eastAsia="zh-CN"/>
        </w:rPr>
      </w:pPr>
      <w:r>
        <w:rPr>
          <w:rFonts w:hint="eastAsia" w:ascii="仿宋" w:hAnsi="仿宋" w:eastAsia="仿宋" w:cs="仿宋"/>
          <w:bCs/>
          <w:color w:val="000000"/>
          <w:sz w:val="28"/>
          <w:szCs w:val="28"/>
          <w:highlight w:val="none"/>
        </w:rPr>
        <w:t>2、提供虚假工作报告的，乙方应在甲方限定时间内如实提供工作报告</w:t>
      </w:r>
      <w:r>
        <w:rPr>
          <w:rFonts w:hint="eastAsia" w:ascii="仿宋" w:hAnsi="仿宋" w:eastAsia="仿宋" w:cs="仿宋"/>
          <w:bCs/>
          <w:color w:val="000000"/>
          <w:sz w:val="28"/>
          <w:szCs w:val="28"/>
          <w:highlight w:val="none"/>
          <w:lang w:eastAsia="zh-CN"/>
        </w:rPr>
        <w:t>。</w:t>
      </w:r>
    </w:p>
    <w:p w14:paraId="568112DB">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lang w:eastAsia="zh-CN"/>
        </w:rPr>
      </w:pPr>
      <w:r>
        <w:rPr>
          <w:rFonts w:hint="eastAsia" w:ascii="仿宋" w:hAnsi="仿宋" w:eastAsia="仿宋" w:cs="仿宋"/>
          <w:bCs/>
          <w:color w:val="000000"/>
          <w:sz w:val="28"/>
          <w:szCs w:val="28"/>
          <w:highlight w:val="none"/>
        </w:rPr>
        <w:t>3、未达到本项目年度考核标准最低分（由甲方根据实际工作情况设定）且无法出具书面特殊情况说明的</w:t>
      </w:r>
      <w:r>
        <w:rPr>
          <w:rFonts w:hint="eastAsia" w:ascii="仿宋" w:hAnsi="仿宋" w:eastAsia="仿宋" w:cs="仿宋"/>
          <w:bCs/>
          <w:color w:val="000000"/>
          <w:sz w:val="28"/>
          <w:szCs w:val="28"/>
          <w:highlight w:val="none"/>
          <w:lang w:eastAsia="zh-CN"/>
        </w:rPr>
        <w:t>。</w:t>
      </w:r>
    </w:p>
    <w:p w14:paraId="5C5B76B9">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lang w:eastAsia="zh-CN"/>
        </w:rPr>
      </w:pPr>
      <w:r>
        <w:rPr>
          <w:rFonts w:hint="eastAsia" w:ascii="仿宋" w:hAnsi="仿宋" w:eastAsia="仿宋" w:cs="仿宋"/>
          <w:bCs/>
          <w:color w:val="000000"/>
          <w:sz w:val="28"/>
          <w:szCs w:val="28"/>
          <w:highlight w:val="none"/>
        </w:rPr>
        <w:t>4、拒绝或妨碍相关部门依法实施监督检查的</w:t>
      </w:r>
      <w:r>
        <w:rPr>
          <w:rFonts w:hint="eastAsia" w:ascii="仿宋" w:hAnsi="仿宋" w:eastAsia="仿宋" w:cs="仿宋"/>
          <w:bCs/>
          <w:color w:val="000000"/>
          <w:sz w:val="28"/>
          <w:szCs w:val="28"/>
          <w:highlight w:val="none"/>
          <w:lang w:eastAsia="zh-CN"/>
        </w:rPr>
        <w:t>。</w:t>
      </w:r>
    </w:p>
    <w:p w14:paraId="1FB2C013">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5、在合同履行过程中，因违约或重大过失造成甲方经济损失、负面舆情影响的，乙方应及时消除负面影响。</w:t>
      </w:r>
    </w:p>
    <w:p w14:paraId="2B86DE98">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6</w:t>
      </w:r>
      <w:r>
        <w:rPr>
          <w:rFonts w:hint="eastAsia" w:ascii="仿宋" w:hAnsi="仿宋" w:eastAsia="仿宋" w:cs="仿宋"/>
          <w:bCs/>
          <w:color w:val="000000"/>
          <w:sz w:val="28"/>
          <w:szCs w:val="28"/>
          <w:highlight w:val="none"/>
        </w:rPr>
        <w:t>、甲方发现乙方行为不符合服务要求的，可通知乙方限期整改；整改仍不符合要求的，甲方有权解除本合同并追究乙方违约责任。</w:t>
      </w:r>
    </w:p>
    <w:p w14:paraId="0D62F5DF">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7</w:t>
      </w:r>
      <w:r>
        <w:rPr>
          <w:rFonts w:hint="eastAsia" w:ascii="仿宋" w:hAnsi="仿宋" w:eastAsia="仿宋" w:cs="仿宋"/>
          <w:bCs/>
          <w:color w:val="000000"/>
          <w:sz w:val="28"/>
          <w:szCs w:val="28"/>
          <w:highlight w:val="none"/>
        </w:rPr>
        <w:t>、乙方服务能力丧失，致使服务无法正常进行的，乙方应当及时通知甲方该情况。双方的合同终止，但并不必然免除乙方责任。</w:t>
      </w:r>
    </w:p>
    <w:p w14:paraId="084C049F">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8</w:t>
      </w:r>
      <w:r>
        <w:rPr>
          <w:rFonts w:hint="eastAsia" w:ascii="仿宋" w:hAnsi="仿宋" w:eastAsia="仿宋" w:cs="仿宋"/>
          <w:bCs/>
          <w:color w:val="000000"/>
          <w:sz w:val="28"/>
          <w:szCs w:val="28"/>
          <w:highlight w:val="none"/>
        </w:rPr>
        <w:t>、乙方存在其他损害甲方权益或国家、社会公共利益的行为，甲方发现后有权随时解除本合同，并追究乙方行为</w:t>
      </w:r>
      <w:r>
        <w:rPr>
          <w:rFonts w:hint="eastAsia" w:ascii="仿宋" w:hAnsi="仿宋" w:eastAsia="仿宋" w:cs="仿宋"/>
          <w:bCs/>
          <w:color w:val="000000"/>
          <w:sz w:val="28"/>
          <w:szCs w:val="28"/>
          <w:highlight w:val="none"/>
          <w:lang w:val="en-US" w:eastAsia="zh-CN"/>
        </w:rPr>
        <w:t>给甲方或其他第三人</w:t>
      </w:r>
      <w:r>
        <w:rPr>
          <w:rFonts w:hint="eastAsia" w:ascii="仿宋" w:hAnsi="仿宋" w:eastAsia="仿宋" w:cs="仿宋"/>
          <w:bCs/>
          <w:color w:val="000000"/>
          <w:sz w:val="28"/>
          <w:szCs w:val="28"/>
          <w:highlight w:val="none"/>
        </w:rPr>
        <w:t>造成的经济损失和法律责任</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lang w:val="en-US" w:eastAsia="zh-CN"/>
        </w:rPr>
        <w:t>并向甲方支付不低于本合同总金额</w:t>
      </w:r>
      <w:r>
        <w:rPr>
          <w:rFonts w:hint="eastAsia" w:ascii="仿宋" w:hAnsi="仿宋" w:eastAsia="仿宋" w:cs="仿宋"/>
          <w:bCs/>
          <w:color w:val="000000"/>
          <w:sz w:val="28"/>
          <w:szCs w:val="28"/>
          <w:highlight w:val="none"/>
          <w:u w:val="single"/>
          <w:lang w:val="en-US" w:eastAsia="zh-CN"/>
        </w:rPr>
        <w:t xml:space="preserve">    </w:t>
      </w:r>
      <w:r>
        <w:rPr>
          <w:rFonts w:hint="eastAsia" w:ascii="仿宋" w:hAnsi="仿宋" w:eastAsia="仿宋" w:cs="仿宋"/>
          <w:bCs/>
          <w:color w:val="000000"/>
          <w:sz w:val="28"/>
          <w:szCs w:val="28"/>
          <w:highlight w:val="none"/>
          <w:lang w:val="en-US" w:eastAsia="zh-CN"/>
        </w:rPr>
        <w:t>%的违约金</w:t>
      </w:r>
      <w:r>
        <w:rPr>
          <w:rFonts w:hint="eastAsia" w:ascii="仿宋" w:hAnsi="仿宋" w:eastAsia="仿宋" w:cs="仿宋"/>
          <w:bCs/>
          <w:color w:val="000000"/>
          <w:sz w:val="28"/>
          <w:szCs w:val="28"/>
          <w:highlight w:val="none"/>
        </w:rPr>
        <w:t>。</w:t>
      </w:r>
    </w:p>
    <w:p w14:paraId="238C684B">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9</w:t>
      </w:r>
      <w:r>
        <w:rPr>
          <w:rFonts w:hint="eastAsia" w:ascii="仿宋" w:hAnsi="仿宋" w:eastAsia="仿宋" w:cs="仿宋"/>
          <w:bCs/>
          <w:color w:val="000000"/>
          <w:sz w:val="28"/>
          <w:szCs w:val="28"/>
          <w:highlight w:val="none"/>
        </w:rPr>
        <w:t>、乙方如违反财政部107号令《道路交通事故社会救助基金管理办法》《</w:t>
      </w:r>
      <w:r>
        <w:rPr>
          <w:rFonts w:hint="eastAsia" w:ascii="仿宋" w:hAnsi="仿宋" w:eastAsia="仿宋" w:cs="仿宋"/>
          <w:bCs/>
          <w:color w:val="000000"/>
          <w:sz w:val="28"/>
          <w:szCs w:val="28"/>
          <w:highlight w:val="none"/>
          <w:lang w:eastAsia="zh-CN"/>
        </w:rPr>
        <w:t>陕西</w:t>
      </w:r>
      <w:r>
        <w:rPr>
          <w:rFonts w:hint="eastAsia" w:ascii="仿宋" w:hAnsi="仿宋" w:eastAsia="仿宋" w:cs="仿宋"/>
          <w:bCs/>
          <w:color w:val="000000"/>
          <w:sz w:val="28"/>
          <w:szCs w:val="28"/>
          <w:highlight w:val="none"/>
        </w:rPr>
        <w:t>省道路交通事故社会救助基金管理实施</w:t>
      </w:r>
      <w:r>
        <w:rPr>
          <w:rFonts w:hint="eastAsia" w:ascii="仿宋" w:hAnsi="仿宋" w:eastAsia="仿宋" w:cs="仿宋"/>
          <w:bCs/>
          <w:color w:val="000000"/>
          <w:sz w:val="28"/>
          <w:szCs w:val="28"/>
          <w:highlight w:val="none"/>
          <w:lang w:eastAsia="zh-CN"/>
        </w:rPr>
        <w:t>细则</w:t>
      </w:r>
      <w:r>
        <w:rPr>
          <w:rFonts w:hint="eastAsia" w:ascii="仿宋" w:hAnsi="仿宋" w:eastAsia="仿宋" w:cs="仿宋"/>
          <w:bCs/>
          <w:color w:val="000000"/>
          <w:sz w:val="28"/>
          <w:szCs w:val="28"/>
          <w:highlight w:val="none"/>
        </w:rPr>
        <w:t>》</w:t>
      </w:r>
      <w:r>
        <w:rPr>
          <w:rFonts w:hint="eastAsia" w:ascii="仿宋" w:hAnsi="仿宋" w:eastAsia="仿宋" w:cs="仿宋"/>
          <w:bCs/>
          <w:color w:val="000000"/>
          <w:sz w:val="28"/>
          <w:szCs w:val="28"/>
          <w:highlight w:val="none"/>
          <w:lang w:eastAsia="zh-CN"/>
        </w:rPr>
        <w:t>（陕财办</w:t>
      </w:r>
      <w:r>
        <w:rPr>
          <w:rFonts w:hint="eastAsia" w:ascii="仿宋" w:hAnsi="仿宋" w:eastAsia="仿宋" w:cs="仿宋"/>
          <w:bCs/>
          <w:color w:val="000000"/>
          <w:sz w:val="28"/>
          <w:szCs w:val="28"/>
          <w:highlight w:val="none"/>
          <w:lang w:val="en-US" w:eastAsia="zh-CN"/>
        </w:rPr>
        <w:t>〔2022〕32号</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rPr>
        <w:t>等救助基金管理工作的相关规定甲方可中止或终止与乙方的合作</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lang w:val="en-US" w:eastAsia="zh-CN"/>
        </w:rPr>
        <w:t>并向甲方支付不低于本合同总金额</w:t>
      </w:r>
      <w:r>
        <w:rPr>
          <w:rFonts w:hint="eastAsia" w:ascii="仿宋" w:hAnsi="仿宋" w:eastAsia="仿宋" w:cs="仿宋"/>
          <w:bCs/>
          <w:color w:val="000000"/>
          <w:sz w:val="28"/>
          <w:szCs w:val="28"/>
          <w:highlight w:val="none"/>
          <w:u w:val="single"/>
          <w:lang w:val="en-US" w:eastAsia="zh-CN"/>
        </w:rPr>
        <w:t xml:space="preserve">    </w:t>
      </w:r>
      <w:r>
        <w:rPr>
          <w:rFonts w:hint="eastAsia" w:ascii="仿宋" w:hAnsi="仿宋" w:eastAsia="仿宋" w:cs="仿宋"/>
          <w:bCs/>
          <w:color w:val="000000"/>
          <w:sz w:val="28"/>
          <w:szCs w:val="28"/>
          <w:highlight w:val="none"/>
          <w:lang w:val="en-US" w:eastAsia="zh-CN"/>
        </w:rPr>
        <w:t>%的违约金</w:t>
      </w:r>
      <w:r>
        <w:rPr>
          <w:rFonts w:hint="eastAsia" w:ascii="仿宋" w:hAnsi="仿宋" w:eastAsia="仿宋" w:cs="仿宋"/>
          <w:bCs/>
          <w:color w:val="000000"/>
          <w:sz w:val="28"/>
          <w:szCs w:val="28"/>
          <w:highlight w:val="none"/>
        </w:rPr>
        <w:t>。</w:t>
      </w:r>
    </w:p>
    <w:p w14:paraId="76535ADF">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default"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lang w:val="en-US" w:eastAsia="zh-CN"/>
        </w:rPr>
        <w:t>10、乙方如不能按期完成服务的，每逾期1日，应向甲方赔付合同总价的0.1%作为违约金。</w:t>
      </w:r>
    </w:p>
    <w:p w14:paraId="39612125">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11</w:t>
      </w:r>
      <w:r>
        <w:rPr>
          <w:rFonts w:hint="eastAsia" w:ascii="仿宋" w:hAnsi="仿宋" w:eastAsia="仿宋" w:cs="仿宋"/>
          <w:bCs/>
          <w:color w:val="000000"/>
          <w:sz w:val="28"/>
          <w:szCs w:val="28"/>
          <w:highlight w:val="none"/>
        </w:rPr>
        <w:t>、双方确定：出现下列情形，致使本合同的履行成为不必要或不可能的，任何一方可以解除本合同，双方互相不负责任：1）发生不可抗力；2）政府行为（禁止性）；3）甲方上级单位要求。</w:t>
      </w:r>
    </w:p>
    <w:p w14:paraId="28C6CE81">
      <w:pPr>
        <w:keepNext w:val="0"/>
        <w:keepLines w:val="0"/>
        <w:pageBreakBefore w:val="0"/>
        <w:widowControl w:val="0"/>
        <w:tabs>
          <w:tab w:val="left" w:pos="1980"/>
        </w:tabs>
        <w:kinsoku/>
        <w:wordWrap/>
        <w:overflowPunct/>
        <w:topLinePunct w:val="0"/>
        <w:autoSpaceDE/>
        <w:autoSpaceDN/>
        <w:bidi w:val="0"/>
        <w:adjustRightInd/>
        <w:snapToGrid w:val="0"/>
        <w:spacing w:line="480" w:lineRule="exact"/>
        <w:textAlignment w:val="auto"/>
        <w:outlineLvl w:val="9"/>
        <w:rPr>
          <w:rFonts w:hint="eastAsia" w:ascii="仿宋" w:hAnsi="仿宋" w:eastAsia="仿宋" w:cs="仿宋"/>
          <w:b/>
          <w:bCs w:val="0"/>
          <w:color w:val="000000"/>
          <w:sz w:val="28"/>
          <w:szCs w:val="28"/>
          <w:highlight w:val="none"/>
        </w:rPr>
      </w:pPr>
      <w:r>
        <w:rPr>
          <w:rFonts w:hint="eastAsia" w:ascii="仿宋" w:hAnsi="仿宋" w:eastAsia="仿宋" w:cs="仿宋"/>
          <w:b/>
          <w:bCs w:val="0"/>
          <w:color w:val="000000"/>
          <w:sz w:val="28"/>
          <w:szCs w:val="28"/>
          <w:highlight w:val="none"/>
          <w:lang w:eastAsia="zh-CN"/>
        </w:rPr>
        <w:t>八</w:t>
      </w:r>
      <w:r>
        <w:rPr>
          <w:rFonts w:hint="eastAsia" w:ascii="仿宋" w:hAnsi="仿宋" w:eastAsia="仿宋" w:cs="仿宋"/>
          <w:b/>
          <w:bCs w:val="0"/>
          <w:color w:val="000000"/>
          <w:sz w:val="28"/>
          <w:szCs w:val="28"/>
          <w:highlight w:val="none"/>
        </w:rPr>
        <w:t>、合同纠纷处理</w:t>
      </w:r>
    </w:p>
    <w:p w14:paraId="6C4BB8B8">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本合同履行过程中发生的任何争议，甲乙双方当事人均可通过和解或者调解解决；不愿和解、调解或者和解、调解不成的，可以向</w:t>
      </w:r>
      <w:r>
        <w:rPr>
          <w:rFonts w:hint="eastAsia" w:ascii="仿宋" w:hAnsi="仿宋" w:eastAsia="仿宋" w:cs="仿宋"/>
          <w:bCs/>
          <w:color w:val="000000"/>
          <w:sz w:val="28"/>
          <w:szCs w:val="28"/>
          <w:highlight w:val="none"/>
          <w:lang w:val="en-US" w:eastAsia="zh-CN"/>
        </w:rPr>
        <w:t>甲方所在地</w:t>
      </w:r>
      <w:r>
        <w:rPr>
          <w:rFonts w:hint="eastAsia" w:ascii="仿宋" w:hAnsi="仿宋" w:eastAsia="仿宋" w:cs="仿宋"/>
          <w:bCs/>
          <w:color w:val="000000"/>
          <w:sz w:val="28"/>
          <w:szCs w:val="28"/>
          <w:highlight w:val="none"/>
        </w:rPr>
        <w:t>人民法院起诉。</w:t>
      </w:r>
    </w:p>
    <w:p w14:paraId="0AA24EC7">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除本协议另有约定外，与本协议有关的通知、律师函、司法文书等发送至</w:t>
      </w:r>
      <w:r>
        <w:rPr>
          <w:rFonts w:hint="eastAsia" w:ascii="仿宋" w:hAnsi="仿宋" w:eastAsia="仿宋" w:cs="仿宋"/>
          <w:bCs/>
          <w:color w:val="000000"/>
          <w:sz w:val="28"/>
          <w:szCs w:val="28"/>
          <w:highlight w:val="none"/>
          <w:lang w:val="en-US" w:eastAsia="zh-CN"/>
        </w:rPr>
        <w:t>合同签署页</w:t>
      </w:r>
      <w:r>
        <w:rPr>
          <w:rFonts w:hint="eastAsia" w:ascii="仿宋" w:hAnsi="仿宋" w:eastAsia="仿宋" w:cs="仿宋"/>
          <w:bCs/>
          <w:color w:val="000000"/>
          <w:sz w:val="28"/>
          <w:szCs w:val="28"/>
          <w:highlight w:val="none"/>
        </w:rPr>
        <w:t>所列地址即视为有效送达。如通知或通信由专人递送，在收件人签收的当日视为送达；如通过邮寄方式发送，以签收方签收日为送达日，收件人未签收或拒绝签收的，以向特快邮递公司交件后的第3个工作日即视为送达；如由传真传递，收到成功发送确认后的第1个工作日为送达日；如采用电子邮件方式递送，以电子邮件到达收件人特定系统的日期为送达日。本协议项下的通知，如一方采用传真或电子邮件发出的，应当同时以电话方式通知另一方。任何一方变更地址，应在3个工作日内书面通知另一方，否则由此产生的不利后果自行承担。</w:t>
      </w:r>
    </w:p>
    <w:p w14:paraId="63906704">
      <w:pPr>
        <w:keepNext w:val="0"/>
        <w:keepLines w:val="0"/>
        <w:pageBreakBefore w:val="0"/>
        <w:widowControl w:val="0"/>
        <w:tabs>
          <w:tab w:val="left" w:pos="1980"/>
        </w:tabs>
        <w:kinsoku/>
        <w:wordWrap/>
        <w:overflowPunct/>
        <w:topLinePunct w:val="0"/>
        <w:autoSpaceDE/>
        <w:autoSpaceDN/>
        <w:bidi w:val="0"/>
        <w:adjustRightInd/>
        <w:snapToGrid w:val="0"/>
        <w:spacing w:line="480" w:lineRule="exact"/>
        <w:textAlignment w:val="auto"/>
        <w:outlineLvl w:val="9"/>
        <w:rPr>
          <w:rFonts w:hint="eastAsia" w:ascii="仿宋" w:hAnsi="仿宋" w:eastAsia="仿宋" w:cs="仿宋"/>
          <w:b/>
          <w:bCs w:val="0"/>
          <w:color w:val="000000"/>
          <w:sz w:val="28"/>
          <w:szCs w:val="28"/>
          <w:highlight w:val="none"/>
        </w:rPr>
      </w:pPr>
      <w:r>
        <w:rPr>
          <w:rFonts w:hint="eastAsia" w:ascii="仿宋" w:hAnsi="仿宋" w:eastAsia="仿宋" w:cs="仿宋"/>
          <w:b/>
          <w:bCs w:val="0"/>
          <w:color w:val="000000"/>
          <w:sz w:val="28"/>
          <w:szCs w:val="28"/>
          <w:highlight w:val="none"/>
          <w:lang w:eastAsia="zh-CN"/>
        </w:rPr>
        <w:t>九</w:t>
      </w:r>
      <w:r>
        <w:rPr>
          <w:rFonts w:hint="eastAsia" w:ascii="仿宋" w:hAnsi="仿宋" w:eastAsia="仿宋" w:cs="仿宋"/>
          <w:b/>
          <w:bCs w:val="0"/>
          <w:color w:val="000000"/>
          <w:sz w:val="28"/>
          <w:szCs w:val="28"/>
          <w:highlight w:val="none"/>
        </w:rPr>
        <w:t>、政府</w:t>
      </w:r>
      <w:r>
        <w:rPr>
          <w:rFonts w:hint="eastAsia" w:ascii="仿宋" w:hAnsi="仿宋" w:eastAsia="仿宋" w:cs="仿宋"/>
          <w:b/>
          <w:bCs w:val="0"/>
          <w:color w:val="000000"/>
          <w:sz w:val="28"/>
          <w:szCs w:val="28"/>
          <w:highlight w:val="none"/>
          <w:lang w:eastAsia="zh-CN"/>
        </w:rPr>
        <w:t>服务项目</w:t>
      </w:r>
      <w:r>
        <w:rPr>
          <w:rFonts w:hint="eastAsia" w:ascii="仿宋" w:hAnsi="仿宋" w:eastAsia="仿宋" w:cs="仿宋"/>
          <w:b/>
          <w:bCs w:val="0"/>
          <w:color w:val="000000"/>
          <w:sz w:val="28"/>
          <w:szCs w:val="28"/>
          <w:highlight w:val="none"/>
        </w:rPr>
        <w:t>合同生效</w:t>
      </w:r>
    </w:p>
    <w:p w14:paraId="69975204">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本政府</w:t>
      </w:r>
      <w:r>
        <w:rPr>
          <w:rFonts w:hint="eastAsia" w:ascii="仿宋" w:hAnsi="仿宋" w:eastAsia="仿宋" w:cs="仿宋"/>
          <w:bCs/>
          <w:color w:val="000000"/>
          <w:sz w:val="28"/>
          <w:szCs w:val="28"/>
          <w:highlight w:val="none"/>
          <w:lang w:eastAsia="zh-CN"/>
        </w:rPr>
        <w:t>服务项目</w:t>
      </w:r>
      <w:r>
        <w:rPr>
          <w:rFonts w:hint="eastAsia" w:ascii="仿宋" w:hAnsi="仿宋" w:eastAsia="仿宋" w:cs="仿宋"/>
          <w:bCs/>
          <w:color w:val="000000"/>
          <w:sz w:val="28"/>
          <w:szCs w:val="28"/>
          <w:highlight w:val="none"/>
        </w:rPr>
        <w:t>合同经甲乙双方</w:t>
      </w:r>
      <w:r>
        <w:rPr>
          <w:rFonts w:hint="eastAsia" w:ascii="仿宋" w:hAnsi="仿宋" w:eastAsia="仿宋" w:cs="仿宋"/>
          <w:bCs/>
          <w:color w:val="000000"/>
          <w:sz w:val="28"/>
          <w:szCs w:val="28"/>
          <w:highlight w:val="none"/>
          <w:lang w:eastAsia="zh-CN"/>
        </w:rPr>
        <w:t>单位</w:t>
      </w:r>
      <w:r>
        <w:rPr>
          <w:rFonts w:hint="eastAsia" w:ascii="仿宋" w:hAnsi="仿宋" w:eastAsia="仿宋" w:cs="仿宋"/>
          <w:bCs/>
          <w:color w:val="000000"/>
          <w:sz w:val="28"/>
          <w:szCs w:val="28"/>
          <w:highlight w:val="none"/>
        </w:rPr>
        <w:t>盖章后生效。</w:t>
      </w:r>
    </w:p>
    <w:p w14:paraId="25768F05">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本合同共</w:t>
      </w:r>
      <w:r>
        <w:rPr>
          <w:rFonts w:hint="eastAsia" w:ascii="仿宋" w:hAnsi="仿宋" w:eastAsia="仿宋" w:cs="仿宋"/>
          <w:bCs/>
          <w:color w:val="000000"/>
          <w:sz w:val="28"/>
          <w:szCs w:val="28"/>
          <w:highlight w:val="none"/>
          <w:lang w:val="en-US" w:eastAsia="zh-CN"/>
        </w:rPr>
        <w:t>陆</w:t>
      </w:r>
      <w:r>
        <w:rPr>
          <w:rFonts w:hint="eastAsia" w:ascii="仿宋" w:hAnsi="仿宋" w:eastAsia="仿宋" w:cs="仿宋"/>
          <w:bCs/>
          <w:color w:val="000000"/>
          <w:sz w:val="28"/>
          <w:szCs w:val="28"/>
          <w:highlight w:val="none"/>
        </w:rPr>
        <w:t>份：甲方</w:t>
      </w:r>
      <w:r>
        <w:rPr>
          <w:rFonts w:hint="eastAsia" w:ascii="仿宋" w:hAnsi="仿宋" w:eastAsia="仿宋" w:cs="仿宋"/>
          <w:bCs/>
          <w:color w:val="000000"/>
          <w:sz w:val="28"/>
          <w:szCs w:val="28"/>
          <w:highlight w:val="none"/>
          <w:lang w:val="en-US" w:eastAsia="zh-CN"/>
        </w:rPr>
        <w:t>贰</w:t>
      </w:r>
      <w:r>
        <w:rPr>
          <w:rFonts w:hint="eastAsia" w:ascii="仿宋" w:hAnsi="仿宋" w:eastAsia="仿宋" w:cs="仿宋"/>
          <w:bCs/>
          <w:color w:val="000000"/>
          <w:sz w:val="28"/>
          <w:szCs w:val="28"/>
          <w:highlight w:val="none"/>
        </w:rPr>
        <w:t>份、乙方</w:t>
      </w:r>
      <w:r>
        <w:rPr>
          <w:rFonts w:hint="eastAsia" w:ascii="仿宋" w:hAnsi="仿宋" w:eastAsia="仿宋" w:cs="仿宋"/>
          <w:bCs/>
          <w:color w:val="000000"/>
          <w:sz w:val="28"/>
          <w:szCs w:val="28"/>
          <w:highlight w:val="none"/>
          <w:lang w:val="en-US" w:eastAsia="zh-CN"/>
        </w:rPr>
        <w:t>贰</w:t>
      </w:r>
      <w:r>
        <w:rPr>
          <w:rFonts w:hint="eastAsia" w:ascii="仿宋" w:hAnsi="仿宋" w:eastAsia="仿宋" w:cs="仿宋"/>
          <w:bCs/>
          <w:color w:val="000000"/>
          <w:sz w:val="28"/>
          <w:szCs w:val="28"/>
          <w:highlight w:val="none"/>
        </w:rPr>
        <w:t>份</w:t>
      </w:r>
      <w:r>
        <w:rPr>
          <w:rFonts w:hint="eastAsia" w:ascii="仿宋" w:hAnsi="仿宋" w:eastAsia="仿宋" w:cs="仿宋"/>
          <w:bCs/>
          <w:color w:val="000000"/>
          <w:sz w:val="28"/>
          <w:szCs w:val="28"/>
          <w:highlight w:val="none"/>
          <w:lang w:eastAsia="zh-CN"/>
        </w:rPr>
        <w:t>，</w:t>
      </w:r>
      <w:r>
        <w:rPr>
          <w:rFonts w:hint="eastAsia" w:ascii="仿宋" w:hAnsi="仿宋" w:eastAsia="仿宋" w:cs="仿宋"/>
          <w:bCs/>
          <w:color w:val="000000"/>
          <w:sz w:val="28"/>
          <w:szCs w:val="28"/>
          <w:highlight w:val="none"/>
          <w:lang w:val="en-US" w:eastAsia="zh-CN"/>
        </w:rPr>
        <w:t>采购代理机构贰份</w:t>
      </w:r>
      <w:r>
        <w:rPr>
          <w:rFonts w:hint="eastAsia" w:ascii="仿宋" w:hAnsi="仿宋" w:eastAsia="仿宋" w:cs="仿宋"/>
          <w:bCs/>
          <w:color w:val="000000"/>
          <w:sz w:val="28"/>
          <w:szCs w:val="28"/>
          <w:highlight w:val="none"/>
        </w:rPr>
        <w:t>。</w:t>
      </w:r>
    </w:p>
    <w:p w14:paraId="5149CA7B">
      <w:pPr>
        <w:keepNext w:val="0"/>
        <w:keepLines w:val="0"/>
        <w:pageBreakBefore w:val="0"/>
        <w:widowControl w:val="0"/>
        <w:tabs>
          <w:tab w:val="left" w:pos="1980"/>
        </w:tabs>
        <w:kinsoku/>
        <w:wordWrap/>
        <w:overflowPunct/>
        <w:topLinePunct w:val="0"/>
        <w:autoSpaceDE/>
        <w:autoSpaceDN/>
        <w:bidi w:val="0"/>
        <w:adjustRightInd/>
        <w:snapToGrid w:val="0"/>
        <w:spacing w:line="480" w:lineRule="exact"/>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
          <w:bCs w:val="0"/>
          <w:color w:val="000000"/>
          <w:sz w:val="28"/>
          <w:szCs w:val="28"/>
          <w:highlight w:val="none"/>
        </w:rPr>
        <w:t>十、其他</w:t>
      </w:r>
    </w:p>
    <w:p w14:paraId="08419E49">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_GB2312" w:hAnsi="仿宋_GB2312" w:eastAsia="仿宋_GB2312" w:cs="仿宋_GB2312"/>
          <w:bCs/>
          <w:color w:val="000000"/>
          <w:sz w:val="28"/>
          <w:szCs w:val="28"/>
          <w:highlight w:val="none"/>
        </w:rPr>
      </w:pPr>
      <w:r>
        <w:rPr>
          <w:rFonts w:hint="eastAsia" w:ascii="仿宋" w:hAnsi="仿宋" w:eastAsia="仿宋" w:cs="仿宋"/>
          <w:bCs/>
          <w:color w:val="000000"/>
          <w:sz w:val="28"/>
          <w:szCs w:val="28"/>
          <w:highlight w:val="none"/>
        </w:rPr>
        <w:t>1、本合同未尽事宜，双方可以增加条款</w:t>
      </w:r>
      <w:r>
        <w:rPr>
          <w:rFonts w:hint="eastAsia" w:ascii="仿宋_GB2312" w:hAnsi="仿宋_GB2312" w:eastAsia="仿宋_GB2312" w:cs="仿宋_GB2312"/>
          <w:bCs/>
          <w:color w:val="000000"/>
          <w:sz w:val="28"/>
          <w:szCs w:val="28"/>
          <w:highlight w:val="none"/>
        </w:rPr>
        <w:t>或补充协议的形式加以补充，但增加或补充协议的条款不得对招标文件和投标文件的内容作实质性修改</w:t>
      </w:r>
      <w:r>
        <w:rPr>
          <w:rFonts w:hint="eastAsia" w:ascii="仿宋_GB2312" w:hAnsi="仿宋_GB2312" w:eastAsia="仿宋_GB2312" w:cs="仿宋_GB2312"/>
          <w:bCs/>
          <w:color w:val="000000"/>
          <w:sz w:val="28"/>
          <w:szCs w:val="28"/>
          <w:highlight w:val="none"/>
          <w:lang w:eastAsia="zh-CN"/>
        </w:rPr>
        <w:t>，</w:t>
      </w:r>
      <w:r>
        <w:rPr>
          <w:rFonts w:hint="eastAsia" w:ascii="仿宋_GB2312" w:hAnsi="仿宋_GB2312" w:eastAsia="仿宋_GB2312" w:cs="仿宋_GB2312"/>
          <w:bCs/>
          <w:color w:val="000000"/>
          <w:sz w:val="28"/>
          <w:szCs w:val="28"/>
          <w:highlight w:val="none"/>
          <w:lang w:val="en-US" w:eastAsia="zh-CN"/>
        </w:rPr>
        <w:t>否则视为无效约定</w:t>
      </w:r>
      <w:r>
        <w:rPr>
          <w:rFonts w:hint="eastAsia" w:ascii="仿宋_GB2312" w:hAnsi="仿宋_GB2312" w:eastAsia="仿宋_GB2312" w:cs="仿宋_GB2312"/>
          <w:bCs/>
          <w:color w:val="000000"/>
          <w:sz w:val="28"/>
          <w:szCs w:val="28"/>
          <w:highlight w:val="none"/>
        </w:rPr>
        <w:t>。补充协议与本合同具有相同的法律效力。</w:t>
      </w:r>
    </w:p>
    <w:p w14:paraId="550A2568">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2、财政部107号令《道路交通事故社会救助基金管理办法》等救助基金管理工作的相关规定是本合同整体的构成部分</w:t>
      </w:r>
      <w:r>
        <w:rPr>
          <w:rFonts w:hint="eastAsia" w:ascii="仿宋" w:hAnsi="仿宋" w:eastAsia="仿宋" w:cs="仿宋"/>
          <w:bCs/>
          <w:color w:val="000000"/>
          <w:sz w:val="28"/>
          <w:szCs w:val="28"/>
          <w:highlight w:val="none"/>
          <w:lang w:eastAsia="zh-CN"/>
        </w:rPr>
        <w:t>，且为主要依据来源</w:t>
      </w:r>
      <w:r>
        <w:rPr>
          <w:rFonts w:hint="eastAsia" w:ascii="仿宋" w:hAnsi="仿宋" w:eastAsia="仿宋" w:cs="仿宋"/>
          <w:bCs/>
          <w:color w:val="000000"/>
          <w:sz w:val="28"/>
          <w:szCs w:val="28"/>
          <w:highlight w:val="none"/>
        </w:rPr>
        <w:t>，如相关规定和制度有修订，本合同也相应调整。</w:t>
      </w:r>
    </w:p>
    <w:p w14:paraId="29498AFA">
      <w:pPr>
        <w:keepNext w:val="0"/>
        <w:keepLines w:val="0"/>
        <w:pageBreakBefore w:val="0"/>
        <w:widowControl w:val="0"/>
        <w:tabs>
          <w:tab w:val="left" w:pos="1980"/>
        </w:tabs>
        <w:kinsoku/>
        <w:wordWrap/>
        <w:overflowPunct/>
        <w:topLinePunct w:val="0"/>
        <w:autoSpaceDE/>
        <w:autoSpaceDN/>
        <w:bidi w:val="0"/>
        <w:adjustRightInd/>
        <w:snapToGrid w:val="0"/>
        <w:spacing w:line="480" w:lineRule="exact"/>
        <w:ind w:left="0" w:leftChars="0" w:firstLine="560" w:firstLineChars="200"/>
        <w:textAlignment w:val="auto"/>
        <w:outlineLvl w:val="9"/>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3、</w:t>
      </w:r>
      <w:r>
        <w:rPr>
          <w:rFonts w:hint="eastAsia" w:ascii="仿宋" w:hAnsi="仿宋" w:eastAsia="仿宋" w:cs="仿宋"/>
          <w:bCs/>
          <w:color w:val="000000"/>
          <w:sz w:val="28"/>
          <w:szCs w:val="28"/>
          <w:highlight w:val="none"/>
        </w:rPr>
        <w:t>在履行本合同过程中，所有经三方签署确认的文件（包括会议纪要、补充协议）即成为本合同的有效组成部分。</w:t>
      </w:r>
    </w:p>
    <w:p w14:paraId="19FF6954">
      <w:pPr>
        <w:keepNext w:val="0"/>
        <w:keepLines w:val="0"/>
        <w:pageBreakBefore w:val="0"/>
        <w:widowControl w:val="0"/>
        <w:tabs>
          <w:tab w:val="left" w:pos="1980"/>
        </w:tabs>
        <w:kinsoku/>
        <w:wordWrap/>
        <w:overflowPunct/>
        <w:topLinePunct w:val="0"/>
        <w:autoSpaceDE/>
        <w:autoSpaceDN/>
        <w:bidi w:val="0"/>
        <w:adjustRightInd/>
        <w:snapToGrid w:val="0"/>
        <w:spacing w:line="480" w:lineRule="exact"/>
        <w:textAlignment w:val="auto"/>
        <w:outlineLvl w:val="9"/>
        <w:rPr>
          <w:rFonts w:hint="eastAsia" w:ascii="仿宋" w:hAnsi="仿宋" w:eastAsia="仿宋" w:cs="仿宋"/>
          <w:b w:val="0"/>
          <w:bCs/>
          <w:color w:val="000000"/>
          <w:sz w:val="28"/>
          <w:szCs w:val="28"/>
          <w:highlight w:val="none"/>
          <w:lang w:val="en-US" w:eastAsia="zh-CN"/>
        </w:rPr>
      </w:pPr>
      <w:r>
        <w:rPr>
          <w:rFonts w:hint="eastAsia" w:ascii="仿宋" w:hAnsi="仿宋" w:eastAsia="仿宋" w:cs="仿宋"/>
          <w:bCs/>
          <w:color w:val="000000"/>
          <w:sz w:val="28"/>
          <w:szCs w:val="28"/>
          <w:highlight w:val="none"/>
          <w:lang w:val="en-US" w:eastAsia="zh-CN"/>
        </w:rPr>
        <w:t>（以</w:t>
      </w:r>
      <w:r>
        <w:rPr>
          <w:rFonts w:hint="eastAsia" w:ascii="仿宋" w:hAnsi="仿宋" w:eastAsia="仿宋" w:cs="仿宋"/>
          <w:b w:val="0"/>
          <w:bCs/>
          <w:color w:val="000000"/>
          <w:sz w:val="28"/>
          <w:szCs w:val="28"/>
          <w:highlight w:val="none"/>
          <w:lang w:val="en-US" w:eastAsia="zh-CN"/>
        </w:rPr>
        <w:t>下无正文）</w:t>
      </w:r>
    </w:p>
    <w:p w14:paraId="54C9ACCD">
      <w:pPr>
        <w:pStyle w:val="12"/>
        <w:keepNext w:val="0"/>
        <w:keepLines w:val="0"/>
        <w:pageBreakBefore w:val="0"/>
        <w:widowControl w:val="0"/>
        <w:kinsoku/>
        <w:wordWrap/>
        <w:overflowPunct/>
        <w:topLinePunct w:val="0"/>
        <w:autoSpaceDE/>
        <w:autoSpaceDN/>
        <w:bidi w:val="0"/>
        <w:adjustRightInd/>
        <w:spacing w:before="0" w:beforeLines="0" w:after="0" w:afterLines="0" w:line="480" w:lineRule="exact"/>
        <w:jc w:val="both"/>
        <w:textAlignment w:val="auto"/>
        <w:outlineLvl w:val="9"/>
        <w:rPr>
          <w:rFonts w:hint="eastAsia"/>
          <w:b w:val="0"/>
          <w:bCs/>
          <w:sz w:val="28"/>
          <w:szCs w:val="28"/>
          <w:lang w:val="en-US" w:eastAsia="zh-CN"/>
        </w:rPr>
      </w:pPr>
      <w:r>
        <w:rPr>
          <w:rFonts w:hint="eastAsia"/>
          <w:b w:val="0"/>
          <w:bCs/>
          <w:sz w:val="28"/>
          <w:szCs w:val="28"/>
          <w:lang w:val="en-US" w:eastAsia="zh-CN"/>
        </w:rPr>
        <w:t>签署页盖章</w:t>
      </w:r>
    </w:p>
    <w:tbl>
      <w:tblPr>
        <w:tblStyle w:val="13"/>
        <w:tblW w:w="99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5"/>
        <w:gridCol w:w="4957"/>
      </w:tblGrid>
      <w:tr w14:paraId="397D4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4995" w:type="dxa"/>
            <w:tcBorders>
              <w:top w:val="single" w:color="auto" w:sz="4" w:space="0"/>
              <w:left w:val="single" w:color="auto" w:sz="4" w:space="0"/>
              <w:bottom w:val="single" w:color="auto" w:sz="4" w:space="0"/>
              <w:right w:val="single" w:color="auto" w:sz="4" w:space="0"/>
            </w:tcBorders>
            <w:vAlign w:val="center"/>
          </w:tcPr>
          <w:p w14:paraId="0BA5A4AA">
            <w:pPr>
              <w:keepNext w:val="0"/>
              <w:keepLines w:val="0"/>
              <w:pageBreakBefore w:val="0"/>
              <w:widowControl w:val="0"/>
              <w:tabs>
                <w:tab w:val="left" w:pos="1980"/>
              </w:tabs>
              <w:kinsoku/>
              <w:wordWrap/>
              <w:overflowPunct/>
              <w:topLinePunct w:val="0"/>
              <w:autoSpaceDE/>
              <w:autoSpaceDN/>
              <w:bidi w:val="0"/>
              <w:adjustRightInd/>
              <w:snapToGrid w:val="0"/>
              <w:spacing w:line="500" w:lineRule="exact"/>
              <w:jc w:val="center"/>
              <w:textAlignment w:val="auto"/>
              <w:rPr>
                <w:rFonts w:hint="eastAsia" w:ascii="仿宋" w:hAnsi="仿宋" w:eastAsia="仿宋" w:cs="仿宋"/>
                <w:b/>
                <w:bCs w:val="0"/>
                <w:color w:val="000000"/>
                <w:sz w:val="28"/>
                <w:szCs w:val="28"/>
                <w:highlight w:val="none"/>
              </w:rPr>
            </w:pPr>
            <w:r>
              <w:rPr>
                <w:rFonts w:hint="eastAsia" w:ascii="仿宋" w:hAnsi="仿宋" w:eastAsia="仿宋" w:cs="仿宋"/>
                <w:b/>
                <w:bCs w:val="0"/>
                <w:color w:val="000000"/>
                <w:sz w:val="28"/>
                <w:szCs w:val="28"/>
                <w:highlight w:val="none"/>
              </w:rPr>
              <w:t>甲  方</w:t>
            </w:r>
          </w:p>
        </w:tc>
        <w:tc>
          <w:tcPr>
            <w:tcW w:w="4957" w:type="dxa"/>
            <w:tcBorders>
              <w:top w:val="single" w:color="auto" w:sz="4" w:space="0"/>
              <w:left w:val="single" w:color="auto" w:sz="4" w:space="0"/>
              <w:bottom w:val="single" w:color="auto" w:sz="4" w:space="0"/>
              <w:right w:val="single" w:color="auto" w:sz="4" w:space="0"/>
            </w:tcBorders>
            <w:vAlign w:val="center"/>
          </w:tcPr>
          <w:p w14:paraId="0E0B792E">
            <w:pPr>
              <w:keepNext w:val="0"/>
              <w:keepLines w:val="0"/>
              <w:pageBreakBefore w:val="0"/>
              <w:widowControl w:val="0"/>
              <w:tabs>
                <w:tab w:val="left" w:pos="1980"/>
              </w:tabs>
              <w:kinsoku/>
              <w:wordWrap/>
              <w:overflowPunct/>
              <w:topLinePunct w:val="0"/>
              <w:autoSpaceDE/>
              <w:autoSpaceDN/>
              <w:bidi w:val="0"/>
              <w:adjustRightInd/>
              <w:snapToGrid w:val="0"/>
              <w:spacing w:line="500" w:lineRule="exact"/>
              <w:jc w:val="center"/>
              <w:textAlignment w:val="auto"/>
              <w:rPr>
                <w:rFonts w:hint="eastAsia" w:ascii="仿宋" w:hAnsi="仿宋" w:eastAsia="仿宋" w:cs="仿宋"/>
                <w:b/>
                <w:bCs w:val="0"/>
                <w:color w:val="000000"/>
                <w:sz w:val="28"/>
                <w:szCs w:val="28"/>
                <w:highlight w:val="none"/>
              </w:rPr>
            </w:pPr>
            <w:r>
              <w:rPr>
                <w:rFonts w:hint="eastAsia" w:ascii="仿宋" w:hAnsi="仿宋" w:eastAsia="仿宋" w:cs="仿宋"/>
                <w:b/>
                <w:bCs w:val="0"/>
                <w:color w:val="000000"/>
                <w:sz w:val="28"/>
                <w:szCs w:val="28"/>
                <w:highlight w:val="none"/>
              </w:rPr>
              <w:t>乙</w:t>
            </w:r>
            <w:r>
              <w:rPr>
                <w:rFonts w:hint="eastAsia" w:ascii="仿宋" w:hAnsi="仿宋" w:eastAsia="仿宋" w:cs="仿宋"/>
                <w:b/>
                <w:bCs w:val="0"/>
                <w:color w:val="000000"/>
                <w:sz w:val="28"/>
                <w:szCs w:val="28"/>
                <w:highlight w:val="none"/>
                <w:lang w:val="en-US" w:eastAsia="zh-CN"/>
              </w:rPr>
              <w:t xml:space="preserve">  </w:t>
            </w:r>
            <w:r>
              <w:rPr>
                <w:rFonts w:hint="eastAsia" w:ascii="仿宋" w:hAnsi="仿宋" w:eastAsia="仿宋" w:cs="仿宋"/>
                <w:b/>
                <w:bCs w:val="0"/>
                <w:color w:val="000000"/>
                <w:sz w:val="28"/>
                <w:szCs w:val="28"/>
                <w:highlight w:val="none"/>
              </w:rPr>
              <w:t>方</w:t>
            </w:r>
          </w:p>
        </w:tc>
      </w:tr>
      <w:tr w14:paraId="1860C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4995" w:type="dxa"/>
            <w:tcBorders>
              <w:top w:val="single" w:color="auto" w:sz="4" w:space="0"/>
              <w:left w:val="single" w:color="auto" w:sz="4" w:space="0"/>
              <w:bottom w:val="single" w:color="auto" w:sz="4" w:space="0"/>
              <w:right w:val="single" w:color="auto" w:sz="4" w:space="0"/>
            </w:tcBorders>
            <w:vAlign w:val="center"/>
          </w:tcPr>
          <w:p w14:paraId="7CEEC2E9">
            <w:pPr>
              <w:keepNext w:val="0"/>
              <w:keepLines w:val="0"/>
              <w:pageBreakBefore w:val="0"/>
              <w:widowControl w:val="0"/>
              <w:tabs>
                <w:tab w:val="left" w:pos="1980"/>
              </w:tabs>
              <w:kinsoku/>
              <w:wordWrap/>
              <w:overflowPunct/>
              <w:topLinePunct w:val="0"/>
              <w:autoSpaceDE/>
              <w:autoSpaceDN/>
              <w:bidi w:val="0"/>
              <w:adjustRightInd/>
              <w:snapToGrid w:val="0"/>
              <w:spacing w:line="500" w:lineRule="exact"/>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名称：陕西省财政厅</w:t>
            </w:r>
            <w:r>
              <w:rPr>
                <w:rFonts w:hint="eastAsia" w:ascii="仿宋" w:hAnsi="仿宋" w:eastAsia="仿宋" w:cs="仿宋"/>
                <w:bCs/>
                <w:color w:val="000000"/>
                <w:sz w:val="28"/>
                <w:szCs w:val="28"/>
                <w:highlight w:val="none"/>
              </w:rPr>
              <w:t>（盖章）</w:t>
            </w:r>
          </w:p>
        </w:tc>
        <w:tc>
          <w:tcPr>
            <w:tcW w:w="4957" w:type="dxa"/>
            <w:tcBorders>
              <w:top w:val="single" w:color="auto" w:sz="4" w:space="0"/>
              <w:left w:val="single" w:color="auto" w:sz="4" w:space="0"/>
              <w:bottom w:val="single" w:color="auto" w:sz="4" w:space="0"/>
              <w:right w:val="single" w:color="auto" w:sz="4" w:space="0"/>
            </w:tcBorders>
            <w:vAlign w:val="center"/>
          </w:tcPr>
          <w:p w14:paraId="3283F1E2">
            <w:pPr>
              <w:keepNext w:val="0"/>
              <w:keepLines w:val="0"/>
              <w:pageBreakBefore w:val="0"/>
              <w:widowControl w:val="0"/>
              <w:tabs>
                <w:tab w:val="left" w:pos="1980"/>
              </w:tabs>
              <w:kinsoku/>
              <w:wordWrap/>
              <w:overflowPunct/>
              <w:topLinePunct w:val="0"/>
              <w:autoSpaceDE/>
              <w:autoSpaceDN/>
              <w:bidi w:val="0"/>
              <w:adjustRightInd/>
              <w:snapToGrid w:val="0"/>
              <w:spacing w:line="500" w:lineRule="exact"/>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 xml:space="preserve">名称：                  </w:t>
            </w:r>
            <w:r>
              <w:rPr>
                <w:rFonts w:hint="eastAsia" w:ascii="仿宋" w:hAnsi="仿宋" w:eastAsia="仿宋" w:cs="仿宋"/>
                <w:bCs/>
                <w:color w:val="000000"/>
                <w:sz w:val="28"/>
                <w:szCs w:val="28"/>
                <w:highlight w:val="none"/>
              </w:rPr>
              <w:t>（盖章）</w:t>
            </w:r>
          </w:p>
        </w:tc>
      </w:tr>
      <w:tr w14:paraId="2467A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995" w:type="dxa"/>
            <w:tcBorders>
              <w:top w:val="single" w:color="auto" w:sz="4" w:space="0"/>
              <w:left w:val="single" w:color="auto" w:sz="4" w:space="0"/>
              <w:bottom w:val="single" w:color="auto" w:sz="4" w:space="0"/>
              <w:right w:val="single" w:color="auto" w:sz="4" w:space="0"/>
            </w:tcBorders>
            <w:vAlign w:val="center"/>
          </w:tcPr>
          <w:p w14:paraId="0A6194C6">
            <w:pPr>
              <w:keepNext w:val="0"/>
              <w:keepLines w:val="0"/>
              <w:pageBreakBefore w:val="0"/>
              <w:widowControl w:val="0"/>
              <w:tabs>
                <w:tab w:val="left" w:pos="1980"/>
              </w:tabs>
              <w:kinsoku/>
              <w:wordWrap/>
              <w:overflowPunct/>
              <w:topLinePunct w:val="0"/>
              <w:autoSpaceDE/>
              <w:autoSpaceDN/>
              <w:bidi w:val="0"/>
              <w:adjustRightInd/>
              <w:snapToGrid w:val="0"/>
              <w:spacing w:line="500" w:lineRule="exact"/>
              <w:textAlignment w:val="auto"/>
              <w:rPr>
                <w:rFonts w:hint="default"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地址：</w:t>
            </w:r>
            <w:r>
              <w:rPr>
                <w:rFonts w:hint="eastAsia" w:ascii="仿宋" w:hAnsi="仿宋" w:eastAsia="仿宋" w:cs="仿宋"/>
                <w:bCs/>
                <w:color w:val="000000"/>
                <w:sz w:val="28"/>
                <w:szCs w:val="28"/>
                <w:highlight w:val="none"/>
                <w:lang w:eastAsia="zh-CN"/>
              </w:rPr>
              <w:t>西安市冰窖巷</w:t>
            </w:r>
            <w:r>
              <w:rPr>
                <w:rFonts w:hint="eastAsia" w:ascii="仿宋" w:hAnsi="仿宋" w:eastAsia="仿宋" w:cs="仿宋"/>
                <w:bCs/>
                <w:color w:val="000000"/>
                <w:sz w:val="28"/>
                <w:szCs w:val="28"/>
                <w:highlight w:val="none"/>
                <w:lang w:val="en-US" w:eastAsia="zh-CN"/>
              </w:rPr>
              <w:t>6号</w:t>
            </w:r>
          </w:p>
        </w:tc>
        <w:tc>
          <w:tcPr>
            <w:tcW w:w="4957" w:type="dxa"/>
            <w:tcBorders>
              <w:top w:val="single" w:color="auto" w:sz="4" w:space="0"/>
              <w:left w:val="single" w:color="auto" w:sz="4" w:space="0"/>
              <w:bottom w:val="single" w:color="auto" w:sz="4" w:space="0"/>
              <w:right w:val="single" w:color="auto" w:sz="4" w:space="0"/>
            </w:tcBorders>
            <w:vAlign w:val="center"/>
          </w:tcPr>
          <w:p w14:paraId="0CFCBC10">
            <w:pPr>
              <w:keepNext w:val="0"/>
              <w:keepLines w:val="0"/>
              <w:pageBreakBefore w:val="0"/>
              <w:widowControl w:val="0"/>
              <w:tabs>
                <w:tab w:val="left" w:pos="1980"/>
              </w:tabs>
              <w:kinsoku/>
              <w:wordWrap/>
              <w:overflowPunct/>
              <w:topLinePunct w:val="0"/>
              <w:autoSpaceDE/>
              <w:autoSpaceDN/>
              <w:bidi w:val="0"/>
              <w:adjustRightInd/>
              <w:snapToGrid w:val="0"/>
              <w:spacing w:line="500" w:lineRule="exact"/>
              <w:textAlignment w:val="auto"/>
              <w:rPr>
                <w:rFonts w:hint="default"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地址：</w:t>
            </w:r>
          </w:p>
        </w:tc>
      </w:tr>
      <w:tr w14:paraId="568BC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995" w:type="dxa"/>
            <w:tcBorders>
              <w:top w:val="single" w:color="auto" w:sz="4" w:space="0"/>
              <w:left w:val="single" w:color="auto" w:sz="4" w:space="0"/>
              <w:bottom w:val="single" w:color="auto" w:sz="4" w:space="0"/>
              <w:right w:val="single" w:color="auto" w:sz="4" w:space="0"/>
            </w:tcBorders>
            <w:vAlign w:val="center"/>
          </w:tcPr>
          <w:p w14:paraId="4AFFFF7E">
            <w:pPr>
              <w:keepNext w:val="0"/>
              <w:keepLines w:val="0"/>
              <w:pageBreakBefore w:val="0"/>
              <w:widowControl w:val="0"/>
              <w:tabs>
                <w:tab w:val="left" w:pos="1980"/>
              </w:tabs>
              <w:kinsoku/>
              <w:wordWrap/>
              <w:overflowPunct/>
              <w:topLinePunct w:val="0"/>
              <w:autoSpaceDE/>
              <w:autoSpaceDN/>
              <w:bidi w:val="0"/>
              <w:adjustRightInd/>
              <w:snapToGrid w:val="0"/>
              <w:spacing w:line="500" w:lineRule="exact"/>
              <w:textAlignment w:val="auto"/>
              <w:rPr>
                <w:rFonts w:hint="default"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邮编：</w:t>
            </w:r>
            <w:r>
              <w:rPr>
                <w:rFonts w:hint="eastAsia" w:ascii="仿宋" w:hAnsi="仿宋" w:eastAsia="仿宋" w:cs="仿宋"/>
                <w:bCs/>
                <w:color w:val="000000"/>
                <w:sz w:val="28"/>
                <w:szCs w:val="28"/>
                <w:highlight w:val="none"/>
                <w:lang w:val="en-US" w:eastAsia="zh-CN"/>
              </w:rPr>
              <w:t>710000</w:t>
            </w:r>
          </w:p>
        </w:tc>
        <w:tc>
          <w:tcPr>
            <w:tcW w:w="4957" w:type="dxa"/>
            <w:tcBorders>
              <w:top w:val="single" w:color="auto" w:sz="4" w:space="0"/>
              <w:left w:val="single" w:color="auto" w:sz="4" w:space="0"/>
              <w:bottom w:val="single" w:color="auto" w:sz="4" w:space="0"/>
              <w:right w:val="single" w:color="auto" w:sz="4" w:space="0"/>
            </w:tcBorders>
            <w:vAlign w:val="center"/>
          </w:tcPr>
          <w:p w14:paraId="02451396">
            <w:pPr>
              <w:keepNext w:val="0"/>
              <w:keepLines w:val="0"/>
              <w:pageBreakBefore w:val="0"/>
              <w:widowControl w:val="0"/>
              <w:tabs>
                <w:tab w:val="left" w:pos="1980"/>
              </w:tabs>
              <w:kinsoku/>
              <w:wordWrap/>
              <w:overflowPunct/>
              <w:topLinePunct w:val="0"/>
              <w:autoSpaceDE/>
              <w:autoSpaceDN/>
              <w:bidi w:val="0"/>
              <w:adjustRightInd/>
              <w:snapToGrid w:val="0"/>
              <w:spacing w:line="500" w:lineRule="exact"/>
              <w:textAlignment w:val="auto"/>
              <w:rPr>
                <w:rFonts w:hint="default"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邮编：</w:t>
            </w:r>
          </w:p>
        </w:tc>
      </w:tr>
      <w:tr w14:paraId="5A07D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995" w:type="dxa"/>
            <w:tcBorders>
              <w:top w:val="single" w:color="auto" w:sz="4" w:space="0"/>
              <w:left w:val="single" w:color="auto" w:sz="4" w:space="0"/>
              <w:bottom w:val="single" w:color="auto" w:sz="4" w:space="0"/>
              <w:right w:val="single" w:color="auto" w:sz="4" w:space="0"/>
            </w:tcBorders>
            <w:vAlign w:val="center"/>
          </w:tcPr>
          <w:p w14:paraId="435E4461">
            <w:pPr>
              <w:keepNext w:val="0"/>
              <w:keepLines w:val="0"/>
              <w:pageBreakBefore w:val="0"/>
              <w:widowControl w:val="0"/>
              <w:tabs>
                <w:tab w:val="left" w:pos="1980"/>
              </w:tabs>
              <w:kinsoku/>
              <w:wordWrap/>
              <w:overflowPunct/>
              <w:topLinePunct w:val="0"/>
              <w:autoSpaceDE/>
              <w:autoSpaceDN/>
              <w:bidi w:val="0"/>
              <w:adjustRightInd/>
              <w:snapToGrid w:val="0"/>
              <w:spacing w:line="500" w:lineRule="exact"/>
              <w:textAlignment w:val="auto"/>
              <w:rPr>
                <w:rFonts w:hint="default"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电话：</w:t>
            </w:r>
            <w:r>
              <w:rPr>
                <w:rFonts w:hint="eastAsia" w:ascii="仿宋" w:hAnsi="仿宋" w:eastAsia="仿宋" w:cs="仿宋"/>
                <w:sz w:val="28"/>
                <w:szCs w:val="28"/>
                <w:lang w:val="en-US" w:eastAsia="zh-CN"/>
              </w:rPr>
              <w:t>029-68936302</w:t>
            </w:r>
          </w:p>
        </w:tc>
        <w:tc>
          <w:tcPr>
            <w:tcW w:w="4957" w:type="dxa"/>
            <w:tcBorders>
              <w:top w:val="single" w:color="auto" w:sz="4" w:space="0"/>
              <w:left w:val="single" w:color="auto" w:sz="4" w:space="0"/>
              <w:bottom w:val="single" w:color="auto" w:sz="4" w:space="0"/>
              <w:right w:val="single" w:color="auto" w:sz="4" w:space="0"/>
            </w:tcBorders>
            <w:vAlign w:val="center"/>
          </w:tcPr>
          <w:p w14:paraId="35E7C721">
            <w:pPr>
              <w:keepNext w:val="0"/>
              <w:keepLines w:val="0"/>
              <w:pageBreakBefore w:val="0"/>
              <w:widowControl w:val="0"/>
              <w:tabs>
                <w:tab w:val="left" w:pos="1980"/>
              </w:tabs>
              <w:kinsoku/>
              <w:wordWrap/>
              <w:overflowPunct/>
              <w:topLinePunct w:val="0"/>
              <w:autoSpaceDE/>
              <w:autoSpaceDN/>
              <w:bidi w:val="0"/>
              <w:adjustRightInd/>
              <w:snapToGrid w:val="0"/>
              <w:spacing w:line="500" w:lineRule="exact"/>
              <w:textAlignment w:val="auto"/>
              <w:rPr>
                <w:rFonts w:hint="default"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电话：</w:t>
            </w:r>
          </w:p>
        </w:tc>
      </w:tr>
      <w:tr w14:paraId="7D197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995" w:type="dxa"/>
            <w:tcBorders>
              <w:top w:val="single" w:color="auto" w:sz="4" w:space="0"/>
              <w:left w:val="single" w:color="auto" w:sz="4" w:space="0"/>
              <w:bottom w:val="single" w:color="auto" w:sz="4" w:space="0"/>
              <w:right w:val="single" w:color="auto" w:sz="4" w:space="0"/>
            </w:tcBorders>
            <w:vAlign w:val="center"/>
          </w:tcPr>
          <w:p w14:paraId="7527848C">
            <w:pPr>
              <w:keepNext w:val="0"/>
              <w:keepLines w:val="0"/>
              <w:pageBreakBefore w:val="0"/>
              <w:widowControl w:val="0"/>
              <w:tabs>
                <w:tab w:val="left" w:pos="1980"/>
              </w:tabs>
              <w:kinsoku/>
              <w:wordWrap/>
              <w:overflowPunct/>
              <w:topLinePunct w:val="0"/>
              <w:autoSpaceDE/>
              <w:autoSpaceDN/>
              <w:bidi w:val="0"/>
              <w:adjustRightInd/>
              <w:snapToGrid w:val="0"/>
              <w:spacing w:line="500" w:lineRule="exact"/>
              <w:textAlignment w:val="auto"/>
              <w:rPr>
                <w:rFonts w:hint="default"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传真：</w:t>
            </w:r>
            <w:r>
              <w:rPr>
                <w:rFonts w:hint="eastAsia" w:ascii="仿宋" w:hAnsi="仿宋" w:eastAsia="仿宋" w:cs="仿宋"/>
                <w:bCs/>
                <w:color w:val="000000"/>
                <w:sz w:val="28"/>
                <w:szCs w:val="28"/>
                <w:highlight w:val="none"/>
                <w:lang w:val="en-US" w:eastAsia="zh-CN"/>
              </w:rPr>
              <w:t>029-68936302</w:t>
            </w:r>
          </w:p>
        </w:tc>
        <w:tc>
          <w:tcPr>
            <w:tcW w:w="4957" w:type="dxa"/>
            <w:tcBorders>
              <w:top w:val="single" w:color="auto" w:sz="4" w:space="0"/>
              <w:left w:val="single" w:color="auto" w:sz="4" w:space="0"/>
              <w:bottom w:val="single" w:color="auto" w:sz="4" w:space="0"/>
              <w:right w:val="single" w:color="auto" w:sz="4" w:space="0"/>
            </w:tcBorders>
            <w:vAlign w:val="center"/>
          </w:tcPr>
          <w:p w14:paraId="153B78E8">
            <w:pPr>
              <w:keepNext w:val="0"/>
              <w:keepLines w:val="0"/>
              <w:pageBreakBefore w:val="0"/>
              <w:widowControl w:val="0"/>
              <w:tabs>
                <w:tab w:val="left" w:pos="1980"/>
              </w:tabs>
              <w:kinsoku/>
              <w:wordWrap/>
              <w:overflowPunct/>
              <w:topLinePunct w:val="0"/>
              <w:autoSpaceDE/>
              <w:autoSpaceDN/>
              <w:bidi w:val="0"/>
              <w:adjustRightInd/>
              <w:snapToGrid w:val="0"/>
              <w:spacing w:line="500" w:lineRule="exact"/>
              <w:textAlignment w:val="auto"/>
              <w:rPr>
                <w:rFonts w:hint="default"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rPr>
              <w:t>传真：</w:t>
            </w:r>
          </w:p>
        </w:tc>
      </w:tr>
      <w:tr w14:paraId="166A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995" w:type="dxa"/>
            <w:tcBorders>
              <w:top w:val="single" w:color="auto" w:sz="4" w:space="0"/>
              <w:left w:val="single" w:color="auto" w:sz="4" w:space="0"/>
              <w:bottom w:val="single" w:color="auto" w:sz="4" w:space="0"/>
              <w:right w:val="single" w:color="auto" w:sz="4" w:space="0"/>
            </w:tcBorders>
            <w:vAlign w:val="center"/>
          </w:tcPr>
          <w:p w14:paraId="0673F3CE">
            <w:pPr>
              <w:keepNext w:val="0"/>
              <w:keepLines w:val="0"/>
              <w:pageBreakBefore w:val="0"/>
              <w:widowControl w:val="0"/>
              <w:tabs>
                <w:tab w:val="left" w:pos="1980"/>
              </w:tabs>
              <w:kinsoku/>
              <w:wordWrap/>
              <w:overflowPunct/>
              <w:topLinePunct w:val="0"/>
              <w:autoSpaceDE/>
              <w:autoSpaceDN/>
              <w:bidi w:val="0"/>
              <w:adjustRightInd/>
              <w:snapToGrid w:val="0"/>
              <w:spacing w:line="500" w:lineRule="exact"/>
              <w:jc w:val="center"/>
              <w:textAlignment w:val="auto"/>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lang w:val="en-US" w:eastAsia="zh-CN"/>
              </w:rPr>
              <w:t>/</w:t>
            </w:r>
          </w:p>
        </w:tc>
        <w:tc>
          <w:tcPr>
            <w:tcW w:w="4957" w:type="dxa"/>
            <w:tcBorders>
              <w:top w:val="single" w:color="auto" w:sz="4" w:space="0"/>
              <w:left w:val="single" w:color="auto" w:sz="4" w:space="0"/>
              <w:bottom w:val="single" w:color="auto" w:sz="4" w:space="0"/>
              <w:right w:val="single" w:color="auto" w:sz="4" w:space="0"/>
            </w:tcBorders>
            <w:vAlign w:val="center"/>
          </w:tcPr>
          <w:p w14:paraId="3387CD0A">
            <w:pPr>
              <w:keepNext w:val="0"/>
              <w:keepLines w:val="0"/>
              <w:pageBreakBefore w:val="0"/>
              <w:widowControl w:val="0"/>
              <w:tabs>
                <w:tab w:val="left" w:pos="1980"/>
              </w:tabs>
              <w:kinsoku/>
              <w:wordWrap/>
              <w:overflowPunct/>
              <w:topLinePunct w:val="0"/>
              <w:autoSpaceDE/>
              <w:autoSpaceDN/>
              <w:bidi w:val="0"/>
              <w:adjustRightInd/>
              <w:snapToGrid w:val="0"/>
              <w:spacing w:line="500" w:lineRule="exact"/>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开户银行：</w:t>
            </w:r>
          </w:p>
        </w:tc>
      </w:tr>
      <w:tr w14:paraId="401DB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4995" w:type="dxa"/>
            <w:tcBorders>
              <w:top w:val="single" w:color="auto" w:sz="4" w:space="0"/>
              <w:left w:val="single" w:color="auto" w:sz="4" w:space="0"/>
              <w:bottom w:val="single" w:color="auto" w:sz="4" w:space="0"/>
              <w:right w:val="single" w:color="auto" w:sz="4" w:space="0"/>
            </w:tcBorders>
            <w:vAlign w:val="center"/>
          </w:tcPr>
          <w:p w14:paraId="455011B4">
            <w:pPr>
              <w:keepNext w:val="0"/>
              <w:keepLines w:val="0"/>
              <w:pageBreakBefore w:val="0"/>
              <w:widowControl w:val="0"/>
              <w:tabs>
                <w:tab w:val="left" w:pos="1980"/>
              </w:tabs>
              <w:kinsoku/>
              <w:wordWrap/>
              <w:overflowPunct/>
              <w:topLinePunct w:val="0"/>
              <w:autoSpaceDE/>
              <w:autoSpaceDN/>
              <w:bidi w:val="0"/>
              <w:adjustRightInd/>
              <w:snapToGrid w:val="0"/>
              <w:spacing w:line="500" w:lineRule="exact"/>
              <w:jc w:val="center"/>
              <w:textAlignment w:val="auto"/>
              <w:rPr>
                <w:rFonts w:hint="eastAsia" w:ascii="仿宋" w:hAnsi="仿宋" w:eastAsia="仿宋" w:cs="仿宋"/>
                <w:bCs/>
                <w:color w:val="000000"/>
                <w:sz w:val="28"/>
                <w:szCs w:val="28"/>
                <w:highlight w:val="none"/>
                <w:lang w:val="en-US" w:eastAsia="zh-CN"/>
              </w:rPr>
            </w:pPr>
            <w:r>
              <w:rPr>
                <w:rFonts w:hint="eastAsia" w:ascii="仿宋" w:hAnsi="仿宋" w:eastAsia="仿宋" w:cs="仿宋"/>
                <w:bCs/>
                <w:color w:val="000000"/>
                <w:sz w:val="28"/>
                <w:szCs w:val="28"/>
                <w:highlight w:val="none"/>
                <w:lang w:val="en-US" w:eastAsia="zh-CN"/>
              </w:rPr>
              <w:t>/</w:t>
            </w:r>
          </w:p>
        </w:tc>
        <w:tc>
          <w:tcPr>
            <w:tcW w:w="4957" w:type="dxa"/>
            <w:tcBorders>
              <w:top w:val="single" w:color="auto" w:sz="4" w:space="0"/>
              <w:left w:val="single" w:color="auto" w:sz="4" w:space="0"/>
              <w:bottom w:val="single" w:color="auto" w:sz="4" w:space="0"/>
              <w:right w:val="single" w:color="auto" w:sz="4" w:space="0"/>
            </w:tcBorders>
            <w:vAlign w:val="center"/>
          </w:tcPr>
          <w:p w14:paraId="6A7F456A">
            <w:pPr>
              <w:keepNext w:val="0"/>
              <w:keepLines w:val="0"/>
              <w:pageBreakBefore w:val="0"/>
              <w:widowControl w:val="0"/>
              <w:tabs>
                <w:tab w:val="left" w:pos="1980"/>
              </w:tabs>
              <w:kinsoku/>
              <w:wordWrap/>
              <w:overflowPunct/>
              <w:topLinePunct w:val="0"/>
              <w:autoSpaceDE/>
              <w:autoSpaceDN/>
              <w:bidi w:val="0"/>
              <w:adjustRightInd/>
              <w:snapToGrid w:val="0"/>
              <w:spacing w:line="500" w:lineRule="exact"/>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账号:</w:t>
            </w:r>
          </w:p>
        </w:tc>
      </w:tr>
      <w:tr w14:paraId="7C23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4995" w:type="dxa"/>
            <w:tcBorders>
              <w:top w:val="single" w:color="auto" w:sz="4" w:space="0"/>
              <w:left w:val="single" w:color="auto" w:sz="4" w:space="0"/>
              <w:bottom w:val="single" w:color="auto" w:sz="4" w:space="0"/>
              <w:right w:val="single" w:color="auto" w:sz="4" w:space="0"/>
            </w:tcBorders>
            <w:vAlign w:val="center"/>
          </w:tcPr>
          <w:p w14:paraId="5C7B4943">
            <w:pPr>
              <w:keepNext w:val="0"/>
              <w:keepLines w:val="0"/>
              <w:pageBreakBefore w:val="0"/>
              <w:widowControl w:val="0"/>
              <w:tabs>
                <w:tab w:val="left" w:pos="1980"/>
              </w:tabs>
              <w:kinsoku/>
              <w:wordWrap/>
              <w:overflowPunct/>
              <w:topLinePunct w:val="0"/>
              <w:autoSpaceDE/>
              <w:autoSpaceDN/>
              <w:bidi w:val="0"/>
              <w:adjustRightInd/>
              <w:snapToGrid w:val="0"/>
              <w:spacing w:line="500" w:lineRule="exact"/>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日期：</w:t>
            </w:r>
            <w:r>
              <w:rPr>
                <w:rFonts w:hint="eastAsia" w:ascii="仿宋" w:hAnsi="仿宋" w:eastAsia="仿宋" w:cs="仿宋"/>
                <w:bCs/>
                <w:color w:val="000000"/>
                <w:sz w:val="28"/>
                <w:szCs w:val="28"/>
                <w:highlight w:val="none"/>
                <w:lang w:val="en-US" w:eastAsia="zh-CN"/>
              </w:rPr>
              <w:t xml:space="preserve">  </w:t>
            </w:r>
            <w:r>
              <w:rPr>
                <w:rFonts w:hint="eastAsia" w:ascii="仿宋" w:hAnsi="仿宋" w:eastAsia="仿宋" w:cs="仿宋"/>
                <w:bCs/>
                <w:color w:val="000000"/>
                <w:sz w:val="28"/>
                <w:szCs w:val="28"/>
                <w:highlight w:val="none"/>
              </w:rPr>
              <w:t>年</w:t>
            </w:r>
            <w:r>
              <w:rPr>
                <w:rFonts w:hint="eastAsia" w:ascii="仿宋" w:hAnsi="仿宋" w:eastAsia="仿宋" w:cs="仿宋"/>
                <w:bCs/>
                <w:color w:val="000000"/>
                <w:sz w:val="28"/>
                <w:szCs w:val="28"/>
                <w:highlight w:val="none"/>
                <w:lang w:val="en-US" w:eastAsia="zh-CN"/>
              </w:rPr>
              <w:t xml:space="preserve">   </w:t>
            </w:r>
            <w:r>
              <w:rPr>
                <w:rFonts w:hint="eastAsia" w:ascii="仿宋" w:hAnsi="仿宋" w:eastAsia="仿宋" w:cs="仿宋"/>
                <w:bCs/>
                <w:color w:val="000000"/>
                <w:sz w:val="28"/>
                <w:szCs w:val="28"/>
                <w:highlight w:val="none"/>
              </w:rPr>
              <w:t>月</w:t>
            </w:r>
            <w:r>
              <w:rPr>
                <w:rFonts w:hint="eastAsia" w:ascii="仿宋" w:hAnsi="仿宋" w:eastAsia="仿宋" w:cs="仿宋"/>
                <w:bCs/>
                <w:color w:val="000000"/>
                <w:sz w:val="28"/>
                <w:szCs w:val="28"/>
                <w:highlight w:val="none"/>
                <w:lang w:val="en-US" w:eastAsia="zh-CN"/>
              </w:rPr>
              <w:t xml:space="preserve">  </w:t>
            </w:r>
            <w:r>
              <w:rPr>
                <w:rFonts w:hint="eastAsia" w:ascii="仿宋" w:hAnsi="仿宋" w:eastAsia="仿宋" w:cs="仿宋"/>
                <w:bCs/>
                <w:color w:val="000000"/>
                <w:sz w:val="28"/>
                <w:szCs w:val="28"/>
                <w:highlight w:val="none"/>
              </w:rPr>
              <w:t>日</w:t>
            </w:r>
          </w:p>
        </w:tc>
        <w:tc>
          <w:tcPr>
            <w:tcW w:w="4957" w:type="dxa"/>
            <w:tcBorders>
              <w:top w:val="single" w:color="auto" w:sz="4" w:space="0"/>
              <w:left w:val="single" w:color="auto" w:sz="4" w:space="0"/>
              <w:bottom w:val="single" w:color="auto" w:sz="4" w:space="0"/>
              <w:right w:val="single" w:color="auto" w:sz="4" w:space="0"/>
            </w:tcBorders>
            <w:vAlign w:val="center"/>
          </w:tcPr>
          <w:p w14:paraId="0EC1D53A">
            <w:pPr>
              <w:keepNext w:val="0"/>
              <w:keepLines w:val="0"/>
              <w:pageBreakBefore w:val="0"/>
              <w:widowControl w:val="0"/>
              <w:tabs>
                <w:tab w:val="left" w:pos="1980"/>
              </w:tabs>
              <w:kinsoku/>
              <w:wordWrap/>
              <w:overflowPunct/>
              <w:topLinePunct w:val="0"/>
              <w:autoSpaceDE/>
              <w:autoSpaceDN/>
              <w:bidi w:val="0"/>
              <w:adjustRightInd/>
              <w:snapToGrid w:val="0"/>
              <w:spacing w:line="500" w:lineRule="exact"/>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lang w:val="en-US" w:eastAsia="zh-CN"/>
              </w:rPr>
              <w:t>日</w:t>
            </w:r>
            <w:r>
              <w:rPr>
                <w:rFonts w:hint="eastAsia" w:ascii="仿宋" w:hAnsi="仿宋" w:eastAsia="仿宋" w:cs="仿宋"/>
                <w:bCs/>
                <w:color w:val="000000"/>
                <w:sz w:val="28"/>
                <w:szCs w:val="28"/>
                <w:highlight w:val="none"/>
              </w:rPr>
              <w:t>期：</w:t>
            </w:r>
            <w:r>
              <w:rPr>
                <w:rFonts w:hint="eastAsia" w:ascii="仿宋" w:hAnsi="仿宋" w:eastAsia="仿宋" w:cs="仿宋"/>
                <w:bCs/>
                <w:color w:val="000000"/>
                <w:sz w:val="28"/>
                <w:szCs w:val="28"/>
                <w:highlight w:val="none"/>
                <w:lang w:val="en-US" w:eastAsia="zh-CN"/>
              </w:rPr>
              <w:t xml:space="preserve">   </w:t>
            </w:r>
            <w:r>
              <w:rPr>
                <w:rFonts w:hint="eastAsia" w:ascii="仿宋" w:hAnsi="仿宋" w:eastAsia="仿宋" w:cs="仿宋"/>
                <w:bCs/>
                <w:color w:val="000000"/>
                <w:sz w:val="28"/>
                <w:szCs w:val="28"/>
                <w:highlight w:val="none"/>
              </w:rPr>
              <w:t>年</w:t>
            </w:r>
            <w:r>
              <w:rPr>
                <w:rFonts w:hint="eastAsia" w:ascii="仿宋" w:hAnsi="仿宋" w:eastAsia="仿宋" w:cs="仿宋"/>
                <w:bCs/>
                <w:color w:val="000000"/>
                <w:sz w:val="28"/>
                <w:szCs w:val="28"/>
                <w:highlight w:val="none"/>
                <w:lang w:val="en-US" w:eastAsia="zh-CN"/>
              </w:rPr>
              <w:t xml:space="preserve">   </w:t>
            </w:r>
            <w:r>
              <w:rPr>
                <w:rFonts w:hint="eastAsia" w:ascii="仿宋" w:hAnsi="仿宋" w:eastAsia="仿宋" w:cs="仿宋"/>
                <w:bCs/>
                <w:color w:val="000000"/>
                <w:sz w:val="28"/>
                <w:szCs w:val="28"/>
                <w:highlight w:val="none"/>
              </w:rPr>
              <w:t>月</w:t>
            </w:r>
            <w:r>
              <w:rPr>
                <w:rFonts w:hint="eastAsia" w:ascii="仿宋" w:hAnsi="仿宋" w:eastAsia="仿宋" w:cs="仿宋"/>
                <w:bCs/>
                <w:color w:val="000000"/>
                <w:sz w:val="28"/>
                <w:szCs w:val="28"/>
                <w:highlight w:val="none"/>
                <w:lang w:val="en-US" w:eastAsia="zh-CN"/>
              </w:rPr>
              <w:t xml:space="preserve">    </w:t>
            </w:r>
            <w:r>
              <w:rPr>
                <w:rFonts w:hint="eastAsia" w:ascii="仿宋" w:hAnsi="仿宋" w:eastAsia="仿宋" w:cs="仿宋"/>
                <w:bCs/>
                <w:color w:val="000000"/>
                <w:sz w:val="28"/>
                <w:szCs w:val="28"/>
                <w:highlight w:val="none"/>
              </w:rPr>
              <w:t>日</w:t>
            </w:r>
          </w:p>
        </w:tc>
      </w:tr>
    </w:tbl>
    <w:p w14:paraId="6F09FEC4">
      <w:pPr>
        <w:pStyle w:val="21"/>
        <w:rPr>
          <w:rFonts w:hint="eastAsia"/>
          <w:lang w:val="en-US" w:eastAsia="zh-Hans"/>
        </w:rPr>
      </w:pPr>
    </w:p>
    <w:p w14:paraId="32952EA0">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eastAsia="zh-CN" w:bidi="ar"/>
        </w:rPr>
      </w:pPr>
    </w:p>
    <w:p w14:paraId="06D50B4F">
      <w:pPr>
        <w:rPr>
          <w:rFonts w:hint="eastAsia" w:ascii="仿宋" w:hAnsi="仿宋" w:eastAsia="仿宋" w:cs="仿宋"/>
        </w:rPr>
      </w:pPr>
    </w:p>
    <w:sectPr>
      <w:footerReference r:id="rId3" w:type="default"/>
      <w:pgSz w:w="11906" w:h="16838"/>
      <w:pgMar w:top="1440" w:right="1080" w:bottom="1440" w:left="10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1298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FD7172">
                          <w:pPr>
                            <w:pStyle w:val="8"/>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55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FD7172">
                    <w:pPr>
                      <w:pStyle w:val="8"/>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55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C51F7"/>
    <w:rsid w:val="0025260D"/>
    <w:rsid w:val="013A090D"/>
    <w:rsid w:val="03013AE9"/>
    <w:rsid w:val="057A1CA9"/>
    <w:rsid w:val="05F67863"/>
    <w:rsid w:val="06995C3E"/>
    <w:rsid w:val="07736122"/>
    <w:rsid w:val="077A1520"/>
    <w:rsid w:val="07E90EAF"/>
    <w:rsid w:val="08CF2DC6"/>
    <w:rsid w:val="095C51F7"/>
    <w:rsid w:val="0B257CB1"/>
    <w:rsid w:val="0B8D2662"/>
    <w:rsid w:val="0BC514CB"/>
    <w:rsid w:val="0BFA1293"/>
    <w:rsid w:val="0BFD59DD"/>
    <w:rsid w:val="0C261DB4"/>
    <w:rsid w:val="0C507A17"/>
    <w:rsid w:val="0CBA3C0A"/>
    <w:rsid w:val="0D9210D8"/>
    <w:rsid w:val="0E75614A"/>
    <w:rsid w:val="0F091AF5"/>
    <w:rsid w:val="10A746D9"/>
    <w:rsid w:val="10C725BE"/>
    <w:rsid w:val="10D27729"/>
    <w:rsid w:val="126A68F2"/>
    <w:rsid w:val="12E4682C"/>
    <w:rsid w:val="12EF72CB"/>
    <w:rsid w:val="13A95559"/>
    <w:rsid w:val="13C853F7"/>
    <w:rsid w:val="14260DC5"/>
    <w:rsid w:val="143278F9"/>
    <w:rsid w:val="15AA01D0"/>
    <w:rsid w:val="16074A44"/>
    <w:rsid w:val="16E114D3"/>
    <w:rsid w:val="172A2F70"/>
    <w:rsid w:val="181F78A4"/>
    <w:rsid w:val="18AB4B46"/>
    <w:rsid w:val="1A100014"/>
    <w:rsid w:val="1B034D1D"/>
    <w:rsid w:val="1D5B7903"/>
    <w:rsid w:val="1D8D1156"/>
    <w:rsid w:val="1DCF0506"/>
    <w:rsid w:val="1DD82927"/>
    <w:rsid w:val="1E673D11"/>
    <w:rsid w:val="1F4C0D43"/>
    <w:rsid w:val="1F72540F"/>
    <w:rsid w:val="20390800"/>
    <w:rsid w:val="20B717B0"/>
    <w:rsid w:val="20D01F73"/>
    <w:rsid w:val="21102441"/>
    <w:rsid w:val="212821E7"/>
    <w:rsid w:val="216076C6"/>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FAB2145"/>
    <w:rsid w:val="31C06999"/>
    <w:rsid w:val="31F040D5"/>
    <w:rsid w:val="34344512"/>
    <w:rsid w:val="34AD71BB"/>
    <w:rsid w:val="3635623E"/>
    <w:rsid w:val="378A6BE6"/>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CF01828"/>
    <w:rsid w:val="4D1663C4"/>
    <w:rsid w:val="4D2870AF"/>
    <w:rsid w:val="4D9711CF"/>
    <w:rsid w:val="4D9E47F4"/>
    <w:rsid w:val="4DB16869"/>
    <w:rsid w:val="4DEE31E2"/>
    <w:rsid w:val="4DF9399E"/>
    <w:rsid w:val="4EE81D32"/>
    <w:rsid w:val="4F7616AE"/>
    <w:rsid w:val="4FE34720"/>
    <w:rsid w:val="509E2BB8"/>
    <w:rsid w:val="544312F1"/>
    <w:rsid w:val="546957A6"/>
    <w:rsid w:val="56F96F3B"/>
    <w:rsid w:val="58552A97"/>
    <w:rsid w:val="5A445682"/>
    <w:rsid w:val="5C500C83"/>
    <w:rsid w:val="5C5F2669"/>
    <w:rsid w:val="5D430091"/>
    <w:rsid w:val="5E187160"/>
    <w:rsid w:val="5E927905"/>
    <w:rsid w:val="62AB062D"/>
    <w:rsid w:val="63C435F8"/>
    <w:rsid w:val="64A7494A"/>
    <w:rsid w:val="64EF4E96"/>
    <w:rsid w:val="66405B1C"/>
    <w:rsid w:val="689D625E"/>
    <w:rsid w:val="691769FD"/>
    <w:rsid w:val="69E95AFF"/>
    <w:rsid w:val="6A0172DF"/>
    <w:rsid w:val="6A88420E"/>
    <w:rsid w:val="6B345DC5"/>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3"/>
    <w:next w:val="3"/>
    <w:semiHidden/>
    <w:unhideWhenUsed/>
    <w:qFormat/>
    <w:uiPriority w:val="0"/>
    <w:pPr>
      <w:keepNext/>
      <w:keepLines/>
      <w:spacing w:before="260" w:after="260" w:line="416" w:lineRule="auto"/>
      <w:outlineLvl w:val="2"/>
    </w:pPr>
    <w:rPr>
      <w:bCs/>
      <w:sz w:val="32"/>
      <w:szCs w:val="32"/>
    </w:rPr>
  </w:style>
  <w:style w:type="paragraph" w:styleId="3">
    <w:name w:val="heading 4"/>
    <w:basedOn w:val="1"/>
    <w:next w:val="1"/>
    <w:link w:val="17"/>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djustRightInd w:val="0"/>
      <w:spacing w:line="312" w:lineRule="atLeast"/>
      <w:ind w:firstLine="420"/>
      <w:textAlignment w:val="baseline"/>
    </w:pPr>
    <w:rPr>
      <w:kern w:val="0"/>
    </w:r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next w:val="1"/>
    <w:link w:val="18"/>
    <w:qFormat/>
    <w:uiPriority w:val="0"/>
    <w:rPr>
      <w:rFonts w:asciiTheme="minorAscii" w:hAnsiTheme="minorAscii" w:eastAsiaTheme="minorEastAsia" w:cstheme="minorBidi"/>
      <w:sz w:val="28"/>
      <w:szCs w:val="22"/>
    </w:rPr>
  </w:style>
  <w:style w:type="paragraph" w:styleId="7">
    <w:name w:val="Block Text"/>
    <w:basedOn w:val="1"/>
    <w:unhideWhenUsed/>
    <w:qFormat/>
    <w:uiPriority w:val="99"/>
    <w:pPr>
      <w:ind w:left="1440" w:leftChars="700" w:right="700" w:rightChars="700"/>
    </w:pPr>
  </w:style>
  <w:style w:type="paragraph" w:styleId="8">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9">
    <w:name w:val="toc 9"/>
    <w:basedOn w:val="1"/>
    <w:next w:val="1"/>
    <w:unhideWhenUsed/>
    <w:qFormat/>
    <w:uiPriority w:val="39"/>
    <w:pPr>
      <w:ind w:left="3360" w:leftChars="1600"/>
    </w:pPr>
  </w:style>
  <w:style w:type="paragraph" w:styleId="10">
    <w:name w:val="Body Text 2"/>
    <w:basedOn w:val="1"/>
    <w:qFormat/>
    <w:uiPriority w:val="0"/>
    <w:pPr>
      <w:adjustRightInd w:val="0"/>
      <w:snapToGrid w:val="0"/>
      <w:spacing w:line="480" w:lineRule="atLeast"/>
    </w:pPr>
    <w:rPr>
      <w:rFonts w:ascii="宋体" w:hAnsi="宋体"/>
      <w:sz w:val="28"/>
    </w:rPr>
  </w:style>
  <w:style w:type="paragraph" w:styleId="11">
    <w:name w:val="Normal (Web)"/>
    <w:basedOn w:val="1"/>
    <w:qFormat/>
    <w:uiPriority w:val="0"/>
    <w:pPr>
      <w:spacing w:beforeAutospacing="1" w:afterAutospacing="1"/>
      <w:jc w:val="left"/>
    </w:pPr>
    <w:rPr>
      <w:rFonts w:cs="Times New Roman"/>
      <w:kern w:val="0"/>
      <w:sz w:val="24"/>
    </w:rPr>
  </w:style>
  <w:style w:type="paragraph" w:styleId="12">
    <w:name w:val="Title"/>
    <w:basedOn w:val="1"/>
    <w:next w:val="1"/>
    <w:qFormat/>
    <w:uiPriority w:val="0"/>
    <w:pPr>
      <w:spacing w:before="240" w:beforeLines="0" w:beforeAutospacing="0" w:after="60" w:afterLines="0" w:afterAutospacing="0"/>
      <w:jc w:val="center"/>
      <w:outlineLvl w:val="0"/>
    </w:pPr>
    <w:rPr>
      <w:rFonts w:ascii="Arial" w:hAnsi="Arial" w:eastAsia="仿宋" w:cs="Arial"/>
      <w:b/>
      <w:kern w:val="0"/>
      <w:sz w:val="32"/>
      <w:szCs w:val="32"/>
    </w:rPr>
  </w:style>
  <w:style w:type="character" w:styleId="15">
    <w:name w:val="Hyperlink"/>
    <w:basedOn w:val="14"/>
    <w:unhideWhenUsed/>
    <w:qFormat/>
    <w:uiPriority w:val="99"/>
    <w:rPr>
      <w:rFonts w:hint="eastAsia" w:ascii="宋体" w:hAnsi="宋体" w:eastAsia="宋体" w:cs="宋体"/>
      <w:color w:val="000000"/>
      <w:sz w:val="14"/>
      <w:szCs w:val="14"/>
      <w:u w:val="none"/>
    </w:rPr>
  </w:style>
  <w:style w:type="paragraph" w:customStyle="1" w:styleId="16">
    <w:name w:val="样式9"/>
    <w:basedOn w:val="1"/>
    <w:next w:val="1"/>
    <w:qFormat/>
    <w:uiPriority w:val="0"/>
    <w:rPr>
      <w:rFonts w:ascii="Calibri" w:hAnsi="Calibri"/>
    </w:rPr>
  </w:style>
  <w:style w:type="character" w:customStyle="1" w:styleId="17">
    <w:name w:val="标题 4 Char"/>
    <w:link w:val="3"/>
    <w:qFormat/>
    <w:uiPriority w:val="0"/>
    <w:rPr>
      <w:rFonts w:ascii="Arial" w:hAnsi="Arial" w:eastAsia="黑体" w:cs="Arial"/>
      <w:b/>
      <w:sz w:val="28"/>
      <w:szCs w:val="28"/>
      <w:lang w:bidi="ar-SA"/>
    </w:rPr>
  </w:style>
  <w:style w:type="character" w:customStyle="1" w:styleId="18">
    <w:name w:val="正文文本 Char"/>
    <w:link w:val="6"/>
    <w:qFormat/>
    <w:uiPriority w:val="0"/>
    <w:rPr>
      <w:rFonts w:hint="eastAsia" w:ascii="宋体" w:hAnsi="宋体" w:eastAsia="仿宋" w:cs="宋体"/>
      <w:sz w:val="24"/>
      <w:szCs w:val="21"/>
      <w:lang w:bidi="ar-SA"/>
    </w:rPr>
  </w:style>
  <w:style w:type="paragraph" w:customStyle="1" w:styleId="19">
    <w:name w:val="样式10"/>
    <w:basedOn w:val="1"/>
    <w:next w:val="1"/>
    <w:qFormat/>
    <w:uiPriority w:val="0"/>
    <w:rPr>
      <w:rFonts w:ascii="Times New Roman" w:hAnsi="Times New Roman"/>
    </w:rPr>
  </w:style>
  <w:style w:type="paragraph" w:customStyle="1" w:styleId="20">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paragraph" w:customStyle="1" w:styleId="22">
    <w:name w:val="正文缩进1"/>
    <w:basedOn w:val="1"/>
    <w:qFormat/>
    <w:uiPriority w:val="0"/>
    <w:pPr>
      <w:ind w:firstLine="420" w:firstLineChars="200"/>
    </w:pPr>
  </w:style>
  <w:style w:type="paragraph" w:customStyle="1" w:styleId="23">
    <w:name w:val="样式 10 磅"/>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2088</Words>
  <Characters>2118</Characters>
  <Lines>0</Lines>
  <Paragraphs>0</Paragraphs>
  <TotalTime>0</TotalTime>
  <ScaleCrop>false</ScaleCrop>
  <LinksUpToDate>false</LinksUpToDate>
  <CharactersWithSpaces>2366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2025-07-30T07:12:00Z</dcterms:created>
  <dc:creator>小可爱</dc:creator>
  <cp:lastModifiedBy>小可爱</cp:lastModifiedBy>
  <dcterms:modified xsi:type="dcterms:W3CDTF">2026-05-15T03:53:23Z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37776E48CE3C4675BC54E247901266AB_11</vt:lpwstr>
  </property>
  <property fmtid="{D5CDD505-2E9C-101B-9397-08002B2CF9AE}" pid="4" name="KSOTemplateDocerSaveRecord">
    <vt:lpwstr>eyJoZGlkIjoiZTA1YTBiNjM1N2UyYTRhOTEzYjA1OGZiOGE3YjhhNzEiLCJ1c2VySWQiOiIyNzM0MzcyNTIifQ==</vt:lpwstr>
  </property>
</Properties>
</file>