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版本号：XBMH2026-064.2.3B120260507001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2026年竣工验收质量鉴定服务项目（机电项目）(二次)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XBMH2026-064.2.3B1</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2026年竣工验收质量鉴定服务项目（机电项目）(二次)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XBMH2026-064.2.3B1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2026年竣工验收质量鉴定服务项目（机电项目）(二次)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陕西省交通运输工程质量检测鉴定站2026年陕西省高速公路机电工程竣工验收检测，1批。 采购包1：竹林关至山阳高速公路； 采购包2：马家堡至泾阳高速公路、兵马俑专用线、曲江至太乙宫改扩建。 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采购包1（竹林关至山阳高速公路机电工程竣工验收）：属于专门面向中小企业采购。</w:t>
      </w:r>
    </w:p>
    <w:p>
      <w:pPr>
        <w:pStyle w:val="null3"/>
      </w:pPr>
      <w:r>
        <w:rPr>
          <w:rFonts w:ascii="仿宋_GB2312" w:hAnsi="仿宋_GB2312" w:cs="仿宋_GB2312" w:eastAsia="仿宋_GB2312"/>
        </w:rPr>
        <w:t>采购包2（马家堡至泾阳高速公路-兵马俑专用线-曲江至太乙宫改扩建高速公路机电工程竣工验收）：属于专门面向null采购。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1、主体资格证明文件：提供合格有效的法人或者其他组织的营业执照等证明文件；</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4、具有履行本合同所必需的设备和专业技术能力的书面声明：供应商须提供具有履行合同所必需的设备和专业技术能力的承诺；</w:t>
      </w:r>
    </w:p>
    <w:p>
      <w:pPr>
        <w:pStyle w:val="null3"/>
      </w:pPr>
      <w:r>
        <w:rPr>
          <w:rFonts w:ascii="仿宋_GB2312" w:hAnsi="仿宋_GB2312" w:cs="仿宋_GB2312" w:eastAsia="仿宋_GB2312"/>
        </w:rPr>
        <w:t>5、无重大违法记录的书面声明：参加政府采购活动前3年内，在经营活动中没有重大违法记录的书面声明；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9、供应商资质：具备公路工程交通工程专项资质证书；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10、项目负责人：具有相关专业高级或以上技术职称；持有交通运输部颁发的试验检测工程师证书；担任过新建或改扩建高速公路项目机电工程交工验收或竣工验收质量检测服务项目的项目负责人。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1、主体资格证明文件：提供合格有效的法人或者其他组织的营业执照等证明文件；</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4、具有履行本合同所必需的设备和专业技术能力的书面声明：供应商须提供具有履行合同所必需的设备和专业技术能力的承诺；</w:t>
      </w:r>
    </w:p>
    <w:p>
      <w:pPr>
        <w:pStyle w:val="null3"/>
      </w:pPr>
      <w:r>
        <w:rPr>
          <w:rFonts w:ascii="仿宋_GB2312" w:hAnsi="仿宋_GB2312" w:cs="仿宋_GB2312" w:eastAsia="仿宋_GB2312"/>
        </w:rPr>
        <w:t>5、无重大违法记录的书面声明：参加政府采购活动前3年内，在经营活动中没有重大违法记录的书面声明；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9、供应商资质：具备公路工程交通工程专项资质证书；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10、项目负责人：具有相关专业高级或以上技术职称；持有交通运输部颁发的试验检测工程师证书；担任过新建或改扩建高速公路项目机电工程交工验收或竣工验收质量检测服务项目的项目负责人。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029-88347987-8046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采购包1：260,089.00元</w:t>
            </w:r>
          </w:p>
          <w:p>
            <w:pPr>
              <w:pStyle w:val="null3"/>
            </w:pPr>
            <w:r>
              <w:rPr>
                <w:rFonts w:ascii="仿宋_GB2312" w:hAnsi="仿宋_GB2312" w:cs="仿宋_GB2312" w:eastAsia="仿宋_GB2312"/>
              </w:rPr>
              <w:t>采购包2：109,827.00元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1.参照《国家计委关于印发&lt;招标代理服务收费管理暂行办法&gt;的通知》 （计价格【2002】1980号）及《国家发改委关于降低部分建设项目收费标准规范收费行为等有关问题的通知》（发改价格[2011]534号）规定标准的 80% 收取，不足5000.00元的按5000.00元收取。取费基数为各标包成交金额。 2.采购人指定的代理服务费缴纳账户信息如下： 银行户名：陕西西北民航工程咨询有限公司 开户行名称：中国建设银行股份有限公司西安高新科技支行 账 号：61001925700052502533 行 号：105791011313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踏勘时间：2026-05-14 14:00:00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踏勘时间：2026-05-14 14:00:00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陕西省交通运输工程质量检测鉴定站2026年陕西省高速公路机电工程竣工验收检测，1批。 采购包1：竹林关至山阳高速公路； 采购包2：马家堡至泾阳高速公路、兵马俑专用线、曲江至太乙宫改扩建。 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260,089.00</w:t>
      </w:r>
    </w:p>
    <w:p>
      <w:pPr>
        <w:pStyle w:val="null3"/>
      </w:pPr>
      <w:r>
        <w:rPr>
          <w:rFonts w:ascii="仿宋_GB2312" w:hAnsi="仿宋_GB2312" w:cs="仿宋_GB2312" w:eastAsia="仿宋_GB2312"/>
        </w:rPr>
        <w:t>采购包最高限价（元）: 260,089.00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2包竹林关至山阳高速公路机电工程竣工验收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260,089.00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109,827.00</w:t>
      </w:r>
    </w:p>
    <w:p>
      <w:pPr>
        <w:pStyle w:val="null3"/>
      </w:pPr>
      <w:r>
        <w:rPr>
          <w:rFonts w:ascii="仿宋_GB2312" w:hAnsi="仿宋_GB2312" w:cs="仿宋_GB2312" w:eastAsia="仿宋_GB2312"/>
        </w:rPr>
        <w:t>采购包最高限价（元）: 109,827.00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3包马家堡至泾阳-兵马俑专用线-曲江至太乙宫改扩建高速公路机电工程竣工验收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109,827.00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标的名称：2包竹林关至山阳高速公路机电工程竣工验收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rPr>
              <w:t>采购包1：丹凤竹林至山阳高速公路项</w:t>
            </w:r>
            <w:r>
              <w:rPr>
                <w:rFonts w:ascii="仿宋_GB2312" w:hAnsi="仿宋_GB2312" w:cs="仿宋_GB2312" w:eastAsia="仿宋_GB2312"/>
                <w:sz w:val="24"/>
                <w:b/>
              </w:rPr>
              <w:t>目概况</w:t>
            </w:r>
          </w:p>
          <w:p>
            <w:pPr>
              <w:pStyle w:val="null3"/>
              <w:ind w:firstLine="400"/>
              <w:jc w:val="both"/>
            </w:pPr>
            <w:r>
              <w:rPr>
                <w:rFonts w:ascii="仿宋_GB2312" w:hAnsi="仿宋_GB2312" w:cs="仿宋_GB2312" w:eastAsia="仿宋_GB2312"/>
                <w:sz w:val="20"/>
              </w:rPr>
              <w:t>丹凤竹林至山阳高速公路是陕西省高速公路网规划的</w:t>
            </w:r>
            <w:r>
              <w:rPr>
                <w:rFonts w:ascii="仿宋_GB2312" w:hAnsi="仿宋_GB2312" w:cs="仿宋_GB2312" w:eastAsia="仿宋_GB2312"/>
                <w:sz w:val="20"/>
              </w:rPr>
              <w:t>18条联络线丹（凤）宁（陕）线的重要组成部分。项目和在建洛卢高速将共同组网，形成以商洛为中心，东西贯通陕豫两省，南北联接渭南、安康两市的区域高速经济圈，对强化区域经济技术交流和产业发展，构筑区域经济发展新格局，实现陕南社会经济高质量发展具有显著意义。</w:t>
            </w:r>
          </w:p>
          <w:p>
            <w:pPr>
              <w:pStyle w:val="null3"/>
              <w:ind w:firstLine="400"/>
              <w:jc w:val="both"/>
            </w:pPr>
            <w:r>
              <w:rPr>
                <w:rFonts w:ascii="仿宋_GB2312" w:hAnsi="仿宋_GB2312" w:cs="仿宋_GB2312" w:eastAsia="仿宋_GB2312"/>
                <w:sz w:val="20"/>
              </w:rPr>
              <w:t>路线东起丹凤县竹林关镇接</w:t>
            </w:r>
            <w:r>
              <w:rPr>
                <w:rFonts w:ascii="仿宋_GB2312" w:hAnsi="仿宋_GB2312" w:cs="仿宋_GB2312" w:eastAsia="仿宋_GB2312"/>
                <w:sz w:val="20"/>
              </w:rPr>
              <w:t>G40沪陕高速，西至山阳县高坝店镇接G70福银高速，全长38.542公里，设计时速100公里，双向四车道，路基宽度26米。合同建设工期36个月，采用PPP模式实施，运营期30年，概算总投资约61.396亿元，其中建筑安装费约49.525亿元，土地使用及征迁补偿费约3.7亿元。初步设计概算批复金额为61.396亿元，施工图预算上报金额为61.388亿元。路基桥隧工程施工单位已于2021年6月份进场，全线设置总监办3个、中心试验室1个、施工总包部2个、路桥隧主体工程施工标段3个、附属工程施工标段2个，计划2023年底建成通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标的名称：3包马家堡至泾阳-兵马俑专用线-曲江至太乙宫改扩建高速公路机电工程竣工验收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采购包</w:t>
            </w:r>
            <w:r>
              <w:rPr>
                <w:rFonts w:ascii="仿宋_GB2312" w:hAnsi="仿宋_GB2312" w:cs="仿宋_GB2312" w:eastAsia="仿宋_GB2312"/>
                <w:sz w:val="20"/>
                <w:b/>
              </w:rPr>
              <w:t>2：</w:t>
            </w:r>
          </w:p>
          <w:p>
            <w:pPr>
              <w:pStyle w:val="null3"/>
              <w:jc w:val="both"/>
              <w:outlineLvl w:val="1"/>
            </w:pPr>
            <w:r>
              <w:rPr>
                <w:rFonts w:ascii="仿宋_GB2312" w:hAnsi="仿宋_GB2312" w:cs="仿宋_GB2312" w:eastAsia="仿宋_GB2312"/>
                <w:sz w:val="20"/>
                <w:b/>
              </w:rPr>
              <w:t>1.马家堡至泾阳高速公路项目</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马家堡至泾阳高速公路（以下简称马泾高速）是我省新规划的机场高速联络线，项目位于国家级西咸新区境内。起点位于西安机场专用高速马家堡互通，经秦汉新城马术中心西侧后向东，跨越茶马大道后沿马术中心北侧布设，跨越沣泾大道后沿乐华一路北侧平行布线，经过泾河湾路后沿既有泾河湾桥北侧跨越泾河，终点位于崇文乡彭尧村以南衔接包茂高速泾河立交。涉及秦汉、泾河两个新城，沿线主要地物控制点有汉长陵文物保护区、西安乐华城国际欢乐度假区、马术中心、水厂等。</w:t>
            </w:r>
          </w:p>
          <w:p>
            <w:pPr>
              <w:pStyle w:val="null3"/>
              <w:ind w:firstLine="400"/>
              <w:jc w:val="both"/>
            </w:pPr>
            <w:r>
              <w:rPr>
                <w:rFonts w:ascii="仿宋_GB2312" w:hAnsi="仿宋_GB2312" w:cs="仿宋_GB2312" w:eastAsia="仿宋_GB2312"/>
                <w:sz w:val="20"/>
              </w:rPr>
              <w:t>采用双向六车道高速公路标准，分离式路基宽度</w:t>
            </w:r>
            <w:r>
              <w:rPr>
                <w:rFonts w:ascii="仿宋_GB2312" w:hAnsi="仿宋_GB2312" w:cs="仿宋_GB2312" w:eastAsia="仿宋_GB2312"/>
                <w:sz w:val="20"/>
              </w:rPr>
              <w:t>16.75m、整体式路基宽度33.2m，设计时速100km/h，工期30个月，其他技术指标按照部颁《公路工程技术标准》（JTGB01-2014）规定执行。我项目采用设计施工总承包模式建设，已于2022年11月份进场，全线设置一个总监办、一个中心试验室，概算投资16.1亿元，计划2024年12月建成通车。</w:t>
            </w:r>
          </w:p>
          <w:p>
            <w:pPr>
              <w:pStyle w:val="null3"/>
              <w:jc w:val="left"/>
              <w:outlineLvl w:val="1"/>
            </w:pPr>
            <w:r>
              <w:rPr>
                <w:rFonts w:ascii="仿宋_GB2312" w:hAnsi="仿宋_GB2312" w:cs="仿宋_GB2312" w:eastAsia="仿宋_GB2312"/>
                <w:sz w:val="20"/>
                <w:b/>
              </w:rPr>
              <w:t>2.兵马俑专用线公路改扩建工程</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兵马俑专用线公路改扩建工程项目起点位于（</w:t>
            </w:r>
            <w:r>
              <w:rPr>
                <w:rFonts w:ascii="仿宋_GB2312" w:hAnsi="仿宋_GB2312" w:cs="仿宋_GB2312" w:eastAsia="仿宋_GB2312"/>
                <w:sz w:val="20"/>
              </w:rPr>
              <w:t>G30）连霍高速兵马俑互通立交，终点位于西安市临潼区代王街道胡家寨村，采用既有兵马俑二级专用公路单侧、两侧加宽方式改扩建，路线全长6.15公里。项目主线采用双向四车道高速公路技术标准，设计速度100公里/小时，路基宽度26米；设互通式立交2处，新建临潼北互通1处，改建兵马俑枢纽互通1处；新建分离式立交1处(半幅下穿陇海铁路通道)；项目终点设置连接线0.749公里，采用双向六车道一级公路技术标准，设计速度60公里/小时，路基宽度26米；支线0.337公里，采用二级公路技术标准，设计速度40公里/小时，路基宽度12米。全线新增永久用地438.1亩。项目总合同额6.05亿元，计划2024年12月建成通车。</w:t>
            </w:r>
          </w:p>
          <w:p>
            <w:pPr>
              <w:pStyle w:val="null3"/>
              <w:ind w:firstLine="400"/>
              <w:jc w:val="both"/>
            </w:pPr>
            <w:r>
              <w:rPr>
                <w:rFonts w:ascii="仿宋_GB2312" w:hAnsi="仿宋_GB2312" w:cs="仿宋_GB2312" w:eastAsia="仿宋_GB2312"/>
                <w:sz w:val="20"/>
              </w:rPr>
              <w:t>实施兵马俑专用线公路改扩建工程，将与已建成的秦唐大道连通，形成临潼区旅游大环线，并与兵马俑第二停车场相接，来往景区的游客可直接进入停车场，有效缓解该路段的交通拥堵现象，为秦始皇兵马俑博物馆提供更加完善、更加舒适的交通运输条件；同时在省道</w:t>
            </w:r>
            <w:r>
              <w:rPr>
                <w:rFonts w:ascii="仿宋_GB2312" w:hAnsi="仿宋_GB2312" w:cs="仿宋_GB2312" w:eastAsia="仿宋_GB2312"/>
                <w:sz w:val="20"/>
              </w:rPr>
              <w:t>108处新建的互通式立交，将大幅改善临潼渭北工业园与城市之间交通不便的现状，有效完善区域路网布局，发挥高速公路网整体效益，促进临潼区交通旅游的融合发展，带动区域经济实现快速发展，对支撑西安加快建设国家中心城市，打造国际性综合交通枢纽城市具有积极作用。</w:t>
            </w:r>
          </w:p>
          <w:p>
            <w:pPr>
              <w:pStyle w:val="null3"/>
              <w:jc w:val="left"/>
              <w:outlineLvl w:val="1"/>
            </w:pPr>
            <w:r>
              <w:rPr>
                <w:rFonts w:ascii="仿宋_GB2312" w:hAnsi="仿宋_GB2312" w:cs="仿宋_GB2312" w:eastAsia="仿宋_GB2312"/>
                <w:sz w:val="21"/>
                <w:b/>
                <w:color w:val="000000"/>
              </w:rPr>
              <w:t>3.包茂高速曲江至太乙宫段改扩建工程</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color w:val="000000"/>
              </w:rPr>
              <w:t>包茂高速公路是国家高速公路纵向线之一，南北纵贯我国七省区，在国家高速公路网中具有连接南北、沟通区域经济、提升西部交通区位的重要作用，是我国高速公路网的纵向骨干线。在陕境内串联了榆林、延安、铜川、咸阳、西安、商洛、安康、汉中等</w:t>
            </w:r>
            <w:r>
              <w:rPr>
                <w:rFonts w:ascii="仿宋_GB2312" w:hAnsi="仿宋_GB2312" w:cs="仿宋_GB2312" w:eastAsia="仿宋_GB2312"/>
                <w:sz w:val="21"/>
                <w:color w:val="000000"/>
              </w:rPr>
              <w:t>8市，是我省生产力布局的纵向主轴线，对“强关中、优陕北、兴陕南”、促进三大片区协调融合发展具有十分重要的作用。</w:t>
            </w:r>
          </w:p>
          <w:p>
            <w:pPr>
              <w:pStyle w:val="null3"/>
              <w:ind w:firstLine="420"/>
              <w:jc w:val="both"/>
            </w:pPr>
            <w:r>
              <w:rPr>
                <w:rFonts w:ascii="仿宋_GB2312" w:hAnsi="仿宋_GB2312" w:cs="仿宋_GB2312" w:eastAsia="仿宋_GB2312"/>
                <w:sz w:val="21"/>
                <w:color w:val="000000"/>
              </w:rPr>
              <w:t>项目起点位于曲江立交接西安绕城高速公路，终点位于太乙宫立交接</w:t>
            </w:r>
            <w:r>
              <w:rPr>
                <w:rFonts w:ascii="仿宋_GB2312" w:hAnsi="仿宋_GB2312" w:cs="仿宋_GB2312" w:eastAsia="仿宋_GB2312"/>
                <w:sz w:val="21"/>
                <w:color w:val="000000"/>
              </w:rPr>
              <w:t>S107（关中环线），路线全长18.531公里。起点至王莽枢纽互通段15.596公里（K1+059～K16+655）采用设计速度100公里/小时、路基宽度42.0米的八车道高速公路标准，王莽枢纽互通至项目终点段2.935公里（K16+655～K19+590）采用设计速度80公里/小时、路基宽度33.5米的六车道高速公路标准。本项目概算总投资26.319亿元，计划2024年10月建成通车。项目采用设计施工总承包模式建设，设置一级监理机构，一个试验检测中心，各参建单位于2022年11月8日进场。</w:t>
            </w:r>
          </w:p>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自合同签订之日起至检验验收合格之日止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自合同签订之日起至检验验收合格之日止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服务期满经甲方验收合格后，确定项目完成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成交单位在领取成交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（2）如响应文件中融资相关内容与新政策要求有出入，按照最新要求执行。 （3）关于公路水运工程试验检测师证书说明：新版证书专业为道路工程、桥梁隧道工程、交通工程；旧版证书专业为材料、公路、桥梁、隧道、交通安全设施、机电工程， 其中新版道路工程专业等同于旧版公路、材料 2 个专业，新版桥梁隧道工程等同于旧版桥梁、隧道 2 个专业，新版交通工程专业等同于旧版交通安全设施、机电工程 2 个专业。 满足要求的旧版公路工程试验检测资格证书视为有效。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具备公路工程交通工程专项资质证书；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具有相关专业高级或以上技术职称；持有交通运输部颁发的试验检测工程师证书；担任过新建或改扩建高速公路项目机电工程交工验收或竣工验收质量检测服务项目的项目负责人。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税收缴纳证明：提供磋商截止时间前6个月内任意时段的纳税证明或完税证明（任意税种），依法免税的单位应提供相关证明材料； 社会保障资金缴纳证明：提供磋商截止时间前6个月内任意时段的社会保障资金缴存单据或社保机构开具的社会保险参保缴费情况证明，依法不需要缴纳社会保障资金的单位应提供相关证明材料；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具备公路工程交通工程专项资质证书；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具有相关专业高级或以上技术职称；持有交通运输部颁发的试验检测工程师证书；担任过新建或改扩建高速公路项目机电工程交工验收或竣工验收质量检测服务项目的项目负责人。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机电工程交工验收、交工验收核验或竣工验收前质量检测服务的工作业绩得3分，业绩中含长度≥3000m隧道的机电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1、评标基准价=各投标供应商有效报价的最低值，投标报价等于评标基准价时得满分 报价得分=（评审基准价/投标报价）×价格权值（10%）×100%； 1、投标报价不完整的，不进入评标标准价的计算，本项得0分。 2、总计与分项计价合计不符的，以分项计价合计为准；总价小写与大写不符的，以大写为准。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费用组成明细表-1.docx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每增加1个近5年（2021年至今），新建或改扩建高速公路项目机电工程交工验收或竣工验收质量检测服务项目业绩得3分，最高得9分。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机电工程交工验收、交工验收核验或竣工验收前质量检测服务的工作业绩得3分，业绩中含长度≥3000m隧道的机电工程质量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费用组成明细表-2.docx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详见附件：费用组成明细表-1.docx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详见附件：费用组成明细表-2.docx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