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版本号：DQA-2026051-CS20260605001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2026年扫描电镜能谱仪、清洗剂和氢气发生器维保服务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DQA-2026051-CS</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2026年扫描电镜能谱仪、清洗剂和氢气发生器维保服务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DQA-2026051-CS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2026年扫描电镜能谱仪、清洗剂和氢气发生器维保服务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刑侦总队购买2026年扫描电镜能谱仪、清洗剂和氢气发生器维保服务，详见采购需求。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采购包1（刑侦总队购买2026年扫描电镜能谱仪、清洗剂和氢气发生器维保服务）：属于专门面向中小企业采购。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总公司给分支机构出具的授权书。磋商文件中凡是需要法定代表人盖章之处，非法人单位的负责人均参照执行。</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省公安厅机关经办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029-86166900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银行账号：52880188000160875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发展计划委制定的《招标代理服务收费管理暂行办法》（计价格[2002]1980号）及国家发展改革委办公厅制定的《关于招标代理服务收费有关问题的通知》（发改办价格[2003]857号）等相关规定核算年度服务费，总服务费按照总服务期（三年）计取。（代理服务费计算方式：年度服务费*3，核算后低于6000元按6000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省公安厅机关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刑侦总队购买2026年扫描电镜能谱仪、清洗剂和氢气发生器维保服务，详见采购需求。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175,000.00</w:t>
      </w:r>
    </w:p>
    <w:p>
      <w:pPr>
        <w:pStyle w:val="null3"/>
      </w:pPr>
      <w:r>
        <w:rPr>
          <w:rFonts w:ascii="仿宋_GB2312" w:hAnsi="仿宋_GB2312" w:cs="仿宋_GB2312" w:eastAsia="仿宋_GB2312"/>
        </w:rPr>
        <w:t>采购包最高限价（元）: 175,000.00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00"/>
              </w:rPr>
              <w:t>一、</w:t>
            </w:r>
            <w:r>
              <w:rPr>
                <w:rFonts w:ascii="仿宋_GB2312" w:hAnsi="仿宋_GB2312" w:cs="仿宋_GB2312" w:eastAsia="仿宋_GB2312"/>
                <w:sz w:val="24"/>
                <w:color w:val="000000"/>
              </w:rPr>
              <w:t>2026年扫描电镜能谱仪、清洗机和氢气发生器维保服务明细</w:t>
            </w:r>
            <w:r>
              <w:br/>
            </w: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35"/>
              <w:gridCol w:w="1146"/>
              <w:gridCol w:w="970"/>
              <w:gridCol w:w="302"/>
            </w:tblGrid>
            <w:tr>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序号</w:t>
                  </w:r>
                </w:p>
              </w:tc>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设备名称</w:t>
                  </w:r>
                  <w:r>
                    <w:rPr>
                      <w:rFonts w:ascii="仿宋_GB2312" w:hAnsi="仿宋_GB2312" w:cs="仿宋_GB2312" w:eastAsia="仿宋_GB2312"/>
                      <w:sz w:val="24"/>
                      <w:b/>
                      <w:color w:val="333333"/>
                    </w:rPr>
                    <w:t>/型号</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服务内容</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数量</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1</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扫描电镜</w:t>
                  </w:r>
                  <w:r>
                    <w:rPr>
                      <w:rFonts w:ascii="仿宋_GB2312" w:hAnsi="仿宋_GB2312" w:cs="仿宋_GB2312" w:eastAsia="仿宋_GB2312"/>
                      <w:sz w:val="24"/>
                      <w:color w:val="333333"/>
                    </w:rPr>
                    <w:t>-能谱仪</w:t>
                  </w:r>
                </w:p>
                <w:p>
                  <w:pPr>
                    <w:pStyle w:val="null3"/>
                    <w:jc w:val="center"/>
                  </w:pPr>
                  <w:r>
                    <w:rPr>
                      <w:rFonts w:ascii="仿宋_GB2312" w:hAnsi="仿宋_GB2312" w:cs="仿宋_GB2312" w:eastAsia="仿宋_GB2312"/>
                      <w:sz w:val="24"/>
                      <w:color w:val="333333"/>
                    </w:rPr>
                    <w:t>FEI Quanta650FEG</w:t>
                  </w:r>
                </w:p>
                <w:p>
                  <w:pPr>
                    <w:pStyle w:val="null3"/>
                    <w:jc w:val="both"/>
                  </w:pPr>
                  <w:r>
                    <w:rPr>
                      <w:rFonts w:ascii="仿宋_GB2312" w:hAnsi="仿宋_GB2312" w:cs="仿宋_GB2312" w:eastAsia="仿宋_GB2312"/>
                      <w:sz w:val="24"/>
                      <w:color w:val="333333"/>
                    </w:rPr>
                    <w:t>Quanta-X-200-dual-XF-Flash6-30</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仪器年度保修服务</w:t>
                  </w:r>
                </w:p>
                <w:p>
                  <w:pPr>
                    <w:pStyle w:val="null3"/>
                    <w:jc w:val="center"/>
                  </w:pPr>
                  <w:r>
                    <w:rPr>
                      <w:rFonts w:ascii="仿宋_GB2312" w:hAnsi="仿宋_GB2312" w:cs="仿宋_GB2312" w:eastAsia="仿宋_GB2312"/>
                      <w:sz w:val="24"/>
                      <w:color w:val="000000"/>
                    </w:rPr>
                    <w:t>（人工</w:t>
                  </w:r>
                  <w:r>
                    <w:rPr>
                      <w:rFonts w:ascii="仿宋_GB2312" w:hAnsi="仿宋_GB2312" w:cs="仿宋_GB2312" w:eastAsia="仿宋_GB2312"/>
                      <w:sz w:val="24"/>
                      <w:color w:val="000000"/>
                    </w:rPr>
                    <w:t>+备件+预防性维护+仪器操作培训）</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1套</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2</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清洗机</w:t>
                  </w:r>
                </w:p>
                <w:p>
                  <w:pPr>
                    <w:pStyle w:val="null3"/>
                    <w:jc w:val="center"/>
                  </w:pPr>
                  <w:r>
                    <w:rPr>
                      <w:rFonts w:ascii="仿宋_GB2312" w:hAnsi="仿宋_GB2312" w:cs="仿宋_GB2312" w:eastAsia="仿宋_GB2312"/>
                      <w:sz w:val="24"/>
                      <w:color w:val="333333"/>
                    </w:rPr>
                    <w:t>美诺</w:t>
                  </w:r>
                  <w:r>
                    <w:rPr>
                      <w:rFonts w:ascii="仿宋_GB2312" w:hAnsi="仿宋_GB2312" w:cs="仿宋_GB2312" w:eastAsia="仿宋_GB2312"/>
                      <w:sz w:val="24"/>
                      <w:color w:val="333333"/>
                    </w:rPr>
                    <w:t>PG8583CD</w:t>
                  </w:r>
                </w:p>
                <w:p>
                  <w:pPr>
                    <w:pStyle w:val="null3"/>
                    <w:jc w:val="center"/>
                  </w:pPr>
                  <w:r>
                    <w:rPr>
                      <w:rFonts w:ascii="仿宋_GB2312" w:hAnsi="仿宋_GB2312" w:cs="仿宋_GB2312" w:eastAsia="仿宋_GB2312"/>
                      <w:sz w:val="24"/>
                      <w:color w:val="333333"/>
                    </w:rPr>
                    <w:t>（含默克密理博自动纯水供应系统）</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仪器年度保修服务</w:t>
                  </w:r>
                </w:p>
                <w:p>
                  <w:pPr>
                    <w:pStyle w:val="null3"/>
                    <w:jc w:val="center"/>
                  </w:pPr>
                  <w:r>
                    <w:rPr>
                      <w:rFonts w:ascii="仿宋_GB2312" w:hAnsi="仿宋_GB2312" w:cs="仿宋_GB2312" w:eastAsia="仿宋_GB2312"/>
                      <w:sz w:val="24"/>
                      <w:color w:val="000000"/>
                    </w:rPr>
                    <w:t>（人工</w:t>
                  </w:r>
                  <w:r>
                    <w:rPr>
                      <w:rFonts w:ascii="仿宋_GB2312" w:hAnsi="仿宋_GB2312" w:cs="仿宋_GB2312" w:eastAsia="仿宋_GB2312"/>
                      <w:sz w:val="24"/>
                      <w:color w:val="000000"/>
                    </w:rPr>
                    <w:t>+备件+预防性维护+仪器操作培训）</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1套</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3</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氢气发生器</w:t>
                  </w:r>
                </w:p>
                <w:p>
                  <w:pPr>
                    <w:pStyle w:val="null3"/>
                    <w:jc w:val="center"/>
                  </w:pPr>
                  <w:r>
                    <w:rPr>
                      <w:rFonts w:ascii="仿宋_GB2312" w:hAnsi="仿宋_GB2312" w:cs="仿宋_GB2312" w:eastAsia="仿宋_GB2312"/>
                      <w:sz w:val="24"/>
                      <w:color w:val="333333"/>
                    </w:rPr>
                    <w:t>毕克</w:t>
                  </w:r>
                  <w:r>
                    <w:rPr>
                      <w:rFonts w:ascii="仿宋_GB2312" w:hAnsi="仿宋_GB2312" w:cs="仿宋_GB2312" w:eastAsia="仿宋_GB2312"/>
                      <w:sz w:val="24"/>
                      <w:color w:val="333333"/>
                    </w:rPr>
                    <w:t>PrecisionHydrogen,100cc</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仪器年度保修服务</w:t>
                  </w:r>
                </w:p>
                <w:p>
                  <w:pPr>
                    <w:pStyle w:val="null3"/>
                    <w:jc w:val="center"/>
                  </w:pPr>
                  <w:r>
                    <w:rPr>
                      <w:rFonts w:ascii="仿宋_GB2312" w:hAnsi="仿宋_GB2312" w:cs="仿宋_GB2312" w:eastAsia="仿宋_GB2312"/>
                      <w:sz w:val="24"/>
                      <w:color w:val="000000"/>
                    </w:rPr>
                    <w:t>（人工</w:t>
                  </w:r>
                  <w:r>
                    <w:rPr>
                      <w:rFonts w:ascii="仿宋_GB2312" w:hAnsi="仿宋_GB2312" w:cs="仿宋_GB2312" w:eastAsia="仿宋_GB2312"/>
                      <w:sz w:val="24"/>
                      <w:color w:val="000000"/>
                    </w:rPr>
                    <w:t>+备件+预防性维护+仪器操作培训）</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2台</w:t>
                  </w:r>
                </w:p>
              </w:tc>
            </w:tr>
          </w:tbl>
          <w:p>
            <w:pPr>
              <w:pStyle w:val="null3"/>
              <w:ind w:firstLine="480"/>
            </w:pPr>
            <w:r>
              <w:rPr>
                <w:rFonts w:ascii="仿宋_GB2312" w:hAnsi="仿宋_GB2312" w:cs="仿宋_GB2312" w:eastAsia="仿宋_GB2312"/>
                <w:sz w:val="24"/>
                <w:color w:val="000000"/>
              </w:rPr>
              <w:t>二、维保服务内容要求及范围</w:t>
            </w:r>
          </w:p>
          <w:p>
            <w:pPr>
              <w:pStyle w:val="null3"/>
              <w:ind w:firstLine="480"/>
            </w:pPr>
            <w:r>
              <w:rPr>
                <w:rFonts w:ascii="仿宋_GB2312" w:hAnsi="仿宋_GB2312" w:cs="仿宋_GB2312" w:eastAsia="仿宋_GB2312"/>
                <w:sz w:val="24"/>
                <w:color w:val="000000"/>
              </w:rPr>
              <w:t>1.以上服务均需提供原厂服务。服务人员须为设备原厂工程师。更换配件均为原厂配件。</w:t>
            </w:r>
          </w:p>
          <w:p>
            <w:pPr>
              <w:pStyle w:val="null3"/>
              <w:ind w:firstLine="480"/>
            </w:pPr>
            <w:r>
              <w:rPr>
                <w:rFonts w:ascii="仿宋_GB2312" w:hAnsi="仿宋_GB2312" w:cs="仿宋_GB2312" w:eastAsia="仿宋_GB2312"/>
                <w:sz w:val="24"/>
                <w:color w:val="000000"/>
              </w:rPr>
              <w:t>2.在收到报修申请后，优先安排维修，在2小时内予以电话响应，帮助指导解决问题；并在48小时内派服务工程师到达甲方的现场检修仪器。合同期內维修服务和配件更换不限次数。不限次数技术工程师免费上门培训。</w:t>
            </w:r>
          </w:p>
          <w:p>
            <w:pPr>
              <w:pStyle w:val="null3"/>
            </w:pPr>
            <w:r>
              <w:rPr>
                <w:rFonts w:ascii="仿宋_GB2312" w:hAnsi="仿宋_GB2312" w:cs="仿宋_GB2312" w:eastAsia="仿宋_GB2312"/>
                <w:sz w:val="24"/>
                <w:color w:val="000000"/>
              </w:rPr>
              <w:t>3.服务合同期内提供1次/季度仪器巡检服务，确保仪器在使用过程中处于最佳状态，提前排查故障，解决潜在隐患。</w:t>
            </w:r>
          </w:p>
          <w:p>
            <w:pPr>
              <w:pStyle w:val="null3"/>
              <w:ind w:firstLine="480"/>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供应商应按照采购需求委派完成本项目服务所必须得人员团队。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合同签订之日起一年。第1个年度服务期满后，双方若无异议，可以在第2个年度续签合同；第2个年度服务期满后，双方若无异议，可以在第3个年度续签合同。截止第3个年度合同期满为止。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供应商对最终仪器的维保负完全责任。 验收依据： （1）合同； （2）国家有关的验收标准及规范； （3）技术文件； （4）磋商文件、响应文件； （5）供应商提交满足本磋商文件服务要求的验收文档。 （6）服务项目验收应在所有仪器维保服务完毕，且在服务期内无重大缺陷、问题、冲突等。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整体专门面向中小企业采购。承接服务供应商应为中小企业，即提供服务的人员为中小企业依照《中华人民共和国劳动合同法》订立劳动合同的从业人员。中小企业须符合本项目采购标的对应行业（其他未列明行业)的政策划分标准。监狱企业、残疾人福利单位视同小型、微型企业。注：中小企业应填写的《中小企业声明函》为判定标准，残疾人福利性单位填写的《残疾人福利性单位声明函》为判定标准，监狱企业须供应商提供由省级以上监狱管理局、戒毒管理局（含新疆生产建设兵团)出具的属于监狱企业的证明文件，否则不予认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总公司给分支机构出具的授权书。磋商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1.1响应报价低于全部通过符合性审查供应商响应报价平均值50%的，即响应报价&lt;全部通过符合性审查供应商响应报价平均值×50%； 1.2响应报价低于通过符合性审查的次低报价供应商响应报价50%的，即响应报价&lt;通过符合性审查的次低报价供应商响应报价×50%； 1.3响应报价低于采购项目最高限价45%的，即响应报价&lt;采购项目最高限价×45%； 1.4磋商小组基于专业判断，认为供应商报价过低，有可能影响产品质量或者不能诚信履约的其他情形。 2.相关法律法规对供应商报价有规定的，从其规定。 3.磋商小组启动异常低价响应审查后，属于（1）中第（1.1）项至第（1.4）项情形的，应当要求相关供应商在30分钟内对响应价格作出解释，提供项目具体成本测算等与报价合理性相关的书面说明及必要的证明材料，包括但不限于原材料成本、人工成本、制造费用等。其中，属于第（1.3）项情形，供应商已随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异常低价投标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保证金汇款声明函 分项报价表 中小企业声明函 商务应答表 供应商应提交的相关资格证明材料 服务内容及服务要求应答表 控股管理关系 法定代表人授权书 响应文件封面 非联合体不分包磋商声明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保证金汇款声明函 分项报价表 中小企业声明函 商务应答表 供应商应提交的相关资格证明材料 服务内容及服务要求应答表 控股管理关系 法定代表人授权书 响应文件封面 非联合体不分包磋商声明 近三年无重大违法、违纪书面声明 残疾人福利性单位声明函 服务方案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供应商针对本项目维保服务制定规范化的维保服务方案，包含完善的运行维护管理体系方案。方案内容完全响应，针对性强得10分，方案内容基本完整，针对性较强，内容基本合理，得5分；方案内容不全面，内容不合理，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安全体系</w:t>
            </w:r>
          </w:p>
        </w:tc>
        <w:tc>
          <w:tcPr>
            <w:tcW w:type="dxa" w:w="2492"/>
          </w:tcPr>
          <w:p>
            <w:pPr>
              <w:pStyle w:val="null3"/>
            </w:pPr>
            <w:r>
              <w:rPr>
                <w:rFonts w:ascii="仿宋_GB2312" w:hAnsi="仿宋_GB2312" w:cs="仿宋_GB2312" w:eastAsia="仿宋_GB2312"/>
              </w:rPr>
              <w:t>根供应商的维保服务工作必须遵循并优化现有的安全体系，必须在现有安全体制下提出确保设备、系统安全可靠的安全策略、措施和步骤，方案内容完全响应，针对性强得6分，方案内容基本完整，针对性较强，内容基本合理，得3分；方案内容不全面，内容不合理，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供应商应拟派的服务团队，包括但不限于项目管理负责人、技术负责人、维修人员等。团队人员不少于10人，需提供近六个月社保证明文件予以佐证。团队人员数量10人以上的，得6分；团队人员数量6-10人，得4分；团队人员数量不足5人得2分；未提供的，不得分。 2.供应商负责本项目的管理负责人具备类似项目的管理经验。每具有一个类似项目的业绩得1分，最高得5分。 3.供应商负责本项目的技术负责人具备化学、生物、环境类等相关专业学历，得2分。同时具备相应专业职称（中级职称得1分；高级及以上职称（含研究员、教授）得2分），具备类似项目工作经历（每具有一个类似项目的业绩得1分，最高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定期预防性管理维护方案</w:t>
            </w:r>
          </w:p>
        </w:tc>
        <w:tc>
          <w:tcPr>
            <w:tcW w:type="dxa" w:w="2492"/>
          </w:tcPr>
          <w:p>
            <w:pPr>
              <w:pStyle w:val="null3"/>
            </w:pPr>
            <w:r>
              <w:rPr>
                <w:rFonts w:ascii="仿宋_GB2312" w:hAnsi="仿宋_GB2312" w:cs="仿宋_GB2312" w:eastAsia="仿宋_GB2312"/>
              </w:rPr>
              <w:t>供应商针对本项目维保服务制定规范化的定期预防性管理维护方案，方案内容完全响应，针对性强得10分，方案内容基本完整，针对性较强，内容基本合理，得5分；方案内容不全面，内容不合理，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供应商对服务范围内设备制订应急处置方案。要评估运维中可能发生的突然状况，并制定相应的应急预案，供应商针对本项目应建立完善的运行维护管理体系，提供强大的运行维护管理工具和手段，确保系统运行可靠、稳定，保证运维工作有序推进，方案内容完全响应，针对性强得4分，方案内容基本完整，针对性较强，内容基本合理，得2分；方案内容不全面，内容不合理，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服务质量监督及保障体系</w:t>
            </w:r>
          </w:p>
        </w:tc>
        <w:tc>
          <w:tcPr>
            <w:tcW w:type="dxa" w:w="2492"/>
          </w:tcPr>
          <w:p>
            <w:pPr>
              <w:pStyle w:val="null3"/>
            </w:pPr>
            <w:r>
              <w:rPr>
                <w:rFonts w:ascii="仿宋_GB2312" w:hAnsi="仿宋_GB2312" w:cs="仿宋_GB2312" w:eastAsia="仿宋_GB2312"/>
              </w:rPr>
              <w:t>供应商提供服务质量监督及保障体系，包含维保制度建设、维保队伍建设、服务监督机制、服务质量保证等服务质量管理手段及措施、根据其完善性、科学性、合理性等，方案内容完全响应，针对性强得10分，方案内容基本完整，针对性较强，内容基本合理，得5分；方案内容不全面，内容不合理，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企业相关资质</w:t>
            </w:r>
          </w:p>
        </w:tc>
        <w:tc>
          <w:tcPr>
            <w:tcW w:type="dxa" w:w="2492"/>
          </w:tcPr>
          <w:p>
            <w:pPr>
              <w:pStyle w:val="null3"/>
            </w:pPr>
            <w:r>
              <w:rPr>
                <w:rFonts w:ascii="仿宋_GB2312" w:hAnsi="仿宋_GB2312" w:cs="仿宋_GB2312" w:eastAsia="仿宋_GB2312"/>
              </w:rPr>
              <w:t>1.供应商具有ISO9001质量管理体系有效期内认证（认证内容应包含但不限于实验室仪器设备的维修内容等）证书的，得3分； 具有GB/T 45001 或 ISO 45001 职业健康与安全管理体系有效期内认证（认证内容应包括但不限于实验室仪器设备的维修、技术培训与技术支持等内容）证书的，得3分； 供应商具有ISO14001 环境管理体系有效期内认证（认证内容应包括但不限于实验室仪器设备的维修、技术培训与技术支持等内容）证书的，得3分。 认证内容不满足的不得分。提供证书电子件且加盖供应商公章及该证书在国家认证认可监督管理委员会网上查询的相关信息截图予以佐证，否则不得分。 2.供应商在维保服务中使用的工具需具备相应资质机构出具的计量或校准证书，种类应包括但不限于万用表、辐射测量仪、温湿度数据采集仪等。（每项得2分，最高6分，需提相应证书复印件)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供应商2023年1月1日以来（以合同生效时间为准）完成类似项目业绩（每个业绩至少包含3种及以上品牌设备），每个得3分，最高得15分。（以合同关键页作为证明材料）。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