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7A6EF">
      <w:pPr>
        <w:keepNext w:val="0"/>
        <w:keepLines w:val="0"/>
        <w:widowControl/>
        <w:numPr>
          <w:ilvl w:val="0"/>
          <w:numId w:val="0"/>
        </w:numPr>
        <w:suppressLineNumbers w:val="0"/>
        <w:ind w:left="1995" w:leftChars="0" w:firstLine="321" w:firstLineChars="100"/>
        <w:jc w:val="left"/>
        <w:rPr>
          <w:rFonts w:hint="eastAsia" w:ascii="黑体" w:hAnsi="黑体" w:eastAsia="黑体" w:cs="黑体"/>
          <w:b/>
          <w:bCs/>
          <w:color w:val="000000"/>
          <w:kern w:val="0"/>
          <w:sz w:val="32"/>
          <w:szCs w:val="32"/>
          <w:lang w:val="en-US" w:eastAsia="zh-CN" w:bidi="ar"/>
        </w:rPr>
      </w:pPr>
      <w:r>
        <w:rPr>
          <w:rFonts w:hint="eastAsia" w:ascii="黑体" w:hAnsi="黑体" w:eastAsia="黑体" w:cs="黑体"/>
          <w:b/>
          <w:bCs/>
          <w:color w:val="000000"/>
          <w:kern w:val="0"/>
          <w:sz w:val="32"/>
          <w:szCs w:val="32"/>
          <w:lang w:val="en-US" w:eastAsia="zh-CN" w:bidi="ar"/>
        </w:rPr>
        <w:t>第四章  招标内容及采购要求</w:t>
      </w:r>
    </w:p>
    <w:p w14:paraId="467E09AF">
      <w:pPr>
        <w:pStyle w:val="3"/>
        <w:numPr>
          <w:ilvl w:val="0"/>
          <w:numId w:val="0"/>
        </w:numPr>
        <w:ind w:left="1995" w:leftChars="0"/>
        <w:rPr>
          <w:rFonts w:hint="eastAsia" w:ascii="Times New Roman" w:hAnsi="Times New Roman" w:cs="Times New Roman"/>
        </w:rPr>
      </w:pPr>
    </w:p>
    <w:p w14:paraId="0647FEC5">
      <w:pPr>
        <w:keepNext w:val="0"/>
        <w:keepLines w:val="0"/>
        <w:pageBreakBefore w:val="0"/>
        <w:widowControl w:val="0"/>
        <w:kinsoku/>
        <w:wordWrap/>
        <w:overflowPunct/>
        <w:topLinePunct w:val="0"/>
        <w:autoSpaceDE/>
        <w:autoSpaceDN/>
        <w:bidi w:val="0"/>
        <w:adjustRightInd/>
        <w:snapToGrid/>
        <w:spacing w:line="560" w:lineRule="exact"/>
        <w:ind w:firstLine="546" w:firstLineChars="200"/>
        <w:textAlignment w:val="auto"/>
        <w:outlineLvl w:val="0"/>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pacing w:val="-4"/>
          <w:sz w:val="28"/>
          <w:szCs w:val="28"/>
        </w:rPr>
        <w:t>一</w:t>
      </w:r>
      <w:r>
        <w:rPr>
          <w:rFonts w:hint="eastAsia" w:ascii="仿宋_GB2312" w:hAnsi="仿宋_GB2312" w:eastAsia="仿宋_GB2312" w:cs="仿宋_GB2312"/>
          <w:b/>
          <w:bCs/>
          <w:color w:val="auto"/>
          <w:spacing w:val="-59"/>
          <w:sz w:val="28"/>
          <w:szCs w:val="28"/>
        </w:rPr>
        <w:t xml:space="preserve"> </w:t>
      </w:r>
      <w:r>
        <w:rPr>
          <w:rFonts w:hint="eastAsia" w:ascii="仿宋_GB2312" w:hAnsi="仿宋_GB2312" w:eastAsia="仿宋_GB2312" w:cs="仿宋_GB2312"/>
          <w:b/>
          <w:bCs/>
          <w:color w:val="auto"/>
          <w:spacing w:val="-59"/>
          <w:sz w:val="28"/>
          <w:szCs w:val="28"/>
          <w:lang w:eastAsia="zh-CN"/>
        </w:rPr>
        <w:t>、</w:t>
      </w:r>
      <w:r>
        <w:rPr>
          <w:rFonts w:hint="eastAsia" w:ascii="仿宋_GB2312" w:hAnsi="仿宋_GB2312" w:eastAsia="仿宋_GB2312" w:cs="仿宋_GB2312"/>
          <w:b/>
          <w:bCs/>
          <w:color w:val="auto"/>
          <w:spacing w:val="-4"/>
          <w:sz w:val="28"/>
          <w:szCs w:val="28"/>
        </w:rPr>
        <w:t>招标项目概况</w:t>
      </w:r>
    </w:p>
    <w:p w14:paraId="3430D278">
      <w:pPr>
        <w:keepNext w:val="0"/>
        <w:keepLines w:val="0"/>
        <w:pageBreakBefore w:val="0"/>
        <w:widowControl w:val="0"/>
        <w:kinsoku/>
        <w:wordWrap/>
        <w:overflowPunct/>
        <w:topLinePunct w:val="0"/>
        <w:autoSpaceDE/>
        <w:autoSpaceDN/>
        <w:bidi w:val="0"/>
        <w:adjustRightInd/>
        <w:snapToGrid/>
        <w:spacing w:line="560" w:lineRule="exact"/>
        <w:ind w:firstLine="606" w:firstLineChars="200"/>
        <w:textAlignment w:val="auto"/>
        <w:outlineLvl w:val="1"/>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pacing w:val="11"/>
          <w:sz w:val="28"/>
          <w:szCs w:val="28"/>
        </w:rPr>
        <w:t>(一)项目名称</w:t>
      </w:r>
    </w:p>
    <w:p w14:paraId="023FE691">
      <w:pPr>
        <w:pStyle w:val="2"/>
        <w:keepNext w:val="0"/>
        <w:keepLines w:val="0"/>
        <w:pageBreakBefore w:val="0"/>
        <w:widowControl w:val="0"/>
        <w:kinsoku/>
        <w:wordWrap/>
        <w:overflowPunct/>
        <w:topLinePunct w:val="0"/>
        <w:autoSpaceDE/>
        <w:autoSpaceDN/>
        <w:bidi w:val="0"/>
        <w:adjustRightInd/>
        <w:snapToGrid/>
        <w:spacing w:line="560" w:lineRule="exact"/>
        <w:ind w:firstLine="536"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pacing w:val="-6"/>
          <w:sz w:val="28"/>
          <w:szCs w:val="28"/>
        </w:rPr>
        <w:t>汉中</w:t>
      </w:r>
      <w:r>
        <w:rPr>
          <w:rFonts w:hint="eastAsia" w:ascii="仿宋_GB2312" w:hAnsi="仿宋_GB2312" w:eastAsia="仿宋_GB2312" w:cs="仿宋_GB2312"/>
          <w:color w:val="auto"/>
          <w:spacing w:val="-6"/>
          <w:sz w:val="28"/>
          <w:szCs w:val="28"/>
          <w:lang w:eastAsia="zh-CN"/>
        </w:rPr>
        <w:t>职业技术学院后勤保障服务</w:t>
      </w:r>
      <w:r>
        <w:rPr>
          <w:rFonts w:hint="eastAsia" w:ascii="仿宋_GB2312" w:hAnsi="仿宋_GB2312" w:eastAsia="仿宋_GB2312" w:cs="仿宋_GB2312"/>
          <w:color w:val="auto"/>
          <w:spacing w:val="-6"/>
          <w:sz w:val="28"/>
          <w:szCs w:val="28"/>
        </w:rPr>
        <w:t>采购项目</w:t>
      </w:r>
    </w:p>
    <w:p w14:paraId="19D4E30A">
      <w:pPr>
        <w:keepNext w:val="0"/>
        <w:keepLines w:val="0"/>
        <w:pageBreakBefore w:val="0"/>
        <w:widowControl w:val="0"/>
        <w:kinsoku/>
        <w:wordWrap/>
        <w:overflowPunct/>
        <w:topLinePunct w:val="0"/>
        <w:autoSpaceDE/>
        <w:autoSpaceDN/>
        <w:bidi w:val="0"/>
        <w:adjustRightInd/>
        <w:snapToGrid/>
        <w:spacing w:line="560" w:lineRule="exact"/>
        <w:ind w:firstLine="590" w:firstLineChars="200"/>
        <w:textAlignment w:val="auto"/>
        <w:outlineLvl w:val="1"/>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7"/>
          <w:sz w:val="28"/>
          <w:szCs w:val="28"/>
        </w:rPr>
        <w:t>(二)项目</w:t>
      </w:r>
      <w:r>
        <w:rPr>
          <w:rFonts w:hint="eastAsia" w:ascii="仿宋_GB2312" w:hAnsi="仿宋_GB2312" w:eastAsia="仿宋_GB2312" w:cs="仿宋_GB2312"/>
          <w:b/>
          <w:bCs/>
          <w:color w:val="auto"/>
          <w:spacing w:val="7"/>
          <w:sz w:val="28"/>
          <w:szCs w:val="28"/>
          <w:lang w:eastAsia="zh-CN"/>
        </w:rPr>
        <w:t>概况</w:t>
      </w:r>
    </w:p>
    <w:p w14:paraId="675137B3">
      <w:pPr>
        <w:keepNext w:val="0"/>
        <w:keepLines w:val="0"/>
        <w:pageBreakBefore w:val="0"/>
        <w:widowControl w:val="0"/>
        <w:kinsoku/>
        <w:wordWrap/>
        <w:overflowPunct/>
        <w:topLinePunct w:val="0"/>
        <w:autoSpaceDE/>
        <w:autoSpaceDN/>
        <w:bidi w:val="0"/>
        <w:adjustRightInd/>
        <w:snapToGrid/>
        <w:spacing w:line="560" w:lineRule="exact"/>
        <w:ind w:firstLine="576" w:firstLineChars="200"/>
        <w:textAlignment w:val="auto"/>
        <w:outlineLvl w:val="1"/>
        <w:rPr>
          <w:rFonts w:hint="eastAsia" w:ascii="仿宋_GB2312" w:hAnsi="仿宋_GB2312" w:eastAsia="仿宋_GB2312" w:cs="仿宋_GB2312"/>
          <w:color w:val="auto"/>
          <w:spacing w:val="4"/>
          <w:sz w:val="28"/>
          <w:szCs w:val="28"/>
        </w:rPr>
      </w:pPr>
      <w:r>
        <w:rPr>
          <w:rFonts w:hint="eastAsia" w:ascii="仿宋_GB2312" w:hAnsi="仿宋_GB2312" w:eastAsia="仿宋_GB2312" w:cs="仿宋_GB2312"/>
          <w:color w:val="auto"/>
          <w:spacing w:val="4"/>
          <w:sz w:val="28"/>
          <w:szCs w:val="28"/>
        </w:rPr>
        <w:t>承担学院后勤保障相关工作，保障水电运维、垃圾处置与环境消杀、公共环境保洁服务；保障校园水电系统安全稳定运行，规范垃圾清运与消杀流程，保持垃圾站及公共区域卫生达标，高标准完成楼宇公共区域与重点场所保洁，提升校园环境品质。</w:t>
      </w:r>
    </w:p>
    <w:p w14:paraId="47A75D23">
      <w:pPr>
        <w:keepNext w:val="0"/>
        <w:keepLines w:val="0"/>
        <w:pageBreakBefore w:val="0"/>
        <w:widowControl w:val="0"/>
        <w:kinsoku/>
        <w:wordWrap/>
        <w:overflowPunct/>
        <w:topLinePunct w:val="0"/>
        <w:autoSpaceDE/>
        <w:autoSpaceDN/>
        <w:bidi w:val="0"/>
        <w:adjustRightInd/>
        <w:snapToGrid/>
        <w:spacing w:line="560" w:lineRule="exact"/>
        <w:ind w:firstLine="594" w:firstLineChars="200"/>
        <w:textAlignment w:val="auto"/>
        <w:outlineLvl w:val="1"/>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pacing w:val="8"/>
          <w:sz w:val="28"/>
          <w:szCs w:val="28"/>
        </w:rPr>
        <w:t>(三)服务期限</w:t>
      </w:r>
    </w:p>
    <w:p w14:paraId="177F0909">
      <w:pPr>
        <w:keepNext w:val="0"/>
        <w:keepLines w:val="0"/>
        <w:pageBreakBefore w:val="0"/>
        <w:widowControl w:val="0"/>
        <w:kinsoku/>
        <w:wordWrap/>
        <w:overflowPunct/>
        <w:topLinePunct w:val="0"/>
        <w:autoSpaceDE/>
        <w:autoSpaceDN/>
        <w:bidi w:val="0"/>
        <w:adjustRightInd/>
        <w:snapToGrid/>
        <w:spacing w:line="560" w:lineRule="exact"/>
        <w:ind w:firstLine="532" w:firstLineChars="200"/>
        <w:textAlignment w:val="auto"/>
        <w:outlineLvl w:val="1"/>
        <w:rPr>
          <w:rFonts w:hint="eastAsia" w:ascii="仿宋_GB2312" w:hAnsi="仿宋_GB2312" w:eastAsia="仿宋_GB2312" w:cs="仿宋_GB2312"/>
          <w:color w:val="auto"/>
          <w:spacing w:val="-7"/>
          <w:sz w:val="28"/>
          <w:szCs w:val="28"/>
        </w:rPr>
      </w:pPr>
      <w:r>
        <w:rPr>
          <w:rFonts w:hint="eastAsia" w:ascii="仿宋_GB2312" w:hAnsi="仿宋_GB2312" w:eastAsia="仿宋_GB2312" w:cs="仿宋_GB2312"/>
          <w:color w:val="auto"/>
          <w:spacing w:val="-7"/>
          <w:sz w:val="28"/>
          <w:szCs w:val="28"/>
        </w:rPr>
        <w:t>一年。本项目采用一次采购沿用三年，实行一年一考核一签合同的办法。服务期满后，在预算有保障，政府采购管理部门同意的前提下，由</w:t>
      </w:r>
      <w:r>
        <w:rPr>
          <w:rFonts w:hint="eastAsia" w:ascii="仿宋_GB2312" w:hAnsi="仿宋_GB2312" w:eastAsia="仿宋_GB2312" w:cs="仿宋_GB2312"/>
          <w:color w:val="auto"/>
          <w:spacing w:val="-7"/>
          <w:sz w:val="28"/>
          <w:szCs w:val="28"/>
          <w:lang w:eastAsia="zh-CN"/>
        </w:rPr>
        <w:t>中标</w:t>
      </w:r>
      <w:r>
        <w:rPr>
          <w:rFonts w:hint="eastAsia" w:ascii="仿宋_GB2312" w:hAnsi="仿宋_GB2312" w:eastAsia="仿宋_GB2312" w:cs="仿宋_GB2312"/>
          <w:color w:val="auto"/>
          <w:spacing w:val="-7"/>
          <w:sz w:val="28"/>
          <w:szCs w:val="28"/>
        </w:rPr>
        <w:t>供应商提出申请，经采购人考核合格后，可以续签合同。</w:t>
      </w:r>
    </w:p>
    <w:p w14:paraId="2EBE7665">
      <w:pPr>
        <w:keepNext w:val="0"/>
        <w:keepLines w:val="0"/>
        <w:pageBreakBefore w:val="0"/>
        <w:widowControl w:val="0"/>
        <w:kinsoku/>
        <w:wordWrap/>
        <w:overflowPunct/>
        <w:topLinePunct w:val="0"/>
        <w:autoSpaceDE/>
        <w:autoSpaceDN/>
        <w:bidi w:val="0"/>
        <w:adjustRightInd/>
        <w:snapToGrid/>
        <w:spacing w:line="560" w:lineRule="exact"/>
        <w:ind w:firstLine="546" w:firstLineChars="200"/>
        <w:textAlignment w:val="auto"/>
        <w:outlineLvl w:val="0"/>
        <w:rPr>
          <w:rFonts w:hint="eastAsia" w:ascii="仿宋_GB2312" w:hAnsi="仿宋_GB2312" w:eastAsia="仿宋_GB2312" w:cs="仿宋_GB2312"/>
          <w:b/>
          <w:bCs/>
          <w:color w:val="auto"/>
          <w:spacing w:val="-4"/>
          <w:sz w:val="28"/>
          <w:szCs w:val="28"/>
          <w:lang w:eastAsia="zh-CN"/>
        </w:rPr>
      </w:pPr>
      <w:r>
        <w:rPr>
          <w:rFonts w:hint="eastAsia" w:ascii="仿宋_GB2312" w:hAnsi="仿宋_GB2312" w:eastAsia="仿宋_GB2312" w:cs="仿宋_GB2312"/>
          <w:b/>
          <w:bCs/>
          <w:color w:val="auto"/>
          <w:spacing w:val="-4"/>
          <w:sz w:val="28"/>
          <w:szCs w:val="28"/>
          <w:lang w:eastAsia="zh-CN"/>
        </w:rPr>
        <w:t>二、具体要求</w:t>
      </w:r>
    </w:p>
    <w:tbl>
      <w:tblPr>
        <w:tblStyle w:val="5"/>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7291"/>
      </w:tblGrid>
      <w:tr w14:paraId="3B00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top"/>
          </w:tcPr>
          <w:p w14:paraId="21AD4850">
            <w:pPr>
              <w:spacing w:line="560" w:lineRule="exact"/>
              <w:jc w:val="center"/>
              <w:rPr>
                <w:rFonts w:ascii="仿宋_GB2312" w:hAnsi="等线" w:eastAsia="仿宋_GB2312" w:cs="Times New Roman"/>
                <w:b/>
                <w:sz w:val="24"/>
                <w:szCs w:val="24"/>
              </w:rPr>
            </w:pPr>
            <w:r>
              <w:rPr>
                <w:rFonts w:hint="eastAsia" w:ascii="仿宋_GB2312" w:hAnsi="等线" w:eastAsia="仿宋_GB2312" w:cs="Times New Roman"/>
                <w:b/>
                <w:sz w:val="24"/>
                <w:szCs w:val="24"/>
              </w:rPr>
              <w:t>序号</w:t>
            </w:r>
          </w:p>
        </w:tc>
        <w:tc>
          <w:tcPr>
            <w:tcW w:w="5903" w:type="dxa"/>
            <w:noWrap w:val="0"/>
            <w:vAlign w:val="top"/>
          </w:tcPr>
          <w:p w14:paraId="5B6422BC">
            <w:pPr>
              <w:spacing w:line="560" w:lineRule="exact"/>
              <w:ind w:firstLine="200"/>
              <w:jc w:val="center"/>
              <w:rPr>
                <w:rFonts w:ascii="仿宋_GB2312" w:hAnsi="等线" w:eastAsia="仿宋_GB2312" w:cs="Times New Roman"/>
                <w:b/>
                <w:sz w:val="24"/>
                <w:szCs w:val="24"/>
              </w:rPr>
            </w:pPr>
            <w:r>
              <w:rPr>
                <w:rFonts w:hint="eastAsia" w:ascii="仿宋_GB2312" w:hAnsi="等线" w:eastAsia="仿宋_GB2312" w:cs="Times New Roman"/>
                <w:b/>
                <w:sz w:val="24"/>
                <w:szCs w:val="24"/>
              </w:rPr>
              <w:t>技术参数与性能指标</w:t>
            </w:r>
          </w:p>
        </w:tc>
      </w:tr>
      <w:tr w14:paraId="21ED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52233BB1">
            <w:pPr>
              <w:keepNext w:val="0"/>
              <w:keepLines w:val="0"/>
              <w:pageBreakBefore w:val="0"/>
              <w:widowControl w:val="0"/>
              <w:kinsoku/>
              <w:wordWrap/>
              <w:overflowPunct/>
              <w:topLinePunct w:val="0"/>
              <w:autoSpaceDE/>
              <w:autoSpaceDN/>
              <w:bidi w:val="0"/>
              <w:adjustRightInd/>
              <w:snapToGrid/>
              <w:spacing w:line="400" w:lineRule="exact"/>
              <w:ind w:firstLine="34"/>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p>
        </w:tc>
        <w:tc>
          <w:tcPr>
            <w:tcW w:w="5903" w:type="dxa"/>
            <w:noWrap w:val="0"/>
            <w:vAlign w:val="top"/>
          </w:tcPr>
          <w:p w14:paraId="7459604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000000"/>
                <w:sz w:val="28"/>
                <w:szCs w:val="28"/>
                <w:lang w:val="en-US" w:eastAsia="zh-CN"/>
              </w:rPr>
            </w:pPr>
            <w:r>
              <w:rPr>
                <w:rFonts w:hint="eastAsia" w:ascii="仿宋_GB2312" w:hAnsi="仿宋_GB2312" w:eastAsia="仿宋_GB2312" w:cs="仿宋_GB2312"/>
                <w:b/>
                <w:color w:val="000000"/>
                <w:sz w:val="28"/>
                <w:szCs w:val="28"/>
                <w:lang w:val="en-US" w:eastAsia="zh-CN"/>
              </w:rPr>
              <w:t>水电管理：</w:t>
            </w:r>
          </w:p>
          <w:p w14:paraId="6E96CCD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1.年龄范围25-58岁、学历要求初中及以上，身体健康，具有合格有效的健康证。具备特种作业操作证（低压电工作业或者高压电工作业）、有3年以上相关工作经验、无违法违纪记录，遵守规章制度。</w:t>
            </w:r>
          </w:p>
          <w:p w14:paraId="0C24A30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2.负责全校水电正常运行，校内建筑用水用电设施设备水电线路故障维修更换，及上、下水管道的维修疏通。供水供电系统巡检维修，水泵房故障维修保养，生活水池清洗消毒，雨水管网垃圾清理；污水管网、化粪池日常巡查；水电设施设备应急抢修工作及其它临时性工作。</w:t>
            </w:r>
          </w:p>
          <w:p w14:paraId="1A082B3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3.负责每天24小时值班接待水电报修，5分钟内响应到场，小故障30分钟内完成维修，暂时不明原因的故障4小时内完成维修，重大故障24小时抢修，最短时间排除故障。</w:t>
            </w:r>
          </w:p>
          <w:p w14:paraId="728FBFE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FF0000"/>
                <w:sz w:val="28"/>
                <w:szCs w:val="28"/>
              </w:rPr>
            </w:pPr>
            <w:r>
              <w:rPr>
                <w:rFonts w:hint="eastAsia" w:ascii="仿宋_GB2312" w:hAnsi="仿宋_GB2312" w:eastAsia="仿宋_GB2312" w:cs="仿宋_GB2312"/>
                <w:i w:val="0"/>
                <w:iCs w:val="0"/>
                <w:color w:val="000000"/>
                <w:kern w:val="0"/>
                <w:sz w:val="28"/>
                <w:szCs w:val="28"/>
                <w:u w:val="none"/>
                <w:lang w:val="en-US" w:eastAsia="zh-CN" w:bidi="ar"/>
              </w:rPr>
              <w:t>4.持特种作业操作证（低压电工作业或者高压电工作业）上岗，服务态度和蔼，按照规范操作，节约水电耗材，及时完成学院安排的维修任务。</w:t>
            </w:r>
          </w:p>
        </w:tc>
      </w:tr>
      <w:tr w14:paraId="6C31A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01EF6A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p>
        </w:tc>
        <w:tc>
          <w:tcPr>
            <w:tcW w:w="5903" w:type="dxa"/>
            <w:noWrap w:val="0"/>
            <w:vAlign w:val="top"/>
          </w:tcPr>
          <w:p w14:paraId="463B798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bCs/>
                <w:i w:val="0"/>
                <w:iCs w:val="0"/>
                <w:color w:val="000000"/>
                <w:kern w:val="0"/>
                <w:sz w:val="28"/>
                <w:szCs w:val="28"/>
                <w:u w:val="none"/>
                <w:lang w:val="en-US" w:eastAsia="zh-CN" w:bidi="ar"/>
              </w:rPr>
            </w:pPr>
            <w:r>
              <w:rPr>
                <w:rFonts w:hint="eastAsia" w:ascii="仿宋_GB2312" w:hAnsi="仿宋_GB2312" w:eastAsia="仿宋_GB2312" w:cs="仿宋_GB2312"/>
                <w:b/>
                <w:bCs/>
                <w:i w:val="0"/>
                <w:iCs w:val="0"/>
                <w:color w:val="000000"/>
                <w:kern w:val="0"/>
                <w:sz w:val="28"/>
                <w:szCs w:val="28"/>
                <w:u w:val="none"/>
                <w:lang w:val="en-US" w:eastAsia="zh-CN" w:bidi="ar"/>
              </w:rPr>
              <w:t>高压电管理：</w:t>
            </w:r>
          </w:p>
          <w:p w14:paraId="6D1FB3B9">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1.年龄范围25-58岁、学历要求初中及以上，身体健康，具有合格有效的健康证。具备特种作业操作证（高压电工作业）、有3年以上相关工作经验、无违法违纪记录，遵守规章制度。</w:t>
            </w:r>
          </w:p>
          <w:p w14:paraId="041DF257">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FF0000"/>
                <w:sz w:val="28"/>
                <w:szCs w:val="28"/>
              </w:rPr>
            </w:pPr>
            <w:r>
              <w:rPr>
                <w:rFonts w:hint="eastAsia" w:ascii="仿宋_GB2312" w:hAnsi="仿宋_GB2312" w:eastAsia="仿宋_GB2312" w:cs="仿宋_GB2312"/>
                <w:i w:val="0"/>
                <w:iCs w:val="0"/>
                <w:color w:val="000000"/>
                <w:kern w:val="0"/>
                <w:sz w:val="28"/>
                <w:szCs w:val="28"/>
                <w:u w:val="none"/>
                <w:lang w:val="en-US" w:eastAsia="zh-CN" w:bidi="ar"/>
              </w:rPr>
              <w:t>2.负责学校35千伏高压变电站、10千伏低压配电房、室外箱变正常供电及巡检维护保养，负责24小时值班及全校建筑水电路故障维修工作。</w:t>
            </w:r>
          </w:p>
        </w:tc>
      </w:tr>
      <w:tr w14:paraId="06E57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1DD11FB9">
            <w:pPr>
              <w:keepNext w:val="0"/>
              <w:keepLines w:val="0"/>
              <w:pageBreakBefore w:val="0"/>
              <w:widowControl w:val="0"/>
              <w:kinsoku/>
              <w:wordWrap/>
              <w:overflowPunct/>
              <w:topLinePunct w:val="0"/>
              <w:autoSpaceDE/>
              <w:autoSpaceDN/>
              <w:bidi w:val="0"/>
              <w:adjustRightInd/>
              <w:snapToGrid/>
              <w:spacing w:line="400" w:lineRule="exact"/>
              <w:ind w:firstLine="34"/>
              <w:jc w:val="center"/>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p>
        </w:tc>
        <w:tc>
          <w:tcPr>
            <w:tcW w:w="5903" w:type="dxa"/>
            <w:noWrap w:val="0"/>
            <w:vAlign w:val="top"/>
          </w:tcPr>
          <w:p w14:paraId="7BBB7C5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000000"/>
                <w:sz w:val="28"/>
                <w:szCs w:val="28"/>
                <w:highlight w:val="none"/>
                <w:lang w:val="en-US" w:eastAsia="zh-CN"/>
              </w:rPr>
            </w:pPr>
            <w:r>
              <w:rPr>
                <w:rFonts w:hint="eastAsia" w:ascii="仿宋_GB2312" w:hAnsi="仿宋_GB2312" w:eastAsia="仿宋_GB2312" w:cs="仿宋_GB2312"/>
                <w:b/>
                <w:color w:val="000000"/>
                <w:sz w:val="28"/>
                <w:szCs w:val="28"/>
                <w:highlight w:val="none"/>
                <w:lang w:val="en-US" w:eastAsia="zh-CN"/>
              </w:rPr>
              <w:t>维修管理：</w:t>
            </w:r>
          </w:p>
          <w:p w14:paraId="13F43EE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1.负责全校单体建筑门窗、门锁、玻璃、桌椅、柜子、卫生间设施、室外其他公共施舍等日常维修，接到派工任务后5分钟内响应到场，小问题30分钟内完成维修，较为复杂的问题4小时内完成。</w:t>
            </w:r>
          </w:p>
          <w:p w14:paraId="2CD2B90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2.24小时值班期间完成本职工作的同时配合值班水电工完成故障维修。</w:t>
            </w:r>
          </w:p>
          <w:p w14:paraId="3841031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3.操作符合技术规范，因违反操作规程引发的人身伤害，责任自负。服务态度和蔼，对报修故障应维修及时，节约材料，限期完成。维修难度较大且当日不能完成的维修任务，上报物业公司及后勤处，并与报修人员沟通协调。</w:t>
            </w:r>
          </w:p>
          <w:p w14:paraId="38587BC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4.进入学生宿舍维修需按服务规范，使用文明用语，尽可能不影响学生的正常生活，不能及时修复的做好解释工作。</w:t>
            </w:r>
          </w:p>
          <w:p w14:paraId="08060F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FF0000"/>
                <w:sz w:val="28"/>
                <w:szCs w:val="28"/>
              </w:rPr>
            </w:pPr>
            <w:r>
              <w:rPr>
                <w:rFonts w:hint="eastAsia" w:ascii="仿宋_GB2312" w:hAnsi="仿宋_GB2312" w:eastAsia="仿宋_GB2312" w:cs="仿宋_GB2312"/>
                <w:i w:val="0"/>
                <w:iCs w:val="0"/>
                <w:color w:val="000000"/>
                <w:kern w:val="0"/>
                <w:sz w:val="28"/>
                <w:szCs w:val="28"/>
                <w:u w:val="none"/>
                <w:lang w:val="en-US" w:eastAsia="zh-CN" w:bidi="ar"/>
              </w:rPr>
              <w:t>5.部门安排的其它临时性维修业务。</w:t>
            </w:r>
          </w:p>
        </w:tc>
      </w:tr>
      <w:tr w14:paraId="0A61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41991C49">
            <w:pPr>
              <w:keepNext w:val="0"/>
              <w:keepLines w:val="0"/>
              <w:pageBreakBefore w:val="0"/>
              <w:widowControl w:val="0"/>
              <w:kinsoku/>
              <w:wordWrap/>
              <w:overflowPunct/>
              <w:topLinePunct w:val="0"/>
              <w:autoSpaceDE/>
              <w:autoSpaceDN/>
              <w:bidi w:val="0"/>
              <w:adjustRightInd/>
              <w:snapToGrid/>
              <w:spacing w:line="400" w:lineRule="exact"/>
              <w:ind w:firstLine="34"/>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w:t>
            </w:r>
          </w:p>
        </w:tc>
        <w:tc>
          <w:tcPr>
            <w:tcW w:w="5903" w:type="dxa"/>
            <w:noWrap w:val="0"/>
            <w:vAlign w:val="top"/>
          </w:tcPr>
          <w:p w14:paraId="3A04425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bCs/>
                <w:i w:val="0"/>
                <w:iCs w:val="0"/>
                <w:color w:val="000000"/>
                <w:kern w:val="0"/>
                <w:sz w:val="28"/>
                <w:szCs w:val="28"/>
                <w:u w:val="none"/>
                <w:lang w:val="en-US" w:eastAsia="zh-CN" w:bidi="ar"/>
              </w:rPr>
            </w:pPr>
            <w:r>
              <w:rPr>
                <w:rFonts w:hint="eastAsia" w:ascii="仿宋_GB2312" w:hAnsi="仿宋_GB2312" w:eastAsia="仿宋_GB2312" w:cs="仿宋_GB2312"/>
                <w:b/>
                <w:bCs/>
                <w:i w:val="0"/>
                <w:iCs w:val="0"/>
                <w:color w:val="000000"/>
                <w:kern w:val="0"/>
                <w:sz w:val="28"/>
                <w:szCs w:val="28"/>
                <w:u w:val="none"/>
                <w:lang w:val="en-US" w:eastAsia="zh-CN" w:bidi="ar"/>
              </w:rPr>
              <w:t>垃圾管理</w:t>
            </w:r>
          </w:p>
          <w:p w14:paraId="57488590">
            <w:pPr>
              <w:keepNext w:val="0"/>
              <w:keepLines w:val="0"/>
              <w:pageBreakBefore w:val="0"/>
              <w:widowControl w:val="0"/>
              <w:tabs>
                <w:tab w:val="center" w:pos="4153"/>
                <w:tab w:val="right" w:pos="8306"/>
              </w:tabs>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1.年龄在35—55岁、具备D级驾驶资格，有三年以上操作三轮车相关经验或三年以上操作垃圾压缩设备相关工作经验，身体健康（健康证）无隐疾和家族遗传病、无违法违纪等不良记录。</w:t>
            </w:r>
          </w:p>
          <w:p w14:paraId="04C79B4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FF0000"/>
                <w:kern w:val="2"/>
                <w:sz w:val="28"/>
                <w:szCs w:val="28"/>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2.负责学校1个压缩垃圾站垃圾收集压缩打包，负责垃圾站（含公厕）卫生保洁，环境消毒工作，严格按照操作流程规范操作，并做好压缩设备日常保养、消毒。负责学校垃圾站垃圾集装箱转运工作。</w:t>
            </w:r>
          </w:p>
        </w:tc>
      </w:tr>
      <w:tr w14:paraId="2D78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4806E7C8">
            <w:pPr>
              <w:keepNext w:val="0"/>
              <w:keepLines w:val="0"/>
              <w:pageBreakBefore w:val="0"/>
              <w:widowControl w:val="0"/>
              <w:kinsoku/>
              <w:wordWrap/>
              <w:overflowPunct/>
              <w:topLinePunct w:val="0"/>
              <w:autoSpaceDE/>
              <w:autoSpaceDN/>
              <w:bidi w:val="0"/>
              <w:adjustRightInd/>
              <w:snapToGrid/>
              <w:spacing w:line="400" w:lineRule="exact"/>
              <w:ind w:firstLine="34"/>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w:t>
            </w:r>
          </w:p>
        </w:tc>
        <w:tc>
          <w:tcPr>
            <w:tcW w:w="5903" w:type="dxa"/>
            <w:noWrap w:val="0"/>
            <w:vAlign w:val="top"/>
          </w:tcPr>
          <w:p w14:paraId="78D1090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bCs/>
                <w:i w:val="0"/>
                <w:iCs w:val="0"/>
                <w:color w:val="000000"/>
                <w:kern w:val="0"/>
                <w:sz w:val="28"/>
                <w:szCs w:val="28"/>
                <w:u w:val="none"/>
                <w:lang w:val="en-US" w:eastAsia="zh-CN" w:bidi="ar"/>
              </w:rPr>
            </w:pPr>
            <w:r>
              <w:rPr>
                <w:rFonts w:hint="eastAsia" w:ascii="仿宋_GB2312" w:hAnsi="仿宋_GB2312" w:eastAsia="仿宋_GB2312" w:cs="仿宋_GB2312"/>
                <w:b/>
                <w:bCs/>
                <w:i w:val="0"/>
                <w:iCs w:val="0"/>
                <w:color w:val="000000"/>
                <w:kern w:val="0"/>
                <w:sz w:val="28"/>
                <w:szCs w:val="28"/>
                <w:u w:val="none"/>
                <w:lang w:val="en-US" w:eastAsia="zh-CN" w:bidi="ar"/>
              </w:rPr>
              <w:t>保洁管理</w:t>
            </w:r>
          </w:p>
          <w:p w14:paraId="6D56BF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1.年龄在35—58岁、具有一定的文化程度，有一定保洁专业技能常识，明白日常保洁的顺序、方法、标准，身体健康（健康证）无隐疾和家族遗传病、无违法违纪等不良记录。</w:t>
            </w:r>
          </w:p>
          <w:p w14:paraId="1548CB3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2.负责1—7号教学楼、1—3号实训工厂共10栋单体建筑内共80个卫生间的保洁。</w:t>
            </w:r>
          </w:p>
          <w:p w14:paraId="6C651A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3.负责1—4号实验楼（每栋楼5层，共20层）、8号公寓（共2层）、图书馆（共5层）、行政楼（共5层）、体育馆（共2层）室内外公共区域（大厅、走廊、楼梯间、卫生间、阳台、电梯等）和篮球场、羽毛球场 卫生保洁，总建筑面积约40000平方米。</w:t>
            </w:r>
          </w:p>
          <w:p w14:paraId="221F2E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4.负责行政楼208、209、308、309、408、409会议室、一楼报告厅及图书馆二楼学术厅卫生保洁。</w:t>
            </w:r>
          </w:p>
          <w:p w14:paraId="6EE92AC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5.负责上述楼宇卫生间每日清理2次，垃圾每日收集清倒2次，垃圾桶表面每日擦洗1次，公共区域每日清扫2次；会议室每天清扫2次。</w:t>
            </w:r>
          </w:p>
          <w:p w14:paraId="24E8351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6.负责清扫学生公寓楼外围硬化地面，范围包括第二食堂东面丁字路口起、沿自强路至五号公寓南侧道沿以内的区域的所有栋楼周围、绿化带及锅炉房西北面小停车场。</w:t>
            </w:r>
          </w:p>
          <w:p w14:paraId="6939E9C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7.及时清理学生公寓楼外绿化带枯枝杂草、白色垃圾、烟头等，擦拭垃圾箱，铲除公寓周边小广告。</w:t>
            </w:r>
          </w:p>
          <w:p w14:paraId="3D80788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8.负责将其他所有单体建筑室内、外垃圾桶垃圾按可回收与不可回收归类收集清运至压缩垃圾站。</w:t>
            </w:r>
          </w:p>
          <w:p w14:paraId="0E801A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9.遇到大型活动时完成学院临时交办的保洁任务。</w:t>
            </w:r>
          </w:p>
        </w:tc>
      </w:tr>
      <w:tr w14:paraId="2CAA1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1185" w:type="dxa"/>
            <w:noWrap w:val="0"/>
            <w:vAlign w:val="center"/>
          </w:tcPr>
          <w:p w14:paraId="147D3660">
            <w:pPr>
              <w:keepNext w:val="0"/>
              <w:keepLines w:val="0"/>
              <w:pageBreakBefore w:val="0"/>
              <w:widowControl w:val="0"/>
              <w:kinsoku/>
              <w:wordWrap/>
              <w:overflowPunct/>
              <w:topLinePunct w:val="0"/>
              <w:autoSpaceDE/>
              <w:autoSpaceDN/>
              <w:bidi w:val="0"/>
              <w:adjustRightInd/>
              <w:snapToGrid/>
              <w:spacing w:line="400" w:lineRule="exact"/>
              <w:ind w:firstLine="34"/>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w:t>
            </w:r>
          </w:p>
        </w:tc>
        <w:tc>
          <w:tcPr>
            <w:tcW w:w="5903" w:type="dxa"/>
            <w:noWrap w:val="0"/>
            <w:vAlign w:val="center"/>
          </w:tcPr>
          <w:p w14:paraId="3C4A6AC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供应商提供7名水电管理和2名高压电管理的特种作业操作证。</w:t>
            </w:r>
          </w:p>
        </w:tc>
      </w:tr>
      <w:tr w14:paraId="33A64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5D6A3483">
            <w:pPr>
              <w:keepNext w:val="0"/>
              <w:keepLines w:val="0"/>
              <w:pageBreakBefore w:val="0"/>
              <w:widowControl w:val="0"/>
              <w:kinsoku/>
              <w:wordWrap/>
              <w:overflowPunct/>
              <w:topLinePunct w:val="0"/>
              <w:autoSpaceDE/>
              <w:autoSpaceDN/>
              <w:bidi w:val="0"/>
              <w:adjustRightInd/>
              <w:snapToGrid/>
              <w:spacing w:line="400" w:lineRule="exact"/>
              <w:ind w:firstLine="34"/>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w:t>
            </w:r>
          </w:p>
        </w:tc>
        <w:tc>
          <w:tcPr>
            <w:tcW w:w="5903" w:type="dxa"/>
            <w:noWrap w:val="0"/>
            <w:vAlign w:val="center"/>
          </w:tcPr>
          <w:p w14:paraId="1E9C460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水电管理、小型维修人员稳定性达到90%。水电管理具备相关部门颁发的特种作业操作证（低压电工作业或者高压电工作业），按时定期对人员进行安全服务意识、专业技能、职业道德、服务礼仪等培训，与员工签订保密协议。</w:t>
            </w:r>
          </w:p>
        </w:tc>
      </w:tr>
      <w:tr w14:paraId="00C3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2C6020E5">
            <w:pPr>
              <w:keepNext w:val="0"/>
              <w:keepLines w:val="0"/>
              <w:pageBreakBefore w:val="0"/>
              <w:widowControl w:val="0"/>
              <w:kinsoku/>
              <w:wordWrap/>
              <w:overflowPunct/>
              <w:topLinePunct w:val="0"/>
              <w:autoSpaceDE/>
              <w:autoSpaceDN/>
              <w:bidi w:val="0"/>
              <w:adjustRightInd/>
              <w:snapToGrid/>
              <w:spacing w:line="400" w:lineRule="exact"/>
              <w:ind w:firstLine="34"/>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w:t>
            </w:r>
          </w:p>
        </w:tc>
        <w:tc>
          <w:tcPr>
            <w:tcW w:w="5903" w:type="dxa"/>
            <w:noWrap w:val="0"/>
            <w:vAlign w:val="top"/>
          </w:tcPr>
          <w:p w14:paraId="385CAD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项目至少配置后勤保障人员43名，其中水电管理7名，</w:t>
            </w:r>
            <w:r>
              <w:rPr>
                <w:rFonts w:hint="eastAsia" w:ascii="仿宋_GB2312" w:hAnsi="仿宋_GB2312" w:eastAsia="仿宋_GB2312" w:cs="仿宋_GB2312"/>
                <w:i w:val="0"/>
                <w:iCs w:val="0"/>
                <w:color w:val="000000"/>
                <w:kern w:val="0"/>
                <w:sz w:val="30"/>
                <w:szCs w:val="30"/>
                <w:u w:val="none"/>
                <w:lang w:val="en-US" w:eastAsia="zh-CN" w:bidi="ar"/>
              </w:rPr>
              <w:t>高压</w:t>
            </w:r>
            <w:r>
              <w:rPr>
                <w:rFonts w:hint="eastAsia" w:ascii="仿宋_GB2312" w:hAnsi="仿宋_GB2312" w:eastAsia="仿宋_GB2312" w:cs="仿宋_GB2312"/>
                <w:i w:val="0"/>
                <w:iCs w:val="0"/>
                <w:color w:val="000000"/>
                <w:kern w:val="0"/>
                <w:sz w:val="28"/>
                <w:szCs w:val="28"/>
                <w:u w:val="none"/>
                <w:lang w:val="en-US" w:eastAsia="zh-CN" w:bidi="ar"/>
              </w:rPr>
              <w:t>电管理2名，维修管理3名，垃圾管理3名，保洁管理28名。</w:t>
            </w:r>
          </w:p>
        </w:tc>
      </w:tr>
      <w:tr w14:paraId="0903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425E8E18">
            <w:pPr>
              <w:keepNext w:val="0"/>
              <w:keepLines w:val="0"/>
              <w:pageBreakBefore w:val="0"/>
              <w:widowControl w:val="0"/>
              <w:kinsoku/>
              <w:wordWrap/>
              <w:overflowPunct/>
              <w:topLinePunct w:val="0"/>
              <w:autoSpaceDE/>
              <w:autoSpaceDN/>
              <w:bidi w:val="0"/>
              <w:adjustRightInd/>
              <w:snapToGrid/>
              <w:spacing w:line="400" w:lineRule="exact"/>
              <w:ind w:firstLine="34" w:firstLine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9</w:t>
            </w:r>
          </w:p>
        </w:tc>
        <w:tc>
          <w:tcPr>
            <w:tcW w:w="5903" w:type="dxa"/>
            <w:noWrap w:val="0"/>
            <w:vAlign w:val="top"/>
          </w:tcPr>
          <w:p w14:paraId="1B89691A">
            <w:pPr>
              <w:keepNext w:val="0"/>
              <w:keepLines w:val="0"/>
              <w:pageBreakBefore w:val="0"/>
              <w:widowControl w:val="0"/>
              <w:kinsoku/>
              <w:wordWrap/>
              <w:overflowPunct/>
              <w:topLinePunct w:val="0"/>
              <w:autoSpaceDE/>
              <w:autoSpaceDN/>
              <w:bidi w:val="0"/>
              <w:adjustRightInd/>
              <w:snapToGrid/>
              <w:spacing w:line="400" w:lineRule="exact"/>
              <w:textAlignment w:val="auto"/>
              <w:outlineLvl w:val="1"/>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服务期：一年。本项目采用一次采购沿用三年，实行一年一考核一签合同的办法。服务期满后，在预算有保障，政府采购管理部门同意的前提下，由中标供应商提出申请，经采购人考核合格后，可以续签合同。</w:t>
            </w:r>
          </w:p>
        </w:tc>
      </w:tr>
      <w:tr w14:paraId="7187D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1E5A38E7">
            <w:pPr>
              <w:keepNext w:val="0"/>
              <w:keepLines w:val="0"/>
              <w:pageBreakBefore w:val="0"/>
              <w:widowControl w:val="0"/>
              <w:kinsoku/>
              <w:wordWrap/>
              <w:overflowPunct/>
              <w:topLinePunct w:val="0"/>
              <w:autoSpaceDE/>
              <w:autoSpaceDN/>
              <w:bidi w:val="0"/>
              <w:adjustRightInd/>
              <w:snapToGrid/>
              <w:spacing w:line="400" w:lineRule="exact"/>
              <w:ind w:firstLine="34"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10</w:t>
            </w:r>
          </w:p>
        </w:tc>
        <w:tc>
          <w:tcPr>
            <w:tcW w:w="5903" w:type="dxa"/>
            <w:noWrap w:val="0"/>
            <w:vAlign w:val="top"/>
          </w:tcPr>
          <w:p w14:paraId="610EDD19">
            <w:pPr>
              <w:keepNext w:val="0"/>
              <w:keepLines w:val="0"/>
              <w:pageBreakBefore w:val="0"/>
              <w:widowControl w:val="0"/>
              <w:kinsoku/>
              <w:wordWrap/>
              <w:overflowPunct/>
              <w:topLinePunct w:val="0"/>
              <w:autoSpaceDE/>
              <w:autoSpaceDN/>
              <w:bidi w:val="0"/>
              <w:adjustRightInd/>
              <w:snapToGrid/>
              <w:spacing w:line="400" w:lineRule="exact"/>
              <w:textAlignment w:val="auto"/>
              <w:outlineLvl w:val="1"/>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本项目由采购人提供维修工具、清洁工具及耗材，中标供应商提供工作服装。</w:t>
            </w:r>
          </w:p>
        </w:tc>
      </w:tr>
    </w:tbl>
    <w:p w14:paraId="71832E23">
      <w:pPr>
        <w:keepNext w:val="0"/>
        <w:keepLines w:val="0"/>
        <w:pageBreakBefore w:val="0"/>
        <w:widowControl w:val="0"/>
        <w:kinsoku/>
        <w:wordWrap/>
        <w:overflowPunct/>
        <w:topLinePunct w:val="0"/>
        <w:autoSpaceDE/>
        <w:autoSpaceDN/>
        <w:bidi w:val="0"/>
        <w:adjustRightInd/>
        <w:snapToGrid/>
        <w:spacing w:line="560" w:lineRule="exact"/>
        <w:ind w:firstLine="546" w:firstLineChars="200"/>
        <w:textAlignment w:val="auto"/>
        <w:outlineLvl w:val="0"/>
        <w:rPr>
          <w:rFonts w:hint="eastAsia" w:ascii="仿宋_GB2312" w:hAnsi="仿宋_GB2312" w:eastAsia="仿宋_GB2312" w:cs="仿宋_GB2312"/>
          <w:b/>
          <w:bCs/>
          <w:color w:val="auto"/>
          <w:spacing w:val="-4"/>
          <w:sz w:val="28"/>
          <w:szCs w:val="28"/>
          <w:lang w:eastAsia="zh-CN"/>
        </w:rPr>
      </w:pPr>
    </w:p>
    <w:p w14:paraId="53723EB7">
      <w:pPr>
        <w:keepNext w:val="0"/>
        <w:keepLines w:val="0"/>
        <w:pageBreakBefore w:val="0"/>
        <w:widowControl w:val="0"/>
        <w:kinsoku/>
        <w:wordWrap/>
        <w:overflowPunct/>
        <w:topLinePunct w:val="0"/>
        <w:autoSpaceDE/>
        <w:autoSpaceDN/>
        <w:bidi w:val="0"/>
        <w:adjustRightInd/>
        <w:spacing w:line="500" w:lineRule="exact"/>
        <w:ind w:firstLine="1120" w:firstLineChars="400"/>
        <w:jc w:val="both"/>
        <w:textAlignment w:val="auto"/>
        <w:rPr>
          <w:rFonts w:hint="eastAsia" w:ascii="仿宋_GB2312" w:hAnsi="仿宋_GB2312" w:eastAsia="仿宋_GB2312" w:cs="仿宋_GB2312"/>
          <w:b w:val="0"/>
          <w:bCs w:val="0"/>
          <w:sz w:val="28"/>
          <w:szCs w:val="28"/>
          <w:lang w:val="en-US" w:eastAsia="zh-CN"/>
        </w:rPr>
      </w:pPr>
    </w:p>
    <w:p w14:paraId="14D40AC2">
      <w:pPr>
        <w:pStyle w:val="3"/>
        <w:keepNext w:val="0"/>
        <w:keepLines w:val="0"/>
        <w:pageBreakBefore w:val="0"/>
        <w:widowControl w:val="0"/>
        <w:kinsoku/>
        <w:wordWrap/>
        <w:overflowPunct/>
        <w:topLinePunct w:val="0"/>
        <w:autoSpaceDE/>
        <w:autoSpaceDN/>
        <w:bidi w:val="0"/>
        <w:adjustRightInd/>
        <w:snapToGrid w:val="0"/>
        <w:spacing w:line="560" w:lineRule="exact"/>
        <w:ind w:firstLine="843" w:firstLineChars="300"/>
        <w:textAlignment w:val="auto"/>
        <w:rPr>
          <w:rFonts w:hint="eastAsia" w:ascii="仿宋" w:hAnsi="仿宋" w:eastAsia="仿宋" w:cs="仿宋"/>
          <w:b/>
          <w:bCs/>
          <w:color w:val="000000"/>
          <w:sz w:val="28"/>
          <w:szCs w:val="28"/>
          <w:lang w:val="zh-TW"/>
        </w:rPr>
      </w:pPr>
    </w:p>
    <w:p w14:paraId="5E8CB04B">
      <w:pPr>
        <w:pStyle w:val="3"/>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sz w:val="28"/>
          <w:szCs w:val="28"/>
          <w:lang w:val="zh-TW" w:eastAsia="zh-CN"/>
        </w:rPr>
      </w:pPr>
      <w:r>
        <w:rPr>
          <w:rFonts w:hint="eastAsia" w:ascii="仿宋" w:hAnsi="仿宋" w:eastAsia="仿宋" w:cs="仿宋"/>
          <w:b/>
          <w:bCs/>
          <w:color w:val="000000"/>
          <w:sz w:val="28"/>
          <w:szCs w:val="28"/>
          <w:lang w:val="zh-TW"/>
        </w:rPr>
        <w:t>备注：</w:t>
      </w:r>
      <w:r>
        <w:rPr>
          <w:rFonts w:hint="eastAsia" w:ascii="仿宋" w:hAnsi="仿宋" w:eastAsia="仿宋" w:cs="仿宋"/>
          <w:b/>
          <w:bCs/>
          <w:color w:val="000000"/>
          <w:sz w:val="28"/>
          <w:szCs w:val="28"/>
          <w:lang w:val="en-US" w:eastAsia="zh-CN"/>
        </w:rPr>
        <w:t>以上均是</w:t>
      </w:r>
      <w:r>
        <w:rPr>
          <w:rFonts w:hint="eastAsia" w:ascii="仿宋" w:hAnsi="仿宋" w:eastAsia="仿宋" w:cs="仿宋"/>
          <w:b/>
          <w:bCs/>
          <w:color w:val="000000"/>
          <w:sz w:val="28"/>
          <w:szCs w:val="28"/>
          <w:lang w:val="zh-TW"/>
        </w:rPr>
        <w:t>★</w:t>
      </w:r>
      <w:r>
        <w:rPr>
          <w:rFonts w:hint="eastAsia" w:ascii="仿宋" w:hAnsi="仿宋" w:eastAsia="仿宋" w:cs="仿宋"/>
          <w:b/>
          <w:bCs/>
          <w:color w:val="000000"/>
          <w:sz w:val="28"/>
          <w:szCs w:val="28"/>
          <w:lang w:val="en-US" w:eastAsia="zh-CN"/>
        </w:rPr>
        <w:t>内容，</w:t>
      </w:r>
      <w:r>
        <w:rPr>
          <w:rFonts w:hint="eastAsia" w:ascii="仿宋" w:hAnsi="仿宋" w:eastAsia="仿宋" w:cs="仿宋"/>
          <w:b/>
          <w:bCs/>
          <w:color w:val="000000"/>
          <w:sz w:val="28"/>
          <w:szCs w:val="28"/>
          <w:lang w:val="zh-TW"/>
        </w:rPr>
        <w:t>为实质性要求，投标人未逐条响应、有缺漏或负偏离将视为无效</w:t>
      </w:r>
      <w:r>
        <w:rPr>
          <w:rFonts w:hint="eastAsia" w:ascii="仿宋" w:hAnsi="仿宋" w:eastAsia="仿宋" w:cs="仿宋"/>
          <w:b/>
          <w:bCs/>
          <w:color w:val="000000"/>
          <w:sz w:val="28"/>
          <w:szCs w:val="28"/>
          <w:lang w:val="en-US" w:eastAsia="zh-CN"/>
        </w:rPr>
        <w:t>响应</w:t>
      </w:r>
      <w:r>
        <w:rPr>
          <w:rFonts w:hint="eastAsia" w:ascii="仿宋" w:hAnsi="仿宋" w:eastAsia="仿宋" w:cs="仿宋"/>
          <w:b/>
          <w:bCs/>
          <w:color w:val="000000"/>
          <w:sz w:val="28"/>
          <w:szCs w:val="28"/>
          <w:lang w:val="zh-TW" w:eastAsia="zh-CN"/>
        </w:rPr>
        <w:t>。</w:t>
      </w:r>
    </w:p>
    <w:p w14:paraId="5CBCBC2D">
      <w:bookmarkStart w:id="0" w:name="_GoBack"/>
      <w:bookmarkEnd w:id="0"/>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61546B"/>
    <w:rsid w:val="0961546B"/>
    <w:rsid w:val="71B32063"/>
    <w:rsid w:val="7DA768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next w:val="1"/>
    <w:uiPriority w:val="0"/>
    <w:pPr>
      <w:widowControl w:val="0"/>
      <w:spacing w:after="120" w:afterLines="0"/>
      <w:jc w:val="both"/>
    </w:pPr>
    <w:rPr>
      <w:rFonts w:ascii="Times New Roman" w:hAnsi="Times New Roman" w:eastAsia="宋体" w:cs="Times New Roman"/>
      <w:kern w:val="2"/>
      <w:sz w:val="21"/>
      <w:szCs w:val="24"/>
      <w:lang w:val="en-US" w:eastAsia="zh-CN" w:bidi="ar-SA"/>
    </w:rPr>
  </w:style>
  <w:style w:type="paragraph" w:styleId="3">
    <w:name w:val="footer"/>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table" w:styleId="5">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2103</Words>
  <Characters>2170</Characters>
  <Lines>0</Lines>
  <Paragraphs>0</Paragraphs>
  <TotalTime>0</TotalTime>
  <ScaleCrop>false</ScaleCrop>
  <LinksUpToDate>false</LinksUpToDate>
  <CharactersWithSpaces>2174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2026-07-15T06:39:00Z</dcterms:created>
  <dc:creator>莲鹤</dc:creator>
  <cp:lastModifiedBy>莲鹤</cp:lastModifiedBy>
  <dcterms:modified xsi:type="dcterms:W3CDTF">2026-07-16T01:31:58Z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F6789D7389844A72A1B7C07BB99966E7_11</vt:lpwstr>
  </property>
  <property fmtid="{D5CDD505-2E9C-101B-9397-08002B2CF9AE}" pid="4" name="KSOTemplateDocerSaveRecord">
    <vt:lpwstr>eyJoZGlkIjoiNDI0MzZiZjE4ODg5YjA3M2UzOTY3ZWIxNWE2NWFjNTkiLCJ1c2VySWQiOiI3MDE1NDI4NjkifQ==</vt:lpwstr>
  </property>
</Properties>
</file>