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6071A2">
      <w:pPr>
        <w:spacing w:line="560" w:lineRule="exact"/>
        <w:ind w:firstLine="720" w:firstLineChars="200"/>
        <w:jc w:val="center"/>
        <w:rPr>
          <w:rFonts w:hint="eastAsia" w:ascii="黑体" w:hAnsi="仿宋" w:eastAsia="黑体"/>
          <w:color w:val="000000"/>
          <w:sz w:val="36"/>
          <w:szCs w:val="36"/>
        </w:rPr>
      </w:pPr>
      <w:r>
        <w:rPr>
          <w:rFonts w:hint="eastAsia" w:ascii="黑体" w:hAnsi="仿宋" w:eastAsia="黑体"/>
          <w:color w:val="000000"/>
          <w:sz w:val="36"/>
          <w:szCs w:val="36"/>
        </w:rPr>
        <w:t>考古发掘劳务外包协议书</w:t>
      </w:r>
    </w:p>
    <w:p w14:paraId="1B0EA7D0">
      <w:pPr>
        <w:spacing w:line="560" w:lineRule="exact"/>
        <w:ind w:firstLine="643" w:firstLineChars="200"/>
        <w:rPr>
          <w:rFonts w:hint="eastAsia" w:ascii="仿宋_GB2312" w:eastAsia="仿宋_GB2312"/>
          <w:b/>
          <w:color w:val="000000"/>
          <w:sz w:val="32"/>
          <w:szCs w:val="32"/>
        </w:rPr>
      </w:pPr>
    </w:p>
    <w:p w14:paraId="0C3B62E9">
      <w:pPr>
        <w:spacing w:line="560" w:lineRule="exact"/>
        <w:ind w:firstLine="643" w:firstLineChars="200"/>
        <w:rPr>
          <w:rFonts w:hint="eastAsia" w:ascii="仿宋_GB2312" w:hAnsi="仿宋" w:eastAsia="仿宋_GB2312"/>
          <w:color w:val="000000"/>
          <w:sz w:val="32"/>
          <w:szCs w:val="32"/>
          <w:u w:val="single"/>
          <w:lang w:val="en-US" w:eastAsia="zh-CN"/>
        </w:rPr>
      </w:pPr>
      <w:r>
        <w:rPr>
          <w:rFonts w:hint="eastAsia" w:ascii="仿宋_GB2312" w:hAnsi="仿宋" w:eastAsia="仿宋_GB2312"/>
          <w:b/>
          <w:color w:val="000000"/>
          <w:sz w:val="32"/>
          <w:szCs w:val="32"/>
        </w:rPr>
        <w:t>甲方：</w:t>
      </w:r>
    </w:p>
    <w:p w14:paraId="5197246C">
      <w:pPr>
        <w:spacing w:line="560" w:lineRule="exact"/>
        <w:ind w:firstLine="643" w:firstLineChars="200"/>
        <w:rPr>
          <w:rFonts w:hint="default" w:ascii="仿宋_GB2312" w:hAnsi="仿宋" w:eastAsia="仿宋_GB2312"/>
          <w:color w:val="000000"/>
          <w:sz w:val="32"/>
          <w:szCs w:val="32"/>
          <w:u w:val="single"/>
          <w:lang w:val="en-US" w:eastAsia="zh-CN"/>
        </w:rPr>
      </w:pPr>
      <w:r>
        <w:rPr>
          <w:rFonts w:hint="eastAsia" w:ascii="仿宋_GB2312" w:hAnsi="仿宋" w:eastAsia="仿宋_GB2312"/>
          <w:b/>
          <w:color w:val="000000"/>
          <w:sz w:val="32"/>
          <w:szCs w:val="32"/>
        </w:rPr>
        <w:t>乙方：</w:t>
      </w:r>
    </w:p>
    <w:p w14:paraId="176999F9">
      <w:pPr>
        <w:spacing w:line="560" w:lineRule="exact"/>
        <w:ind w:firstLine="640" w:firstLineChars="200"/>
        <w:rPr>
          <w:rFonts w:hint="eastAsia" w:ascii="仿宋_GB2312" w:hAnsi="仿宋" w:eastAsia="仿宋_GB2312"/>
          <w:color w:val="000000"/>
          <w:sz w:val="32"/>
          <w:szCs w:val="32"/>
        </w:rPr>
      </w:pPr>
    </w:p>
    <w:p w14:paraId="24F1311B">
      <w:pPr>
        <w:spacing w:line="50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根据公平、双方自愿原则，甲方将高新区GX3-15-21宗地发掘劳务外包项目委托乙方承担。经双方充分协商，签订协议如下：</w:t>
      </w:r>
    </w:p>
    <w:p w14:paraId="3EB2612E">
      <w:pPr>
        <w:spacing w:line="500" w:lineRule="exact"/>
        <w:ind w:firstLine="643" w:firstLineChars="200"/>
        <w:rPr>
          <w:rFonts w:hint="eastAsia" w:ascii="仿宋_GB2312" w:hAnsi="仿宋" w:eastAsia="仿宋_GB2312"/>
          <w:b/>
          <w:bCs/>
          <w:color w:val="000000"/>
          <w:sz w:val="32"/>
          <w:szCs w:val="32"/>
        </w:rPr>
      </w:pPr>
      <w:r>
        <w:rPr>
          <w:rFonts w:hint="eastAsia" w:ascii="仿宋_GB2312" w:hAnsi="仿宋" w:eastAsia="仿宋_GB2312"/>
          <w:b/>
          <w:bCs/>
          <w:color w:val="000000"/>
          <w:sz w:val="32"/>
          <w:szCs w:val="32"/>
        </w:rPr>
        <w:t>一、甲方责任</w:t>
      </w:r>
    </w:p>
    <w:p w14:paraId="58E81AC2">
      <w:pPr>
        <w:spacing w:line="50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（一）考古发掘人工土方工作进行前，甲方应与当地相关部门积极协调，排除可能干扰乙方工作的各种人为因素，以保证考古发掘人工土方工作的顺利进行。</w:t>
      </w:r>
    </w:p>
    <w:p w14:paraId="046F65DE">
      <w:pPr>
        <w:spacing w:line="50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（二）甲方有义务提供水、电及其他相关协助，有权对乙方工作进行监督，并提出相关建议。</w:t>
      </w:r>
    </w:p>
    <w:p w14:paraId="3DFC700B">
      <w:pPr>
        <w:spacing w:line="500" w:lineRule="exact"/>
        <w:ind w:firstLine="643" w:firstLineChars="200"/>
        <w:rPr>
          <w:rFonts w:hint="eastAsia" w:ascii="仿宋_GB2312" w:hAnsi="仿宋" w:eastAsia="仿宋_GB2312"/>
          <w:b/>
          <w:bCs/>
          <w:color w:val="000000"/>
          <w:sz w:val="32"/>
          <w:szCs w:val="32"/>
        </w:rPr>
      </w:pPr>
      <w:r>
        <w:rPr>
          <w:rFonts w:hint="eastAsia" w:ascii="仿宋_GB2312" w:hAnsi="仿宋" w:eastAsia="仿宋_GB2312"/>
          <w:b/>
          <w:bCs/>
          <w:color w:val="000000"/>
          <w:sz w:val="32"/>
          <w:szCs w:val="32"/>
        </w:rPr>
        <w:t>二、乙方责任</w:t>
      </w:r>
    </w:p>
    <w:p w14:paraId="595693C6">
      <w:pPr>
        <w:spacing w:line="520" w:lineRule="exact"/>
        <w:ind w:firstLine="640" w:firstLineChars="200"/>
        <w:rPr>
          <w:rFonts w:hint="eastAsia" w:ascii="仿宋_GB2312" w:hAnsi="仿宋" w:eastAsia="仿宋_GB2312"/>
          <w:sz w:val="32"/>
          <w:szCs w:val="32"/>
        </w:rPr>
      </w:pPr>
      <w:r>
        <w:rPr>
          <w:rFonts w:hint="eastAsia" w:ascii="仿宋_GB2312" w:hAnsi="仿宋" w:eastAsia="仿宋_GB2312"/>
          <w:color w:val="000000"/>
          <w:sz w:val="32"/>
          <w:szCs w:val="32"/>
        </w:rPr>
        <w:t>（一）乙方</w:t>
      </w:r>
      <w:r>
        <w:rPr>
          <w:rFonts w:hint="eastAsia" w:ascii="仿宋_GB2312" w:hAnsi="仿宋" w:eastAsia="仿宋_GB2312"/>
          <w:sz w:val="32"/>
          <w:szCs w:val="32"/>
        </w:rPr>
        <w:t>承担考古发掘所需的民工及土方工程、安全保卫、支护加固等项目。</w:t>
      </w:r>
    </w:p>
    <w:p w14:paraId="62D19DDA">
      <w:pPr>
        <w:spacing w:line="50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（二）乙方根据现场需要配备民工，并派出专人进行管理，对发掘中可能存在安全隐患的部位进行支护、加固，确保施工过程中的人身安全。考古发掘结束后如需回填，土方回填工作由乙方负责。</w:t>
      </w:r>
      <w:r>
        <w:rPr>
          <w:rFonts w:hint="eastAsia" w:ascii="仿宋_GB2312" w:hAnsi="仿宋" w:eastAsia="仿宋_GB2312"/>
          <w:sz w:val="32"/>
          <w:szCs w:val="32"/>
          <w:highlight w:val="none"/>
          <w:lang w:eastAsia="zh-CN"/>
        </w:rPr>
        <w:t>同时，需按相关治污减霾要求做好裸露黄土覆盖等相关工作。</w:t>
      </w:r>
    </w:p>
    <w:p w14:paraId="54DAF5B1">
      <w:pPr>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三）乙方应安排专职的安全员负责现场的施工安全；开工前应对民工、保安、支护人员等所有参与发掘工作的人员进行文物安全警示教育。乙方所有工作人员的人身安全以及所有设备、设施的财产安全由乙方全权负责</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如发生任何安全责任事故（包括但不限于人员伤亡、财产损毁、文物受损等），均由乙方承担全部赔偿责任及相应的民事、行政、刑事责任</w:t>
      </w:r>
      <w:r>
        <w:rPr>
          <w:rFonts w:hint="eastAsia" w:ascii="仿宋_GB2312" w:hAnsi="仿宋" w:eastAsia="仿宋_GB2312"/>
          <w:sz w:val="32"/>
          <w:szCs w:val="32"/>
        </w:rPr>
        <w:t>。</w:t>
      </w:r>
    </w:p>
    <w:p w14:paraId="6D35C731">
      <w:pPr>
        <w:spacing w:line="52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（四）乙方民工等工作人员必须听从发掘单位现场负责人员的指挥，如因乙方施工人员不听指挥或自身不慎等原因造成的安全事故由乙方负责并承担相关法律责任。</w:t>
      </w:r>
    </w:p>
    <w:p w14:paraId="4068D8F6">
      <w:pPr>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五）负责发掘工地的安全保卫工作。乙方应与发掘单位协商在工地现场选取合适位置搭建安全保卫值班室，在考古发掘区域四周设置围挡形成封闭的工作区域，并在工地四周及出入口设置安全警示标志，安装监控预警等设备。负责安排足够的专职安全保卫人员，昼夜24小时在工地值班巡逻，并在每一个考古发掘单位上方架设摄像监控，做到全程无死角监控发掘过程</w:t>
      </w:r>
      <w:r>
        <w:rPr>
          <w:rFonts w:hint="eastAsia" w:ascii="仿宋_GB2312" w:hAnsi="仿宋" w:eastAsia="仿宋_GB2312"/>
          <w:sz w:val="32"/>
          <w:szCs w:val="48"/>
          <w:highlight w:val="none"/>
        </w:rPr>
        <w:t>，并按照考古工作规程及省考古院现场指导意见，做好相关考古发掘工地的配合工作</w:t>
      </w:r>
      <w:r>
        <w:rPr>
          <w:rFonts w:hint="eastAsia" w:ascii="仿宋_GB2312" w:hAnsi="仿宋" w:eastAsia="仿宋_GB2312"/>
          <w:sz w:val="32"/>
          <w:szCs w:val="32"/>
        </w:rPr>
        <w:t>。因乙方未尽相关职责或履行职责不到位，给甲方及国家造成损失的，乙方应承担相应法律责任，包括民事、行政、刑事责任等。乙方所有考古工地的安全记录（包括值班记录、人员车辆出入登记、所有录像监控记录数据等），在项目结束发掘后，必须全部提交甲方，同时提交本项目发掘单位公安科存档。</w:t>
      </w:r>
    </w:p>
    <w:p w14:paraId="18D4F055">
      <w:pPr>
        <w:spacing w:line="50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（六）乙方必须按照国家文物局颁布的《田野考古工作规程》进行施工，科学安排，精确记录，确保考古发掘人工土方工程质量。</w:t>
      </w:r>
    </w:p>
    <w:p w14:paraId="5874DB46">
      <w:pPr>
        <w:spacing w:line="50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（七）发掘过程中，乙方应与甲方和考古院积极合作，合理安排，尽量缩短工期、降低成本，把对甲方基建工程的影响降低到最低限度。</w:t>
      </w:r>
    </w:p>
    <w:p w14:paraId="70D3BAEF">
      <w:pPr>
        <w:widowControl w:val="0"/>
        <w:kinsoku/>
        <w:spacing w:line="360" w:lineRule="auto"/>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 w:eastAsia="仿宋_GB2312"/>
          <w:b/>
          <w:bCs/>
          <w:color w:val="auto"/>
          <w:sz w:val="32"/>
          <w:szCs w:val="32"/>
        </w:rPr>
        <w:t>三、</w:t>
      </w:r>
      <w:r>
        <w:rPr>
          <w:rFonts w:hint="eastAsia" w:ascii="仿宋_GB2312" w:hAnsi="仿宋" w:eastAsia="仿宋_GB2312"/>
          <w:b/>
          <w:bCs/>
          <w:color w:val="auto"/>
          <w:sz w:val="32"/>
          <w:szCs w:val="32"/>
          <w:lang w:val="en-US" w:eastAsia="zh-CN"/>
        </w:rPr>
        <w:t>服务期限</w:t>
      </w:r>
      <w:r>
        <w:rPr>
          <w:rFonts w:hint="eastAsia" w:ascii="仿宋_GB2312" w:hAnsi="仿宋" w:eastAsia="仿宋_GB2312"/>
          <w:b/>
          <w:bCs/>
          <w:color w:val="auto"/>
          <w:sz w:val="32"/>
          <w:szCs w:val="32"/>
        </w:rPr>
        <w:t>：</w:t>
      </w:r>
      <w:r>
        <w:rPr>
          <w:rFonts w:hint="eastAsia" w:ascii="仿宋_GB2312" w:hAnsi="仿宋" w:eastAsia="仿宋_GB2312"/>
          <w:b w:val="0"/>
          <w:bCs w:val="0"/>
          <w:color w:val="auto"/>
          <w:sz w:val="32"/>
          <w:szCs w:val="32"/>
        </w:rPr>
        <w:t>合同签订之日起至本项目结束</w:t>
      </w:r>
      <w:r>
        <w:rPr>
          <w:rFonts w:hint="eastAsia" w:ascii="仿宋_GB2312" w:hAnsi="仿宋" w:eastAsia="仿宋_GB2312"/>
          <w:b w:val="0"/>
          <w:bCs w:val="0"/>
          <w:color w:val="auto"/>
          <w:sz w:val="32"/>
          <w:szCs w:val="32"/>
          <w:lang w:eastAsia="zh-CN"/>
        </w:rPr>
        <w:t>。</w:t>
      </w:r>
      <w:r>
        <w:rPr>
          <w:rFonts w:hint="eastAsia" w:ascii="仿宋_GB2312" w:hAnsi="仿宋_GB2312" w:eastAsia="仿宋_GB2312" w:cs="仿宋_GB2312"/>
          <w:sz w:val="32"/>
          <w:szCs w:val="32"/>
          <w:lang w:eastAsia="zh-CN"/>
        </w:rPr>
        <w:t>接甲方通知后三日内进场发掘，配合考古发掘单位同步完成考古发掘工作，若遇不可抗拒因素，工期顺延，</w:t>
      </w:r>
      <w:r>
        <w:rPr>
          <w:rFonts w:hint="eastAsia" w:ascii="仿宋_GB2312" w:hAnsi="仿宋_GB2312" w:eastAsia="仿宋_GB2312" w:cs="仿宋_GB2312"/>
          <w:sz w:val="32"/>
          <w:szCs w:val="32"/>
          <w:lang w:val="en-US" w:eastAsia="zh-CN"/>
        </w:rPr>
        <w:t>但是合同总价保持不变</w:t>
      </w:r>
      <w:r>
        <w:rPr>
          <w:rFonts w:hint="eastAsia" w:ascii="仿宋_GB2312" w:hAnsi="仿宋_GB2312" w:eastAsia="仿宋_GB2312" w:cs="仿宋_GB2312"/>
          <w:sz w:val="32"/>
          <w:szCs w:val="32"/>
          <w:lang w:eastAsia="zh-CN"/>
        </w:rPr>
        <w:t>。</w:t>
      </w:r>
    </w:p>
    <w:p w14:paraId="43D954DD">
      <w:pPr>
        <w:spacing w:line="500" w:lineRule="exact"/>
        <w:ind w:firstLine="643" w:firstLineChars="200"/>
        <w:rPr>
          <w:rFonts w:hint="eastAsia" w:ascii="仿宋_GB2312" w:hAnsi="仿宋" w:eastAsia="仿宋_GB2312"/>
          <w:b/>
          <w:bCs/>
          <w:color w:val="000000"/>
          <w:sz w:val="32"/>
          <w:szCs w:val="32"/>
        </w:rPr>
      </w:pPr>
      <w:r>
        <w:rPr>
          <w:rFonts w:hint="eastAsia" w:ascii="仿宋_GB2312" w:hAnsi="仿宋" w:eastAsia="仿宋_GB2312"/>
          <w:b/>
          <w:bCs/>
          <w:color w:val="000000"/>
          <w:sz w:val="32"/>
          <w:szCs w:val="32"/>
        </w:rPr>
        <w:t>四、费用与付款方式</w:t>
      </w:r>
    </w:p>
    <w:p w14:paraId="0E7F1D9D">
      <w:pPr>
        <w:widowControl w:val="0"/>
        <w:kinsoku/>
        <w:spacing w:line="36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取费依据：根据《中华人民共和国文物保护法》及国家计委、财政部、文物局颁发的《考古调查、勘探、发掘、经费预算定额管理办法》（[90]文物字第248号）规定，结合西安地区的实际情况，制订取费标准，收取发掘劳务外包费用。</w:t>
      </w:r>
    </w:p>
    <w:p w14:paraId="5EA4D211">
      <w:pPr>
        <w:widowControl w:val="0"/>
        <w:kinsoku/>
        <w:spacing w:line="360" w:lineRule="auto"/>
        <w:ind w:firstLine="640" w:firstLineChars="200"/>
        <w:textAlignment w:val="auto"/>
        <w:rPr>
          <w:rFonts w:hint="eastAsia" w:ascii="仿宋_GB2312" w:hAnsi="仿宋" w:eastAsia="仿宋_GB2312"/>
          <w:color w:val="000000"/>
          <w:sz w:val="32"/>
          <w:szCs w:val="32"/>
          <w:lang w:eastAsia="zh-CN"/>
        </w:rPr>
      </w:pPr>
      <w:r>
        <w:rPr>
          <w:rFonts w:hint="eastAsia" w:ascii="仿宋_GB2312" w:hAnsi="仿宋_GB2312" w:eastAsia="仿宋_GB2312" w:cs="仿宋_GB2312"/>
          <w:sz w:val="32"/>
          <w:szCs w:val="32"/>
          <w:lang w:eastAsia="zh-CN"/>
        </w:rPr>
        <w:t>2、</w:t>
      </w:r>
      <w:r>
        <w:rPr>
          <w:rFonts w:hint="eastAsia" w:ascii="仿宋_GB2312" w:hAnsi="仿宋" w:eastAsia="仿宋_GB2312"/>
          <w:color w:val="000000"/>
          <w:sz w:val="32"/>
          <w:szCs w:val="32"/>
        </w:rPr>
        <w:t>该项目</w:t>
      </w:r>
      <w:r>
        <w:rPr>
          <w:rFonts w:hint="eastAsia" w:ascii="仿宋_GB2312" w:hAnsi="仿宋" w:eastAsia="仿宋_GB2312"/>
          <w:color w:val="000000"/>
          <w:sz w:val="32"/>
          <w:szCs w:val="32"/>
          <w:lang w:val="en-US" w:eastAsia="zh-CN"/>
        </w:rPr>
        <w:t>合同总价为：¥</w:t>
      </w:r>
      <w:r>
        <w:rPr>
          <w:rFonts w:hint="eastAsia" w:ascii="仿宋_GB2312" w:hAnsi="仿宋" w:eastAsia="仿宋_GB2312"/>
          <w:color w:val="000000"/>
          <w:sz w:val="32"/>
          <w:szCs w:val="32"/>
          <w:u w:val="single"/>
          <w:lang w:val="en-US" w:eastAsia="zh-CN"/>
        </w:rPr>
        <w:t xml:space="preserve">        元</w:t>
      </w:r>
      <w:r>
        <w:rPr>
          <w:rFonts w:hint="eastAsia" w:ascii="仿宋_GB2312" w:hAnsi="仿宋" w:eastAsia="仿宋_GB2312"/>
          <w:sz w:val="32"/>
          <w:szCs w:val="32"/>
        </w:rPr>
        <w:t>（大写：</w:t>
      </w:r>
      <w:r>
        <w:rPr>
          <w:rFonts w:hint="eastAsia" w:ascii="仿宋_GB2312" w:hAnsi="仿宋" w:eastAsia="仿宋_GB2312"/>
          <w:color w:val="000000"/>
          <w:sz w:val="32"/>
          <w:szCs w:val="32"/>
          <w:u w:val="single"/>
          <w:lang w:val="en-US" w:eastAsia="zh-CN"/>
        </w:rPr>
        <w:t xml:space="preserve">        </w:t>
      </w:r>
      <w:r>
        <w:rPr>
          <w:rFonts w:hint="eastAsia" w:ascii="仿宋_GB2312" w:hAnsi="仿宋" w:eastAsia="仿宋_GB2312"/>
          <w:sz w:val="32"/>
          <w:szCs w:val="32"/>
        </w:rPr>
        <w:t>）</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该费用</w:t>
      </w:r>
      <w:r>
        <w:rPr>
          <w:rFonts w:hint="eastAsia" w:ascii="仿宋_GB2312" w:hAnsi="仿宋" w:eastAsia="仿宋_GB2312"/>
          <w:color w:val="000000"/>
          <w:sz w:val="32"/>
          <w:szCs w:val="32"/>
        </w:rPr>
        <w:t>包含支护加固费、安保费及发掘人工劳务外包费</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施工费、措施费及税金</w:t>
      </w:r>
      <w:r>
        <w:rPr>
          <w:rFonts w:hint="eastAsia" w:ascii="仿宋_GB2312" w:hAnsi="仿宋" w:eastAsia="仿宋_GB2312"/>
          <w:color w:val="000000"/>
          <w:sz w:val="32"/>
          <w:szCs w:val="32"/>
          <w:lang w:val="en-US" w:eastAsia="zh-CN"/>
        </w:rPr>
        <w:t>及一切不可预见</w:t>
      </w:r>
      <w:r>
        <w:rPr>
          <w:rFonts w:hint="eastAsia" w:ascii="仿宋_GB2312" w:hAnsi="仿宋" w:eastAsia="仿宋_GB2312"/>
          <w:color w:val="000000"/>
          <w:sz w:val="32"/>
          <w:szCs w:val="32"/>
        </w:rPr>
        <w:t>费用</w:t>
      </w:r>
      <w:r>
        <w:rPr>
          <w:rFonts w:hint="eastAsia" w:ascii="仿宋_GB2312" w:hAnsi="仿宋" w:eastAsia="仿宋_GB2312"/>
          <w:color w:val="000000"/>
          <w:sz w:val="32"/>
          <w:szCs w:val="32"/>
          <w:lang w:eastAsia="zh-CN"/>
        </w:rPr>
        <w:t>。</w:t>
      </w:r>
    </w:p>
    <w:p w14:paraId="3688AA57">
      <w:pPr>
        <w:widowControl w:val="0"/>
        <w:kinsoku/>
        <w:spacing w:line="36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3、付款方式：</w:t>
      </w:r>
    </w:p>
    <w:p w14:paraId="5660E8B0">
      <w:pPr>
        <w:widowControl w:val="0"/>
        <w:kinsoku/>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合同签订生效，乙方人员、设备进场开展作业且</w:t>
      </w:r>
      <w:r>
        <w:rPr>
          <w:rFonts w:hint="eastAsia" w:ascii="仿宋_GB2312" w:hAnsi="仿宋_GB2312" w:eastAsia="仿宋_GB2312" w:cs="仿宋_GB2312"/>
          <w:sz w:val="32"/>
          <w:szCs w:val="32"/>
          <w:lang w:val="en-US" w:eastAsia="zh-CN"/>
        </w:rPr>
        <w:t>乙方</w:t>
      </w:r>
      <w:r>
        <w:rPr>
          <w:rFonts w:hint="eastAsia" w:ascii="仿宋_GB2312" w:hAnsi="仿宋_GB2312" w:eastAsia="仿宋_GB2312" w:cs="仿宋_GB2312"/>
          <w:sz w:val="32"/>
          <w:szCs w:val="32"/>
        </w:rPr>
        <w:t>提供合规发票后30个工作日内，支付合同固定总价的40%；</w:t>
      </w:r>
    </w:p>
    <w:p w14:paraId="2BBB3737">
      <w:pPr>
        <w:widowControl w:val="0"/>
        <w:kinsoku/>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（2）乙方完成全部</w:t>
      </w:r>
      <w:r>
        <w:rPr>
          <w:rFonts w:hint="eastAsia" w:ascii="仿宋_GB2312" w:hAnsi="仿宋_GB2312" w:eastAsia="仿宋_GB2312" w:cs="仿宋_GB2312"/>
          <w:sz w:val="32"/>
          <w:szCs w:val="32"/>
          <w:lang w:val="en-US" w:eastAsia="zh-CN"/>
        </w:rPr>
        <w:t>施工，乙方</w:t>
      </w:r>
      <w:r>
        <w:rPr>
          <w:rFonts w:hint="eastAsia" w:ascii="仿宋_GB2312" w:hAnsi="仿宋_GB2312" w:eastAsia="仿宋_GB2312" w:cs="仿宋_GB2312"/>
          <w:sz w:val="32"/>
          <w:szCs w:val="32"/>
        </w:rPr>
        <w:t>提供合规发票后30个工作日内，支付合同固定总价的30%；</w:t>
      </w:r>
    </w:p>
    <w:p w14:paraId="477DE091">
      <w:pPr>
        <w:widowControl w:val="0"/>
        <w:kinsoku/>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（3）项目全部施工完毕，财政投资结算</w:t>
      </w:r>
      <w:r>
        <w:rPr>
          <w:rFonts w:hint="eastAsia" w:ascii="仿宋_GB2312" w:hAnsi="仿宋_GB2312" w:eastAsia="仿宋_GB2312" w:cs="仿宋_GB2312"/>
          <w:sz w:val="32"/>
          <w:szCs w:val="32"/>
          <w:lang w:val="en-US" w:eastAsia="zh-CN"/>
        </w:rPr>
        <w:t>完成</w:t>
      </w:r>
      <w:r>
        <w:rPr>
          <w:rFonts w:hint="eastAsia" w:ascii="仿宋_GB2312" w:hAnsi="仿宋_GB2312" w:eastAsia="仿宋_GB2312" w:cs="仿宋_GB2312"/>
          <w:sz w:val="32"/>
          <w:szCs w:val="32"/>
        </w:rPr>
        <w:t>评审审定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乙方</w:t>
      </w:r>
      <w:r>
        <w:rPr>
          <w:rFonts w:hint="eastAsia" w:ascii="仿宋_GB2312" w:hAnsi="仿宋_GB2312" w:eastAsia="仿宋_GB2312" w:cs="仿宋_GB2312"/>
          <w:sz w:val="32"/>
          <w:szCs w:val="32"/>
        </w:rPr>
        <w:t>提供合规发票后30个工作日内，支付合同固定总价的30%。</w:t>
      </w:r>
    </w:p>
    <w:p w14:paraId="5963AF37">
      <w:pPr>
        <w:widowControl w:val="0"/>
        <w:kinsoku/>
        <w:spacing w:line="36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各阶段付款前，乙方须按甲方要求开具合法、等额增值税发票，因发票延迟、不合规造成付款滞后的，甲方不承担逾期付款责任；所有款项均按照财政资金拨付流程执行，若财政资金暂缓下达，付款周期相应顺延，甲方不承担违约金。</w:t>
      </w:r>
    </w:p>
    <w:p w14:paraId="42CD67ED">
      <w:pPr>
        <w:widowControl w:val="0"/>
        <w:kinsoku/>
        <w:spacing w:line="360" w:lineRule="auto"/>
        <w:ind w:firstLine="643" w:firstLineChars="200"/>
        <w:textAlignment w:val="auto"/>
        <w:rPr>
          <w:rFonts w:hint="eastAsia" w:ascii="仿宋_GB2312" w:hAnsi="仿宋_GB2312" w:eastAsia="仿宋_GB2312" w:cs="仿宋_GB2312"/>
          <w:b/>
          <w:color w:val="auto"/>
          <w:sz w:val="32"/>
          <w:szCs w:val="32"/>
          <w:lang w:eastAsia="zh-CN"/>
        </w:rPr>
      </w:pPr>
      <w:r>
        <w:rPr>
          <w:rFonts w:hint="eastAsia" w:ascii="仿宋_GB2312" w:hAnsi="仿宋_GB2312" w:eastAsia="仿宋_GB2312" w:cs="仿宋_GB2312"/>
          <w:b/>
          <w:color w:val="auto"/>
          <w:sz w:val="32"/>
          <w:szCs w:val="32"/>
          <w:lang w:eastAsia="zh-CN"/>
        </w:rPr>
        <w:t>五、验收</w:t>
      </w:r>
    </w:p>
    <w:p w14:paraId="2DBBD5B1">
      <w:pPr>
        <w:widowControl w:val="0"/>
        <w:kinsoku/>
        <w:spacing w:line="360" w:lineRule="auto"/>
        <w:ind w:firstLine="640" w:firstLineChars="200"/>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（一）本项目验收费用，由乙方自行承担。</w:t>
      </w:r>
    </w:p>
    <w:p w14:paraId="5C84ECD1">
      <w:pPr>
        <w:widowControl w:val="0"/>
        <w:kinsoku/>
        <w:spacing w:line="360" w:lineRule="auto"/>
        <w:ind w:firstLine="640" w:firstLineChars="200"/>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（二）服务期满后，由乙方向甲方递交验收通知书，经甲方确认后，组织乙方进行验收。验收合格后，填写政府采购项目验收单作为对本次服务的最终认可。</w:t>
      </w:r>
    </w:p>
    <w:p w14:paraId="403768A8">
      <w:pPr>
        <w:widowControl w:val="0"/>
        <w:kinsoku/>
        <w:spacing w:line="360" w:lineRule="auto"/>
        <w:ind w:firstLine="640" w:firstLineChars="200"/>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（三）验收依据：</w:t>
      </w:r>
    </w:p>
    <w:p w14:paraId="68ACFFAC">
      <w:pPr>
        <w:widowControl w:val="0"/>
        <w:kinsoku/>
        <w:spacing w:line="360" w:lineRule="auto"/>
        <w:ind w:firstLine="640" w:firstLineChars="200"/>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1、本合同及附加文本；</w:t>
      </w:r>
    </w:p>
    <w:p w14:paraId="44950907">
      <w:pPr>
        <w:widowControl w:val="0"/>
        <w:kinsoku/>
        <w:spacing w:line="360" w:lineRule="auto"/>
        <w:ind w:firstLine="640" w:firstLineChars="200"/>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eastAsia="zh-CN"/>
        </w:rPr>
        <w:t>2、</w:t>
      </w:r>
      <w:r>
        <w:rPr>
          <w:rFonts w:hint="eastAsia" w:ascii="仿宋_GB2312" w:hAnsi="仿宋_GB2312" w:eastAsia="仿宋_GB2312" w:cs="仿宋_GB2312"/>
          <w:bCs/>
          <w:color w:val="auto"/>
          <w:sz w:val="32"/>
          <w:szCs w:val="32"/>
          <w:lang w:val="en-US" w:eastAsia="zh-CN"/>
        </w:rPr>
        <w:t>招标</w:t>
      </w:r>
      <w:r>
        <w:rPr>
          <w:rFonts w:hint="eastAsia" w:ascii="仿宋_GB2312" w:hAnsi="仿宋_GB2312" w:eastAsia="仿宋_GB2312" w:cs="仿宋_GB2312"/>
          <w:bCs/>
          <w:color w:val="auto"/>
          <w:sz w:val="32"/>
          <w:szCs w:val="32"/>
          <w:lang w:eastAsia="zh-CN"/>
        </w:rPr>
        <w:t>文件、</w:t>
      </w:r>
      <w:r>
        <w:rPr>
          <w:rFonts w:hint="eastAsia" w:ascii="仿宋_GB2312" w:hAnsi="仿宋_GB2312" w:eastAsia="仿宋_GB2312" w:cs="仿宋_GB2312"/>
          <w:bCs/>
          <w:color w:val="auto"/>
          <w:sz w:val="32"/>
          <w:szCs w:val="32"/>
          <w:lang w:val="en-US" w:eastAsia="zh-CN"/>
        </w:rPr>
        <w:t>中标供应商</w:t>
      </w:r>
      <w:r>
        <w:rPr>
          <w:rFonts w:hint="eastAsia" w:ascii="仿宋_GB2312" w:hAnsi="仿宋_GB2312" w:eastAsia="仿宋_GB2312" w:cs="仿宋_GB2312"/>
          <w:bCs/>
          <w:color w:val="auto"/>
          <w:sz w:val="32"/>
          <w:szCs w:val="32"/>
          <w:lang w:eastAsia="zh-CN"/>
        </w:rPr>
        <w:t>的</w:t>
      </w:r>
      <w:r>
        <w:rPr>
          <w:rFonts w:hint="eastAsia" w:ascii="仿宋_GB2312" w:hAnsi="仿宋_GB2312" w:eastAsia="仿宋_GB2312" w:cs="仿宋_GB2312"/>
          <w:bCs/>
          <w:color w:val="auto"/>
          <w:sz w:val="32"/>
          <w:szCs w:val="32"/>
          <w:lang w:val="en-US" w:eastAsia="zh-CN"/>
        </w:rPr>
        <w:t>投标</w:t>
      </w:r>
      <w:r>
        <w:rPr>
          <w:rFonts w:hint="eastAsia" w:ascii="仿宋_GB2312" w:hAnsi="仿宋_GB2312" w:eastAsia="仿宋_GB2312" w:cs="仿宋_GB2312"/>
          <w:bCs/>
          <w:color w:val="auto"/>
          <w:sz w:val="32"/>
          <w:szCs w:val="32"/>
          <w:lang w:eastAsia="zh-CN"/>
        </w:rPr>
        <w:t>文件及澄清（承诺）函；</w:t>
      </w:r>
    </w:p>
    <w:p w14:paraId="65BEB9CF">
      <w:pPr>
        <w:widowControl w:val="0"/>
        <w:kinsoku/>
        <w:spacing w:line="36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Cs/>
          <w:color w:val="auto"/>
          <w:sz w:val="32"/>
          <w:szCs w:val="32"/>
          <w:lang w:eastAsia="zh-CN"/>
        </w:rPr>
        <w:t>3、国家相应的标准、规范。</w:t>
      </w:r>
    </w:p>
    <w:p w14:paraId="14C1F0D7">
      <w:pPr>
        <w:widowControl w:val="0"/>
        <w:kinsoku/>
        <w:spacing w:line="360" w:lineRule="auto"/>
        <w:ind w:firstLine="0" w:firstLineChars="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六、本协议未尽事宜，由甲、乙双方协商解决。若协商不成，由甲方所在地诉讼解决。</w:t>
      </w:r>
    </w:p>
    <w:p w14:paraId="11F73B39">
      <w:pPr>
        <w:widowControl w:val="0"/>
        <w:kinsoku/>
        <w:spacing w:line="360" w:lineRule="auto"/>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七、本协议一式捌份，甲乙双方各持肆份。自双方签字盖章之日起生效。</w:t>
      </w:r>
    </w:p>
    <w:p w14:paraId="32B0EAE9">
      <w:pPr>
        <w:spacing w:line="500" w:lineRule="exact"/>
        <w:ind w:left="0" w:firstLine="320" w:firstLineChars="100"/>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以下无正文</w:t>
      </w:r>
      <w:r>
        <w:rPr>
          <w:rFonts w:hint="eastAsia" w:ascii="仿宋_GB2312" w:hAnsi="仿宋" w:eastAsia="仿宋_GB2312"/>
          <w:color w:val="000000"/>
          <w:sz w:val="32"/>
          <w:szCs w:val="32"/>
          <w:lang w:eastAsia="zh-CN"/>
        </w:rPr>
        <w:t>）</w:t>
      </w:r>
    </w:p>
    <w:p w14:paraId="10BC6A3A">
      <w:pPr>
        <w:spacing w:line="500" w:lineRule="exact"/>
        <w:ind w:left="210" w:firstLine="640" w:firstLineChars="200"/>
        <w:rPr>
          <w:rFonts w:hint="eastAsia" w:ascii="仿宋_GB2312" w:hAnsi="仿宋" w:eastAsia="仿宋_GB2312"/>
          <w:color w:val="000000"/>
          <w:sz w:val="32"/>
          <w:szCs w:val="32"/>
        </w:rPr>
      </w:pPr>
    </w:p>
    <w:p w14:paraId="4C6E1F1B">
      <w:pPr>
        <w:pStyle w:val="2"/>
        <w:rPr>
          <w:rFonts w:hint="eastAsia" w:ascii="仿宋_GB2312" w:hAnsi="仿宋" w:eastAsia="仿宋_GB2312"/>
          <w:color w:val="000000"/>
          <w:sz w:val="32"/>
          <w:szCs w:val="32"/>
        </w:rPr>
      </w:pPr>
    </w:p>
    <w:p w14:paraId="2FF48020">
      <w:pPr>
        <w:pStyle w:val="2"/>
        <w:rPr>
          <w:rFonts w:hint="eastAsia" w:ascii="仿宋_GB2312" w:hAnsi="仿宋" w:eastAsia="仿宋_GB2312"/>
          <w:color w:val="000000"/>
          <w:sz w:val="32"/>
          <w:szCs w:val="32"/>
        </w:rPr>
      </w:pPr>
    </w:p>
    <w:p w14:paraId="50608B02">
      <w:pPr>
        <w:pStyle w:val="2"/>
        <w:rPr>
          <w:rFonts w:hint="eastAsia" w:ascii="仿宋_GB2312" w:hAnsi="仿宋" w:eastAsia="仿宋_GB2312"/>
          <w:color w:val="000000"/>
          <w:sz w:val="32"/>
          <w:szCs w:val="32"/>
        </w:rPr>
      </w:pPr>
    </w:p>
    <w:p w14:paraId="2E610A76">
      <w:pPr>
        <w:pStyle w:val="2"/>
        <w:rPr>
          <w:rFonts w:hint="eastAsia" w:ascii="仿宋_GB2312" w:hAnsi="仿宋" w:eastAsia="仿宋_GB2312"/>
          <w:color w:val="000000"/>
          <w:sz w:val="32"/>
          <w:szCs w:val="32"/>
        </w:rPr>
      </w:pPr>
    </w:p>
    <w:p w14:paraId="4DC0037E">
      <w:pPr>
        <w:pStyle w:val="2"/>
        <w:rPr>
          <w:rFonts w:hint="eastAsia" w:ascii="仿宋_GB2312" w:hAnsi="仿宋" w:eastAsia="仿宋_GB2312"/>
          <w:color w:val="000000"/>
          <w:sz w:val="32"/>
          <w:szCs w:val="32"/>
        </w:rPr>
      </w:pPr>
    </w:p>
    <w:p w14:paraId="7044984B">
      <w:pPr>
        <w:pStyle w:val="2"/>
        <w:rPr>
          <w:rFonts w:hint="eastAsia" w:ascii="仿宋_GB2312" w:hAnsi="仿宋" w:eastAsia="仿宋_GB2312"/>
          <w:color w:val="000000"/>
          <w:sz w:val="32"/>
          <w:szCs w:val="32"/>
        </w:rPr>
      </w:pPr>
    </w:p>
    <w:p w14:paraId="2B13E2AA">
      <w:pPr>
        <w:spacing w:line="500" w:lineRule="exact"/>
        <w:ind w:firstLine="0" w:firstLineChars="0"/>
        <w:jc w:val="center"/>
        <w:rPr>
          <w:rFonts w:hint="default" w:ascii="仿宋_GB2312" w:hAnsi="仿宋" w:eastAsia="仿宋_GB2312"/>
          <w:color w:val="000000"/>
          <w:sz w:val="32"/>
          <w:szCs w:val="32"/>
          <w:u w:val="none"/>
          <w:lang w:val="en-US" w:eastAsia="zh-CN"/>
        </w:rPr>
      </w:pPr>
      <w:r>
        <w:rPr>
          <w:rFonts w:hint="eastAsia" w:ascii="仿宋_GB2312" w:hAnsi="仿宋" w:eastAsia="仿宋_GB2312"/>
          <w:color w:val="000000"/>
          <w:sz w:val="32"/>
          <w:szCs w:val="32"/>
          <w:u w:val="none"/>
          <w:lang w:val="en-US" w:eastAsia="zh-CN"/>
        </w:rPr>
        <w:br w:type="page"/>
      </w:r>
      <w:r>
        <w:rPr>
          <w:rFonts w:hint="eastAsia" w:ascii="仿宋_GB2312" w:hAnsi="仿宋" w:eastAsia="仿宋_GB2312"/>
          <w:color w:val="000000"/>
          <w:sz w:val="32"/>
          <w:szCs w:val="32"/>
          <w:u w:val="none"/>
          <w:lang w:val="en-US" w:eastAsia="zh-CN"/>
        </w:rPr>
        <w:t>签署页</w:t>
      </w:r>
    </w:p>
    <w:p w14:paraId="43160D47">
      <w:pPr>
        <w:spacing w:line="500" w:lineRule="exact"/>
        <w:ind w:firstLine="640" w:firstLineChars="200"/>
        <w:rPr>
          <w:rFonts w:hint="eastAsia" w:ascii="仿宋_GB2312" w:hAnsi="仿宋" w:eastAsia="仿宋_GB2312"/>
          <w:color w:val="000000"/>
          <w:sz w:val="32"/>
          <w:szCs w:val="32"/>
        </w:rPr>
      </w:pPr>
    </w:p>
    <w:p w14:paraId="1E2EA030">
      <w:pPr>
        <w:spacing w:line="500" w:lineRule="exact"/>
        <w:ind w:firstLine="640" w:firstLineChars="200"/>
        <w:rPr>
          <w:rFonts w:hint="eastAsia" w:ascii="仿宋_GB2312" w:hAnsi="仿宋" w:eastAsia="仿宋_GB2312"/>
          <w:color w:val="000000"/>
          <w:sz w:val="32"/>
          <w:szCs w:val="32"/>
        </w:rPr>
      </w:pPr>
    </w:p>
    <w:p w14:paraId="0C3C3B7C">
      <w:pPr>
        <w:spacing w:line="500" w:lineRule="exact"/>
        <w:ind w:firstLine="0" w:firstLineChars="0"/>
        <w:rPr>
          <w:rFonts w:hint="eastAsia" w:ascii="仿宋_GB2312" w:hAnsi="仿宋" w:eastAsia="仿宋_GB2312"/>
          <w:color w:val="000000"/>
          <w:sz w:val="32"/>
          <w:szCs w:val="32"/>
          <w:lang w:eastAsia="zh-CN"/>
        </w:rPr>
      </w:pPr>
      <w:r>
        <w:rPr>
          <w:rFonts w:hint="eastAsia" w:ascii="仿宋_GB2312" w:hAnsi="仿宋" w:eastAsia="仿宋_GB2312"/>
          <w:color w:val="000000"/>
          <w:sz w:val="28"/>
          <w:szCs w:val="28"/>
        </w:rPr>
        <w:t>甲方：</w:t>
      </w:r>
      <w:r>
        <w:rPr>
          <w:rFonts w:hint="eastAsia" w:ascii="仿宋_GB2312" w:hAnsi="仿宋" w:eastAsia="仿宋_GB2312"/>
          <w:color w:val="000000"/>
          <w:sz w:val="28"/>
          <w:szCs w:val="28"/>
          <w:u w:val="none"/>
        </w:rPr>
        <w:t>（</w:t>
      </w:r>
      <w:r>
        <w:rPr>
          <w:rFonts w:hint="eastAsia" w:ascii="仿宋_GB2312" w:hAnsi="仿宋" w:eastAsia="仿宋_GB2312"/>
          <w:color w:val="000000"/>
          <w:sz w:val="28"/>
          <w:szCs w:val="28"/>
        </w:rPr>
        <w:t>盖章）</w:t>
      </w:r>
      <w:r>
        <w:rPr>
          <w:rFonts w:hint="eastAsia" w:ascii="仿宋_GB2312" w:hAnsi="仿宋" w:eastAsia="仿宋_GB2312"/>
          <w:color w:val="000000"/>
          <w:sz w:val="28"/>
          <w:szCs w:val="28"/>
          <w:lang w:val="en-US" w:eastAsia="zh-CN"/>
        </w:rPr>
        <w:t xml:space="preserve">               </w:t>
      </w:r>
      <w:r>
        <w:rPr>
          <w:rFonts w:hint="eastAsia" w:ascii="仿宋_GB2312" w:hAnsi="仿宋" w:eastAsia="仿宋_GB2312"/>
          <w:color w:val="000000"/>
          <w:sz w:val="28"/>
          <w:szCs w:val="28"/>
        </w:rPr>
        <w:t>乙方：（盖章）</w:t>
      </w:r>
    </w:p>
    <w:p w14:paraId="3417FC74">
      <w:pPr>
        <w:spacing w:line="500" w:lineRule="exact"/>
        <w:ind w:firstLine="640" w:firstLineChars="200"/>
        <w:rPr>
          <w:rFonts w:hint="eastAsia" w:ascii="仿宋_GB2312" w:hAnsi="仿宋" w:eastAsia="仿宋_GB2312"/>
          <w:color w:val="000000"/>
          <w:sz w:val="32"/>
          <w:szCs w:val="32"/>
        </w:rPr>
      </w:pPr>
    </w:p>
    <w:p w14:paraId="4A60E9F8">
      <w:pPr>
        <w:spacing w:line="500" w:lineRule="exact"/>
        <w:ind w:firstLine="640" w:firstLineChars="200"/>
        <w:rPr>
          <w:rFonts w:hint="eastAsia" w:ascii="仿宋_GB2312" w:hAnsi="仿宋" w:eastAsia="仿宋_GB2312"/>
          <w:color w:val="000000"/>
          <w:sz w:val="32"/>
          <w:szCs w:val="32"/>
          <w:lang w:eastAsia="zh-CN"/>
        </w:rPr>
      </w:pPr>
    </w:p>
    <w:p w14:paraId="47673379">
      <w:pPr>
        <w:spacing w:line="360" w:lineRule="auto"/>
        <w:ind w:firstLine="0" w:firstLineChars="0"/>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法定代表人：             法定代表人：</w:t>
      </w:r>
    </w:p>
    <w:p w14:paraId="1C772EDE">
      <w:pPr>
        <w:spacing w:line="360" w:lineRule="auto"/>
        <w:ind w:firstLine="0" w:firstLineChars="0"/>
        <w:rPr>
          <w:rFonts w:hint="eastAsia" w:ascii="仿宋_GB2312" w:hAnsi="仿宋" w:eastAsia="仿宋_GB2312"/>
          <w:color w:val="000000"/>
          <w:sz w:val="32"/>
          <w:szCs w:val="32"/>
        </w:rPr>
      </w:pPr>
      <w:r>
        <w:rPr>
          <w:rFonts w:hint="eastAsia" w:ascii="仿宋_GB2312" w:hAnsi="仿宋" w:eastAsia="仿宋_GB2312"/>
          <w:color w:val="000000"/>
          <w:sz w:val="32"/>
          <w:szCs w:val="32"/>
          <w:lang w:val="en-US" w:eastAsia="zh-CN"/>
        </w:rPr>
        <w:t>或授权委托</w:t>
      </w:r>
      <w:r>
        <w:rPr>
          <w:rFonts w:hint="eastAsia" w:ascii="仿宋_GB2312" w:hAnsi="仿宋" w:eastAsia="仿宋_GB2312"/>
          <w:color w:val="000000"/>
          <w:sz w:val="32"/>
          <w:szCs w:val="32"/>
        </w:rPr>
        <w:t>人：</w:t>
      </w:r>
      <w:r>
        <w:rPr>
          <w:rFonts w:hint="eastAsia" w:ascii="仿宋_GB2312" w:hAnsi="仿宋" w:eastAsia="仿宋_GB2312"/>
          <w:color w:val="000000"/>
          <w:sz w:val="32"/>
          <w:szCs w:val="32"/>
          <w:lang w:val="en-US" w:eastAsia="zh-CN"/>
        </w:rPr>
        <w:t xml:space="preserve">           或授权委托</w:t>
      </w:r>
      <w:r>
        <w:rPr>
          <w:rFonts w:hint="eastAsia" w:ascii="仿宋_GB2312" w:hAnsi="仿宋" w:eastAsia="仿宋_GB2312"/>
          <w:color w:val="000000"/>
          <w:sz w:val="32"/>
          <w:szCs w:val="32"/>
        </w:rPr>
        <w:t>人：</w:t>
      </w:r>
    </w:p>
    <w:p w14:paraId="744A0ACF">
      <w:pPr>
        <w:pStyle w:val="2"/>
        <w:spacing w:line="360" w:lineRule="auto"/>
        <w:ind w:left="0" w:leftChars="0" w:firstLine="0" w:firstLineChars="0"/>
        <w:rPr>
          <w:rFonts w:hint="eastAsia" w:eastAsia="仿宋_GB2312"/>
          <w:lang w:eastAsia="zh-CN"/>
        </w:rPr>
      </w:pP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签字或盖章</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 xml:space="preserve">           </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签字或盖章</w:t>
      </w:r>
      <w:r>
        <w:rPr>
          <w:rFonts w:hint="eastAsia" w:ascii="仿宋_GB2312" w:hAnsi="仿宋" w:eastAsia="仿宋_GB2312"/>
          <w:color w:val="000000"/>
          <w:sz w:val="32"/>
          <w:szCs w:val="32"/>
          <w:lang w:eastAsia="zh-CN"/>
        </w:rPr>
        <w:t>）</w:t>
      </w:r>
    </w:p>
    <w:p w14:paraId="60809423">
      <w:pPr>
        <w:pStyle w:val="2"/>
        <w:ind w:left="0" w:leftChars="0" w:firstLine="420" w:firstLineChars="200"/>
        <w:rPr>
          <w:rFonts w:hint="default" w:eastAsia="仿宋_GB2312"/>
          <w:lang w:val="en-US" w:eastAsia="zh-CN"/>
        </w:rPr>
      </w:pPr>
    </w:p>
    <w:p w14:paraId="5C52508D">
      <w:pPr>
        <w:spacing w:line="500" w:lineRule="exact"/>
        <w:ind w:firstLine="640" w:firstLineChars="200"/>
        <w:rPr>
          <w:rFonts w:hint="eastAsia" w:ascii="仿宋_GB2312" w:hAnsi="仿宋" w:eastAsia="仿宋_GB2312"/>
          <w:color w:val="000000"/>
          <w:sz w:val="32"/>
          <w:szCs w:val="32"/>
        </w:rPr>
      </w:pPr>
    </w:p>
    <w:p w14:paraId="72C2A074">
      <w:pPr>
        <w:spacing w:line="500" w:lineRule="exact"/>
        <w:ind w:firstLine="640" w:firstLineChars="200"/>
        <w:rPr>
          <w:rFonts w:hint="eastAsia" w:ascii="仿宋_GB2312" w:hAnsi="仿宋" w:eastAsia="仿宋_GB2312"/>
          <w:color w:val="000000"/>
          <w:sz w:val="32"/>
          <w:szCs w:val="32"/>
        </w:rPr>
      </w:pPr>
    </w:p>
    <w:p w14:paraId="56A601B4">
      <w:pPr>
        <w:spacing w:line="500" w:lineRule="exact"/>
        <w:ind w:firstLine="800" w:firstLineChars="250"/>
        <w:jc w:val="right"/>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签订日期：</w:t>
      </w:r>
      <w:r>
        <w:rPr>
          <w:rFonts w:hint="eastAsia" w:ascii="仿宋_GB2312" w:hAnsi="仿宋" w:eastAsia="仿宋_GB2312"/>
          <w:sz w:val="32"/>
          <w:szCs w:val="32"/>
        </w:rPr>
        <w:t>年月日</w:t>
      </w:r>
    </w:p>
    <w:p w14:paraId="77DB3486">
      <w:bookmarkStart w:id="0" w:name="_GoBack"/>
      <w:bookmarkEnd w:id="0"/>
    </w:p>
    <w:sectPr>
      <w:headerReference r:id="rId5" w:type="default"/>
      <w:footerReference r:id="rId6" w:type="default"/>
      <w:footerReference r:id="rId7" w:type="even"/>
      <w:pgSz w:w="11907" w:h="16840"/>
      <w:pgMar w:top="2268" w:right="1474" w:bottom="1440" w:left="1474"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471E7">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14:paraId="0332C08F">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9F400">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584D9F6F">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227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64884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after="120"/>
      <w:ind w:left="1440" w:leftChars="700" w:right="700" w:rightChars="700"/>
    </w:pPr>
  </w:style>
  <w:style w:type="paragraph" w:styleId="3">
    <w:name w:val="footer"/>
    <w:basedOn w:val="1"/>
    <w:uiPriority w:val="0"/>
    <w:pPr>
      <w:tabs>
        <w:tab w:val="center" w:pos="4153"/>
        <w:tab w:val="right" w:pos="8306"/>
      </w:tabs>
      <w:spacing w:line="240" w:lineRule="atLeast"/>
      <w:jc w:val="left"/>
    </w:pPr>
    <w:rPr>
      <w:sz w:val="18"/>
    </w:rPr>
  </w:style>
  <w:style w:type="paragraph" w:styleId="4">
    <w:name w:val="header"/>
    <w:basedOn w:val="1"/>
    <w:uiPriority w:val="0"/>
    <w:pPr>
      <w:pBdr>
        <w:bottom w:val="single" w:color="auto" w:sz="6" w:space="1"/>
      </w:pBdr>
      <w:tabs>
        <w:tab w:val="center" w:pos="4153"/>
        <w:tab w:val="right" w:pos="8306"/>
      </w:tabs>
      <w:snapToGrid w:val="0"/>
      <w:spacing w:line="240" w:lineRule="atLeast"/>
      <w:jc w:val="center"/>
    </w:pPr>
    <w:rPr>
      <w:sz w:val="18"/>
      <w:szCs w:val="18"/>
    </w:rPr>
  </w:style>
  <w:style w:type="character" w:styleId="7">
    <w:name w:val="page number"/>
    <w:basedOn w:val="6"/>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2026-07-13T04:49:08Z</dcterms:created>
  <dc:creator>Administrator</dc:creator>
  <cp:lastModifiedBy>大十三哥</cp:lastModifiedBy>
  <dcterms:modified xsi:type="dcterms:W3CDTF">2026-07-13T04:49:16Z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4F27B950645747AE9DEE5E02AE56D9B0_12</vt:lpwstr>
  </property>
</Properties>
</file>