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6ABD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_GB2312" w:hAnsi="仿宋" w:eastAsia="仿宋_GB2312"/>
          <w:bCs/>
          <w:sz w:val="44"/>
          <w:szCs w:val="44"/>
          <w:highlight w:val="none"/>
        </w:rPr>
      </w:pPr>
      <w:r>
        <w:rPr>
          <w:rFonts w:hint="eastAsia" w:ascii="仿宋_GB2312" w:hAnsi="仿宋" w:eastAsia="仿宋_GB2312"/>
          <w:b/>
          <w:bCs w:val="0"/>
          <w:sz w:val="44"/>
          <w:szCs w:val="44"/>
          <w:highlight w:val="none"/>
        </w:rPr>
        <w:t>拟签订采购合同文本</w:t>
      </w:r>
    </w:p>
    <w:p w14:paraId="12C39E0F">
      <w:pPr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 xml:space="preserve">甲方（采购人）： </w:t>
      </w:r>
    </w:p>
    <w:p w14:paraId="6EBD2BA5">
      <w:pPr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乙方（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中标人</w:t>
      </w:r>
      <w:r>
        <w:rPr>
          <w:rFonts w:hint="eastAsia" w:ascii="仿宋_GB2312" w:eastAsia="仿宋_GB2312"/>
          <w:bCs/>
          <w:sz w:val="32"/>
          <w:szCs w:val="32"/>
        </w:rPr>
        <w:t xml:space="preserve">）：  </w:t>
      </w:r>
    </w:p>
    <w:p w14:paraId="5D650832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u w:val="single"/>
          <w:lang w:eastAsia="zh-CN"/>
        </w:rPr>
        <w:t>购置最小作战单元快反装备项目（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u w:val="single"/>
        </w:rPr>
        <w:t>项目编号：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u w:val="single"/>
          <w:lang w:eastAsia="zh-CN"/>
        </w:rPr>
        <w:t>SXHC2026-16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u w:val="singl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u w:val="single"/>
          <w:lang w:eastAsia="zh-CN"/>
        </w:rPr>
        <w:t>）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，由陕西华采招标有限公司组织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采购活动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，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u w:val="single"/>
        </w:rPr>
        <w:t xml:space="preserve">               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u w:val="single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以下简称“甲方”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确定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（以下简称“乙方”）为该项目的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中标人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。</w:t>
      </w:r>
    </w:p>
    <w:p w14:paraId="033B0CDF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依据《中华人民共和国民法典》和《中华人民共和国政府采购法》之规定，经双方在平等、自愿、互利的基础上，签订本合同，共同信守。</w:t>
      </w:r>
    </w:p>
    <w:p w14:paraId="5B503A35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一、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合同标的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物内容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及数量</w:t>
      </w:r>
    </w:p>
    <w:p w14:paraId="51C34E7B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zh-CN"/>
        </w:rPr>
        <w:t>乙方向甲方提供下列货物（产品）：</w:t>
      </w:r>
    </w:p>
    <w:tbl>
      <w:tblPr>
        <w:tblStyle w:val="14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4"/>
        <w:gridCol w:w="1029"/>
        <w:gridCol w:w="1024"/>
        <w:gridCol w:w="1024"/>
        <w:gridCol w:w="1024"/>
        <w:gridCol w:w="1040"/>
        <w:gridCol w:w="1177"/>
        <w:gridCol w:w="1177"/>
      </w:tblGrid>
      <w:tr w14:paraId="18F090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676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576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FD9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576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货物名称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591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576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品牌/型号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17DC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576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规格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019E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576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06C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576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0FBC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576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80D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576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金额 （元）</w:t>
            </w:r>
          </w:p>
        </w:tc>
      </w:tr>
      <w:tr w14:paraId="42AC2A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AB6E4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576" w:lineRule="exact"/>
              <w:jc w:val="both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3D288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576" w:lineRule="exact"/>
              <w:jc w:val="both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E233F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576" w:lineRule="exact"/>
              <w:jc w:val="both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6131E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576" w:lineRule="exact"/>
              <w:jc w:val="both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F12F8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576" w:lineRule="exact"/>
              <w:jc w:val="both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E9A52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576" w:lineRule="exact"/>
              <w:jc w:val="both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580D9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576" w:lineRule="exact"/>
              <w:jc w:val="both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919D2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576" w:lineRule="exact"/>
              <w:jc w:val="both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</w:p>
        </w:tc>
      </w:tr>
      <w:tr w14:paraId="218A20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76D06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576" w:lineRule="exact"/>
              <w:jc w:val="both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83E4A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576" w:lineRule="exact"/>
              <w:jc w:val="both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B8D2E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576" w:lineRule="exact"/>
              <w:jc w:val="both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C3391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576" w:lineRule="exact"/>
              <w:jc w:val="both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58DD2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576" w:lineRule="exact"/>
              <w:jc w:val="both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61D99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576" w:lineRule="exact"/>
              <w:jc w:val="both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2979C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576" w:lineRule="exact"/>
              <w:jc w:val="both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DD960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576" w:lineRule="exact"/>
              <w:jc w:val="both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</w:p>
        </w:tc>
      </w:tr>
      <w:tr w14:paraId="1872E9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3C05E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576" w:lineRule="exact"/>
              <w:jc w:val="both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EA244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576" w:lineRule="exact"/>
              <w:jc w:val="both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17545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576" w:lineRule="exact"/>
              <w:jc w:val="both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5214C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576" w:lineRule="exact"/>
              <w:jc w:val="both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F70F0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576" w:lineRule="exact"/>
              <w:jc w:val="both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7D1D9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576" w:lineRule="exact"/>
              <w:jc w:val="both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8A371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576" w:lineRule="exact"/>
              <w:jc w:val="both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D640D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576" w:lineRule="exact"/>
              <w:jc w:val="both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</w:p>
        </w:tc>
      </w:tr>
      <w:tr w14:paraId="402CC1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17D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576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合计</w:t>
            </w:r>
          </w:p>
        </w:tc>
        <w:tc>
          <w:tcPr>
            <w:tcW w:w="246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EC9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576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大写</w:t>
            </w:r>
          </w:p>
        </w:tc>
        <w:tc>
          <w:tcPr>
            <w:tcW w:w="130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877C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576" w:lineRule="exact"/>
              <w:ind w:firstLineChars="20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¥</w:t>
            </w:r>
          </w:p>
        </w:tc>
      </w:tr>
    </w:tbl>
    <w:p w14:paraId="7B6CE96E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二、合同价款</w:t>
      </w:r>
    </w:p>
    <w:p w14:paraId="2EA9FB2D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（一）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合同价款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为人民币（大写）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（¥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 xml:space="preserve"> ）。</w:t>
      </w:r>
    </w:p>
    <w:p w14:paraId="0E9539AD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（二）合同价款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  <w:t>包括但不限于产品的供应费及所发生的运输费、杂费（含保险）、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检验检测费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  <w:t>、搬运费、安装调试费、培训费等所包含的一切费用。</w:t>
      </w:r>
    </w:p>
    <w:p w14:paraId="709D2AF1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（三）合同价款一次性包死，不受市场价格变化因素的影响。</w:t>
      </w:r>
    </w:p>
    <w:p w14:paraId="1E2E3569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三、款项结算</w:t>
      </w:r>
    </w:p>
    <w:p w14:paraId="646E0B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eastAsia="zh-CN"/>
        </w:rPr>
        <w:t>（一）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款项支付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eastAsia="zh-CN"/>
        </w:rPr>
        <w:t xml:space="preserve">：全部产品交货至指定地点并验收合格交付使用，达到付款条件起 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15个工作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eastAsia="zh-CN"/>
        </w:rPr>
        <w:t>日内，支付合同总金额的100.00%。</w:t>
      </w:r>
    </w:p>
    <w:p w14:paraId="211D81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（二）支付方式：银行转账。</w:t>
      </w:r>
    </w:p>
    <w:p w14:paraId="747D3B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（三）结算方式：乙方在每次接受甲方付款前，开具等额发票给甲方。</w:t>
      </w:r>
    </w:p>
    <w:p w14:paraId="6A218FCF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四、双方的权利和义务</w:t>
      </w:r>
    </w:p>
    <w:p w14:paraId="4D07BEFD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（一）甲方的权利与义务</w:t>
      </w:r>
    </w:p>
    <w:p w14:paraId="461B3D9D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.积极配合乙方安装、调试、验收工作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。</w:t>
      </w:r>
    </w:p>
    <w:p w14:paraId="35AF3E9F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组织使用单位严格按照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eastAsia="zh-CN"/>
        </w:rPr>
        <w:t>招标文件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及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eastAsia="zh-CN"/>
        </w:rPr>
        <w:t>投标文件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要求和标准验收货物。</w:t>
      </w:r>
    </w:p>
    <w:p w14:paraId="3BCD1163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（二）乙方的权利与义务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eastAsia="zh-CN"/>
        </w:rPr>
        <w:t>。</w:t>
      </w:r>
    </w:p>
    <w:p w14:paraId="0D538D2A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保证对其出售的产品享有合法的权利，不存在任何未曾向甲方透露的担保物权，如抵押权、质押权、留置权。</w:t>
      </w:r>
    </w:p>
    <w:p w14:paraId="4ADCF3C4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2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保证对其出售的产品或其任何一部分没有侵犯第三方的专利权、版权、商标权或其他权利。</w:t>
      </w:r>
    </w:p>
    <w:p w14:paraId="003D666C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3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负责产品的运输、安装与调试，并在合同约定的时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eastAsia="zh-CN"/>
        </w:rPr>
        <w:t>间内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完工，运输及安装全过程中的安全由乙方负责。</w:t>
      </w:r>
    </w:p>
    <w:p w14:paraId="77DD7A69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4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按照合同约定要求甲方及时付款。</w:t>
      </w:r>
    </w:p>
    <w:p w14:paraId="70E529E0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五、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供货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条件</w:t>
      </w:r>
    </w:p>
    <w:p w14:paraId="579D729A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（一）交货期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自合同签订之日起15个日历日内完成产品供货、安装、调试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工作。</w:t>
      </w:r>
    </w:p>
    <w:p w14:paraId="4EA88012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（二）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交货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地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址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：西安市公安局高新技术产业开发区分局。</w:t>
      </w:r>
    </w:p>
    <w:p w14:paraId="4FF85B2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六、运输</w:t>
      </w:r>
    </w:p>
    <w:p w14:paraId="02994F3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（一）乙方负责所有产品的运输，确保采购产品安全、完整到达甲方指定地点。运杂费用已包含在合同总价内，包括从产品供应地点所含的运输费、装卸费、安装费、保险费等。</w:t>
      </w:r>
    </w:p>
    <w:p w14:paraId="3EADD12D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（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）运输方式由乙方自行选择，但必须保证按期交货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所有采购产品在运输、搬运的过程中，造成甲方损失的，由乙方为甲方修复或更新。</w:t>
      </w:r>
    </w:p>
    <w:p w14:paraId="0CD74750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七、质量保证</w:t>
      </w:r>
    </w:p>
    <w:p w14:paraId="764FA29F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（一）乙方须提供全新的、未使用过的合格正品产品（含零部件、配件等），完全符合合同规定的质量、规格和性能的要求。</w:t>
      </w:r>
    </w:p>
    <w:p w14:paraId="05C29F05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（二）质量标准按照最新颁布的国家标准、行业标准或制造商企业标准确定，上述标准不一致的，以严格标准为准。</w:t>
      </w:r>
    </w:p>
    <w:p w14:paraId="666AF0F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（三）乙方所提供产品还应符合国家和陕西省有关安全、环保、节能之规定，“3C”认证的货物（产品）应加贴“3C”认证标志。</w:t>
      </w:r>
    </w:p>
    <w:p w14:paraId="0FF4C924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（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）产品质保期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年，质保期起始时间为终验合格之日。产品在质保期出现质量问题，乙方应负责三包（包修、包换、包退），费用由乙方负担，甲方有权到乙方生产场地检查产品质量和生产进度。</w:t>
      </w:r>
    </w:p>
    <w:p w14:paraId="46C4539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803" w:firstLineChars="250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八、售后服务</w:t>
      </w:r>
    </w:p>
    <w:p w14:paraId="0786CF5A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乙方应按照国家有关法律法规和“三包”规定以及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eastAsia="zh-CN"/>
        </w:rPr>
        <w:t>招标文件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要求和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eastAsia="zh-CN"/>
        </w:rPr>
        <w:t>投标文件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中的“售后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要求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”提供售后服务，但至少包括以下方面：</w:t>
      </w:r>
    </w:p>
    <w:p w14:paraId="580968E4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（一）乙方必须按照合同约定和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eastAsia="zh-CN"/>
        </w:rPr>
        <w:t>投标文件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的实质性响应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eastAsia="zh-CN"/>
        </w:rPr>
        <w:t>，在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质保期内免费承担维保。质保期结束前，进行全面保养维护，确保正常运行，质保期后对产品维修只收取成本费。</w:t>
      </w:r>
    </w:p>
    <w:p w14:paraId="28FD9E3F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（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）乙方应保证以优惠价格提供长期备件的供应，乙方有义务尽快提供所需要更换的部件，对于要求紧急部件，乙方应安排最快的方式运输。</w:t>
      </w:r>
    </w:p>
    <w:p w14:paraId="35001349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（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）乙方定期对用户进行回访，并对用户提出的技术问题及时解决。</w:t>
      </w:r>
    </w:p>
    <w:p w14:paraId="4184F695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九、验收</w:t>
      </w:r>
    </w:p>
    <w:p w14:paraId="63FBACCF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（一）本项目验收费用，由乙方自行承担。</w:t>
      </w:r>
    </w:p>
    <w:p w14:paraId="22591F4B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（二）设备到达采购人指定地点后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乙方须提供质检部门产品抽样检查合格的检测报告（或生产厂家自检报告）及所提供货物（产品）的合格证、装箱清单等资料交付给甲方，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并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组织现场开箱请点验货。所到设备的型号和数量必须与合同一致，采购人和供应商共同签署到货验收单。未签收到货验收单的货物不得擅自开箱安装。</w:t>
      </w:r>
    </w:p>
    <w:p w14:paraId="06D00840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（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）验收依据：</w:t>
      </w:r>
    </w:p>
    <w:p w14:paraId="0392403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本合同及附加文本；</w:t>
      </w:r>
    </w:p>
    <w:p w14:paraId="4B35A3F1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2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.招标文件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、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中标人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的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eastAsia="zh-CN"/>
        </w:rPr>
        <w:t>投标文件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及澄清（承诺）函；</w:t>
      </w:r>
    </w:p>
    <w:p w14:paraId="0C45921B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3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国家相应的标准、规范。</w:t>
      </w:r>
    </w:p>
    <w:p w14:paraId="2122B2C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十、违约责任</w:t>
      </w:r>
    </w:p>
    <w:p w14:paraId="6A8BC42B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（一）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eastAsia="zh-CN"/>
        </w:rPr>
        <w:t>按照《中华人民共和国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民法典》中的相关条款执行。</w:t>
      </w:r>
    </w:p>
    <w:p w14:paraId="233FDEC7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（二）乙方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交货期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每超过一天，扣除乙方合同总价款的0.2%，迟交产品超过30天，甲方有权拒收产品。</w:t>
      </w:r>
    </w:p>
    <w:p w14:paraId="1613363D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（三）按合同要求提供产品或产品质量不能满足采购技术要求，乙方必须无条件更换产品，提高技术，完善质量，否则，甲方会同监督机构、采购代理机构有权终止合同并对乙方违约行为进行追究，同时按政府采购供应商管理办法进行相应的处罚。</w:t>
      </w:r>
    </w:p>
    <w:p w14:paraId="42010A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（四）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highlight w:val="none"/>
          <w:lang w:val="en-US" w:eastAsia="zh-CN"/>
        </w:rPr>
        <w:t>甲方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highlight w:val="none"/>
          <w:lang w:val="zh-CN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highlight w:val="none"/>
          <w:lang w:val="en-US" w:eastAsia="zh-CN"/>
        </w:rPr>
        <w:t>乙方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highlight w:val="none"/>
          <w:lang w:val="zh-CN" w:eastAsia="zh-CN"/>
        </w:rPr>
        <w:t>任何一方无法定或约定事由不履行或提前解除合同的，应向对方支付违约金，违约金金额相当于合同总金额的20%；由于违约或解除本合同给对方造成的经济损失的，违约方还应赔偿守约方包括但不限于经济损失、律师费、诉讼费、保全费、鉴定费等全部损失。</w:t>
      </w:r>
    </w:p>
    <w:p w14:paraId="3FE840F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3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十一、合同争议解决的方式</w:t>
      </w:r>
    </w:p>
    <w:p w14:paraId="678E9AE4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（一）本合同在履行过程中发生的争议，由甲、乙双方当事人协商解决，协商不成的按下列第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u w:val="single"/>
        </w:rPr>
        <w:t xml:space="preserve"> 2 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种方式解决：</w:t>
      </w:r>
    </w:p>
    <w:p w14:paraId="27A4D29A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提交甲方所在地仲裁委员会仲裁；</w:t>
      </w:r>
    </w:p>
    <w:p w14:paraId="0A6B1664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2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依法向甲方所在地人民法院起诉。</w:t>
      </w:r>
    </w:p>
    <w:p w14:paraId="27F39DDB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（二）因质量问题发生的争议，由国家权威技术单位进行质量鉴定，该鉴定结论为最终结果，甲乙双方应当接受。</w:t>
      </w:r>
    </w:p>
    <w:p w14:paraId="05CEEE27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十二、合同生效</w:t>
      </w:r>
    </w:p>
    <w:p w14:paraId="42C1048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（一）本合同须经甲、乙双方的法定代表人（授权代理人）在合同书上签字并加盖本单位公章后正式生效。</w:t>
      </w:r>
    </w:p>
    <w:p w14:paraId="09FC824D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（二）合同生效后，甲、乙双方须严格执行本合同条款的规定，全面履行合同，违者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eastAsia="zh-CN"/>
        </w:rPr>
        <w:t>按照《中华人民共和国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民法典》的有关规定承担相应责任。</w:t>
      </w:r>
    </w:p>
    <w:p w14:paraId="2096DFEF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（三）本合同一式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份，甲乙双方各执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份。</w:t>
      </w:r>
    </w:p>
    <w:p w14:paraId="3D543F1E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（四）本合同如有未尽事宜，甲、乙双方协商解决。</w:t>
      </w:r>
    </w:p>
    <w:tbl>
      <w:tblPr>
        <w:tblStyle w:val="1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1"/>
        <w:gridCol w:w="4202"/>
      </w:tblGrid>
      <w:tr w14:paraId="19CE5C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5E69827A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32"/>
                <w:szCs w:val="32"/>
                <w:highlight w:val="none"/>
              </w:rPr>
              <w:t>甲  方</w:t>
            </w:r>
          </w:p>
        </w:tc>
        <w:tc>
          <w:tcPr>
            <w:tcW w:w="4202" w:type="dxa"/>
            <w:noWrap w:val="0"/>
            <w:vAlign w:val="center"/>
          </w:tcPr>
          <w:p w14:paraId="65B7CEB5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32"/>
                <w:szCs w:val="32"/>
                <w:highlight w:val="none"/>
              </w:rPr>
              <w:t>乙  方</w:t>
            </w:r>
          </w:p>
        </w:tc>
      </w:tr>
      <w:tr w14:paraId="7B3784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0ADD8101">
            <w:pPr>
              <w:autoSpaceDE w:val="0"/>
              <w:autoSpaceDN w:val="0"/>
              <w:adjustRightInd w:val="0"/>
              <w:ind w:firstLine="980" w:firstLineChars="350"/>
              <w:rPr>
                <w:rFonts w:hint="eastAsia" w:ascii="仿宋_GB2312" w:hAnsi="仿宋_GB2312" w:eastAsia="仿宋_GB2312" w:cs="仿宋_GB2312"/>
                <w:spacing w:val="-2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32"/>
                <w:szCs w:val="32"/>
                <w:highlight w:val="none"/>
              </w:rPr>
              <w:t>（盖章）</w:t>
            </w:r>
          </w:p>
        </w:tc>
        <w:tc>
          <w:tcPr>
            <w:tcW w:w="4202" w:type="dxa"/>
            <w:noWrap w:val="0"/>
            <w:vAlign w:val="center"/>
          </w:tcPr>
          <w:p w14:paraId="5152F394">
            <w:pPr>
              <w:autoSpaceDE w:val="0"/>
              <w:autoSpaceDN w:val="0"/>
              <w:adjustRightInd w:val="0"/>
              <w:ind w:firstLine="1120" w:firstLineChars="400"/>
              <w:rPr>
                <w:rFonts w:hint="eastAsia" w:ascii="仿宋_GB2312" w:hAnsi="仿宋_GB2312" w:eastAsia="仿宋_GB2312" w:cs="仿宋_GB2312"/>
                <w:spacing w:val="-2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32"/>
                <w:szCs w:val="32"/>
                <w:highlight w:val="none"/>
              </w:rPr>
              <w:t>（盖章）</w:t>
            </w:r>
          </w:p>
        </w:tc>
      </w:tr>
      <w:tr w14:paraId="6A71A6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00FABB0E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32"/>
                <w:szCs w:val="32"/>
                <w:highlight w:val="none"/>
              </w:rPr>
              <w:t xml:space="preserve">地址： </w:t>
            </w:r>
          </w:p>
        </w:tc>
        <w:tc>
          <w:tcPr>
            <w:tcW w:w="4202" w:type="dxa"/>
            <w:noWrap w:val="0"/>
            <w:vAlign w:val="center"/>
          </w:tcPr>
          <w:p w14:paraId="7B19F2DA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32"/>
                <w:szCs w:val="32"/>
                <w:highlight w:val="none"/>
              </w:rPr>
              <w:t>地址：</w:t>
            </w:r>
          </w:p>
        </w:tc>
      </w:tr>
      <w:tr w14:paraId="5F263F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37B3AE93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32"/>
                <w:szCs w:val="32"/>
                <w:highlight w:val="none"/>
              </w:rPr>
              <w:t xml:space="preserve">法定代表人： </w:t>
            </w:r>
          </w:p>
        </w:tc>
        <w:tc>
          <w:tcPr>
            <w:tcW w:w="4202" w:type="dxa"/>
            <w:noWrap w:val="0"/>
            <w:vAlign w:val="center"/>
          </w:tcPr>
          <w:p w14:paraId="45C984FE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32"/>
                <w:szCs w:val="32"/>
                <w:highlight w:val="none"/>
              </w:rPr>
              <w:t>法定代表人：</w:t>
            </w:r>
          </w:p>
        </w:tc>
      </w:tr>
      <w:tr w14:paraId="67C555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7C9FF8BC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32"/>
                <w:szCs w:val="32"/>
                <w:highlight w:val="none"/>
              </w:rPr>
              <w:t>被授权代表：</w:t>
            </w:r>
          </w:p>
        </w:tc>
        <w:tc>
          <w:tcPr>
            <w:tcW w:w="4202" w:type="dxa"/>
            <w:noWrap w:val="0"/>
            <w:vAlign w:val="center"/>
          </w:tcPr>
          <w:p w14:paraId="2066B47D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32"/>
                <w:szCs w:val="32"/>
                <w:highlight w:val="none"/>
              </w:rPr>
              <w:t>被授权代表：</w:t>
            </w:r>
          </w:p>
        </w:tc>
      </w:tr>
      <w:tr w14:paraId="030263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6D247BEF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32"/>
                <w:szCs w:val="32"/>
                <w:highlight w:val="none"/>
              </w:rPr>
              <w:t>电话：</w:t>
            </w:r>
          </w:p>
        </w:tc>
        <w:tc>
          <w:tcPr>
            <w:tcW w:w="4202" w:type="dxa"/>
            <w:noWrap w:val="0"/>
            <w:vAlign w:val="center"/>
          </w:tcPr>
          <w:p w14:paraId="78FF6536">
            <w:pPr>
              <w:autoSpaceDE w:val="0"/>
              <w:autoSpaceDN w:val="0"/>
              <w:adjustRightInd w:val="0"/>
              <w:ind w:left="720" w:hanging="840" w:hangingChars="300"/>
              <w:rPr>
                <w:rFonts w:hint="eastAsia" w:ascii="仿宋_GB2312" w:hAnsi="仿宋_GB2312" w:eastAsia="仿宋_GB2312" w:cs="仿宋_GB2312"/>
                <w:spacing w:val="-2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32"/>
                <w:szCs w:val="32"/>
                <w:highlight w:val="none"/>
              </w:rPr>
              <w:t>电话：</w:t>
            </w:r>
          </w:p>
        </w:tc>
      </w:tr>
      <w:tr w14:paraId="774C91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5A5AB4E0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32"/>
                <w:szCs w:val="32"/>
                <w:highlight w:val="none"/>
              </w:rPr>
              <w:t>传真：</w:t>
            </w:r>
          </w:p>
        </w:tc>
        <w:tc>
          <w:tcPr>
            <w:tcW w:w="4202" w:type="dxa"/>
            <w:noWrap w:val="0"/>
            <w:vAlign w:val="center"/>
          </w:tcPr>
          <w:p w14:paraId="3E85A498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32"/>
                <w:szCs w:val="32"/>
                <w:highlight w:val="none"/>
              </w:rPr>
              <w:t>传真：</w:t>
            </w:r>
          </w:p>
        </w:tc>
      </w:tr>
      <w:tr w14:paraId="7E05AB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608E841C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32"/>
                <w:szCs w:val="32"/>
                <w:highlight w:val="none"/>
              </w:rPr>
              <w:t>开户银行：</w:t>
            </w:r>
          </w:p>
        </w:tc>
        <w:tc>
          <w:tcPr>
            <w:tcW w:w="4202" w:type="dxa"/>
            <w:noWrap w:val="0"/>
            <w:vAlign w:val="center"/>
          </w:tcPr>
          <w:p w14:paraId="697EBCB5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32"/>
                <w:szCs w:val="32"/>
                <w:highlight w:val="none"/>
              </w:rPr>
              <w:t>开户银行：</w:t>
            </w:r>
          </w:p>
        </w:tc>
      </w:tr>
      <w:tr w14:paraId="640521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4201" w:type="dxa"/>
            <w:noWrap w:val="0"/>
            <w:vAlign w:val="center"/>
          </w:tcPr>
          <w:p w14:paraId="47FCA7C3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32"/>
                <w:szCs w:val="32"/>
                <w:highlight w:val="none"/>
              </w:rPr>
              <w:t>日期：</w:t>
            </w:r>
          </w:p>
        </w:tc>
        <w:tc>
          <w:tcPr>
            <w:tcW w:w="4202" w:type="dxa"/>
            <w:noWrap w:val="0"/>
            <w:vAlign w:val="center"/>
          </w:tcPr>
          <w:p w14:paraId="5188F956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32"/>
                <w:szCs w:val="32"/>
                <w:highlight w:val="none"/>
              </w:rPr>
              <w:t>日期：</w:t>
            </w:r>
          </w:p>
        </w:tc>
      </w:tr>
    </w:tbl>
    <w:p w14:paraId="3E949DD0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Hans" w:bidi="ar-SA"/>
        </w:rPr>
      </w:pPr>
    </w:p>
    <w:p w14:paraId="7CE8B830">
      <w:pPr>
        <w:autoSpaceDE w:val="0"/>
        <w:autoSpaceDN w:val="0"/>
        <w:adjustRightInd w:val="0"/>
        <w:snapToGrid w:val="0"/>
        <w:spacing w:line="360" w:lineRule="auto"/>
        <w:rPr>
          <w:rFonts w:hint="eastAsia" w:ascii="仿宋_GB2312" w:hAnsi="仿宋" w:eastAsia="仿宋_GB2312"/>
          <w:bCs/>
          <w:sz w:val="28"/>
          <w:szCs w:val="28"/>
          <w:lang w:eastAsia="zh-CN"/>
        </w:rPr>
      </w:pPr>
    </w:p>
    <w:sectPr>
      <w:headerReference r:id="rId3" w:type="default"/>
      <w:footerReference r:id="rId4" w:type="default"/>
      <w:pgSz w:w="11909" w:h="16841"/>
      <w:pgMar w:top="1417" w:right="1803" w:bottom="1417" w:left="1803" w:header="850" w:footer="10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383B6D5D-E934-480B-B15B-D37E9366D5A6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8AB487EE-B3AA-41B0-A2B2-4649848AAA7F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96B8CE86-4611-4310-9FE1-DFD26076196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78FE8">
    <w:pPr>
      <w:spacing w:line="14" w:lineRule="auto"/>
      <w:rPr>
        <w:rFonts w:ascii="Arial"/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2623820</wp:posOffset>
              </wp:positionH>
              <wp:positionV relativeFrom="paragraph">
                <wp:posOffset>-174625</wp:posOffset>
              </wp:positionV>
              <wp:extent cx="467360" cy="172720"/>
              <wp:effectExtent l="0" t="0" r="2540" b="1143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360" cy="1727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EFA8E70">
                          <w:pPr>
                            <w:pStyle w:val="9"/>
                            <w:tabs>
                              <w:tab w:val="center" w:pos="4153"/>
                              <w:tab w:val="right" w:pos="8306"/>
                              <w:tab w:val="clear" w:pos="4140"/>
                              <w:tab w:val="clear" w:pos="8300"/>
                            </w:tabs>
                          </w:pPr>
                          <w:r>
                            <w:rPr>
                              <w:sz w:val="21"/>
                              <w:szCs w:val="21"/>
                            </w:rPr>
                            <w:t xml:space="preserve">第 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sz w:val="21"/>
                              <w:szCs w:val="21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6.6pt;margin-top:-13.75pt;height:13.6pt;width:36.8pt;mso-position-horizontal-relative:margin;mso-wrap-style:none;z-index:251659264;mso-width-relative:page;mso-height-relative:page;" filled="f" stroked="f" coordsize="21600,21600" o:gfxdata="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svhy41gAAAAkBAAAPAAAAAAAAAAEAIAAAACIAAABkcnMvZG93bnJldi54bWxQSwEC&#10;FAAUAAAACACHTuJALEJu2i8CAABTBAAADgAAAAAAAAABACAAAAAl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FA8E70">
                    <w:pPr>
                      <w:pStyle w:val="9"/>
                      <w:tabs>
                        <w:tab w:val="center" w:pos="4153"/>
                        <w:tab w:val="right" w:pos="8306"/>
                        <w:tab w:val="clear" w:pos="4140"/>
                        <w:tab w:val="clear" w:pos="8300"/>
                      </w:tabs>
                    </w:pPr>
                    <w:r>
                      <w:rPr>
                        <w:sz w:val="21"/>
                        <w:szCs w:val="21"/>
                      </w:rPr>
                      <w:t xml:space="preserve">第 </w:t>
                    </w:r>
                    <w:r>
                      <w:rPr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1</w:t>
                    </w:r>
                    <w:r>
                      <w:rPr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sz w:val="21"/>
                        <w:szCs w:val="21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C11F6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29BB6BC2"/>
    <w:rsid w:val="00032C77"/>
    <w:rsid w:val="00042B50"/>
    <w:rsid w:val="0005444A"/>
    <w:rsid w:val="00055484"/>
    <w:rsid w:val="00196F8D"/>
    <w:rsid w:val="002134F5"/>
    <w:rsid w:val="00240D10"/>
    <w:rsid w:val="002A2C9E"/>
    <w:rsid w:val="00301B8C"/>
    <w:rsid w:val="00333158"/>
    <w:rsid w:val="00366B06"/>
    <w:rsid w:val="005C205E"/>
    <w:rsid w:val="00680F55"/>
    <w:rsid w:val="006B2966"/>
    <w:rsid w:val="006E04B8"/>
    <w:rsid w:val="007377F8"/>
    <w:rsid w:val="007646EA"/>
    <w:rsid w:val="008B1E38"/>
    <w:rsid w:val="009015B2"/>
    <w:rsid w:val="009F1E94"/>
    <w:rsid w:val="00AD6F4F"/>
    <w:rsid w:val="00B35765"/>
    <w:rsid w:val="00C65FC8"/>
    <w:rsid w:val="00CC3A78"/>
    <w:rsid w:val="00CE21B5"/>
    <w:rsid w:val="00CF6641"/>
    <w:rsid w:val="00E8712A"/>
    <w:rsid w:val="00EF3803"/>
    <w:rsid w:val="00F47186"/>
    <w:rsid w:val="00FA5ACA"/>
    <w:rsid w:val="00FC1B97"/>
    <w:rsid w:val="01981D96"/>
    <w:rsid w:val="02680F16"/>
    <w:rsid w:val="05C313AC"/>
    <w:rsid w:val="06044D8E"/>
    <w:rsid w:val="063C3527"/>
    <w:rsid w:val="071938B9"/>
    <w:rsid w:val="0B186D4E"/>
    <w:rsid w:val="0BFB500F"/>
    <w:rsid w:val="0CF24C32"/>
    <w:rsid w:val="0DA008CC"/>
    <w:rsid w:val="0EBB3568"/>
    <w:rsid w:val="0EC60B07"/>
    <w:rsid w:val="10332904"/>
    <w:rsid w:val="10CF4970"/>
    <w:rsid w:val="10F63A27"/>
    <w:rsid w:val="14561BE7"/>
    <w:rsid w:val="172B4FA4"/>
    <w:rsid w:val="192A37C4"/>
    <w:rsid w:val="19373CD0"/>
    <w:rsid w:val="198577DD"/>
    <w:rsid w:val="19966094"/>
    <w:rsid w:val="1B4C755C"/>
    <w:rsid w:val="1CA80820"/>
    <w:rsid w:val="1D6E70FD"/>
    <w:rsid w:val="1E0F7272"/>
    <w:rsid w:val="21665943"/>
    <w:rsid w:val="244871F4"/>
    <w:rsid w:val="25295AB7"/>
    <w:rsid w:val="274E2D73"/>
    <w:rsid w:val="27EF733B"/>
    <w:rsid w:val="292902AA"/>
    <w:rsid w:val="29BB6BC2"/>
    <w:rsid w:val="2C0F4050"/>
    <w:rsid w:val="2EEA293E"/>
    <w:rsid w:val="2F1025C8"/>
    <w:rsid w:val="30104537"/>
    <w:rsid w:val="313868D1"/>
    <w:rsid w:val="325B49C3"/>
    <w:rsid w:val="326A7D77"/>
    <w:rsid w:val="33EF3E56"/>
    <w:rsid w:val="39094D4C"/>
    <w:rsid w:val="3BFD7D24"/>
    <w:rsid w:val="3CCE5611"/>
    <w:rsid w:val="3CE71A85"/>
    <w:rsid w:val="3FC574F3"/>
    <w:rsid w:val="412A6A1E"/>
    <w:rsid w:val="414032D5"/>
    <w:rsid w:val="45FB0DB9"/>
    <w:rsid w:val="467E02E4"/>
    <w:rsid w:val="4EC118A7"/>
    <w:rsid w:val="4F1C52C5"/>
    <w:rsid w:val="4FDA2485"/>
    <w:rsid w:val="54F63A8A"/>
    <w:rsid w:val="57DF2953"/>
    <w:rsid w:val="5C7E1FD1"/>
    <w:rsid w:val="5D3B49BA"/>
    <w:rsid w:val="5D8F6FBC"/>
    <w:rsid w:val="60E414E6"/>
    <w:rsid w:val="61E5759F"/>
    <w:rsid w:val="6398560D"/>
    <w:rsid w:val="64A137DB"/>
    <w:rsid w:val="696F3399"/>
    <w:rsid w:val="734E36BE"/>
    <w:rsid w:val="741C09D0"/>
    <w:rsid w:val="74343D24"/>
    <w:rsid w:val="764F97C9"/>
    <w:rsid w:val="78C53AE4"/>
    <w:rsid w:val="7EB51055"/>
    <w:rsid w:val="7FB46DC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Paragraph"/>
    <w:basedOn w:val="1"/>
    <w:qFormat/>
    <w:uiPriority w:val="34"/>
    <w:pPr>
      <w:ind w:firstLine="420" w:firstLineChars="200"/>
    </w:pPr>
  </w:style>
  <w:style w:type="paragraph" w:styleId="4">
    <w:name w:val="Normal Indent"/>
    <w:basedOn w:val="1"/>
    <w:autoRedefine/>
    <w:qFormat/>
    <w:uiPriority w:val="0"/>
    <w:pPr>
      <w:ind w:firstLine="420"/>
    </w:pPr>
    <w:rPr>
      <w:szCs w:val="21"/>
    </w:r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Body Text"/>
    <w:basedOn w:val="1"/>
    <w:autoRedefine/>
    <w:qFormat/>
    <w:uiPriority w:val="99"/>
    <w:pPr>
      <w:jc w:val="left"/>
    </w:pPr>
    <w:rPr>
      <w:kern w:val="0"/>
    </w:rPr>
  </w:style>
  <w:style w:type="paragraph" w:styleId="7">
    <w:name w:val="Plain Text"/>
    <w:basedOn w:val="1"/>
    <w:autoRedefine/>
    <w:qFormat/>
    <w:uiPriority w:val="0"/>
    <w:rPr>
      <w:rFonts w:ascii="宋体" w:hAnsi="Courier New"/>
      <w:kern w:val="0"/>
      <w:sz w:val="20"/>
    </w:rPr>
  </w:style>
  <w:style w:type="paragraph" w:styleId="8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9">
    <w:name w:val="footer"/>
    <w:basedOn w:val="1"/>
    <w:autoRedefine/>
    <w:qFormat/>
    <w:uiPriority w:val="0"/>
    <w:pPr>
      <w:tabs>
        <w:tab w:val="center" w:pos="4140"/>
        <w:tab w:val="right" w:pos="8300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</w:rPr>
  </w:style>
  <w:style w:type="paragraph" w:styleId="12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  <w:szCs w:val="24"/>
    </w:rPr>
  </w:style>
  <w:style w:type="paragraph" w:styleId="13">
    <w:name w:val="Body Text First Indent"/>
    <w:basedOn w:val="6"/>
    <w:autoRedefine/>
    <w:qFormat/>
    <w:uiPriority w:val="0"/>
    <w:pPr>
      <w:spacing w:line="360" w:lineRule="auto"/>
      <w:ind w:firstLine="420"/>
    </w:pPr>
    <w:rPr>
      <w:rFonts w:ascii="宋体" w:hAnsi="宋体"/>
      <w:sz w:val="24"/>
    </w:rPr>
  </w:style>
  <w:style w:type="table" w:styleId="15">
    <w:name w:val="Table Grid"/>
    <w:basedOn w:val="14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annotation reference"/>
    <w:basedOn w:val="16"/>
    <w:autoRedefine/>
    <w:qFormat/>
    <w:uiPriority w:val="0"/>
    <w:rPr>
      <w:sz w:val="21"/>
      <w:szCs w:val="21"/>
    </w:rPr>
  </w:style>
  <w:style w:type="character" w:customStyle="1" w:styleId="18">
    <w:name w:val="页眉 Char"/>
    <w:basedOn w:val="16"/>
    <w:link w:val="10"/>
    <w:autoRedefine/>
    <w:qFormat/>
    <w:uiPriority w:val="0"/>
    <w:rPr>
      <w:kern w:val="2"/>
      <w:sz w:val="18"/>
      <w:szCs w:val="18"/>
    </w:rPr>
  </w:style>
  <w:style w:type="character" w:customStyle="1" w:styleId="19">
    <w:name w:val="批注框文本 Char"/>
    <w:basedOn w:val="16"/>
    <w:link w:val="8"/>
    <w:autoRedefine/>
    <w:qFormat/>
    <w:uiPriority w:val="0"/>
    <w:rPr>
      <w:kern w:val="2"/>
      <w:sz w:val="18"/>
      <w:szCs w:val="18"/>
    </w:rPr>
  </w:style>
  <w:style w:type="paragraph" w:customStyle="1" w:styleId="20">
    <w:name w:val="样式 10 磅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">
    <w:name w:val="正文空2格  1."/>
    <w:basedOn w:val="1"/>
    <w:autoRedefine/>
    <w:qFormat/>
    <w:uiPriority w:val="0"/>
    <w:pPr>
      <w:adjustRightInd w:val="0"/>
      <w:spacing w:line="360" w:lineRule="auto"/>
      <w:ind w:firstLine="480" w:firstLineChars="200"/>
    </w:pPr>
    <w:rPr>
      <w:rFonts w:hint="eastAsia" w:ascii="宋体" w:eastAsia="仿宋" w:cs="宋体"/>
      <w:kern w:val="0"/>
      <w:sz w:val="28"/>
    </w:rPr>
  </w:style>
  <w:style w:type="paragraph" w:customStyle="1" w:styleId="22">
    <w:name w:val="Default1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2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6</Pages>
  <Words>2276</Words>
  <Characters>2314</Characters>
  <Lines>12</Lines>
  <Paragraphs>3</Paragraphs>
  <TotalTime>0</TotalTime>
  <ScaleCrop>false</ScaleCrop>
  <LinksUpToDate>false</LinksUpToDate>
  <CharactersWithSpaces>2374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2025-03-26T08:38:00Z</dcterms:created>
  <dc:creator>独舞的蒲公英</dc:creator>
  <cp:lastModifiedBy>陕西华采招标有限公司</cp:lastModifiedBy>
  <cp:lastPrinted>2022-09-28T14:56:00Z</cp:lastPrinted>
  <dcterms:modified xsi:type="dcterms:W3CDTF">2026-07-07T11:22:56Z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E79E879024B94D3FB100E7468F0D228F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