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版本号：ZCSP-白水县-2026-0011320260803002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白水县殡仪馆设备购置项目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ZCSP-白水县-2026-00113</w:t>
      </w:r>
      <w:r>
        <w:br/>
      </w:r>
      <w:r>
        <w:br/>
      </w:r>
      <w:r>
        <w:br/>
      </w:r>
    </w:p>
    <w:p>
      <w:pPr>
        <w:pStyle w:val="null3"/>
        <w:jc w:val="center"/>
        <w:outlineLvl w:val="2"/>
      </w:pPr>
      <w:r>
        <w:rPr>
          <w:rFonts w:ascii="仿宋_GB2312" w:hAnsi="仿宋_GB2312" w:cs="仿宋_GB2312" w:eastAsia="仿宋_GB2312"/>
          <w:sz w:val="28"/>
          <w:b/>
        </w:rPr>
        <w:t>白水县殡葬管理所</w:t>
      </w:r>
    </w:p>
    <w:p>
      <w:pPr>
        <w:pStyle w:val="null3"/>
        <w:jc w:val="center"/>
        <w:outlineLvl w:val="2"/>
      </w:pPr>
      <w:r>
        <w:rPr>
          <w:rFonts w:ascii="仿宋_GB2312" w:hAnsi="仿宋_GB2312" w:cs="仿宋_GB2312" w:eastAsia="仿宋_GB2312"/>
          <w:sz w:val="28"/>
          <w:b/>
        </w:rPr>
        <w:t>陕西盛典日工程咨询有限公司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陕西盛典日工程咨询有限公司</w:t>
      </w:r>
      <w:r>
        <w:rPr>
          <w:rFonts w:ascii="仿宋_GB2312" w:hAnsi="仿宋_GB2312" w:cs="仿宋_GB2312" w:eastAsia="仿宋_GB2312"/>
        </w:rPr>
        <w:t>（以下简称“代理机构”）受</w:t>
      </w:r>
      <w:r>
        <w:rPr>
          <w:rFonts w:ascii="仿宋_GB2312" w:hAnsi="仿宋_GB2312" w:cs="仿宋_GB2312" w:eastAsia="仿宋_GB2312"/>
        </w:rPr>
        <w:t>白水县殡葬管理所</w:t>
      </w:r>
      <w:r>
        <w:rPr>
          <w:rFonts w:ascii="仿宋_GB2312" w:hAnsi="仿宋_GB2312" w:cs="仿宋_GB2312" w:eastAsia="仿宋_GB2312"/>
        </w:rPr>
        <w:t>委托，拟对</w:t>
      </w:r>
      <w:r>
        <w:rPr>
          <w:rFonts w:ascii="仿宋_GB2312" w:hAnsi="仿宋_GB2312" w:cs="仿宋_GB2312" w:eastAsia="仿宋_GB2312"/>
        </w:rPr>
        <w:t>白水县殡仪馆设备购置项目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ZCSP-白水县-2026-00113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白水县殡仪馆设备购置项目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火化炉尾气净化设备 1 台、殡葬车 1 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采购包1（火化炉尾气净化设备）：属于专门面向中小企业采购。</w:t>
      </w:r>
    </w:p>
    <w:p>
      <w:pPr>
        <w:pStyle w:val="null3"/>
      </w:pPr>
      <w:r>
        <w:rPr>
          <w:rFonts w:ascii="仿宋_GB2312" w:hAnsi="仿宋_GB2312" w:cs="仿宋_GB2312" w:eastAsia="仿宋_GB2312"/>
        </w:rPr>
        <w:t>采购包2（殡葬车）：属于专门面向中小企业采购。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为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财务状况：提供2025年度的财务审计报告（至少包括资产负债表和利润表，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3、税收缴纳证明：提供投标文件递交截止时间前6个月内任意一个月的缴费凭据，依法免税的单位应提供相关证明材料；</w:t>
      </w:r>
    </w:p>
    <w:p>
      <w:pPr>
        <w:pStyle w:val="null3"/>
      </w:pPr>
      <w:r>
        <w:rPr>
          <w:rFonts w:ascii="仿宋_GB2312" w:hAnsi="仿宋_GB2312" w:cs="仿宋_GB2312" w:eastAsia="仿宋_GB2312"/>
        </w:rPr>
        <w:t>4、社会保障资金缴纳证明：提供投标文件递交截止时间前6个月内任意一个月的社会保障资金缴存单据或社保机构开具的社会保险参保缴费情况证明，依法不需要缴纳社会保障资金的单位应提供相关证明材料；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5、无重大违法记录声明：提供参加本次政府采购活动前三年内在经营活动中没有重大违法记录的书面声明</w:t>
      </w:r>
    </w:p>
    <w:p>
      <w:pPr>
        <w:pStyle w:val="null3"/>
      </w:pPr>
      <w:r>
        <w:rPr>
          <w:rFonts w:ascii="仿宋_GB2312" w:hAnsi="仿宋_GB2312" w:cs="仿宋_GB2312" w:eastAsia="仿宋_GB2312"/>
        </w:rPr>
        <w:t>6、履行合同承诺书：提供具有履行合同所必需的设备和专业技术能力的承诺书</w:t>
      </w:r>
    </w:p>
    <w:p>
      <w:pPr>
        <w:pStyle w:val="null3"/>
      </w:pPr>
      <w:r>
        <w:rPr>
          <w:rFonts w:ascii="仿宋_GB2312" w:hAnsi="仿宋_GB2312" w:cs="仿宋_GB2312" w:eastAsia="仿宋_GB2312"/>
        </w:rPr>
        <w:t>7、无控股承诺：单位负责人为同一人或者存在直接控股、管理关系的不同供应商，不得参加同一合同项下的政府采购活动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信誉要求：供应商不得在“信用中国”（www.creditchina.gov.cn）网站被列为失信被执行人和重大税收违法失信主体，且无不良记录。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为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财务状况：提供2025年度的财务审计报告（至少包括资产负债表和利润表，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3、税收缴纳证明：提供投标文件递交截止时间前6个月内任意一个月的缴费凭据，依法免税的单位应提供相关证明材料；</w:t>
      </w:r>
    </w:p>
    <w:p>
      <w:pPr>
        <w:pStyle w:val="null3"/>
      </w:pPr>
      <w:r>
        <w:rPr>
          <w:rFonts w:ascii="仿宋_GB2312" w:hAnsi="仿宋_GB2312" w:cs="仿宋_GB2312" w:eastAsia="仿宋_GB2312"/>
        </w:rPr>
        <w:t>4、社会保障资金缴纳证明：提供投标文件递交截止时间前6个月内任意一个月的社会保障资金缴存单据或社保机构开具的社会保险参保缴费情况证明，依法不需要缴纳社会保障资金的单位应提供相关证明材料；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5、无重大违法记录声明：提供参加本次政府采购活动前三年内在经营活动中没有重大违法记录的书面声明</w:t>
      </w:r>
    </w:p>
    <w:p>
      <w:pPr>
        <w:pStyle w:val="null3"/>
      </w:pPr>
      <w:r>
        <w:rPr>
          <w:rFonts w:ascii="仿宋_GB2312" w:hAnsi="仿宋_GB2312" w:cs="仿宋_GB2312" w:eastAsia="仿宋_GB2312"/>
        </w:rPr>
        <w:t>6、履行合同承诺书：提供具有履行合同所必需的设备和专业技术能力的承诺书</w:t>
      </w:r>
    </w:p>
    <w:p>
      <w:pPr>
        <w:pStyle w:val="null3"/>
      </w:pPr>
      <w:r>
        <w:rPr>
          <w:rFonts w:ascii="仿宋_GB2312" w:hAnsi="仿宋_GB2312" w:cs="仿宋_GB2312" w:eastAsia="仿宋_GB2312"/>
        </w:rPr>
        <w:t>7、无控股承诺：单位负责人为同一人或者存在直接控股、管理关系的不同供应商，不得参加同一合同项下的政府采购活动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信誉要求：供应商不得在“信用中国”（www.creditchina.gov.cn）网站被列为失信被执行人和重大税收违法失信主体，且无不良记录。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白水县殡葬管理所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白水县城关街道办事处张坡村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雷红文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13279635629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陕西盛典日工程咨询有限公司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陕西省渭南市临渭区渭南市临渭区仓程路北段碧桂园翡翠公馆12幢商铺2层单元202号户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弥婷婷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17386960448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开户名称：陕西盛典日工程咨询有限公司</w:t>
            </w:r>
          </w:p>
          <w:p>
            <w:pPr>
              <w:pStyle w:val="null3"/>
            </w:pPr>
            <w:r>
              <w:rPr>
                <w:rFonts w:ascii="仿宋_GB2312" w:hAnsi="仿宋_GB2312" w:cs="仿宋_GB2312" w:eastAsia="仿宋_GB2312"/>
              </w:rPr>
              <w:t>开户银行：长安银行股份有限公司渭南向阳支行</w:t>
            </w:r>
          </w:p>
          <w:p>
            <w:pPr>
              <w:pStyle w:val="null3"/>
            </w:pPr>
            <w:r>
              <w:rPr>
                <w:rFonts w:ascii="仿宋_GB2312" w:hAnsi="仿宋_GB2312" w:cs="仿宋_GB2312" w:eastAsia="仿宋_GB2312"/>
              </w:rPr>
              <w:t>银行账号：806040601421008477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代理服务费收费标准：招标代理服务费以中标价为基数，参照国家计委颁发计价格[2002]1980号和国家发展和改革委员会办公厅颁发的发改办价格[2003]857号的有关规定执行。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白水县殡葬管理所</w:t>
      </w:r>
      <w:r>
        <w:rPr>
          <w:rFonts w:ascii="仿宋_GB2312" w:hAnsi="仿宋_GB2312" w:cs="仿宋_GB2312" w:eastAsia="仿宋_GB2312"/>
        </w:rPr>
        <w:t>和</w:t>
      </w:r>
      <w:r>
        <w:rPr>
          <w:rFonts w:ascii="仿宋_GB2312" w:hAnsi="仿宋_GB2312" w:cs="仿宋_GB2312" w:eastAsia="仿宋_GB2312"/>
        </w:rPr>
        <w:t>陕西盛典日工程咨询有限公司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白水县殡葬管理所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陕西盛典日工程咨询有限公司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白水县殡葬管理所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陕西盛典日工程咨询有限公司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符合国家现行技术规范和标准，达到合格要求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符合国家现行技术规范和标准，达到合格要求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陕西盛典日工程咨询有限公司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陕西盛典日工程咨询有限公司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陕西盛典日工程咨询有限公司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联系人：弥婷婷</w:t>
      </w:r>
    </w:p>
    <w:p>
      <w:pPr>
        <w:pStyle w:val="null3"/>
      </w:pPr>
      <w:r>
        <w:rPr>
          <w:rFonts w:ascii="仿宋_GB2312" w:hAnsi="仿宋_GB2312" w:cs="仿宋_GB2312" w:eastAsia="仿宋_GB2312"/>
        </w:rPr>
        <w:t>联系电话：17386960448</w:t>
      </w:r>
    </w:p>
    <w:p>
      <w:pPr>
        <w:pStyle w:val="null3"/>
      </w:pPr>
      <w:r>
        <w:rPr>
          <w:rFonts w:ascii="仿宋_GB2312" w:hAnsi="仿宋_GB2312" w:cs="仿宋_GB2312" w:eastAsia="仿宋_GB2312"/>
        </w:rPr>
        <w:t>地址：渭南市临渭区仓程路北段碧桂园翡翠公馆12幢商铺2层单元202号户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火化炉尾气净化设备 1 台、殡葬车 1 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 合同包 1（火化炉尾气净化设备）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 合同包 2（殡葬车）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合同包 1（火化炉尾气净化设备）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8"/>
              <w:gridCol w:w="503"/>
              <w:gridCol w:w="1872"/>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b/>
                      <w:color w:val="000000"/>
                    </w:rPr>
                    <w:t>序号</w:t>
                  </w:r>
                </w:p>
              </w:tc>
              <w:tc>
                <w:tcPr>
                  <w:tcW w:type="dxa" w:w="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b/>
                      <w:color w:val="000000"/>
                    </w:rPr>
                    <w:t>参数名称</w:t>
                  </w:r>
                </w:p>
              </w:tc>
              <w:tc>
                <w:tcPr>
                  <w:tcW w:type="dxa" w:w="1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b/>
                    </w:rPr>
                    <w:t>产品规格参数及技术要求</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烟气分配器</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φ800mm×H2000mm，厚度≥2.5mm，材料：304L不锈钢。</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2</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引风机</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color w:val="000000"/>
                    </w:rPr>
                    <w:t>品牌产品，流量</w:t>
                  </w:r>
                  <w:r>
                    <w:rPr>
                      <w:rFonts w:ascii="仿宋_GB2312" w:hAnsi="仿宋_GB2312" w:cs="仿宋_GB2312" w:eastAsia="仿宋_GB2312"/>
                      <w:sz w:val="22"/>
                      <w:color w:val="000000"/>
                    </w:rPr>
                    <w:t>≥3000立方/小时、压力≥5500Pa。</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冷却器</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color w:val="000000"/>
                    </w:rPr>
                    <w:t>φ1000mm×H2400mm，厚度≥5mm，材料冷轧钢。</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加压器</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流量</w:t>
                  </w:r>
                  <w:r>
                    <w:rPr>
                      <w:rFonts w:ascii="仿宋_GB2312" w:hAnsi="仿宋_GB2312" w:cs="仿宋_GB2312" w:eastAsia="仿宋_GB2312"/>
                      <w:sz w:val="22"/>
                      <w:color w:val="000000"/>
                    </w:rPr>
                    <w:t>≥3000立方/小时、压力≥6800Pa，厚度≥2mm，材料</w:t>
                  </w:r>
                  <w:r>
                    <w:rPr>
                      <w:rFonts w:ascii="仿宋_GB2312" w:hAnsi="仿宋_GB2312" w:cs="仿宋_GB2312" w:eastAsia="仿宋_GB2312"/>
                      <w:sz w:val="22"/>
                    </w:rPr>
                    <w:t>304L</w:t>
                  </w:r>
                  <w:r>
                    <w:rPr>
                      <w:rFonts w:ascii="仿宋_GB2312" w:hAnsi="仿宋_GB2312" w:cs="仿宋_GB2312" w:eastAsia="仿宋_GB2312"/>
                      <w:sz w:val="22"/>
                      <w:color w:val="000000"/>
                    </w:rPr>
                    <w:t>不锈钢外饰。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5</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脱硫脱硝处理器</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流量</w:t>
                  </w:r>
                  <w:r>
                    <w:rPr>
                      <w:rFonts w:ascii="仿宋_GB2312" w:hAnsi="仿宋_GB2312" w:cs="仿宋_GB2312" w:eastAsia="仿宋_GB2312"/>
                      <w:sz w:val="22"/>
                    </w:rPr>
                    <w:t>≥2800 立方/小时，厚度≥5mm，材料冷轧钢；</w:t>
                  </w:r>
                  <w:r>
                    <w:rPr>
                      <w:rFonts w:ascii="仿宋_GB2312" w:hAnsi="仿宋_GB2312" w:cs="仿宋_GB2312" w:eastAsia="仿宋_GB2312"/>
                      <w:sz w:val="22"/>
                      <w:color w:val="000000"/>
                    </w:rPr>
                    <w:t>材料</w:t>
                  </w:r>
                  <w:r>
                    <w:rPr>
                      <w:rFonts w:ascii="仿宋_GB2312" w:hAnsi="仿宋_GB2312" w:cs="仿宋_GB2312" w:eastAsia="仿宋_GB2312"/>
                      <w:sz w:val="22"/>
                    </w:rPr>
                    <w:t>304L不锈钢外饰，厚度≥2mm。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烟气整合分离器</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流量</w:t>
                  </w:r>
                  <w:r>
                    <w:rPr>
                      <w:rFonts w:ascii="仿宋_GB2312" w:hAnsi="仿宋_GB2312" w:cs="仿宋_GB2312" w:eastAsia="仿宋_GB2312"/>
                      <w:sz w:val="22"/>
                    </w:rPr>
                    <w:t>≥2800 立方/小时，厚度≥2.5mm，材料304L不锈钢。</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除尘器箱</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L2200mm×W1900mm×H5000mm（±5%），厚度≥2.5mm，材料304L不锈钢</w:t>
                  </w:r>
                  <w:r>
                    <w:rPr>
                      <w:rFonts w:ascii="仿宋_GB2312" w:hAnsi="仿宋_GB2312" w:cs="仿宋_GB2312" w:eastAsia="仿宋_GB2312"/>
                      <w:sz w:val="22"/>
                    </w:rPr>
                    <w:t>。</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管道</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大于</w:t>
                  </w:r>
                  <w:r>
                    <w:rPr>
                      <w:rFonts w:ascii="仿宋_GB2312" w:hAnsi="仿宋_GB2312" w:cs="仿宋_GB2312" w:eastAsia="仿宋_GB2312"/>
                      <w:sz w:val="22"/>
                    </w:rPr>
                    <w:t>φ390mm×L（约）30 米，厚度≥2.5mm，材料304L 不锈钢，法兰连接。</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9</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尾气净化装</w:t>
                  </w:r>
                </w:p>
                <w:p>
                  <w:pPr>
                    <w:pStyle w:val="null3"/>
                    <w:spacing w:before="45"/>
                    <w:jc w:val="center"/>
                  </w:pPr>
                  <w:r>
                    <w:rPr>
                      <w:rFonts w:ascii="仿宋_GB2312" w:hAnsi="仿宋_GB2312" w:cs="仿宋_GB2312" w:eastAsia="仿宋_GB2312"/>
                      <w:sz w:val="22"/>
                      <w:color w:val="000000"/>
                    </w:rPr>
                    <w:t>置耗电量</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color w:val="000000"/>
                    </w:rPr>
                    <w:t>≤23千瓦/小时（含</w:t>
                  </w:r>
                  <w:r>
                    <w:rPr>
                      <w:rFonts w:ascii="仿宋_GB2312" w:hAnsi="仿宋_GB2312" w:cs="仿宋_GB2312" w:eastAsia="仿宋_GB2312"/>
                      <w:sz w:val="22"/>
                      <w:color w:val="000000"/>
                    </w:rPr>
                    <w:t>火化炉</w:t>
                  </w:r>
                  <w:r>
                    <w:rPr>
                      <w:rFonts w:ascii="仿宋_GB2312" w:hAnsi="仿宋_GB2312" w:cs="仿宋_GB2312" w:eastAsia="仿宋_GB2312"/>
                      <w:sz w:val="22"/>
                      <w:color w:val="000000"/>
                    </w:rPr>
                    <w:t>）</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10</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烟气总流量</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≤3000立方/小时。</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11</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烟气末端温度</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≤50℃</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12</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污水处理</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无污水</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13</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空压机</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不得配置空压机</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14</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烟囱高度</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≥12米</w:t>
                  </w:r>
                  <w:r>
                    <w:rPr>
                      <w:rFonts w:ascii="仿宋_GB2312" w:hAnsi="仿宋_GB2312" w:cs="仿宋_GB2312" w:eastAsia="仿宋_GB2312"/>
                      <w:sz w:val="22"/>
                    </w:rPr>
                    <w:t>+</w:t>
                  </w:r>
                  <w:r>
                    <w:rPr>
                      <w:rFonts w:ascii="仿宋_GB2312" w:hAnsi="仿宋_GB2312" w:cs="仿宋_GB2312" w:eastAsia="仿宋_GB2312"/>
                      <w:sz w:val="22"/>
                    </w:rPr>
                    <w:t>（含设备）</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15</w:t>
                  </w:r>
                </w:p>
              </w:tc>
              <w:tc>
                <w:tcPr>
                  <w:tcW w:type="dxa" w:w="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尾气区相对噪音</w:t>
                  </w:r>
                </w:p>
              </w:tc>
              <w:tc>
                <w:tcPr>
                  <w:tcW w:type="dxa" w:w="1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≤80dB</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16</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操作性</w:t>
                  </w:r>
                </w:p>
              </w:tc>
              <w:tc>
                <w:tcPr>
                  <w:tcW w:type="dxa" w:w="1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与</w:t>
                  </w:r>
                  <w:r>
                    <w:rPr>
                      <w:rFonts w:ascii="仿宋_GB2312" w:hAnsi="仿宋_GB2312" w:cs="仿宋_GB2312" w:eastAsia="仿宋_GB2312"/>
                      <w:sz w:val="22"/>
                    </w:rPr>
                    <w:t>火化</w:t>
                  </w:r>
                  <w:r>
                    <w:rPr>
                      <w:rFonts w:ascii="仿宋_GB2312" w:hAnsi="仿宋_GB2312" w:cs="仿宋_GB2312" w:eastAsia="仿宋_GB2312"/>
                      <w:sz w:val="22"/>
                    </w:rPr>
                    <w:t>炉联机自动</w:t>
                  </w:r>
                  <w:r>
                    <w:rPr>
                      <w:rFonts w:ascii="仿宋_GB2312" w:hAnsi="仿宋_GB2312" w:cs="仿宋_GB2312" w:eastAsia="仿宋_GB2312"/>
                      <w:sz w:val="22"/>
                    </w:rPr>
                    <w:t>“一键式”同步操作</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17</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设备寿命</w:t>
                  </w:r>
                </w:p>
              </w:tc>
              <w:tc>
                <w:tcPr>
                  <w:tcW w:type="dxa" w:w="1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≥10年</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18</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运行方式</w:t>
                  </w:r>
                </w:p>
              </w:tc>
              <w:tc>
                <w:tcPr>
                  <w:tcW w:type="dxa" w:w="1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rPr>
                    <w:t>连续运行</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2"/>
                      <w:color w:val="000000"/>
                    </w:rPr>
                    <w:t>尾气处理装置实质性要求</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1</w:t>
                  </w:r>
                </w:p>
              </w:tc>
              <w:tc>
                <w:tcPr>
                  <w:tcW w:type="dxa" w:w="237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火化</w:t>
                  </w:r>
                  <w:r>
                    <w:rPr>
                      <w:rFonts w:ascii="仿宋_GB2312" w:hAnsi="仿宋_GB2312" w:cs="仿宋_GB2312" w:eastAsia="仿宋_GB2312"/>
                      <w:sz w:val="22"/>
                      <w:color w:val="000000"/>
                    </w:rPr>
                    <w:t>炉尾气装置采用新型半干法式滤袋除尘器，</w:t>
                  </w:r>
                  <w:r>
                    <w:rPr>
                      <w:rFonts w:ascii="仿宋_GB2312" w:hAnsi="仿宋_GB2312" w:cs="仿宋_GB2312" w:eastAsia="仿宋_GB2312"/>
                      <w:sz w:val="22"/>
                      <w:color w:val="000000"/>
                    </w:rPr>
                    <w:t>5年内不需更换滤袋，</w:t>
                  </w:r>
                  <w:r>
                    <w:rPr>
                      <w:rFonts w:ascii="仿宋_GB2312" w:hAnsi="仿宋_GB2312" w:cs="仿宋_GB2312" w:eastAsia="仿宋_GB2312"/>
                      <w:sz w:val="22"/>
                      <w:color w:val="000000"/>
                    </w:rPr>
                    <w:t>用户</w:t>
                  </w:r>
                  <w:r>
                    <w:rPr>
                      <w:rFonts w:ascii="仿宋_GB2312" w:hAnsi="仿宋_GB2312" w:cs="仿宋_GB2312" w:eastAsia="仿宋_GB2312"/>
                      <w:sz w:val="22"/>
                      <w:color w:val="000000"/>
                    </w:rPr>
                    <w:t>无后续费用，排放指标须达到</w:t>
                  </w:r>
                  <w:r>
                    <w:rPr>
                      <w:rFonts w:ascii="仿宋_GB2312" w:hAnsi="仿宋_GB2312" w:cs="仿宋_GB2312" w:eastAsia="仿宋_GB2312"/>
                      <w:sz w:val="22"/>
                      <w:color w:val="000000"/>
                    </w:rPr>
                    <w:t>GB13801-2015检测标准。</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2</w:t>
                  </w:r>
                </w:p>
              </w:tc>
              <w:tc>
                <w:tcPr>
                  <w:tcW w:type="dxa" w:w="23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尾气装置工作模式为不间断连续使用，设备运行后，确保炉膛负压在</w:t>
                  </w:r>
                  <w:r>
                    <w:rPr>
                      <w:rFonts w:ascii="仿宋_GB2312" w:hAnsi="仿宋_GB2312" w:cs="仿宋_GB2312" w:eastAsia="仿宋_GB2312"/>
                      <w:sz w:val="22"/>
                      <w:color w:val="000000"/>
                    </w:rPr>
                    <w:t>-200 Pa至-10Pa 范围内可调，不得出现正压污染</w:t>
                  </w:r>
                  <w:r>
                    <w:rPr>
                      <w:rFonts w:ascii="仿宋_GB2312" w:hAnsi="仿宋_GB2312" w:cs="仿宋_GB2312" w:eastAsia="仿宋_GB2312"/>
                      <w:sz w:val="22"/>
                      <w:color w:val="000000"/>
                    </w:rPr>
                    <w:t>操作</w:t>
                  </w:r>
                  <w:r>
                    <w:rPr>
                      <w:rFonts w:ascii="仿宋_GB2312" w:hAnsi="仿宋_GB2312" w:cs="仿宋_GB2312" w:eastAsia="仿宋_GB2312"/>
                      <w:sz w:val="22"/>
                      <w:color w:val="000000"/>
                    </w:rPr>
                    <w:t>场地。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2"/>
                      <w:color w:val="000000"/>
                    </w:rPr>
                    <w:t>3</w:t>
                  </w:r>
                </w:p>
              </w:tc>
              <w:tc>
                <w:tcPr>
                  <w:tcW w:type="dxa" w:w="23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尾气装置不得使用空压机，不得添加</w:t>
                  </w:r>
                  <w:r>
                    <w:rPr>
                      <w:rFonts w:ascii="仿宋_GB2312" w:hAnsi="仿宋_GB2312" w:cs="仿宋_GB2312" w:eastAsia="仿宋_GB2312"/>
                      <w:sz w:val="22"/>
                      <w:color w:val="000000"/>
                    </w:rPr>
                    <w:t>“石灰粉、活性炭”，不得有危固污染废料排放、（</w:t>
                  </w:r>
                  <w:r>
                    <w:rPr>
                      <w:rFonts w:ascii="仿宋_GB2312" w:hAnsi="仿宋_GB2312" w:cs="仿宋_GB2312" w:eastAsia="仿宋_GB2312"/>
                      <w:sz w:val="22"/>
                      <w:color w:val="000000"/>
                    </w:rPr>
                    <w:t>肌尘</w:t>
                  </w:r>
                  <w:r>
                    <w:rPr>
                      <w:rFonts w:ascii="仿宋_GB2312" w:hAnsi="仿宋_GB2312" w:cs="仿宋_GB2312" w:eastAsia="仿宋_GB2312"/>
                      <w:sz w:val="22"/>
                      <w:color w:val="000000"/>
                    </w:rPr>
                    <w:t>垃圾除外）不得有二次污染。尾气区相对噪声</w:t>
                  </w:r>
                  <w:r>
                    <w:rPr>
                      <w:rFonts w:ascii="仿宋_GB2312" w:hAnsi="仿宋_GB2312" w:cs="仿宋_GB2312" w:eastAsia="仿宋_GB2312"/>
                      <w:sz w:val="22"/>
                      <w:color w:val="000000"/>
                    </w:rPr>
                    <w:t>≤80dB。</w:t>
                  </w:r>
                  <w:r>
                    <w:rPr>
                      <w:rFonts w:ascii="仿宋_GB2312" w:hAnsi="仿宋_GB2312" w:cs="仿宋_GB2312" w:eastAsia="仿宋_GB2312"/>
                      <w:sz w:val="22"/>
                      <w:color w:val="000000"/>
                    </w:rPr>
                    <w:t>只允许有一个烟囱口排放。</w:t>
                  </w:r>
                </w:p>
              </w:tc>
            </w:tr>
          </w:tbl>
          <w:p>
            <w:pPr>
              <w:pStyle w:val="null3"/>
            </w:pPr>
            <w:r>
              <w:rPr>
                <w:rFonts w:ascii="仿宋_GB2312" w:hAnsi="仿宋_GB2312" w:cs="仿宋_GB2312" w:eastAsia="仿宋_GB2312"/>
                <w:sz w:val="22"/>
                <w:color w:val="000000"/>
              </w:rPr>
              <w:t>注：</w:t>
            </w:r>
            <w:r>
              <w:rPr>
                <w:rFonts w:ascii="仿宋_GB2312" w:hAnsi="仿宋_GB2312" w:cs="仿宋_GB2312" w:eastAsia="仿宋_GB2312"/>
                <w:sz w:val="22"/>
              </w:rPr>
              <w:t>标</w:t>
            </w:r>
            <w:r>
              <w:rPr>
                <w:rFonts w:ascii="仿宋_GB2312" w:hAnsi="仿宋_GB2312" w:cs="仿宋_GB2312" w:eastAsia="仿宋_GB2312"/>
                <w:sz w:val="22"/>
              </w:rPr>
              <w:t>★为实质性要求，必须提供佐证资料（包括但不限于检测报告/产品官网截图/用户使用说明书/产品使用说明书/技术规格书/产品彩页）</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标的名称：货物 合同包 2（殡葬车）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08"/>
              <w:gridCol w:w="437"/>
              <w:gridCol w:w="1903"/>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技术参数及配置</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▲功率</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≥100kw（144马力）</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▲排量</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≤2.0L</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▲排放标准</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w:t>
                  </w:r>
                  <w:r>
                    <w:rPr>
                      <w:rFonts w:ascii="仿宋_GB2312" w:hAnsi="仿宋_GB2312" w:cs="仿宋_GB2312" w:eastAsia="仿宋_GB2312"/>
                      <w:sz w:val="21"/>
                      <w:color w:val="000000"/>
                    </w:rPr>
                    <w:t>VI</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油耗</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(WLTC）≤11L/100km</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最高车速</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≥100km/h</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乘员及装载</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≥2-4人+专用设施</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汽油发动机</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外形尺寸</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*宽*高≥5160*1980*1900</w:t>
                  </w:r>
                </w:p>
              </w:tc>
            </w:tr>
            <w:tr>
              <w:tc>
                <w:tcPr>
                  <w:tcW w:type="dxa" w:w="25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主要配置清单</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空调</w:t>
                  </w:r>
                </w:p>
              </w:tc>
              <w:tc>
                <w:tcPr>
                  <w:tcW w:type="dxa" w:w="1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冷暖空调</w:t>
                  </w:r>
                  <w:r>
                    <w:rPr>
                      <w:rFonts w:ascii="仿宋_GB2312" w:hAnsi="仿宋_GB2312" w:cs="仿宋_GB2312" w:eastAsia="仿宋_GB2312"/>
                      <w:sz w:val="21"/>
                      <w:color w:val="000000"/>
                    </w:rPr>
                    <w:t>(手动）</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车门开启方式</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平开门</w:t>
                  </w:r>
                  <w:r>
                    <w:rPr>
                      <w:rFonts w:ascii="仿宋_GB2312" w:hAnsi="仿宋_GB2312" w:cs="仿宋_GB2312" w:eastAsia="仿宋_GB2312"/>
                      <w:sz w:val="21"/>
                      <w:color w:val="000000"/>
                    </w:rPr>
                    <w:t>+侧滑门</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变速箱</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5挡手动变速箱（MT)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底盘转向</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驱动方式：前置后驱。前麦弗逊式独立悬架、后板簧式后悬架、机械液压助力、承载式车体结构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车轮制动</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通风盘式前制动器，盘式后制动器、轮胎规格：</w:t>
                  </w:r>
                  <w:r>
                    <w:rPr>
                      <w:rFonts w:ascii="仿宋_GB2312" w:hAnsi="仿宋_GB2312" w:cs="仿宋_GB2312" w:eastAsia="仿宋_GB2312"/>
                      <w:sz w:val="21"/>
                      <w:color w:val="000000"/>
                    </w:rPr>
                    <w:t>≥215/70R16、全尺寸备胎规格</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▲安全气囊</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主驾驶安全气囊</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主动安全</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ABSJN防抱死、EBD/CBC制动力分配、胎压显示监测功能、主驾驶座安全带未系提醒</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w:t>
                  </w:r>
                  <w:r>
                    <w:rPr>
                      <w:rFonts w:ascii="仿宋_GB2312" w:hAnsi="仿宋_GB2312" w:cs="仿宋_GB2312" w:eastAsia="仿宋_GB2312"/>
                      <w:sz w:val="21"/>
                      <w:color w:val="000000"/>
                    </w:rPr>
                    <w:t>/防盗</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钢制轮毂，左、右侧手动侧滑门、中控锁、遥控钥匙、前电动车窗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车外灯光</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LED近、远灯光、日间行车灯、大灯高度可调</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方向盘</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多功能方向盘、手动上下调节</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机械档把换挡、</w:t>
                  </w:r>
                  <w:r>
                    <w:rPr>
                      <w:rFonts w:ascii="仿宋_GB2312" w:hAnsi="仿宋_GB2312" w:cs="仿宋_GB2312" w:eastAsia="仿宋_GB2312"/>
                      <w:sz w:val="21"/>
                      <w:color w:val="000000"/>
                    </w:rPr>
                    <w:t>4喇叭、主驾6向手动可调座椅，副驾4向手动可调座椅</w:t>
                  </w:r>
                </w:p>
              </w:tc>
            </w:tr>
            <w:tr>
              <w:tc>
                <w:tcPr>
                  <w:tcW w:type="dxa" w:w="25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改装说明</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3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前</w:t>
                  </w:r>
                  <w:r>
                    <w:rPr>
                      <w:rFonts w:ascii="仿宋_GB2312" w:hAnsi="仿宋_GB2312" w:cs="仿宋_GB2312" w:eastAsia="仿宋_GB2312"/>
                      <w:sz w:val="21"/>
                      <w:color w:val="000000"/>
                    </w:rPr>
                    <w:t>2-4座，</w:t>
                  </w:r>
                  <w:r>
                    <w:rPr>
                      <w:rFonts w:ascii="仿宋_GB2312" w:hAnsi="仿宋_GB2312" w:cs="仿宋_GB2312" w:eastAsia="仿宋_GB2312"/>
                      <w:sz w:val="21"/>
                      <w:color w:val="000000"/>
                    </w:rPr>
                    <w:t>中间不锈钢隔墙（隔墙到顶）带可视观察窗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3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两侧按轮毂尺寸做不锈钢平台</w:t>
                  </w:r>
                  <w:r>
                    <w:rPr>
                      <w:rFonts w:ascii="仿宋_GB2312" w:hAnsi="仿宋_GB2312" w:cs="仿宋_GB2312" w:eastAsia="仿宋_GB2312"/>
                      <w:sz w:val="21"/>
                      <w:color w:val="000000"/>
                    </w:rPr>
                    <w:t>(做工具箱）、绢花盆景、丝织窗帘</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3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不锈钢运尸棺尺寸约为：内径长</w:t>
                  </w:r>
                  <w:r>
                    <w:rPr>
                      <w:rFonts w:ascii="仿宋_GB2312" w:hAnsi="仿宋_GB2312" w:cs="仿宋_GB2312" w:eastAsia="仿宋_GB2312"/>
                      <w:sz w:val="21"/>
                      <w:color w:val="000000"/>
                    </w:rPr>
                    <w:t>205cm*宽60cm*高65cm）内设不锈钢担架，规格约为:长1.92m*宽0.55m。</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3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车辆前区铺设不锈钢花纹地板，后区铺设不锈钢平地板（不锈钢厚度</w:t>
                  </w:r>
                  <w:r>
                    <w:rPr>
                      <w:rFonts w:ascii="仿宋_GB2312" w:hAnsi="仿宋_GB2312" w:cs="仿宋_GB2312" w:eastAsia="仿宋_GB2312"/>
                      <w:sz w:val="21"/>
                      <w:color w:val="000000"/>
                    </w:rPr>
                    <w:t>1.2-2mm)。</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3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所有材料均为</w:t>
                  </w:r>
                  <w:r>
                    <w:rPr>
                      <w:rFonts w:ascii="仿宋_GB2312" w:hAnsi="仿宋_GB2312" w:cs="仿宋_GB2312" w:eastAsia="仿宋_GB2312"/>
                      <w:sz w:val="21"/>
                      <w:color w:val="000000"/>
                    </w:rPr>
                    <w:t>304N不锈钢冲压件制作而成。</w:t>
                  </w:r>
                </w:p>
              </w:tc>
            </w:tr>
            <w:tr>
              <w:tc>
                <w:tcPr>
                  <w:tcW w:type="dxa" w:w="25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其他要求</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34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★所投殡仪车须列入国家殡仪车产品目录，所有车辆手续正规完备。</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3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★所投殡仪车随车配备“三包”服务卡，用户可在全国各地特约维修站享受完备的售后服务。</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注：项目实施过程中，需根据采购人实际需求来更改或调整改装。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 30 天内需交货完毕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合同签订生效后 45 天内需交货完毕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进度款，全部交货且验收合格后30天内，采购人向中标供应商支付合同总金额的100%，付款前，供应商必须开具全额发票给采购人，达到付款条件起7个工作日内，支付合同总金额的100.0%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进度款，全部交货且验收合格后30天内，采购人向中标供应商支付合同总金额的100%，付款前，供应商必须开具全额发票给采购人，达到付款条件起7个工作日内，支付合同总金额的100.0%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由采购人和供应商共同对项目整体进行验收。其内容包括确认产品的产地、规格、型号和数量，对其产品技术指标、性能参数是否达到现行国家有关验收规范“合格”标准进行逐项检查。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由采购人和供应商共同对项目整体进行验收。其内容包括确认产品的产地、规格、型号和数量，对其产品技术指标、性能参数是否达到现行国家有关验收规范“合格”标准进行逐项检查。</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投标人承诺及采购合同约定的要求。2、所有产品均已运输至指定地点。3、招标文件供应商投标承诺应有产品合格证、检测报告以及相应产品的检定证书和其他应具有的单证。  4、供应商需要提供具体时间，根据货物交付时间节点，落实送货时间和人员安排，确保按期交付使用。5、质保期一年。6、符合国家现行技术规范和标准，达到合格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供产品的规格、数量符合招标文件、投标人承诺及采购合同约定的要求。2、所有产品均已运输至指定地点。3、招标文件供应商投标承诺应有产品合格证、检测报告以及相应产品的检定证书和其他应具有的单证。  4、供应商需要提供具体时间，根据货物交付时间节点，落实送货时间和人员安排，确保按期交付使用。5、质保期：3年或6万公里，项目实施过程中，根据采购人实际需求来更改或调整改装。6、符合国家现行技术规范和标准，达到合格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未按合同或招标文件要求提供的产品或者服务，质量不能满足采购人技术要求，采购单位有权终止合同，甚至对供应商违约行为进行追究。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按《中华人民共和国政府采购法》、《中华人民共和国民法典》中的相关条款执行。 未按合同或招标文件要求提供的产品或者服务，质量不能满足采购人技术要求，采购单位有权终止合同，甚至对供应商违约行为进行追究。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成交）供应商在中标（成交）结果公告发布后3个工作日内，向招标代理公司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供应商为本项目提供的资格证明文件.docx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需提供投标保证金缴纳凭证</w:t>
            </w:r>
          </w:p>
        </w:tc>
        <w:tc>
          <w:tcPr>
            <w:tcW w:type="dxa" w:w="1661"/>
          </w:tcPr>
          <w:p>
            <w:pPr>
              <w:pStyle w:val="null3"/>
            </w:pPr>
            <w:r>
              <w:rPr>
                <w:rFonts w:ascii="仿宋_GB2312" w:hAnsi="仿宋_GB2312" w:cs="仿宋_GB2312" w:eastAsia="仿宋_GB2312"/>
              </w:rPr>
              <w:t>供应商为本项目提供的资格证明文件.docx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供应商为本项目提供的资格证明文件.docx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需提供投标保证金缴纳凭证</w:t>
            </w:r>
          </w:p>
        </w:tc>
        <w:tc>
          <w:tcPr>
            <w:tcW w:type="dxa" w:w="1661"/>
          </w:tcPr>
          <w:p>
            <w:pPr>
              <w:pStyle w:val="null3"/>
            </w:pPr>
            <w:r>
              <w:rPr>
                <w:rFonts w:ascii="仿宋_GB2312" w:hAnsi="仿宋_GB2312" w:cs="仿宋_GB2312" w:eastAsia="仿宋_GB2312"/>
              </w:rPr>
              <w:t>供应商为本项目提供的资格证明文件.docx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供应商应为具有独立承担民事责任的能力且具备向采购人提供相关货物及服务的企业法人、事业法人、其他组织或者自然人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的财务审计报告（至少包括资产负债表和利润表，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无控股承诺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在“信用中国”（www.creditchina.gov.cn）网站被列为失信被执行人和重大税收违法失信主体，且无不良记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供应商为本项目提供的资格证明文件.docx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供应商应为具有独立承担民事责任的能力且具备向采购人提供相关货物及服务的企业法人、事业法人、其他组织或者自然人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的财务审计报告（至少包括资产负债表和利润表，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无控股承诺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在“信用中国”（www.creditchina.gov.cn）网站被列为失信被执行人和重大税收违法失信主体，且无不良记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供应商为本项目提供的资格证明文件.docx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开标一览表1.docx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投标方案.docx 中小企业声明函 商务应答表 供应商为本项目提供的资格证明文件.docx 产品技术参数表 分项报价表.docx 开标一览表1.docx 投标函 残疾人福利性单位声明函 标的清单 投标文件封面 非强制节能、环境标志产品清单.docx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投标方案.docx 中小企业声明函 商务应答表 供应商为本项目提供的资格证明文件.docx 产品技术参数表 分项报价表.docx 开标一览表1.docx 投标函 残疾人福利性单位声明函 标的清单 投标文件封面 非强制节能、环境标志产品清单.docx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只能有一个有效报价，不得提交选择性报价，且报价不超过最高限价（含单价）</w:t>
            </w:r>
          </w:p>
        </w:tc>
        <w:tc>
          <w:tcPr>
            <w:tcW w:type="dxa" w:w="1661"/>
          </w:tcPr>
          <w:p>
            <w:pPr>
              <w:pStyle w:val="null3"/>
            </w:pPr>
            <w:r>
              <w:rPr>
                <w:rFonts w:ascii="仿宋_GB2312" w:hAnsi="仿宋_GB2312" w:cs="仿宋_GB2312" w:eastAsia="仿宋_GB2312"/>
              </w:rPr>
              <w:t>开标一览表 分项报价表.docx 开标一览表1.docx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应满足招标文件中要求的交货期限</w:t>
            </w:r>
          </w:p>
        </w:tc>
        <w:tc>
          <w:tcPr>
            <w:tcW w:type="dxa" w:w="1661"/>
          </w:tcPr>
          <w:p>
            <w:pPr>
              <w:pStyle w:val="null3"/>
            </w:pPr>
            <w:r>
              <w:rPr>
                <w:rFonts w:ascii="仿宋_GB2312" w:hAnsi="仿宋_GB2312" w:cs="仿宋_GB2312" w:eastAsia="仿宋_GB2312"/>
              </w:rPr>
              <w:t>开标一览表 分项报价表.docx 开标一览表1.docx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应满足招标文件中要求的质保期限</w:t>
            </w:r>
          </w:p>
        </w:tc>
        <w:tc>
          <w:tcPr>
            <w:tcW w:type="dxa" w:w="1661"/>
          </w:tcPr>
          <w:p>
            <w:pPr>
              <w:pStyle w:val="null3"/>
            </w:pPr>
            <w:r>
              <w:rPr>
                <w:rFonts w:ascii="仿宋_GB2312" w:hAnsi="仿宋_GB2312" w:cs="仿宋_GB2312" w:eastAsia="仿宋_GB2312"/>
              </w:rPr>
              <w:t>开标一览表 开标一览表1.docx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分项报价表.docx 产品技术参数表 开标一览表1.docx 投标函 商务应答表 标的清单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开标一览表-合同包2.docx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开标一览表-合同包2.docx 开标一览表 投标方案.docx 中小企业声明函 商务应答表 供应商为本项目提供的资格证明文件.docx 产品技术参数表 分项报价表.docx 投标函 残疾人福利性单位声明函 标的清单 非强制节能、环境标志产品清单.docx 投标文件封面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开标一览表-合同包2.docx 开标一览表 投标方案.docx 中小企业声明函 商务应答表 供应商为本项目提供的资格证明文件.docx 产品技术参数表 分项报价表.docx 投标函 残疾人福利性单位声明函 标的清单 非强制节能、环境标志产品清单.docx 投标文件封面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只能有一个有效报价，不得提交选择性报价，且报价不超过最高限价（含单价）</w:t>
            </w:r>
          </w:p>
        </w:tc>
        <w:tc>
          <w:tcPr>
            <w:tcW w:type="dxa" w:w="1661"/>
          </w:tcPr>
          <w:p>
            <w:pPr>
              <w:pStyle w:val="null3"/>
            </w:pPr>
            <w:r>
              <w:rPr>
                <w:rFonts w:ascii="仿宋_GB2312" w:hAnsi="仿宋_GB2312" w:cs="仿宋_GB2312" w:eastAsia="仿宋_GB2312"/>
              </w:rPr>
              <w:t>开标一览表-合同包2.docx 开标一览表 分项报价表.docx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应满足招标文件中要求的交货期限</w:t>
            </w:r>
          </w:p>
        </w:tc>
        <w:tc>
          <w:tcPr>
            <w:tcW w:type="dxa" w:w="1661"/>
          </w:tcPr>
          <w:p>
            <w:pPr>
              <w:pStyle w:val="null3"/>
            </w:pPr>
            <w:r>
              <w:rPr>
                <w:rFonts w:ascii="仿宋_GB2312" w:hAnsi="仿宋_GB2312" w:cs="仿宋_GB2312" w:eastAsia="仿宋_GB2312"/>
              </w:rPr>
              <w:t>开标一览表-合同包2.docx 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应满足招标文件中要求的质保期限</w:t>
            </w:r>
          </w:p>
        </w:tc>
        <w:tc>
          <w:tcPr>
            <w:tcW w:type="dxa" w:w="1661"/>
          </w:tcPr>
          <w:p>
            <w:pPr>
              <w:pStyle w:val="null3"/>
            </w:pPr>
            <w:r>
              <w:rPr>
                <w:rFonts w:ascii="仿宋_GB2312" w:hAnsi="仿宋_GB2312" w:cs="仿宋_GB2312" w:eastAsia="仿宋_GB2312"/>
              </w:rPr>
              <w:t>开标一览表 分项报价表.docx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开标一览表-合同包2.docx 开标一览表 产品技术参数表 分项报价表.docx 投标函 商务应答表 标的清单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提供项目实施方案，包括但不限于：①供货方案；②项目进度安排；③供货组织架构与人员安排；④安装、检测、调试、验收方案及保障措施等。二、评审标准：提供详细、合理、科学可行的方案，方案符合本项目采购需求有针对性，以上4项，以序号①、②、③、④为项数，内容无缺项、无漏项且无缺陷的得6分，其中每有一项内容存在缺项或漏项的扣1.5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的质量保障措施包含不限于：①提供货物的合法来源渠道证明文件（包括但不限于：产品制造商授权或销售协议或代理协议等证明文件）；②质量保障措施及承诺；③交货及安装时间。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一、评审内容：提供项目售后服务方案。包含不限于：①产品维护和检修；②售后服务机构组成及响应时间；③故障处理响应时间方式及补救措施； 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具有可行的技术培训方案，包含不限于：①制定培训课程计划表及设备基本操作；②培训所投产品的原理和技术性能、操作维护方法、安装调试、排除故障等内容。二、评审标准：提供详细、合理、科学可行的方案，方案符合本项目采购需求有针对性，以上2项，以序号①、②为项数，内容无缺项、无漏项且无缺陷的得2分，其中每有一项内容存在缺项或漏项的扣1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对交货期、付款方式、质保期等商务要求逐一进行响应，完全响应得2分，每优于1项加0.5分，本项最多得3分。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开标一览表1.docx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供应商提供的投标产品中每有一项节能产品(已列入节能产品政府采购品目清单且非强制采购产品)为经国家认证的得 1 分，每有一项环境标志产品（已列入环境标志产品政府采购品目清单）为经国家认证的得 1 分。满分2分。（以经国家确定的认证机构出具的、处于有效期内的节能产品、环境标志产品认证证书为准。）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拟投入本项目的人员配置合理和岗位职责划分明确。二、评审标准：针对本项目拟投入的安装、调试等其他人员，每提供1个人员得1分。（配送司机提供驾驶证、身份证，其余服务人员提供包括但不限于身份证）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自2023年6月1日以来（以合同签订时间为准），供应商具有所投产品类似销售业绩，每提供1个合同得3分，满分9分，得满为止。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供应商所投产品技术参数响应清晰明确，符合使用要求，技术指标和性能完全响应招标文件要求且技术佐证资料齐全，满足使用需求，计30分。每偏离一项产品技术参数要求的扣2分，扣完为止。 （注：“★”的参数需求为实质性要求，供应商必须响应并满足的参数需求。）</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报价分统一按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清楚、明确并能逐条响应并满足招标文件参数表中所有参数要求，得28分。标“▲”项为重要参数，负偏离一项扣2分；非“▲”号技术参数负偏离一项扣1分，扣完为止。标“▲”项在产品技术参数表“备注”栏中标明证明材料的页码；无证明材料支持视为负偏离。（注：1、证明材料提供技术支持资料，包括但不限于检测报告、官网和功能截图、彩页、说明书等相关资料2、“★”的参数需求为实质性要求，供应商必须响应并满足的参数需求。）</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提供项目实施方案，包括但不限于：①项目进度安排；②供货组织架构与人员安排；③车辆改装计划方案；④验收及上牌保证措施。二、评审标准：提供详细、合理、科学可行的方案，方案符合本项目采购需求有针对性，以上4项，以序号①、②、③、④为项数，内容无缺项、无漏项且无缺陷的得8分，其中每有一项内容存在缺项或漏项的扣2分，每项内容中每有一处存在缺陷的扣0.5分，该项分值扣完为止，未提供不得分。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的质量保障措施包含不限于：①提供货物的合法来源渠道证明文件（包括但不限于：产品制造商授权或销售协议或代理协议等证明文件）；②质量保障措施及承诺；③运输及改装环节的质量控制。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一、评审内容：提供项目售后服务方案。包含不限于：①售后服务内容；②售后服务机构组成及响应时间；③故障处理响应时间方式及补救措施； 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质保方案</w:t>
            </w:r>
          </w:p>
        </w:tc>
        <w:tc>
          <w:tcPr>
            <w:tcW w:type="dxa" w:w="2492"/>
          </w:tcPr>
          <w:p>
            <w:pPr>
              <w:pStyle w:val="null3"/>
            </w:pPr>
            <w:r>
              <w:rPr>
                <w:rFonts w:ascii="仿宋_GB2312" w:hAnsi="仿宋_GB2312" w:cs="仿宋_GB2312" w:eastAsia="仿宋_GB2312"/>
              </w:rPr>
              <w:t>一、评审内容：针对本项目提供质保服务方案，包含但不限于①质保方案（不仅限质保范围、内容、成本控制及质保响应时效等）；②备品备件供应保证方案。二、评审标准：提供详细、合理、科学可行的方案，方案符合本项目采购需求有针对性，以上2项，以序号①、②为项数，内容无缺项、无漏项且无缺陷的得2分，其中每有一项内容存在缺项或漏项的扣1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对交货期、付款方式、质保期等商务要求逐一进行响应，完全响应得1分，每优于1项加0.5分，本项最多得2分。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供应商提供的投标产品中每有一项节能产品(已列入节能产品政府采购品目清单且非强制采购产品)为经国家认证的得 1 分，每有一项环境标志产品（已列入环境标志产品政府采购品目清单）为经国家认证的得 1 分。满分2分。（以经国家确定的认证机构出具的、处于有效期内的节能产品、环境标志产品认证证书为准。）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供应商具有有效的质量管理体系认证证书、环境管理体系认证证书、职业健康安全管理体系认证证书，每有一个得1分，最高得3分。（提供证书复印件加盖投标人公章）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一、评审内容：拟投入本项目的人员配置合理和岗位职责划分明确。二、评审标准：针对本项目投入人员，需提供相关证件（包含但不限于身份证等）；每提供1个人员得1分，满分5分。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自2023年6月1日以来（以合同签订时间为准），供应商具有所投产品类似销售业绩，每提供1个合同得2分，满分8分，得满为止。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开标一览表-合同包2.docx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报价分统一按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开标一览表-合同包2.docx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详见附件：非强制节能、环境标志产品清单.docx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详见附件：供应商为本项目提供的资格证明文件.docx</w:t>
      </w:r>
    </w:p>
    <w:p>
      <w:pPr>
        <w:pStyle w:val="null3"/>
        <w:ind w:firstLine="960"/>
      </w:pPr>
      <w:r>
        <w:rPr>
          <w:rFonts w:ascii="仿宋_GB2312" w:hAnsi="仿宋_GB2312" w:cs="仿宋_GB2312" w:eastAsia="仿宋_GB2312"/>
        </w:rPr>
        <w:t>详见附件：开标一览表1.docx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详见附件：非强制节能、环境标志产品清单.docx</w:t>
      </w:r>
    </w:p>
    <w:p>
      <w:pPr>
        <w:pStyle w:val="null3"/>
        <w:ind w:firstLine="960"/>
      </w:pPr>
      <w:r>
        <w:rPr>
          <w:rFonts w:ascii="仿宋_GB2312" w:hAnsi="仿宋_GB2312" w:cs="仿宋_GB2312" w:eastAsia="仿宋_GB2312"/>
        </w:rPr>
        <w:t>详见附件：供应商为本项目提供的资格证明文件.docx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详见附件：开标一览表-合同包2.docx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