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版本号：SHS-DL-2026-2020260825001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白水县老旧小区供热管道及设施更新改造项目设计费</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SHS-DL-2026-20</w:t>
      </w:r>
      <w:r>
        <w:br/>
      </w:r>
      <w:r>
        <w:br/>
      </w:r>
      <w:r>
        <w:br/>
      </w:r>
    </w:p>
    <w:p>
      <w:pPr>
        <w:pStyle w:val="null3"/>
        <w:jc w:val="center"/>
        <w:outlineLvl w:val="2"/>
      </w:pPr>
      <w:r>
        <w:rPr>
          <w:rFonts w:ascii="仿宋_GB2312" w:hAnsi="仿宋_GB2312" w:cs="仿宋_GB2312" w:eastAsia="仿宋_GB2312"/>
          <w:sz w:val="28"/>
          <w:b/>
        </w:rPr>
        <w:t>白水县房地产管理所</w:t>
      </w:r>
    </w:p>
    <w:p>
      <w:pPr>
        <w:pStyle w:val="null3"/>
        <w:jc w:val="center"/>
        <w:outlineLvl w:val="2"/>
      </w:pPr>
      <w:r>
        <w:rPr>
          <w:rFonts w:ascii="仿宋_GB2312" w:hAnsi="仿宋_GB2312" w:cs="仿宋_GB2312" w:eastAsia="仿宋_GB2312"/>
          <w:sz w:val="28"/>
          <w:b/>
        </w:rPr>
        <w:t>西安水行山项目管理有限公司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西安水行山项目管理有限公司</w:t>
      </w:r>
      <w:r>
        <w:rPr>
          <w:rFonts w:ascii="仿宋_GB2312" w:hAnsi="仿宋_GB2312" w:cs="仿宋_GB2312" w:eastAsia="仿宋_GB2312"/>
        </w:rPr>
        <w:t>（以下简称“代理机构”）受</w:t>
      </w:r>
      <w:r>
        <w:rPr>
          <w:rFonts w:ascii="仿宋_GB2312" w:hAnsi="仿宋_GB2312" w:cs="仿宋_GB2312" w:eastAsia="仿宋_GB2312"/>
        </w:rPr>
        <w:t>白水县房地产管理所</w:t>
      </w:r>
      <w:r>
        <w:rPr>
          <w:rFonts w:ascii="仿宋_GB2312" w:hAnsi="仿宋_GB2312" w:cs="仿宋_GB2312" w:eastAsia="仿宋_GB2312"/>
        </w:rPr>
        <w:t>委托，拟对</w:t>
      </w:r>
      <w:r>
        <w:rPr>
          <w:rFonts w:ascii="仿宋_GB2312" w:hAnsi="仿宋_GB2312" w:cs="仿宋_GB2312" w:eastAsia="仿宋_GB2312"/>
        </w:rPr>
        <w:t>白水县老旧小区供热管道及设施更新改造项目设计费</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SHS-DL-2026-20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白水县老旧小区供热管道及设施更新改造项目设计费</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1、建设地址：白水县城区内部分住宅小区(人行小区、东风小区、居苑小区、金苹果小区、工人新村、安居小区、人和小区等) 2、建设规模及内容：改造和更换白水县城区内东风小区、金苹果小区、新华小区、华强小区、居苑小区、生力小区等小区供热管道隐患老化严重的供热管网及庭院管道约21.5公里；分户改造住宅内公共管道约6.9公里，改造供热管网损失较大小区管道约10.1公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采购包1（白水县老旧小区供热管道及设施更新改造项目设计费）：属于专门面向中小企业采购。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1、企业及项目负责人资格：企业及项目负责人资格：①企业资质：供应商须具备【工程设计综合资质甲级】及以上资质或【建筑行业工程设计乙级】及以上资质或【建筑行业（建筑工程）专业乙级】； ②项目负责人资格：须具备相关专业高级及以上专业技术职称；或国家注册公用设备工程师（暖通空调或动力）资格；或一级注册建筑师</w:t>
      </w:r>
    </w:p>
    <w:p>
      <w:pPr>
        <w:pStyle w:val="null3"/>
      </w:pPr>
      <w:r>
        <w:rPr>
          <w:rFonts w:ascii="仿宋_GB2312" w:hAnsi="仿宋_GB2312" w:cs="仿宋_GB2312" w:eastAsia="仿宋_GB2312"/>
        </w:rPr>
        <w:t>2、法定代表人身份证明/授权委托书：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p>
      <w:pPr>
        <w:pStyle w:val="null3"/>
      </w:pPr>
      <w:r>
        <w:rPr>
          <w:rFonts w:ascii="仿宋_GB2312" w:hAnsi="仿宋_GB2312" w:cs="仿宋_GB2312" w:eastAsia="仿宋_GB2312"/>
        </w:rPr>
        <w:t>3、信用要求：供应商不得被“信用中国”（www.creditchina.gov.cn）列入重大税收违法失信主体；不得被“中国执行信息公开网”（zxgk.court.gov.cn）列入失信被执行人名单；不得被“中国政府采购网”（www.ccgp.gov.cn）列入政府采购严重违法失信行为记录名单</w:t>
      </w:r>
    </w:p>
    <w:p>
      <w:pPr>
        <w:pStyle w:val="null3"/>
      </w:pPr>
      <w:r>
        <w:rPr>
          <w:rFonts w:ascii="仿宋_GB2312" w:hAnsi="仿宋_GB2312" w:cs="仿宋_GB2312" w:eastAsia="仿宋_GB2312"/>
        </w:rPr>
        <w:t>4、磋商保证金：提供磋商保证金缴纳凭证</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白水县房地产管理所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白水县四马路</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周伟平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15029717636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西安水行山项目管理有限公司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陕西省西安市高新区锦业路32号锦业时代B3座1701</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苏海波</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13324539594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白水县政府采购管理股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韩琳</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13991639110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采购包1：950,000.00元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开户名称：西安水行山项目管理有限公司</w:t>
            </w:r>
          </w:p>
          <w:p>
            <w:pPr>
              <w:pStyle w:val="null3"/>
            </w:pPr>
            <w:r>
              <w:rPr>
                <w:rFonts w:ascii="仿宋_GB2312" w:hAnsi="仿宋_GB2312" w:cs="仿宋_GB2312" w:eastAsia="仿宋_GB2312"/>
              </w:rPr>
              <w:t>开户银行：中国银行股份有限公司西安雁塔区支行</w:t>
            </w:r>
          </w:p>
          <w:p>
            <w:pPr>
              <w:pStyle w:val="null3"/>
            </w:pPr>
            <w:r>
              <w:rPr>
                <w:rFonts w:ascii="仿宋_GB2312" w:hAnsi="仿宋_GB2312" w:cs="仿宋_GB2312" w:eastAsia="仿宋_GB2312"/>
              </w:rPr>
              <w:t>银行账号：103690535802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代理服务费收费标准：参照国家计价委（计委价格【2002】1980号）、发改价格【2011】534号文计算招标代理服务费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白水县房地产管理所</w:t>
      </w:r>
      <w:r>
        <w:rPr>
          <w:rFonts w:ascii="仿宋_GB2312" w:hAnsi="仿宋_GB2312" w:cs="仿宋_GB2312" w:eastAsia="仿宋_GB2312"/>
        </w:rPr>
        <w:t>和</w:t>
      </w:r>
      <w:r>
        <w:rPr>
          <w:rFonts w:ascii="仿宋_GB2312" w:hAnsi="仿宋_GB2312" w:cs="仿宋_GB2312" w:eastAsia="仿宋_GB2312"/>
        </w:rPr>
        <w:t>西安水行山项目管理有限公司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白水县房地产管理所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西安水行山项目管理有限公司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白水县房地产管理所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西安水行山项目管理有限公司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以最终合同约定为准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西安水行山项目管理有限公司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联系人：苏海波</w:t>
      </w:r>
    </w:p>
    <w:p>
      <w:pPr>
        <w:pStyle w:val="null3"/>
      </w:pPr>
      <w:r>
        <w:rPr>
          <w:rFonts w:ascii="仿宋_GB2312" w:hAnsi="仿宋_GB2312" w:cs="仿宋_GB2312" w:eastAsia="仿宋_GB2312"/>
        </w:rPr>
        <w:t>联系电话：13324539594</w:t>
      </w:r>
    </w:p>
    <w:p>
      <w:pPr>
        <w:pStyle w:val="null3"/>
      </w:pPr>
      <w:r>
        <w:rPr>
          <w:rFonts w:ascii="仿宋_GB2312" w:hAnsi="仿宋_GB2312" w:cs="仿宋_GB2312" w:eastAsia="仿宋_GB2312"/>
        </w:rPr>
        <w:t>地址：同公告</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1、建设地址：白水县城区内部分住宅小区(人行小区、东风小区、居苑小区、金苹果小区、工人新村、安居小区、人和小区等) 2、建设规模及内容：改造和更换白水县城区内东风小区、金苹果小区、新华小区、华强小区、居苑小区、生力小区等小区供热管道隐患老化严重的供热管网及庭院管道约21.5公里；分户改造住宅内公共管道约6.9公里，改造供热管网损失较大小区管道约10.1公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950,000.00</w:t>
      </w:r>
    </w:p>
    <w:p>
      <w:pPr>
        <w:pStyle w:val="null3"/>
      </w:pPr>
      <w:r>
        <w:rPr>
          <w:rFonts w:ascii="仿宋_GB2312" w:hAnsi="仿宋_GB2312" w:cs="仿宋_GB2312" w:eastAsia="仿宋_GB2312"/>
        </w:rPr>
        <w:t>采购包最高限价（元）: 950,000.00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 白水县老旧小区供热管道及设施更新改造项目设计费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950,000.00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 白水县老旧小区供热管道及设施更新改造项目设计费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1"/>
                <w:b/>
              </w:rPr>
              <w:t>一、设计内容及技术要求</w:t>
            </w:r>
          </w:p>
          <w:p>
            <w:pPr>
              <w:pStyle w:val="null3"/>
              <w:ind w:firstLine="480"/>
              <w:jc w:val="both"/>
            </w:pPr>
            <w:r>
              <w:rPr>
                <w:rFonts w:ascii="仿宋_GB2312" w:hAnsi="仿宋_GB2312" w:cs="仿宋_GB2312" w:eastAsia="仿宋_GB2312"/>
                <w:sz w:val="21"/>
              </w:rPr>
              <w:t>1、设计内容（包含但不限于）：老旧小区供热管道及设施更换和改造的测绘服务、施工图设计、施工图预算及后续施工配合等服务。</w:t>
            </w:r>
          </w:p>
          <w:p>
            <w:pPr>
              <w:pStyle w:val="null3"/>
              <w:ind w:firstLine="480"/>
              <w:jc w:val="both"/>
            </w:pPr>
            <w:r>
              <w:rPr>
                <w:rFonts w:ascii="仿宋_GB2312" w:hAnsi="仿宋_GB2312" w:cs="仿宋_GB2312" w:eastAsia="仿宋_GB2312"/>
                <w:sz w:val="21"/>
              </w:rPr>
              <w:t>2、技术要求：技术符合国家有关工程建设标准强制性条文和相关部门关于本工程设计现行的标准、规范、规程、定额、办法、示例以及省、市设计方面的文件、规定，设计依据不限于：</w:t>
            </w:r>
          </w:p>
          <w:p>
            <w:pPr>
              <w:pStyle w:val="null3"/>
              <w:ind w:firstLine="480"/>
              <w:jc w:val="both"/>
            </w:pPr>
            <w:r>
              <w:rPr>
                <w:rFonts w:ascii="仿宋_GB2312" w:hAnsi="仿宋_GB2312" w:cs="仿宋_GB2312" w:eastAsia="仿宋_GB2312"/>
                <w:sz w:val="21"/>
              </w:rPr>
              <w:t>（1）《城镇供热管网设计规范》CJJ34－2022；</w:t>
            </w:r>
          </w:p>
          <w:p>
            <w:pPr>
              <w:pStyle w:val="null3"/>
              <w:ind w:firstLine="480"/>
              <w:jc w:val="both"/>
            </w:pPr>
            <w:r>
              <w:rPr>
                <w:rFonts w:ascii="仿宋_GB2312" w:hAnsi="仿宋_GB2312" w:cs="仿宋_GB2312" w:eastAsia="仿宋_GB2312"/>
                <w:sz w:val="21"/>
              </w:rPr>
              <w:t>（2）《城镇供热直埋热水管道技术规程》 (CJJ/T81-2013)；</w:t>
            </w:r>
          </w:p>
          <w:p>
            <w:pPr>
              <w:pStyle w:val="null3"/>
              <w:ind w:firstLine="480"/>
              <w:jc w:val="both"/>
            </w:pPr>
            <w:r>
              <w:rPr>
                <w:rFonts w:ascii="仿宋_GB2312" w:hAnsi="仿宋_GB2312" w:cs="仿宋_GB2312" w:eastAsia="仿宋_GB2312"/>
                <w:sz w:val="21"/>
              </w:rPr>
              <w:t>（3）《湿陷性黄土地区建筑规范》(GB50025-2018)；</w:t>
            </w:r>
          </w:p>
          <w:p>
            <w:pPr>
              <w:pStyle w:val="null3"/>
              <w:ind w:firstLine="480"/>
              <w:jc w:val="both"/>
            </w:pPr>
            <w:r>
              <w:rPr>
                <w:rFonts w:ascii="仿宋_GB2312" w:hAnsi="仿宋_GB2312" w:cs="仿宋_GB2312" w:eastAsia="仿宋_GB2312"/>
                <w:sz w:val="21"/>
              </w:rPr>
              <w:t>（4）《工业设备及管道绝热工程设计规范》(GB50264-2013)；</w:t>
            </w:r>
          </w:p>
          <w:p>
            <w:pPr>
              <w:pStyle w:val="null3"/>
              <w:ind w:firstLine="480"/>
              <w:jc w:val="both"/>
            </w:pPr>
            <w:r>
              <w:rPr>
                <w:rFonts w:ascii="仿宋_GB2312" w:hAnsi="仿宋_GB2312" w:cs="仿宋_GB2312" w:eastAsia="仿宋_GB2312"/>
                <w:sz w:val="21"/>
              </w:rPr>
              <w:t>（5）《设备及管道绝热设计导则》(GB/T8175-2025)；</w:t>
            </w:r>
          </w:p>
          <w:p>
            <w:pPr>
              <w:pStyle w:val="null3"/>
              <w:ind w:firstLine="480"/>
              <w:jc w:val="both"/>
            </w:pPr>
            <w:r>
              <w:rPr>
                <w:rFonts w:ascii="仿宋_GB2312" w:hAnsi="仿宋_GB2312" w:cs="仿宋_GB2312" w:eastAsia="仿宋_GB2312"/>
                <w:sz w:val="21"/>
              </w:rPr>
              <w:t>（6）《设备及管道绝热设计技术通则》(GB/T4272-2024)；</w:t>
            </w:r>
          </w:p>
          <w:p>
            <w:pPr>
              <w:pStyle w:val="null3"/>
              <w:ind w:firstLine="480"/>
              <w:jc w:val="both"/>
            </w:pPr>
            <w:r>
              <w:rPr>
                <w:rFonts w:ascii="仿宋_GB2312" w:hAnsi="仿宋_GB2312" w:cs="仿宋_GB2312" w:eastAsia="仿宋_GB2312"/>
                <w:sz w:val="21"/>
              </w:rPr>
              <w:t>（7）《城镇供热管网工程施工及验收规范》(CJJ28-2014)；</w:t>
            </w:r>
          </w:p>
          <w:p>
            <w:pPr>
              <w:pStyle w:val="null3"/>
              <w:ind w:firstLine="480"/>
              <w:jc w:val="both"/>
            </w:pPr>
            <w:r>
              <w:rPr>
                <w:rFonts w:ascii="仿宋_GB2312" w:hAnsi="仿宋_GB2312" w:cs="仿宋_GB2312" w:eastAsia="仿宋_GB2312"/>
                <w:sz w:val="21"/>
              </w:rPr>
              <w:t>（8）《建筑给水排水及供暖工程施工质量验收规范》(GB50242-2002)；</w:t>
            </w:r>
          </w:p>
          <w:p>
            <w:pPr>
              <w:pStyle w:val="null3"/>
              <w:ind w:firstLine="480"/>
              <w:jc w:val="both"/>
            </w:pPr>
            <w:r>
              <w:rPr>
                <w:rFonts w:ascii="仿宋_GB2312" w:hAnsi="仿宋_GB2312" w:cs="仿宋_GB2312" w:eastAsia="仿宋_GB2312"/>
                <w:sz w:val="21"/>
              </w:rPr>
              <w:t>（9）《全国民用建筑工程设计技术措施》(暖通空调 动力)(2009)；</w:t>
            </w:r>
          </w:p>
          <w:p>
            <w:pPr>
              <w:pStyle w:val="null3"/>
              <w:ind w:firstLine="480"/>
              <w:jc w:val="both"/>
            </w:pPr>
            <w:r>
              <w:rPr>
                <w:rFonts w:ascii="仿宋_GB2312" w:hAnsi="仿宋_GB2312" w:cs="仿宋_GB2312" w:eastAsia="仿宋_GB2312"/>
                <w:sz w:val="21"/>
              </w:rPr>
              <w:t>（10）《室外热力管道地沟》03R411；</w:t>
            </w:r>
          </w:p>
          <w:p>
            <w:pPr>
              <w:pStyle w:val="null3"/>
              <w:ind w:firstLine="480"/>
              <w:jc w:val="both"/>
            </w:pPr>
            <w:r>
              <w:rPr>
                <w:rFonts w:ascii="仿宋_GB2312" w:hAnsi="仿宋_GB2312" w:cs="仿宋_GB2312" w:eastAsia="仿宋_GB2312"/>
                <w:sz w:val="21"/>
              </w:rPr>
              <w:t>（11）《室外热力管道安装地沟敷设》03R411-1；</w:t>
            </w:r>
          </w:p>
          <w:p>
            <w:pPr>
              <w:pStyle w:val="null3"/>
              <w:ind w:firstLine="480"/>
              <w:jc w:val="both"/>
            </w:pPr>
            <w:r>
              <w:rPr>
                <w:rFonts w:ascii="仿宋_GB2312" w:hAnsi="仿宋_GB2312" w:cs="仿宋_GB2312" w:eastAsia="仿宋_GB2312"/>
                <w:sz w:val="21"/>
              </w:rPr>
              <w:t>（12）《城市供热管网工程质量检验评定标准》CJJ38-90</w:t>
            </w:r>
          </w:p>
          <w:p>
            <w:pPr>
              <w:pStyle w:val="null3"/>
              <w:ind w:firstLine="480"/>
              <w:jc w:val="both"/>
            </w:pPr>
            <w:r>
              <w:rPr>
                <w:rFonts w:ascii="仿宋_GB2312" w:hAnsi="仿宋_GB2312" w:cs="仿宋_GB2312" w:eastAsia="仿宋_GB2312"/>
                <w:sz w:val="21"/>
              </w:rPr>
              <w:t>（13）本项目前期可行性研究报告及相关批复文件，初步设计文件等。</w:t>
            </w:r>
          </w:p>
          <w:p>
            <w:pPr>
              <w:pStyle w:val="null3"/>
              <w:ind w:left="420"/>
              <w:jc w:val="both"/>
            </w:pPr>
            <w:r>
              <w:rPr>
                <w:rFonts w:ascii="仿宋_GB2312" w:hAnsi="仿宋_GB2312" w:cs="仿宋_GB2312" w:eastAsia="仿宋_GB2312"/>
                <w:sz w:val="21"/>
                <w:b/>
              </w:rPr>
              <w:t>二、</w:t>
            </w:r>
            <w:r>
              <w:rPr>
                <w:rFonts w:ascii="仿宋_GB2312" w:hAnsi="仿宋_GB2312" w:cs="仿宋_GB2312" w:eastAsia="仿宋_GB2312"/>
                <w:sz w:val="21"/>
                <w:b/>
              </w:rPr>
              <w:t>服务要求</w:t>
            </w:r>
          </w:p>
          <w:p>
            <w:pPr>
              <w:pStyle w:val="null3"/>
              <w:ind w:firstLine="480"/>
              <w:jc w:val="both"/>
            </w:pPr>
            <w:r>
              <w:rPr>
                <w:rFonts w:ascii="仿宋_GB2312" w:hAnsi="仿宋_GB2312" w:cs="仿宋_GB2312" w:eastAsia="仿宋_GB2312"/>
                <w:sz w:val="21"/>
              </w:rPr>
              <w:t>1、服务方须指派专属人员与建设单位联系服务事宜，服务响应时间应根据建设单位实际安排随时调整。</w:t>
            </w:r>
          </w:p>
          <w:p>
            <w:pPr>
              <w:pStyle w:val="null3"/>
              <w:ind w:firstLine="480"/>
              <w:jc w:val="both"/>
            </w:pPr>
            <w:r>
              <w:rPr>
                <w:rFonts w:ascii="仿宋_GB2312" w:hAnsi="仿宋_GB2312" w:cs="仿宋_GB2312" w:eastAsia="仿宋_GB2312"/>
                <w:sz w:val="21"/>
              </w:rPr>
              <w:t>2、服务方需根据服务实际情况编制服务方案、管理方案、服务计划、重点难点分析、质量控制等方案措施。</w:t>
            </w:r>
          </w:p>
          <w:p>
            <w:pPr>
              <w:pStyle w:val="null3"/>
              <w:ind w:firstLine="480"/>
              <w:jc w:val="both"/>
            </w:pPr>
            <w:r>
              <w:rPr>
                <w:rFonts w:ascii="仿宋_GB2312" w:hAnsi="仿宋_GB2312" w:cs="仿宋_GB2312" w:eastAsia="仿宋_GB2312"/>
                <w:sz w:val="21"/>
              </w:rPr>
              <w:t>3、服务方在本项目人员要求技术水平高、组织能力强、有丰富的实践经验，懂管理、善于协调。服务人员中的组织人员、技术人员、监管人员、辅助人员等要求有服务经验；服务队伍稳定，保证整个项目顺利完成，服务方未经建设单位同意，不得擅自更换本项目在响应文件中指定的服务队伍。</w:t>
            </w:r>
          </w:p>
          <w:p>
            <w:pPr>
              <w:pStyle w:val="null3"/>
              <w:ind w:firstLine="480"/>
              <w:jc w:val="both"/>
            </w:pPr>
            <w:r>
              <w:rPr>
                <w:rFonts w:ascii="仿宋_GB2312" w:hAnsi="仿宋_GB2312" w:cs="仿宋_GB2312" w:eastAsia="仿宋_GB2312"/>
                <w:sz w:val="21"/>
              </w:rPr>
              <w:t>4、服务过程中，严格遵守各种管理规定及规章制度，做到奉公守法、诚实守信、廉洁自律、安全文明；服务过程中如发生工伤及意外事故由服务单位负责。</w:t>
            </w:r>
          </w:p>
          <w:p>
            <w:pPr>
              <w:pStyle w:val="null3"/>
              <w:ind w:firstLine="480"/>
              <w:jc w:val="both"/>
            </w:pPr>
            <w:r>
              <w:rPr>
                <w:rFonts w:ascii="仿宋_GB2312" w:hAnsi="仿宋_GB2312" w:cs="仿宋_GB2312" w:eastAsia="仿宋_GB2312"/>
                <w:sz w:val="21"/>
              </w:rPr>
              <w:t>5、服务方拟投入的服务人员对于在工作中获悉的一切政府工作的信息应严格保守秘密，不得泄露；对于违反者，给建设单位单位造成不良社会影响的，或给建设单位单位造成损失的，由服务方承担赔偿责任。</w:t>
            </w:r>
          </w:p>
          <w:p>
            <w:pPr>
              <w:pStyle w:val="null3"/>
              <w:ind w:firstLine="480"/>
              <w:jc w:val="both"/>
            </w:pPr>
            <w:r>
              <w:rPr>
                <w:rFonts w:ascii="仿宋_GB2312" w:hAnsi="仿宋_GB2312" w:cs="仿宋_GB2312" w:eastAsia="仿宋_GB2312"/>
                <w:sz w:val="21"/>
              </w:rPr>
              <w:t>6、严格按照国家、陕西省、渭南市有关规定及建设单位要求进行服务，不得随意更改或者变换服务内容，每项服务内容在实施前应事先取得建设单位的落实后方可实施。</w:t>
            </w:r>
          </w:p>
          <w:p>
            <w:pPr>
              <w:pStyle w:val="null3"/>
              <w:ind w:firstLine="480"/>
              <w:jc w:val="both"/>
            </w:pPr>
            <w:r>
              <w:rPr>
                <w:rFonts w:ascii="仿宋_GB2312" w:hAnsi="仿宋_GB2312" w:cs="仿宋_GB2312" w:eastAsia="仿宋_GB2312"/>
                <w:sz w:val="21"/>
              </w:rPr>
              <w:t>7、配合促进建设单位安排的其他相关工作。</w:t>
            </w:r>
          </w:p>
          <w:p>
            <w:pPr>
              <w:pStyle w:val="null3"/>
              <w:ind w:firstLine="480"/>
              <w:jc w:val="both"/>
            </w:pPr>
            <w:r>
              <w:rPr>
                <w:rFonts w:ascii="仿宋_GB2312" w:hAnsi="仿宋_GB2312" w:cs="仿宋_GB2312" w:eastAsia="仿宋_GB2312"/>
                <w:sz w:val="21"/>
                <w:b/>
              </w:rPr>
              <w:t>三、成果文件要求</w:t>
            </w:r>
          </w:p>
          <w:p>
            <w:pPr>
              <w:pStyle w:val="null3"/>
              <w:ind w:firstLine="480"/>
              <w:jc w:val="both"/>
            </w:pPr>
            <w:r>
              <w:rPr>
                <w:rFonts w:ascii="仿宋_GB2312" w:hAnsi="仿宋_GB2312" w:cs="仿宋_GB2312" w:eastAsia="仿宋_GB2312"/>
                <w:sz w:val="21"/>
              </w:rPr>
              <w:t>1、成果文件编制根据国家、陕西省有关规定及现行有关法律、法规和行业标准；成果内容应完整真实、科学严谨、思路清晰、具有代表性，综合考虑庭院供热管道更新改造的功能和潜力，提出更新实施详细规划和可行性优化方案，符合新形势、新变化、新发展下庭院供热管道的现状。</w:t>
            </w:r>
          </w:p>
          <w:p>
            <w:pPr>
              <w:pStyle w:val="null3"/>
              <w:ind w:firstLine="480"/>
              <w:jc w:val="both"/>
            </w:pPr>
            <w:r>
              <w:rPr>
                <w:rFonts w:ascii="仿宋_GB2312" w:hAnsi="仿宋_GB2312" w:cs="仿宋_GB2312" w:eastAsia="仿宋_GB2312"/>
                <w:sz w:val="21"/>
              </w:rPr>
              <w:t>2、成果文件包括：管道测绘、管网改造施工图及施工图预算等，所有设计成果初稿完成后应按建设单位提出的审查意见和修改意见进行修改，直至获得有关主管部门审批通过，本项目所完成的设计成果的所有权、知识产权归本项目建设单位。</w:t>
            </w:r>
          </w:p>
          <w:p>
            <w:pPr>
              <w:pStyle w:val="null3"/>
              <w:ind w:firstLine="480"/>
              <w:jc w:val="both"/>
            </w:pPr>
            <w:r>
              <w:rPr>
                <w:rFonts w:ascii="仿宋_GB2312" w:hAnsi="仿宋_GB2312" w:cs="仿宋_GB2312" w:eastAsia="仿宋_GB2312"/>
                <w:sz w:val="21"/>
              </w:rPr>
              <w:t>3、所有提供资料包括：电子版1份，施工图蓝图8份，施工图预算文件2份（成果文件格式：电子版和纸质版 ）</w:t>
            </w:r>
            <w:r>
              <w:rPr>
                <w:rFonts w:ascii="仿宋_GB2312" w:hAnsi="仿宋_GB2312" w:cs="仿宋_GB2312" w:eastAsia="仿宋_GB2312"/>
                <w:sz w:val="21"/>
              </w:rPr>
              <w:t>。</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 30天内提交成果文件</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白水县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以最终合同约定为准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预付款，合同签约时支付，达到付款条件起10个工作日内，支付合同总金额的40.0%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进度款，完成测绘成果及施工图设计方案后，达到付款条件起30个工作日内，支付合同总金额的30.0%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进度款，提交各小区全套施工图设计成果以及施工图预算书后，达到付款条件起30个工作日内，支付合同总金额的30.0%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以最终合同约定为准</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1）提供统一社会信用代码的营业执照或其他组织经营的合法凭证或自然人的提供身份证明文件；（2）税收缴纳证明：提供2026年1月至磋商截止日期前任意一个月的纳税证明或完税证明； （3）社会保障资金缴纳证明：提供2026年1月至磋商截止日期前任意一个月的社会保障资金缴存单据或社保机构开具的社会保险参保缴费情况证明；（4）提供近三年内在经营活动中无重大违法记录的书面声明；（5）提供具有履行本合同所必需的设备和专业技术能力的说明及承诺； 供应商需在项目电子化交易系统中按要求填写《响应函》完成承诺并提供相关证明资料进行电子签章。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供应商需在项目电子化交易系统中按要求上传以下资料并进行电子签章。 （1）企业内部财务会计制度； （2）财务状况报告：提供2025年财务审计报告（成立时间至开标时间不足一年的可提供成立后任意时段的资产负债表）或提供磋商截止日期前三个月内其基本存款账户开户银行出具的资信证明</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企业及项目负责人资格</w:t>
            </w:r>
          </w:p>
        </w:tc>
        <w:tc>
          <w:tcPr>
            <w:tcW w:type="dxa" w:w="3322"/>
          </w:tcPr>
          <w:p>
            <w:pPr>
              <w:pStyle w:val="null3"/>
            </w:pPr>
            <w:r>
              <w:rPr>
                <w:rFonts w:ascii="仿宋_GB2312" w:hAnsi="仿宋_GB2312" w:cs="仿宋_GB2312" w:eastAsia="仿宋_GB2312"/>
              </w:rPr>
              <w:t>企业及项目负责人资格：①企业资质：供应商须具备【工程设计综合资质甲级】及以上资质或【建筑行业工程设计乙级】及以上资质或【建筑行业（建筑工程）专业乙级】； ②项目负责人资格：须具备相关专业高级及以上专业技术职称；或国家注册公用设备工程师（暖通空调或动力）资格；或一级注册建筑师</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法定代表人身份证明/授权委托书</w:t>
            </w:r>
          </w:p>
        </w:tc>
        <w:tc>
          <w:tcPr>
            <w:tcW w:type="dxa" w:w="3322"/>
          </w:tcPr>
          <w:p>
            <w:pPr>
              <w:pStyle w:val="null3"/>
            </w:pPr>
            <w:r>
              <w:rPr>
                <w:rFonts w:ascii="仿宋_GB2312" w:hAnsi="仿宋_GB2312" w:cs="仿宋_GB2312" w:eastAsia="仿宋_GB2312"/>
              </w:rPr>
              <w:t>法定代表人（单位负责人）参加磋商的，须出具法定代表人（单位负责人）身份证明书及身份证复印件。法定代表人（单位负责人）授权委托代理人参加磋商的，须出具法定代表人（单位负责人）身份证明书、法定代表人（单位负责人）授权委托书、法定代表人（单位负责人）及委托代理人身份证复印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被“信用中国”（www.creditchina.gov.cn）列入重大税收违法失信主体；不得被“中国执行信息公开网”（zxgk.court.gov.cn）列入失信被执行人名单；不得被“中国政府采购网”（www.ccgp.gov.cn）列入政府采购严重违法失信行为记录名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提供磋商保证金缴纳凭证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签字、盖章是否符合要求</w:t>
            </w:r>
          </w:p>
        </w:tc>
        <w:tc>
          <w:tcPr>
            <w:tcW w:type="dxa" w:w="3322"/>
          </w:tcPr>
          <w:p>
            <w:pPr>
              <w:pStyle w:val="null3"/>
            </w:pPr>
            <w:r>
              <w:rPr>
                <w:rFonts w:ascii="仿宋_GB2312" w:hAnsi="仿宋_GB2312" w:cs="仿宋_GB2312" w:eastAsia="仿宋_GB2312"/>
              </w:rPr>
              <w:t>响应文件的签字、盖章是否有效，字迹是否清晰可辨，编写格式符合采购文件要求</w:t>
            </w:r>
          </w:p>
        </w:tc>
        <w:tc>
          <w:tcPr>
            <w:tcW w:type="dxa" w:w="1661"/>
          </w:tcPr>
          <w:p>
            <w:pPr>
              <w:pStyle w:val="null3"/>
            </w:pPr>
            <w:r>
              <w:rPr>
                <w:rFonts w:ascii="仿宋_GB2312" w:hAnsi="仿宋_GB2312" w:cs="仿宋_GB2312" w:eastAsia="仿宋_GB2312"/>
              </w:rPr>
              <w:t>响应文件封面 中小企业声明函 残疾人福利性单位声明函 商务应答表 服务方案 服务内容及服务要求应答表 标的清单 响应函 资格证明文件.docx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磋商有效期是否满足要求</w:t>
            </w:r>
          </w:p>
        </w:tc>
        <w:tc>
          <w:tcPr>
            <w:tcW w:type="dxa" w:w="3322"/>
          </w:tcPr>
          <w:p>
            <w:pPr>
              <w:pStyle w:val="null3"/>
            </w:pPr>
            <w:r>
              <w:rPr>
                <w:rFonts w:ascii="仿宋_GB2312" w:hAnsi="仿宋_GB2312" w:cs="仿宋_GB2312" w:eastAsia="仿宋_GB2312"/>
              </w:rPr>
              <w:t>提交响应文件的截止之日起不少于90天</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w:t>
            </w:r>
          </w:p>
        </w:tc>
        <w:tc>
          <w:tcPr>
            <w:tcW w:type="dxa" w:w="3322"/>
          </w:tcPr>
          <w:p>
            <w:pPr>
              <w:pStyle w:val="null3"/>
            </w:pPr>
            <w:r>
              <w:rPr>
                <w:rFonts w:ascii="仿宋_GB2312" w:hAnsi="仿宋_GB2312" w:cs="仿宋_GB2312" w:eastAsia="仿宋_GB2312"/>
              </w:rPr>
              <w:t>同时满足以下条款： （1）货币单位符合招标文件要求（2）报价符合唯一性要求 （3）未超出采购预算或最高限价（4）未出现选择性报价</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应满足磋商文件中要求的服务期限</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具有2023年1月1日以后类似项目业绩（以合同签订复印件加盖公章为依据，时间一合同签订时间为准）。每提供一个业绩得2.5分，满分10分。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人员配置</w:t>
            </w:r>
          </w:p>
        </w:tc>
        <w:tc>
          <w:tcPr>
            <w:tcW w:type="dxa" w:w="2492"/>
          </w:tcPr>
          <w:p>
            <w:pPr>
              <w:pStyle w:val="null3"/>
            </w:pPr>
            <w:r>
              <w:rPr>
                <w:rFonts w:ascii="仿宋_GB2312" w:hAnsi="仿宋_GB2312" w:cs="仿宋_GB2312" w:eastAsia="仿宋_GB2312"/>
              </w:rPr>
              <w:t>项目团队人员具体要求如下： 除设计负责人外，每提供一名具有相关专业中级或以上职称得2分，总分10分；未提供不得分（提供职称证复印件加盖公章）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①设计成果质量承诺；②现场配合、答疑及响应时效承诺；③成果交付进度与合规性承诺；④服务期内项目团队稳定性承诺等方面服务承诺。①～④项每项内容得2.5分，满分10分（提供承诺书）。注：承诺书内容①～④项任意一项缺项扣2.5分，扣完为止；未提供材料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后续免费增值服务</w:t>
            </w:r>
          </w:p>
        </w:tc>
        <w:tc>
          <w:tcPr>
            <w:tcW w:type="dxa" w:w="2492"/>
          </w:tcPr>
          <w:p>
            <w:pPr>
              <w:pStyle w:val="null3"/>
            </w:pPr>
            <w:r>
              <w:rPr>
                <w:rFonts w:ascii="仿宋_GB2312" w:hAnsi="仿宋_GB2312" w:cs="仿宋_GB2312" w:eastAsia="仿宋_GB2312"/>
              </w:rPr>
              <w:t>1、评审内容 供应商结合和自身情况针对本项目提出后续免费增值服务。 2、评审标准 每提出1项后续免费增值服务得1分，最高得5分，免费增值服务内容不明确或未提供的不得分。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一、评审内容： ①总体理解及认识（包含：项目总体理解；项目背景分析与服务标准） ②设计方案（包含：总体设计思路与技术路线；项目基础资料收集与核实方案；技术成果交付、校审及后续完善方案；配套技术服务与配合保障方案） ③设计质量保证措施（包含：设计规范和标准；设计质量全过程管控措施；成果文件合规性与交付保障措施） ④设计进度保证措施（包含：项目工作计划；项目进度安排；项目进度保证措施） ⑤重、难点分析的对策措施（包含：对本项目实施面临的重点、难点进行分析；对本项目重点、难点的应对措施） ⑥管理制度（包含：业务质量控制制度；项目档案管理制度；执业风险控制制度；数据资料安全管理制度；保密管理制度） ⑦设计阶段工程造价控制措施（包含：设计阶段造价影响因素及常见风险梳理；限额设计、方案比选及优化控制措施） 二、评审标准 ①完整性：响应全面，对评审内容中的各项要求有详细描述； ②可实施性：内容科学，步骤清晰、合理，可实施性强； ③针对性：能够紧扣项目实际情况，满足具体要求。 三、赋分标准 每一项评审内容完全满足评审标准得5分，若上述内容存在（1）不明确；（2）不合理；（3）不完整；（4）针对性不强；（5）不符合本项目实际需求等情况，每有一项扣1分，扣完为止。评审内容不提供或完全背离评审标准得0分</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