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版本号：DRZB2026-ZC-15920260527001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陕西省最美退役军人评选表彰及宣传活动项目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DRZB2026-ZC-159</w:t>
      </w:r>
      <w:r>
        <w:br/>
      </w:r>
      <w:r>
        <w:br/>
      </w:r>
      <w:r>
        <w:br/>
      </w:r>
    </w:p>
    <w:p>
      <w:pPr>
        <w:pStyle w:val="null3"/>
        <w:jc w:val="center"/>
        <w:outlineLvl w:val="2"/>
      </w:pPr>
      <w:r>
        <w:rPr>
          <w:rFonts w:ascii="仿宋_GB2312" w:hAnsi="仿宋_GB2312" w:cs="仿宋_GB2312" w:eastAsia="仿宋_GB2312"/>
          <w:sz w:val="28"/>
          <w:b/>
        </w:rPr>
        <w:t>陕西省退役军人事务厅机关</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陕西省退役军人事务厅机关</w:t>
      </w:r>
      <w:r>
        <w:rPr>
          <w:rFonts w:ascii="仿宋_GB2312" w:hAnsi="仿宋_GB2312" w:cs="仿宋_GB2312" w:eastAsia="仿宋_GB2312"/>
        </w:rPr>
        <w:t>委托，拟对</w:t>
      </w:r>
      <w:r>
        <w:rPr>
          <w:rFonts w:ascii="仿宋_GB2312" w:hAnsi="仿宋_GB2312" w:cs="仿宋_GB2312" w:eastAsia="仿宋_GB2312"/>
        </w:rPr>
        <w:t>陕西省最美退役军人评选表彰及宣传活动项目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陕西省最美退役军人评选表彰及宣传活动项目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陕西省最美退役军人评选表彰及宣传活动项目，具体内容详见磋商文件及采购需求。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陕西省退役军人事务厅机关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西安市新城区新城大院45号楼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029-63917456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采购包1保证金金额：11,159.00元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代理服务费收费标准：本项目招标代理服务费实行市场调节价，采用差额定率累进法计费，以成交金额为计费基数，由成交供应商在领取中标通知书前一次性支付。 具体费率如下： 100万元以下，按照1.5%计取。 代理费缴纳账户：银行户名：陕西德仁招标有限公司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陕西省退役军人事务厅机关</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陕西省退役军人事务厅机关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陕西省退役军人事务厅机关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陕西省最美退役军人评选表彰及宣传活动项目，具体内容详见磋商文件及采购需求。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陕西省最美退役军人评选表彰及宣传活动项目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标的名称：陕西省最美退役军人评选表彰及宣传活动项目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jc w:val="left"/>
            </w:pPr>
            <w:r>
              <w:rPr>
                <w:rFonts w:ascii="仿宋_GB2312" w:hAnsi="仿宋_GB2312" w:cs="仿宋_GB2312" w:eastAsia="仿宋_GB2312"/>
                <w:sz w:val="21"/>
                <w:b/>
                <w:color w:val="000000"/>
              </w:rPr>
              <w:t>一、项目概况</w:t>
            </w:r>
          </w:p>
          <w:p>
            <w:pPr>
              <w:pStyle w:val="null3"/>
              <w:ind w:firstLine="440"/>
              <w:jc w:val="left"/>
            </w:pPr>
            <w:r>
              <w:rPr>
                <w:rFonts w:ascii="仿宋_GB2312" w:hAnsi="仿宋_GB2312" w:cs="仿宋_GB2312" w:eastAsia="仿宋_GB2312"/>
                <w:sz w:val="21"/>
                <w:color w:val="000000"/>
              </w:rPr>
              <w:t>为深入贯彻总书记关于退役军人工作重要论述和来陕考察重要讲话重要指示精神，持续加强退役军人思想政治引领，宣扬正能量和优秀典型，弘扬奋进的时代主旋律，陕西省退役军人事务厅拟组织开展第四届“陕西省最美退役军人”评选表彰活动，深入挖掘宣传最美退役军人事迹，举办现场发布仪式，邀请主流媒体宣传。遴选5-8名代表组成最美事迹宣讲团，进机关、进校园、进企业、进社区、进军营宣讲，营造尊崇尊重氛围。</w:t>
            </w:r>
          </w:p>
          <w:p>
            <w:pPr>
              <w:pStyle w:val="null3"/>
              <w:ind w:firstLine="442"/>
              <w:jc w:val="left"/>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、服务内容与要求</w:t>
            </w:r>
          </w:p>
          <w:p>
            <w:pPr>
              <w:pStyle w:val="null3"/>
              <w:ind w:firstLine="442"/>
              <w:jc w:val="left"/>
            </w:pPr>
            <w:r>
              <w:rPr>
                <w:rFonts w:ascii="仿宋_GB2312" w:hAnsi="仿宋_GB2312" w:cs="仿宋_GB2312" w:eastAsia="仿宋_GB2312"/>
                <w:sz w:val="21"/>
                <w:b/>
                <w:color w:val="000000"/>
              </w:rPr>
              <w:t>（一）最美退役军人发布仪式全案执行</w:t>
            </w:r>
            <w:r>
              <w:rPr>
                <w:rFonts w:ascii="仿宋_GB2312" w:hAnsi="仿宋_GB2312" w:cs="仿宋_GB2312" w:eastAsia="仿宋_GB2312"/>
                <w:sz w:val="21"/>
              </w:rPr>
              <w:t xml:space="preserve"> </w:t>
            </w:r>
          </w:p>
          <w:p>
            <w:pPr>
              <w:pStyle w:val="null3"/>
              <w:ind w:firstLine="440"/>
              <w:jc w:val="left"/>
            </w:pPr>
            <w:r>
              <w:rPr>
                <w:rFonts w:ascii="仿宋_GB2312" w:hAnsi="仿宋_GB2312" w:cs="仿宋_GB2312" w:eastAsia="仿宋_GB2312"/>
                <w:sz w:val="21"/>
                <w:color w:val="000000"/>
              </w:rPr>
              <w:t>1. 活动整体策划、流程编排、主题文案、主持词、颁奖脚本、事迹短片脚本撰写。</w:t>
            </w:r>
          </w:p>
          <w:p>
            <w:pPr>
              <w:pStyle w:val="null3"/>
              <w:ind w:firstLine="440"/>
              <w:jc w:val="left"/>
            </w:pPr>
            <w:r>
              <w:rPr>
                <w:rFonts w:ascii="仿宋_GB2312" w:hAnsi="仿宋_GB2312" w:cs="仿宋_GB2312" w:eastAsia="仿宋_GB2312"/>
                <w:sz w:val="21"/>
                <w:color w:val="000000"/>
              </w:rPr>
              <w:t>2. 会场布置、舞台</w:t>
            </w:r>
            <w:r>
              <w:rPr>
                <w:rFonts w:ascii="仿宋_GB2312" w:hAnsi="仿宋_GB2312" w:cs="仿宋_GB2312" w:eastAsia="仿宋_GB2312"/>
                <w:sz w:val="21"/>
                <w:color w:val="000000"/>
              </w:rPr>
              <w:t>舞美、灯光音响、大屏视觉、礼仪会务、现场统筹保障。</w:t>
            </w:r>
          </w:p>
          <w:p>
            <w:pPr>
              <w:pStyle w:val="null3"/>
              <w:ind w:firstLine="440"/>
              <w:jc w:val="left"/>
            </w:pPr>
            <w:r>
              <w:rPr>
                <w:rFonts w:ascii="仿宋_GB2312" w:hAnsi="仿宋_GB2312" w:cs="仿宋_GB2312" w:eastAsia="仿宋_GB2312"/>
                <w:sz w:val="21"/>
                <w:color w:val="000000"/>
              </w:rPr>
              <w:t>3. 最美退役军人专题影像拍摄、事迹短片制作、人物专访、全程直播与录播，获奖人员奖杯证书制作、定制纪念品。</w:t>
            </w:r>
          </w:p>
          <w:p>
            <w:pPr>
              <w:pStyle w:val="null3"/>
              <w:ind w:firstLine="440"/>
              <w:jc w:val="left"/>
            </w:pPr>
            <w:r>
              <w:rPr>
                <w:rFonts w:ascii="仿宋_GB2312" w:hAnsi="仿宋_GB2312" w:cs="仿宋_GB2312" w:eastAsia="仿宋_GB2312"/>
                <w:sz w:val="21"/>
                <w:color w:val="000000"/>
              </w:rPr>
              <w:t>4. 省市主流媒体对接、现场新闻报道、荣誉颁奖、仪式全流程闭环落地。</w:t>
            </w:r>
          </w:p>
          <w:p>
            <w:pPr>
              <w:pStyle w:val="null3"/>
              <w:ind w:firstLine="440"/>
              <w:jc w:val="left"/>
            </w:pPr>
            <w:r>
              <w:rPr>
                <w:rFonts w:ascii="仿宋_GB2312" w:hAnsi="仿宋_GB2312" w:cs="仿宋_GB2312" w:eastAsia="仿宋_GB2312"/>
                <w:sz w:val="21"/>
                <w:color w:val="000000"/>
              </w:rPr>
              <w:t>5. 档案整理、资料归档、活动总结、台账报送。</w:t>
            </w:r>
          </w:p>
          <w:p>
            <w:pPr>
              <w:pStyle w:val="null3"/>
              <w:ind w:firstLine="440"/>
              <w:jc w:val="left"/>
            </w:pPr>
            <w:r>
              <w:rPr>
                <w:rFonts w:ascii="仿宋_GB2312" w:hAnsi="仿宋_GB2312" w:cs="仿宋_GB2312" w:eastAsia="仿宋_GB2312"/>
                <w:sz w:val="21"/>
                <w:color w:val="000000"/>
              </w:rPr>
              <w:t>6.负责评选活动的评审费用（场地、评审人员费用等一切费用）。</w:t>
            </w:r>
          </w:p>
          <w:p>
            <w:pPr>
              <w:pStyle w:val="null3"/>
              <w:ind w:firstLine="442"/>
              <w:jc w:val="left"/>
            </w:pPr>
            <w:r>
              <w:rPr>
                <w:rFonts w:ascii="仿宋_GB2312" w:hAnsi="仿宋_GB2312" w:cs="仿宋_GB2312" w:eastAsia="仿宋_GB2312"/>
                <w:sz w:val="21"/>
                <w:b/>
                <w:color w:val="000000"/>
              </w:rPr>
              <w:t>（二）全省最美退役军人事迹宣讲团组建与巡回宣讲</w:t>
            </w:r>
          </w:p>
          <w:p>
            <w:pPr>
              <w:pStyle w:val="null3"/>
              <w:ind w:firstLine="440"/>
              <w:jc w:val="left"/>
            </w:pPr>
            <w:r>
              <w:rPr>
                <w:rFonts w:ascii="仿宋_GB2312" w:hAnsi="仿宋_GB2312" w:cs="仿宋_GB2312" w:eastAsia="仿宋_GB2312"/>
                <w:sz w:val="21"/>
                <w:color w:val="000000"/>
              </w:rPr>
              <w:t xml:space="preserve"> 1. 遴选、培训、编组省级最美退役军人宣讲团，负责宣讲活动整体策划、PPT及讲稿美化，规范宣讲话术、事迹打磨、演讲礼仪，经费保障。</w:t>
            </w:r>
          </w:p>
          <w:p>
            <w:pPr>
              <w:pStyle w:val="null3"/>
              <w:ind w:firstLine="440"/>
              <w:jc w:val="left"/>
            </w:pPr>
            <w:r>
              <w:rPr>
                <w:rFonts w:ascii="仿宋_GB2312" w:hAnsi="仿宋_GB2312" w:cs="仿宋_GB2312" w:eastAsia="仿宋_GB2312"/>
                <w:sz w:val="21"/>
                <w:color w:val="000000"/>
              </w:rPr>
              <w:t>2. 统筹全省五进宣讲（进机关、进校园、进企业、进社区、进军营）场次安排。</w:t>
            </w:r>
          </w:p>
          <w:p>
            <w:pPr>
              <w:pStyle w:val="null3"/>
              <w:ind w:firstLine="440"/>
              <w:jc w:val="left"/>
            </w:pPr>
            <w:r>
              <w:rPr>
                <w:rFonts w:ascii="仿宋_GB2312" w:hAnsi="仿宋_GB2312" w:cs="仿宋_GB2312" w:eastAsia="仿宋_GB2312"/>
                <w:sz w:val="21"/>
                <w:color w:val="000000"/>
              </w:rPr>
              <w:t>3. 宣讲全程统筹、场地协调、后勤保障、现场组织、互动交流、台账留存。</w:t>
            </w:r>
          </w:p>
          <w:p>
            <w:pPr>
              <w:pStyle w:val="null3"/>
              <w:ind w:firstLine="440"/>
              <w:jc w:val="left"/>
            </w:pPr>
            <w:r>
              <w:rPr>
                <w:rFonts w:ascii="仿宋_GB2312" w:hAnsi="仿宋_GB2312" w:cs="仿宋_GB2312" w:eastAsia="仿宋_GB2312"/>
                <w:sz w:val="21"/>
                <w:color w:val="000000"/>
              </w:rPr>
              <w:t>4. 宣讲素材更新、巡讲宣传、短视频推广、全域氛围营造。</w:t>
            </w:r>
          </w:p>
          <w:p>
            <w:pPr>
              <w:pStyle w:val="null3"/>
              <w:ind w:firstLine="440"/>
              <w:jc w:val="left"/>
            </w:pPr>
            <w:r>
              <w:rPr>
                <w:rFonts w:ascii="仿宋_GB2312" w:hAnsi="仿宋_GB2312" w:cs="仿宋_GB2312" w:eastAsia="仿宋_GB2312"/>
                <w:sz w:val="21"/>
                <w:color w:val="000000"/>
              </w:rPr>
              <w:t>5. 全年宣讲复盘、成效总结、典型经验提炼上报。</w:t>
            </w:r>
          </w:p>
          <w:p>
            <w:pPr>
              <w:pStyle w:val="null3"/>
              <w:ind w:firstLine="442"/>
              <w:jc w:val="left"/>
            </w:pPr>
            <w:r>
              <w:rPr>
                <w:rFonts w:ascii="仿宋_GB2312" w:hAnsi="仿宋_GB2312" w:cs="仿宋_GB2312" w:eastAsia="仿宋_GB2312"/>
                <w:sz w:val="21"/>
                <w:b/>
                <w:color w:val="000000"/>
              </w:rPr>
              <w:t>（三）配套宣传全链条服务</w:t>
            </w:r>
          </w:p>
          <w:p>
            <w:pPr>
              <w:pStyle w:val="null3"/>
              <w:ind w:firstLine="440"/>
              <w:jc w:val="left"/>
            </w:pPr>
            <w:r>
              <w:rPr>
                <w:rFonts w:ascii="仿宋_GB2312" w:hAnsi="仿宋_GB2312" w:cs="仿宋_GB2312" w:eastAsia="仿宋_GB2312"/>
                <w:sz w:val="21"/>
                <w:color w:val="000000"/>
              </w:rPr>
              <w:t>人物事迹深度挖掘、图文推文、短视频矩阵、融媒体传播、展板画册、氛围布置、长效宣传运维。</w:t>
            </w:r>
          </w:p>
          <w:p>
            <w:pPr>
              <w:pStyle w:val="null3"/>
              <w:ind w:firstLine="442"/>
              <w:jc w:val="left"/>
            </w:pPr>
            <w:r>
              <w:rPr>
                <w:rFonts w:ascii="仿宋_GB2312" w:hAnsi="仿宋_GB2312" w:cs="仿宋_GB2312" w:eastAsia="仿宋_GB2312"/>
                <w:sz w:val="21"/>
                <w:b/>
                <w:color w:val="000000"/>
              </w:rPr>
              <w:t>（四）服务要求</w:t>
            </w:r>
          </w:p>
          <w:p>
            <w:pPr>
              <w:pStyle w:val="null3"/>
              <w:ind w:firstLine="440"/>
              <w:jc w:val="left"/>
            </w:pPr>
            <w:r>
              <w:rPr>
                <w:rFonts w:ascii="仿宋_GB2312" w:hAnsi="仿宋_GB2312" w:cs="仿宋_GB2312" w:eastAsia="仿宋_GB2312"/>
                <w:sz w:val="21"/>
                <w:color w:val="000000"/>
              </w:rPr>
              <w:t>1.能够准确把握活动主题，制定科学合理的工作流程和执行方案。供应商拥有较为丰富的相关经验，组织或策划过与本项目类似或相关活动；</w:t>
            </w:r>
          </w:p>
          <w:p>
            <w:pPr>
              <w:pStyle w:val="null3"/>
              <w:ind w:firstLine="440"/>
              <w:jc w:val="left"/>
            </w:pPr>
            <w:r>
              <w:rPr>
                <w:rFonts w:ascii="仿宋_GB2312" w:hAnsi="仿宋_GB2312" w:cs="仿宋_GB2312" w:eastAsia="仿宋_GB2312"/>
                <w:sz w:val="21"/>
                <w:color w:val="000000"/>
              </w:rPr>
              <w:t>2.能够组织科学高效的执行团队，团队策划人员不少于3人，执行人员不少于10人。拟投入本项目的人员至少具有2年以上相关工作经验，确保视频制作、颁奖典礼、宣传报道等各项工作顺利开展；</w:t>
            </w:r>
          </w:p>
          <w:p>
            <w:pPr>
              <w:pStyle w:val="null3"/>
              <w:ind w:firstLine="440"/>
              <w:jc w:val="left"/>
            </w:pPr>
            <w:r>
              <w:rPr>
                <w:rFonts w:ascii="仿宋_GB2312" w:hAnsi="仿宋_GB2312" w:cs="仿宋_GB2312" w:eastAsia="仿宋_GB2312"/>
                <w:sz w:val="21"/>
                <w:color w:val="000000"/>
              </w:rPr>
              <w:t>3.所制作的视频各项参数符合相关要求，能够分别突出每位“陕西</w:t>
            </w:r>
            <w:r>
              <w:rPr>
                <w:rFonts w:ascii="仿宋_GB2312" w:hAnsi="仿宋_GB2312" w:cs="仿宋_GB2312" w:eastAsia="仿宋_GB2312"/>
                <w:sz w:val="21"/>
                <w:color w:val="000000"/>
              </w:rPr>
              <w:t>省</w:t>
            </w:r>
            <w:r>
              <w:rPr>
                <w:rFonts w:ascii="仿宋_GB2312" w:hAnsi="仿宋_GB2312" w:cs="仿宋_GB2312" w:eastAsia="仿宋_GB2312"/>
                <w:sz w:val="21"/>
                <w:color w:val="000000"/>
              </w:rPr>
              <w:t>最美退役军人”的特色亮点，挖掘宣传最美退役军人事迹，并具有较高的艺术性和较强的感染力，视频画面分辨率不低于1920*1080（1080P），画面帧率不低于25fps，音频采样率不低于48kHz，比特率不低于600Mbps，视频压缩采用H.264编码方式；</w:t>
            </w:r>
          </w:p>
          <w:p>
            <w:pPr>
              <w:pStyle w:val="null3"/>
              <w:ind w:firstLine="44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发布仪式的时间、场地、流程和内容等能够根据活动需要进行确定或调整。场地可同时容纳500人以上，发布仪式中歌舞类节目、朗诵类节目数量均不少于2个。供应商各类设备数质量达到相关要求，确保发布仪式圆满顺利；</w:t>
            </w:r>
          </w:p>
          <w:p>
            <w:pPr>
              <w:pStyle w:val="null3"/>
              <w:ind w:firstLine="44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.能够通过各类媒体开展活动的宣传报道工作，确保此项活动在全省范围内形成一定影响和效果。</w:t>
            </w:r>
          </w:p>
          <w:p>
            <w:pPr>
              <w:pStyle w:val="null3"/>
              <w:ind w:firstLine="44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.活动现场承办者需负责下列安全事项：</w:t>
            </w:r>
          </w:p>
          <w:p>
            <w:pPr>
              <w:pStyle w:val="null3"/>
              <w:ind w:firstLine="440"/>
              <w:jc w:val="left"/>
            </w:pPr>
            <w:r>
              <w:rPr>
                <w:rFonts w:ascii="仿宋_GB2312" w:hAnsi="仿宋_GB2312" w:cs="仿宋_GB2312" w:eastAsia="仿宋_GB2312"/>
                <w:sz w:val="21"/>
                <w:color w:val="000000"/>
              </w:rPr>
              <w:t>（1）落实大型群众性活动安全工作方案和安全责任制度，明确安全措施、安全工作人员岗位职责；</w:t>
            </w:r>
          </w:p>
          <w:p>
            <w:pPr>
              <w:pStyle w:val="null3"/>
              <w:ind w:firstLine="440"/>
              <w:jc w:val="left"/>
            </w:pPr>
            <w:r>
              <w:rPr>
                <w:rFonts w:ascii="仿宋_GB2312" w:hAnsi="仿宋_GB2312" w:cs="仿宋_GB2312" w:eastAsia="仿宋_GB2312"/>
                <w:sz w:val="21"/>
                <w:color w:val="000000"/>
              </w:rPr>
              <w:t>（2）保障临时搭建的设施、建筑物的安全，消除安全隐患；</w:t>
            </w:r>
          </w:p>
          <w:p>
            <w:pPr>
              <w:pStyle w:val="null3"/>
              <w:ind w:firstLine="440"/>
              <w:jc w:val="left"/>
            </w:pPr>
            <w:r>
              <w:rPr>
                <w:rFonts w:ascii="仿宋_GB2312" w:hAnsi="仿宋_GB2312" w:cs="仿宋_GB2312" w:eastAsia="仿宋_GB2312"/>
                <w:sz w:val="21"/>
                <w:color w:val="000000"/>
              </w:rPr>
              <w:t>（3）配备与大型群众性活动安全工作需要相适应的专业保安人员以及其他安全工作人员；</w:t>
            </w:r>
          </w:p>
          <w:p>
            <w:pPr>
              <w:pStyle w:val="null3"/>
              <w:ind w:firstLine="440"/>
              <w:jc w:val="left"/>
            </w:pPr>
            <w:r>
              <w:rPr>
                <w:rFonts w:ascii="仿宋_GB2312" w:hAnsi="仿宋_GB2312" w:cs="仿宋_GB2312" w:eastAsia="仿宋_GB2312"/>
                <w:sz w:val="21"/>
                <w:color w:val="000000"/>
              </w:rPr>
              <w:t>（4）保障活动场所、设施符合国家安全标准和安全规定。</w:t>
            </w:r>
          </w:p>
          <w:p>
            <w:pPr>
              <w:pStyle w:val="null3"/>
              <w:ind w:firstLine="440"/>
              <w:jc w:val="left"/>
            </w:pPr>
            <w:r>
              <w:rPr>
                <w:rFonts w:ascii="仿宋_GB2312" w:hAnsi="仿宋_GB2312" w:cs="仿宋_GB2312" w:eastAsia="仿宋_GB2312"/>
                <w:sz w:val="21"/>
                <w:color w:val="000000"/>
              </w:rPr>
              <w:t>7.组织获奖人员进行全省各地宣讲活动，全省宣讲活动次数不少于5次；</w:t>
            </w:r>
          </w:p>
          <w:p>
            <w:pPr>
              <w:pStyle w:val="null3"/>
            </w:pPr>
            <w:r>
              <w:rPr>
                <w:rFonts w:ascii="仿宋_GB2312" w:hAnsi="仿宋_GB2312" w:cs="仿宋_GB2312" w:eastAsia="仿宋_GB2312"/>
                <w:sz w:val="21"/>
                <w:color w:val="000000"/>
              </w:rPr>
              <w:t xml:space="preserve">  8.供应商负责整体宣讲活动，包括但不限于：场地及设备租赁及活动整体策划及安</w:t>
            </w:r>
            <w:r>
              <w:rPr>
                <w:rFonts w:ascii="仿宋_GB2312" w:hAnsi="仿宋_GB2312" w:cs="仿宋_GB2312" w:eastAsia="仿宋_GB2312"/>
                <w:sz w:val="21"/>
                <w:color w:val="000000"/>
              </w:rPr>
              <w:t>排、宣传物料制作、媒体邀请、稿件撰写及审核、现场物料的收集及整理工作。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团队策划人员不少于3人，执行人员不少于10人。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采购人指定工作场所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（一）项目完工后，乙方向甲方提交验收申请。 （二）甲方收到验收申请后组织验收，验收时乙方应无条件予以配合并提供验收所需的全部资料，若乙方不配合或者未按合同要求提供服务的，甲方将拒绝验收。 （三）验收依据 1、磋商文件、响应文件、澄清表（函）； 2、本合同及附件文件；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进度款，2026年12月20日前，达到付款条件起10个工作日内，支付合同总金额的50.0%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唐延路37号class公馆B栋1103室。 2、磋商保证金注意事项：磋商保证金须从供应商账户转账；以保函形式交纳磋商保证金的，供应商应在响应截止时间前将保函扫描成清晰的PDF文件，发送至邮箱1172109359@qq.com（邮件命名：项目名称+项目编号），供应商应在响应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投标人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磋商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供应商认为有必要说明的其他资料.docx 中小企业声明函 报价表 项目实施方案.docx 撤场与清理方案.docx 资格证明文件.docx 服务偏离表.docx 响应文件封面 需求理解分析及重难点应对措施.docx 宣传推广方案.docx 分项报价表.docx 应急预案.docx 服务质量保障措施.docx 残疾人福利性单位声明函 项目团队人员配置.docx 业绩统计表.docx 标的清单 保证金缴纳凭证.docx 响应函 报价表.docx 商务偏离表.docx 投标人承诺书.docx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供应商认为有必要说明的其他资料.docx 中小企业声明函 报价表 项目实施方案.docx 撤场与清理方案.docx 资格证明文件.docx 服务偏离表.docx 响应文件封面 需求理解分析及重难点应对措施.docx 宣传推广方案.docx 分项报价表.docx 应急预案.docx 服务质量保障措施.docx 残疾人福利性单位声明函 项目团队人员配置.docx 业绩统计表.docx 标的清单 保证金缴纳凭证.docx 响应函 报价表.docx 商务偏离表.docx 投标人承诺书.docx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需求理解分析及重难点应对措施</w:t>
            </w:r>
          </w:p>
        </w:tc>
        <w:tc>
          <w:tcPr>
            <w:tcW w:type="dxa" w:w="2492"/>
          </w:tcPr>
          <w:p>
            <w:pPr>
              <w:pStyle w:val="null3"/>
            </w:pPr>
            <w:r>
              <w:rPr>
                <w:rFonts w:ascii="仿宋_GB2312" w:hAnsi="仿宋_GB2312" w:cs="仿宋_GB2312" w:eastAsia="仿宋_GB2312"/>
              </w:rPr>
              <w:t>针对本项目提供完善的需求理解分析及重难点应对措施，包括但不限于：①项目背景、项目服务内容理解、项目需求分析、项目实施目标；②项目涉及的关键、重点、难点技术问题分析及应对措施。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需求理解分析及重难点应对措施.docx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完善的服务方案，包括但不限于：①稿件撰写及审核；②活动整体策划方案；③场地租赁、布置及会务服务方案；④全程的影像拍摄计划和视频制作方案；⑤活动物料制作供应方案；⑥设施设备供应及安装调试方案；⑦宣讲人员遴选及培训；⑧项目整体统筹及场次安排方案。 评审标准：方案各部分内容全面详细、阐述条理清晰详尽、符合本项目采购需求，能保障本项目实施得24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针对本项目提供完善的项目实施方案，包括但不限于：①项目整体服务流程；②项目实施计划及进度安排；③阶段工作和关键节点保障措施；④与各相关单位的沟通保障、组织协调方案。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针对本项目提供完善的宣传推广方案，包括但不限于：①宣传方案；②宣传内容及物料制作。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宣传推广方案.docx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针对本项目提供完善的服务质量保障措施，包括但不限于：①场地保障方案；②人员及后勤保障措施；③物料和设施设备保障方案；④安全保障方案。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按照本项目采购需求规定的团队人员要求提供项目团队人员配置（团队策划人员不少于3人，执行人员不少于10人），包括但不限于：①实施组织机构划分、人员相关工作经验、项目人员管理制度；②人员安排方案、岗位分工及职责任务。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项目团队人员配置.docx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针对本项目提供完善的应急预案，包括但不限于：①设备故障应急预案；②人群疏导应急预案；③恶劣天气应急预案；④突发安全应急预案。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撤场与清理方案</w:t>
            </w:r>
          </w:p>
        </w:tc>
        <w:tc>
          <w:tcPr>
            <w:tcW w:type="dxa" w:w="2492"/>
          </w:tcPr>
          <w:p>
            <w:pPr>
              <w:pStyle w:val="null3"/>
            </w:pPr>
            <w:r>
              <w:rPr>
                <w:rFonts w:ascii="仿宋_GB2312" w:hAnsi="仿宋_GB2312" w:cs="仿宋_GB2312" w:eastAsia="仿宋_GB2312"/>
              </w:rPr>
              <w:t>针对本项目提供完善的撤场与清理方案，包括但不限于：①活动场地撤场及拆除；②垃圾清运。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撤场与清理方案.docx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自2023年1月1日以来（以合同签订时间为准），供应商承担过类似项目业绩，每提供一个项目业绩得1分，最高得6分。 注：业绩证明材料以合同的复印件或扫描件加盖公章为准，复印件或扫描件必须清晰体现签约主体和日期、项目名称及内容、合同金额等核心要素，否则不计为有效业绩。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采用低价优先法计算，即满足磋商文件要求且磋商总报价最低的磋商总报价为评标基准价，其价格为 10分。（因落实政府采购政策进行价格调整的，以调整后的价格计算评标基准价）其他供应商的价格分按照下列公式计算：磋商总报价得分＝（评标基准价/磋商总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详见附件：需求理解分析及重难点应对措施.docx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详见附件：宣传推广方案.docx</w:t>
      </w:r>
    </w:p>
    <w:p>
      <w:pPr>
        <w:pStyle w:val="null3"/>
        <w:ind w:firstLine="960"/>
      </w:pPr>
      <w:r>
        <w:rPr>
          <w:rFonts w:ascii="仿宋_GB2312" w:hAnsi="仿宋_GB2312" w:cs="仿宋_GB2312" w:eastAsia="仿宋_GB2312"/>
        </w:rPr>
        <w:t>详见附件：服务质量保障措施.docx</w:t>
      </w:r>
    </w:p>
    <w:p>
      <w:pPr>
        <w:pStyle w:val="null3"/>
        <w:ind w:firstLine="960"/>
      </w:pPr>
      <w:r>
        <w:rPr>
          <w:rFonts w:ascii="仿宋_GB2312" w:hAnsi="仿宋_GB2312" w:cs="仿宋_GB2312" w:eastAsia="仿宋_GB2312"/>
        </w:rPr>
        <w:t>详见附件：项目团队人员配置.docx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详见附件：撤场与清理方案.docx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